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FA526" w14:textId="20BCC0E5" w:rsidR="001F01DA" w:rsidRDefault="000C72DB" w:rsidP="001C1E53">
      <w:pPr>
        <w:spacing w:line="480" w:lineRule="auto"/>
        <w:rPr>
          <w:rFonts w:ascii="Times New Roman" w:hAnsi="Times New Roman" w:cs="Times New Roman"/>
        </w:rPr>
      </w:pPr>
      <w:r>
        <w:rPr>
          <w:rFonts w:ascii="Times New Roman" w:hAnsi="Times New Roman" w:cs="Times New Roman"/>
        </w:rPr>
        <w:t>Shakira Peters</w:t>
      </w:r>
    </w:p>
    <w:p w14:paraId="5295880B" w14:textId="5A71A7BD" w:rsidR="005D3BFB" w:rsidRDefault="005D3BFB" w:rsidP="001C1E53">
      <w:pPr>
        <w:spacing w:line="480" w:lineRule="auto"/>
        <w:rPr>
          <w:rFonts w:ascii="Times New Roman" w:hAnsi="Times New Roman" w:cs="Times New Roman"/>
        </w:rPr>
      </w:pPr>
      <w:r>
        <w:rPr>
          <w:rFonts w:ascii="Times New Roman" w:hAnsi="Times New Roman" w:cs="Times New Roman"/>
        </w:rPr>
        <w:t>Assignment 2</w:t>
      </w:r>
    </w:p>
    <w:p w14:paraId="586E68C5" w14:textId="553CDFF7" w:rsidR="000C72DB" w:rsidRDefault="000C72DB" w:rsidP="001C1E53">
      <w:pPr>
        <w:spacing w:line="480" w:lineRule="auto"/>
        <w:rPr>
          <w:rFonts w:ascii="Times New Roman" w:hAnsi="Times New Roman" w:cs="Times New Roman"/>
        </w:rPr>
      </w:pPr>
      <w:r>
        <w:rPr>
          <w:rFonts w:ascii="Times New Roman" w:hAnsi="Times New Roman" w:cs="Times New Roman"/>
        </w:rPr>
        <w:t xml:space="preserve">Commentary </w:t>
      </w:r>
    </w:p>
    <w:p w14:paraId="464CDF7D" w14:textId="159D20C2" w:rsidR="001C1E53" w:rsidRDefault="001C1E53" w:rsidP="001C1E53">
      <w:pPr>
        <w:spacing w:line="480" w:lineRule="auto"/>
        <w:rPr>
          <w:rFonts w:ascii="Times New Roman" w:hAnsi="Times New Roman" w:cs="Times New Roman"/>
        </w:rPr>
      </w:pPr>
    </w:p>
    <w:p w14:paraId="043B6318" w14:textId="3784E533" w:rsidR="001C1E53" w:rsidRDefault="001C1E53" w:rsidP="009262E8">
      <w:pPr>
        <w:spacing w:line="480" w:lineRule="auto"/>
        <w:ind w:firstLine="720"/>
        <w:rPr>
          <w:rFonts w:ascii="Times New Roman" w:hAnsi="Times New Roman" w:cs="Times New Roman"/>
        </w:rPr>
      </w:pPr>
      <w:r w:rsidRPr="001C1E53">
        <w:rPr>
          <w:rFonts w:ascii="Times New Roman" w:hAnsi="Times New Roman" w:cs="Times New Roman"/>
        </w:rPr>
        <w:t xml:space="preserve">In this </w:t>
      </w:r>
      <w:r w:rsidR="00AC5EF8">
        <w:rPr>
          <w:rFonts w:ascii="Times New Roman" w:hAnsi="Times New Roman" w:cs="Times New Roman"/>
        </w:rPr>
        <w:t>extract</w:t>
      </w:r>
      <w:r w:rsidRPr="001C1E53">
        <w:rPr>
          <w:rFonts w:ascii="Times New Roman" w:hAnsi="Times New Roman" w:cs="Times New Roman"/>
        </w:rPr>
        <w:t xml:space="preserve"> from Bernard's "Letter to Robert," the author </w:t>
      </w:r>
      <w:r w:rsidR="00036707">
        <w:rPr>
          <w:rFonts w:ascii="Times New Roman" w:hAnsi="Times New Roman" w:cs="Times New Roman"/>
        </w:rPr>
        <w:t>dives</w:t>
      </w:r>
      <w:r w:rsidRPr="001C1E53">
        <w:rPr>
          <w:rFonts w:ascii="Times New Roman" w:hAnsi="Times New Roman" w:cs="Times New Roman"/>
        </w:rPr>
        <w:t xml:space="preserve"> into the meaning and validity of pledges made on behalf of others, particularly in the context of familial connections. The commentary will explore the topics of individuality, responsibility, and the role of tradition.</w:t>
      </w:r>
      <w:r w:rsidR="008168B7">
        <w:rPr>
          <w:rFonts w:ascii="Times New Roman" w:hAnsi="Times New Roman" w:cs="Times New Roman"/>
        </w:rPr>
        <w:t xml:space="preserve"> </w:t>
      </w:r>
      <w:r w:rsidR="008168B7" w:rsidRPr="008168B7">
        <w:rPr>
          <w:rFonts w:ascii="Times New Roman" w:hAnsi="Times New Roman" w:cs="Times New Roman"/>
        </w:rPr>
        <w:t xml:space="preserve">The </w:t>
      </w:r>
      <w:r w:rsidR="008168B7">
        <w:rPr>
          <w:rFonts w:ascii="Times New Roman" w:hAnsi="Times New Roman" w:cs="Times New Roman"/>
        </w:rPr>
        <w:t>characters</w:t>
      </w:r>
      <w:r w:rsidR="009571B7">
        <w:rPr>
          <w:rFonts w:ascii="Times New Roman" w:hAnsi="Times New Roman" w:cs="Times New Roman"/>
        </w:rPr>
        <w:t xml:space="preserve"> displayed</w:t>
      </w:r>
      <w:r w:rsidR="008168B7" w:rsidRPr="008168B7">
        <w:rPr>
          <w:rFonts w:ascii="Times New Roman" w:hAnsi="Times New Roman" w:cs="Times New Roman"/>
        </w:rPr>
        <w:t xml:space="preserve"> are Bernard, the letter's author, who is addressing Robert</w:t>
      </w:r>
      <w:r w:rsidR="00F06945">
        <w:rPr>
          <w:rFonts w:ascii="Times New Roman" w:hAnsi="Times New Roman" w:cs="Times New Roman"/>
        </w:rPr>
        <w:t xml:space="preserve"> and </w:t>
      </w:r>
      <w:r w:rsidR="008168B7" w:rsidRPr="008168B7">
        <w:rPr>
          <w:rFonts w:ascii="Times New Roman" w:hAnsi="Times New Roman" w:cs="Times New Roman"/>
        </w:rPr>
        <w:t>Bernard is writing to Robert, the receiver of the letter.</w:t>
      </w:r>
      <w:r w:rsidR="002B4CBC" w:rsidRPr="002B4CBC">
        <w:t xml:space="preserve"> </w:t>
      </w:r>
      <w:r w:rsidR="002B4CBC" w:rsidRPr="002B4CBC">
        <w:rPr>
          <w:rFonts w:ascii="Times New Roman" w:hAnsi="Times New Roman" w:cs="Times New Roman"/>
        </w:rPr>
        <w:t xml:space="preserve">The extract does not specifically describe the exact </w:t>
      </w:r>
      <w:r w:rsidR="00F06945" w:rsidRPr="002B4CBC">
        <w:rPr>
          <w:rFonts w:ascii="Times New Roman" w:hAnsi="Times New Roman" w:cs="Times New Roman"/>
        </w:rPr>
        <w:t>setting</w:t>
      </w:r>
      <w:r w:rsidR="00F06945">
        <w:rPr>
          <w:rFonts w:ascii="Times New Roman" w:hAnsi="Times New Roman" w:cs="Times New Roman"/>
        </w:rPr>
        <w:t xml:space="preserve">; </w:t>
      </w:r>
      <w:r w:rsidR="002B4CBC" w:rsidRPr="002B4CBC">
        <w:rPr>
          <w:rFonts w:ascii="Times New Roman" w:hAnsi="Times New Roman" w:cs="Times New Roman"/>
        </w:rPr>
        <w:t xml:space="preserve">However, </w:t>
      </w:r>
      <w:r w:rsidR="0039531E" w:rsidRPr="002B4CBC">
        <w:rPr>
          <w:rFonts w:ascii="Times New Roman" w:hAnsi="Times New Roman" w:cs="Times New Roman"/>
        </w:rPr>
        <w:t>Bernard</w:t>
      </w:r>
      <w:r w:rsidR="002B4CBC" w:rsidRPr="002B4CBC">
        <w:rPr>
          <w:rFonts w:ascii="Times New Roman" w:hAnsi="Times New Roman" w:cs="Times New Roman"/>
        </w:rPr>
        <w:t xml:space="preserve"> is addressing vows and commitments in a religious environment, most likely in a monastic community.</w:t>
      </w:r>
      <w:r w:rsidR="006A2336">
        <w:rPr>
          <w:rStyle w:val="FootnoteReference"/>
          <w:rFonts w:ascii="Times New Roman" w:hAnsi="Times New Roman" w:cs="Times New Roman"/>
        </w:rPr>
        <w:footnoteReference w:id="1"/>
      </w:r>
      <w:r w:rsidR="0039531E" w:rsidRPr="0039531E">
        <w:t xml:space="preserve"> </w:t>
      </w:r>
      <w:r w:rsidR="0039531E" w:rsidRPr="0039531E">
        <w:rPr>
          <w:rFonts w:ascii="Times New Roman" w:hAnsi="Times New Roman" w:cs="Times New Roman"/>
        </w:rPr>
        <w:t xml:space="preserve">The key occurrences in this </w:t>
      </w:r>
      <w:r w:rsidR="00F06945">
        <w:rPr>
          <w:rFonts w:ascii="Times New Roman" w:hAnsi="Times New Roman" w:cs="Times New Roman"/>
        </w:rPr>
        <w:t>extract</w:t>
      </w:r>
      <w:r w:rsidR="0039531E" w:rsidRPr="0039531E">
        <w:rPr>
          <w:rFonts w:ascii="Times New Roman" w:hAnsi="Times New Roman" w:cs="Times New Roman"/>
        </w:rPr>
        <w:t xml:space="preserve"> are Bernard's rhetorical query about the strength of pledges made by fathers on behalf of their </w:t>
      </w:r>
      <w:r w:rsidR="0039531E" w:rsidRPr="0039531E">
        <w:rPr>
          <w:rFonts w:ascii="Times New Roman" w:hAnsi="Times New Roman" w:cs="Times New Roman"/>
        </w:rPr>
        <w:t>son’s</w:t>
      </w:r>
      <w:r w:rsidR="0039531E" w:rsidRPr="0039531E">
        <w:rPr>
          <w:rFonts w:ascii="Times New Roman" w:hAnsi="Times New Roman" w:cs="Times New Roman"/>
        </w:rPr>
        <w:t xml:space="preserve"> v</w:t>
      </w:r>
      <w:r w:rsidR="00251BBE">
        <w:rPr>
          <w:rFonts w:ascii="Times New Roman" w:hAnsi="Times New Roman" w:cs="Times New Roman"/>
        </w:rPr>
        <w:t>erses</w:t>
      </w:r>
      <w:r w:rsidR="0039531E" w:rsidRPr="0039531E">
        <w:rPr>
          <w:rFonts w:ascii="Times New Roman" w:hAnsi="Times New Roman" w:cs="Times New Roman"/>
        </w:rPr>
        <w:t xml:space="preserve"> vows made by sons themselves, especially when the latter vow for something </w:t>
      </w:r>
      <w:r w:rsidR="0039531E" w:rsidRPr="0039531E">
        <w:rPr>
          <w:rFonts w:ascii="Times New Roman" w:hAnsi="Times New Roman" w:cs="Times New Roman"/>
        </w:rPr>
        <w:t>greater. He</w:t>
      </w:r>
      <w:r w:rsidR="0039531E" w:rsidRPr="0039531E">
        <w:rPr>
          <w:rFonts w:ascii="Times New Roman" w:hAnsi="Times New Roman" w:cs="Times New Roman"/>
        </w:rPr>
        <w:t xml:space="preserve"> petitions Benedict, referred to as a "servant and law giver," to decide the </w:t>
      </w:r>
      <w:r w:rsidR="0039531E" w:rsidRPr="0039531E">
        <w:rPr>
          <w:rFonts w:ascii="Times New Roman" w:hAnsi="Times New Roman" w:cs="Times New Roman"/>
        </w:rPr>
        <w:t>case.</w:t>
      </w:r>
      <w:r w:rsidR="00251BBE">
        <w:rPr>
          <w:rStyle w:val="FootnoteReference"/>
          <w:rFonts w:ascii="Times New Roman" w:hAnsi="Times New Roman" w:cs="Times New Roman"/>
        </w:rPr>
        <w:footnoteReference w:id="2"/>
      </w:r>
      <w:r w:rsidR="0039531E" w:rsidRPr="0039531E">
        <w:rPr>
          <w:rFonts w:ascii="Times New Roman" w:hAnsi="Times New Roman" w:cs="Times New Roman"/>
        </w:rPr>
        <w:t>Bernard</w:t>
      </w:r>
      <w:r w:rsidR="0039531E" w:rsidRPr="0039531E">
        <w:rPr>
          <w:rFonts w:ascii="Times New Roman" w:hAnsi="Times New Roman" w:cs="Times New Roman"/>
        </w:rPr>
        <w:t xml:space="preserve"> questions the legitimacy and relevance of vows made for children who are too young to understand, as opposed to vows made later in life when the child can speak for themselves.</w:t>
      </w:r>
      <w:r w:rsidR="0039531E">
        <w:rPr>
          <w:rFonts w:ascii="Times New Roman" w:hAnsi="Times New Roman" w:cs="Times New Roman"/>
        </w:rPr>
        <w:t xml:space="preserve"> </w:t>
      </w:r>
      <w:r w:rsidR="0039531E" w:rsidRPr="0039531E">
        <w:rPr>
          <w:rFonts w:ascii="Times New Roman" w:hAnsi="Times New Roman" w:cs="Times New Roman"/>
        </w:rPr>
        <w:t>Bernard claims that there is no doubt that the boy in question was promised to Cluny, without a formal oblation. He observes the absence of distinct</w:t>
      </w:r>
      <w:r w:rsidR="00080F98">
        <w:rPr>
          <w:rFonts w:ascii="Times New Roman" w:hAnsi="Times New Roman" w:cs="Times New Roman"/>
        </w:rPr>
        <w:t xml:space="preserve"> rituals</w:t>
      </w:r>
      <w:r w:rsidR="00080F98" w:rsidRPr="00080F98">
        <w:rPr>
          <w:rFonts w:ascii="Times New Roman" w:hAnsi="Times New Roman" w:cs="Times New Roman"/>
        </w:rPr>
        <w:t>, such as the Rule's obligatory petition, and the absence of witnesses during the hand-binding on the altar cloth.</w:t>
      </w:r>
      <w:r w:rsidR="00DF3807">
        <w:rPr>
          <w:rStyle w:val="FootnoteReference"/>
          <w:rFonts w:ascii="Times New Roman" w:hAnsi="Times New Roman" w:cs="Times New Roman"/>
        </w:rPr>
        <w:footnoteReference w:id="3"/>
      </w:r>
      <w:r w:rsidR="00B548C8">
        <w:rPr>
          <w:rFonts w:ascii="Times New Roman" w:hAnsi="Times New Roman" w:cs="Times New Roman"/>
        </w:rPr>
        <w:t xml:space="preserve"> </w:t>
      </w:r>
      <w:r w:rsidR="00B548C8" w:rsidRPr="00B548C8">
        <w:rPr>
          <w:rFonts w:ascii="Times New Roman" w:hAnsi="Times New Roman" w:cs="Times New Roman"/>
        </w:rPr>
        <w:t xml:space="preserve">The </w:t>
      </w:r>
      <w:r w:rsidR="00B548C8">
        <w:rPr>
          <w:rFonts w:ascii="Times New Roman" w:hAnsi="Times New Roman" w:cs="Times New Roman"/>
        </w:rPr>
        <w:t>themes</w:t>
      </w:r>
      <w:r w:rsidR="00B548C8" w:rsidRPr="00B548C8">
        <w:rPr>
          <w:rFonts w:ascii="Times New Roman" w:hAnsi="Times New Roman" w:cs="Times New Roman"/>
        </w:rPr>
        <w:t xml:space="preserve"> identified in this extract are autonomy and responsibility</w:t>
      </w:r>
      <w:r w:rsidR="00713E6D">
        <w:rPr>
          <w:rFonts w:ascii="Times New Roman" w:hAnsi="Times New Roman" w:cs="Times New Roman"/>
        </w:rPr>
        <w:t>.</w:t>
      </w:r>
      <w:r w:rsidR="00B548C8" w:rsidRPr="00B548C8">
        <w:rPr>
          <w:rFonts w:ascii="Times New Roman" w:hAnsi="Times New Roman" w:cs="Times New Roman"/>
        </w:rPr>
        <w:t xml:space="preserve"> The extract investigates individuals' autonomy, namely the promises they make and the </w:t>
      </w:r>
      <w:r w:rsidR="00B548C8" w:rsidRPr="00B548C8">
        <w:rPr>
          <w:rFonts w:ascii="Times New Roman" w:hAnsi="Times New Roman" w:cs="Times New Roman"/>
        </w:rPr>
        <w:lastRenderedPageBreak/>
        <w:t>responsibility that comes with those vows.</w:t>
      </w:r>
      <w:r w:rsidR="00713E6D">
        <w:rPr>
          <w:rFonts w:ascii="Times New Roman" w:hAnsi="Times New Roman" w:cs="Times New Roman"/>
        </w:rPr>
        <w:t xml:space="preserve"> Another theme is, </w:t>
      </w:r>
      <w:r w:rsidR="00B548C8" w:rsidRPr="00B548C8">
        <w:rPr>
          <w:rFonts w:ascii="Times New Roman" w:hAnsi="Times New Roman" w:cs="Times New Roman"/>
        </w:rPr>
        <w:t xml:space="preserve">Tradition and </w:t>
      </w:r>
      <w:r w:rsidR="00036E1D" w:rsidRPr="00B548C8">
        <w:rPr>
          <w:rFonts w:ascii="Times New Roman" w:hAnsi="Times New Roman" w:cs="Times New Roman"/>
        </w:rPr>
        <w:t>Ritual</w:t>
      </w:r>
      <w:r w:rsidR="00036E1D">
        <w:rPr>
          <w:rFonts w:ascii="Times New Roman" w:hAnsi="Times New Roman" w:cs="Times New Roman"/>
        </w:rPr>
        <w:t>,</w:t>
      </w:r>
      <w:r w:rsidR="00036E1D" w:rsidRPr="00B548C8">
        <w:rPr>
          <w:rFonts w:ascii="Times New Roman" w:hAnsi="Times New Roman" w:cs="Times New Roman"/>
        </w:rPr>
        <w:t xml:space="preserve"> Bernard</w:t>
      </w:r>
      <w:r w:rsidR="00B548C8" w:rsidRPr="00B548C8">
        <w:rPr>
          <w:rFonts w:ascii="Times New Roman" w:hAnsi="Times New Roman" w:cs="Times New Roman"/>
        </w:rPr>
        <w:t xml:space="preserve"> emphasises the necessity of following established religious rituals and conventions, implying that their absence may put vows into doubt.</w:t>
      </w:r>
      <w:r w:rsidR="001F11A5" w:rsidRPr="001F11A5">
        <w:t xml:space="preserve"> </w:t>
      </w:r>
      <w:r w:rsidR="00036E1D">
        <w:rPr>
          <w:rFonts w:ascii="Times New Roman" w:hAnsi="Times New Roman" w:cs="Times New Roman"/>
        </w:rPr>
        <w:t>The extract</w:t>
      </w:r>
      <w:r w:rsidR="001F11A5" w:rsidRPr="001F11A5">
        <w:rPr>
          <w:rFonts w:ascii="Times New Roman" w:hAnsi="Times New Roman" w:cs="Times New Roman"/>
        </w:rPr>
        <w:t xml:space="preserve"> features a variety of literary strategies</w:t>
      </w:r>
      <w:r w:rsidR="00036E1D">
        <w:rPr>
          <w:rFonts w:ascii="Times New Roman" w:hAnsi="Times New Roman" w:cs="Times New Roman"/>
        </w:rPr>
        <w:t xml:space="preserve"> including</w:t>
      </w:r>
      <w:r w:rsidR="001F11A5" w:rsidRPr="001F11A5">
        <w:rPr>
          <w:rFonts w:ascii="Times New Roman" w:hAnsi="Times New Roman" w:cs="Times New Roman"/>
        </w:rPr>
        <w:t xml:space="preserve"> metaphors</w:t>
      </w:r>
      <w:r w:rsidR="00714F2C">
        <w:rPr>
          <w:rFonts w:ascii="Times New Roman" w:hAnsi="Times New Roman" w:cs="Times New Roman"/>
        </w:rPr>
        <w:t xml:space="preserve">, </w:t>
      </w:r>
      <w:r w:rsidR="007A3FC8">
        <w:rPr>
          <w:rFonts w:ascii="Times New Roman" w:hAnsi="Times New Roman" w:cs="Times New Roman"/>
        </w:rPr>
        <w:t>Imagery, Symbolism, Repetition and Parallel Structure.</w:t>
      </w:r>
      <w:r w:rsidR="001F11A5" w:rsidRPr="001F11A5">
        <w:rPr>
          <w:rFonts w:ascii="Times New Roman" w:hAnsi="Times New Roman" w:cs="Times New Roman"/>
        </w:rPr>
        <w:t xml:space="preserve"> The contrast between the power of a father's commitment for his son and the boy's vow for himself is a metaphorical examination of </w:t>
      </w:r>
      <w:r w:rsidR="00036E1D" w:rsidRPr="001F11A5">
        <w:rPr>
          <w:rFonts w:ascii="Times New Roman" w:hAnsi="Times New Roman" w:cs="Times New Roman"/>
        </w:rPr>
        <w:t>ancestral</w:t>
      </w:r>
      <w:r w:rsidR="001F11A5" w:rsidRPr="001F11A5">
        <w:rPr>
          <w:rFonts w:ascii="Times New Roman" w:hAnsi="Times New Roman" w:cs="Times New Roman"/>
        </w:rPr>
        <w:t xml:space="preserve"> obligations and personal </w:t>
      </w:r>
      <w:r w:rsidR="00036E1D" w:rsidRPr="001F11A5">
        <w:rPr>
          <w:rFonts w:ascii="Times New Roman" w:hAnsi="Times New Roman" w:cs="Times New Roman"/>
        </w:rPr>
        <w:t>activity</w:t>
      </w:r>
      <w:r w:rsidR="001F11A5" w:rsidRPr="001F11A5">
        <w:rPr>
          <w:rFonts w:ascii="Times New Roman" w:hAnsi="Times New Roman" w:cs="Times New Roman"/>
        </w:rPr>
        <w:t xml:space="preserve">. This metaphor emphasises the power dynamics inherent in familial ties, as well as the significance of commitments made on behalf of others </w:t>
      </w:r>
      <w:r w:rsidR="009640C5">
        <w:rPr>
          <w:rFonts w:ascii="Times New Roman" w:hAnsi="Times New Roman" w:cs="Times New Roman"/>
        </w:rPr>
        <w:t>verses</w:t>
      </w:r>
      <w:r w:rsidR="001F11A5" w:rsidRPr="001F11A5">
        <w:rPr>
          <w:rFonts w:ascii="Times New Roman" w:hAnsi="Times New Roman" w:cs="Times New Roman"/>
        </w:rPr>
        <w:t xml:space="preserve"> those </w:t>
      </w:r>
      <w:r w:rsidR="009640C5">
        <w:rPr>
          <w:rFonts w:ascii="Times New Roman" w:hAnsi="Times New Roman" w:cs="Times New Roman"/>
        </w:rPr>
        <w:t xml:space="preserve">made on their </w:t>
      </w:r>
      <w:r w:rsidR="00714F2C" w:rsidRPr="001F11A5">
        <w:rPr>
          <w:rFonts w:ascii="Times New Roman" w:hAnsi="Times New Roman" w:cs="Times New Roman"/>
        </w:rPr>
        <w:t>own.</w:t>
      </w:r>
      <w:r w:rsidR="00714F2C" w:rsidRPr="00DC7A2D">
        <w:rPr>
          <w:rFonts w:ascii="Times New Roman" w:hAnsi="Times New Roman" w:cs="Times New Roman"/>
        </w:rPr>
        <w:t xml:space="preserve"> The</w:t>
      </w:r>
      <w:r w:rsidR="00DC7A2D" w:rsidRPr="00DC7A2D">
        <w:rPr>
          <w:rFonts w:ascii="Times New Roman" w:hAnsi="Times New Roman" w:cs="Times New Roman"/>
        </w:rPr>
        <w:t xml:space="preserve"> imagery of judgement and evaluation is generated by statements like "Let them see and judge" and "Let your servant and lawgiver, Benedict, judge." This artwork evokes a sense of scrutiny and assessment, emphasising the gravity of the circumstance and the importance of discernment in assessing the legitimacy of vows.</w:t>
      </w:r>
      <w:r w:rsidR="00A87BDD">
        <w:rPr>
          <w:rFonts w:ascii="Times New Roman" w:hAnsi="Times New Roman" w:cs="Times New Roman"/>
        </w:rPr>
        <w:t xml:space="preserve"> </w:t>
      </w:r>
      <w:r w:rsidR="00A87BDD" w:rsidRPr="00A87BDD">
        <w:rPr>
          <w:rFonts w:ascii="Times New Roman" w:hAnsi="Times New Roman" w:cs="Times New Roman"/>
        </w:rPr>
        <w:t>Benedict, known as a "servant and law giver," is a metaphorical figure of power and knowledge.</w:t>
      </w:r>
      <w:r w:rsidR="00486A03">
        <w:rPr>
          <w:rStyle w:val="FootnoteReference"/>
          <w:rFonts w:ascii="Times New Roman" w:hAnsi="Times New Roman" w:cs="Times New Roman"/>
        </w:rPr>
        <w:footnoteReference w:id="4"/>
      </w:r>
      <w:r w:rsidR="00A87BDD" w:rsidRPr="00A87BDD">
        <w:rPr>
          <w:rFonts w:ascii="Times New Roman" w:hAnsi="Times New Roman" w:cs="Times New Roman"/>
        </w:rPr>
        <w:t xml:space="preserve"> By citing Benedict's decision, Bernard makes a symbolic appeal to established religious authority and tradition, emphasising the importance of the matter in the context of religious law and doctrine.</w:t>
      </w:r>
      <w:r w:rsidR="00DC1698">
        <w:rPr>
          <w:rFonts w:ascii="Times New Roman" w:hAnsi="Times New Roman" w:cs="Times New Roman"/>
        </w:rPr>
        <w:t xml:space="preserve"> </w:t>
      </w:r>
      <w:r w:rsidR="00DC1698" w:rsidRPr="00DC1698">
        <w:rPr>
          <w:rFonts w:ascii="Times New Roman" w:hAnsi="Times New Roman" w:cs="Times New Roman"/>
        </w:rPr>
        <w:t xml:space="preserve">The word "vow" appears repeatedly throughout the </w:t>
      </w:r>
      <w:r w:rsidR="00FE7951">
        <w:rPr>
          <w:rFonts w:ascii="Times New Roman" w:hAnsi="Times New Roman" w:cs="Times New Roman"/>
        </w:rPr>
        <w:t>extract</w:t>
      </w:r>
      <w:r w:rsidR="00DC1698" w:rsidRPr="00DC1698">
        <w:rPr>
          <w:rFonts w:ascii="Times New Roman" w:hAnsi="Times New Roman" w:cs="Times New Roman"/>
        </w:rPr>
        <w:t>, emphasising the underlying issue of promises and obligations. This repetition emphasises the relevance of vows in the moral and ethical framework under consideration, highlighting the complexities of duties within familial and religious contexts.</w:t>
      </w:r>
      <w:r w:rsidR="00ED06C7">
        <w:rPr>
          <w:rStyle w:val="FootnoteReference"/>
          <w:rFonts w:ascii="Times New Roman" w:hAnsi="Times New Roman" w:cs="Times New Roman"/>
        </w:rPr>
        <w:footnoteReference w:id="5"/>
      </w:r>
      <w:r w:rsidR="00A063A1">
        <w:rPr>
          <w:rFonts w:ascii="Times New Roman" w:hAnsi="Times New Roman" w:cs="Times New Roman"/>
        </w:rPr>
        <w:t xml:space="preserve"> </w:t>
      </w:r>
      <w:r w:rsidR="00A063A1" w:rsidRPr="00A063A1">
        <w:rPr>
          <w:rFonts w:ascii="Times New Roman" w:hAnsi="Times New Roman" w:cs="Times New Roman"/>
        </w:rPr>
        <w:t xml:space="preserve">The parallel structure used in phrases like "the vow a father makes on behalf of his son, or the vow a son makes on his own behalf" and "a vow made for a child when he is too young to know anything about it, or the vow he makes later when he is old enough to speak for himself" creates a balanced and symmetrical contrast between different types of vows. This </w:t>
      </w:r>
      <w:r w:rsidR="00A063A1" w:rsidRPr="00A063A1">
        <w:rPr>
          <w:rFonts w:ascii="Times New Roman" w:hAnsi="Times New Roman" w:cs="Times New Roman"/>
        </w:rPr>
        <w:lastRenderedPageBreak/>
        <w:t>parallelism emphasises the contrast between promises made by parents and those made by individuals, which contributes to the structure and coherence of the argument given.</w:t>
      </w:r>
      <w:r w:rsidR="00DF3807">
        <w:rPr>
          <w:rStyle w:val="FootnoteReference"/>
          <w:rFonts w:ascii="Times New Roman" w:hAnsi="Times New Roman" w:cs="Times New Roman"/>
        </w:rPr>
        <w:footnoteReference w:id="6"/>
      </w:r>
      <w:r w:rsidR="00A8224F">
        <w:rPr>
          <w:rFonts w:ascii="Times New Roman" w:hAnsi="Times New Roman" w:cs="Times New Roman"/>
        </w:rPr>
        <w:t xml:space="preserve"> </w:t>
      </w:r>
      <w:r w:rsidR="00A8224F" w:rsidRPr="00A8224F">
        <w:rPr>
          <w:rFonts w:ascii="Times New Roman" w:hAnsi="Times New Roman" w:cs="Times New Roman"/>
        </w:rPr>
        <w:t>The extract's structure effectively presents and develops the key idea while being clear and coherent. Bernard's method improves the text's readability and effect, allowing</w:t>
      </w:r>
      <w:r w:rsidR="0043098C">
        <w:rPr>
          <w:rFonts w:ascii="Times New Roman" w:hAnsi="Times New Roman" w:cs="Times New Roman"/>
        </w:rPr>
        <w:t xml:space="preserve"> a</w:t>
      </w:r>
      <w:r w:rsidR="00A8224F" w:rsidRPr="00A8224F">
        <w:rPr>
          <w:rFonts w:ascii="Times New Roman" w:hAnsi="Times New Roman" w:cs="Times New Roman"/>
        </w:rPr>
        <w:t xml:space="preserve"> more nuanced examination of the difficult ethical and moral issues at hand.</w:t>
      </w:r>
      <w:r w:rsidR="006B30EB">
        <w:rPr>
          <w:rFonts w:ascii="Times New Roman" w:hAnsi="Times New Roman" w:cs="Times New Roman"/>
        </w:rPr>
        <w:t xml:space="preserve"> </w:t>
      </w:r>
      <w:r w:rsidR="006B30EB" w:rsidRPr="006B30EB">
        <w:rPr>
          <w:rFonts w:ascii="Times New Roman" w:hAnsi="Times New Roman" w:cs="Times New Roman"/>
        </w:rPr>
        <w:t>The tone of the extract indicates Bernard's seriousness of purpose and involvement with difficult ethical and moral issues. It delivers authority and conviction while also encouraging the reader to think critically and introspectively.</w:t>
      </w:r>
      <w:r w:rsidR="00726741">
        <w:rPr>
          <w:rFonts w:ascii="Times New Roman" w:hAnsi="Times New Roman" w:cs="Times New Roman"/>
        </w:rPr>
        <w:t xml:space="preserve"> </w:t>
      </w:r>
      <w:r w:rsidR="00726741" w:rsidRPr="00726741">
        <w:rPr>
          <w:rFonts w:ascii="Times New Roman" w:hAnsi="Times New Roman" w:cs="Times New Roman"/>
        </w:rPr>
        <w:t>The author's objective in writing the extract is to engage readers in a careful analysis of the intricacies of vows and commitments, particularly in the context of familial and religious connections. Bernard's goal in raising questions, asking judgement, and addressing specific examples is to provoke deeper contemplation on ethical issues and stimulate conversation about the correct conduct of vows and commitments.</w:t>
      </w:r>
      <w:r w:rsidR="00B36314">
        <w:rPr>
          <w:rStyle w:val="FootnoteReference"/>
          <w:rFonts w:ascii="Times New Roman" w:hAnsi="Times New Roman" w:cs="Times New Roman"/>
        </w:rPr>
        <w:footnoteReference w:id="7"/>
      </w:r>
      <w:r w:rsidR="00016EB1">
        <w:rPr>
          <w:rFonts w:ascii="Times New Roman" w:hAnsi="Times New Roman" w:cs="Times New Roman"/>
        </w:rPr>
        <w:t xml:space="preserve"> </w:t>
      </w:r>
      <w:r w:rsidR="00EB140A" w:rsidRPr="00EB140A">
        <w:rPr>
          <w:rFonts w:ascii="Times New Roman" w:hAnsi="Times New Roman" w:cs="Times New Roman"/>
        </w:rPr>
        <w:t xml:space="preserve">The extract could </w:t>
      </w:r>
      <w:r w:rsidR="00FD281C">
        <w:rPr>
          <w:rFonts w:ascii="Times New Roman" w:hAnsi="Times New Roman" w:cs="Times New Roman"/>
        </w:rPr>
        <w:t xml:space="preserve">also </w:t>
      </w:r>
      <w:r w:rsidR="00EB140A" w:rsidRPr="00EB140A">
        <w:rPr>
          <w:rFonts w:ascii="Times New Roman" w:hAnsi="Times New Roman" w:cs="Times New Roman"/>
        </w:rPr>
        <w:t xml:space="preserve">be understood as emphasising the importance of tradition and institutional authority in developing ethical norms within religious communities. It emphasises the necessity of following established rituals and conventions when taking vows, underscoring the conflict between individual autonomy and loyalty to institutional standards. This alternate reading would shift the attention away from human agency and </w:t>
      </w:r>
      <w:r w:rsidR="00BA766B" w:rsidRPr="00EB140A">
        <w:rPr>
          <w:rFonts w:ascii="Times New Roman" w:hAnsi="Times New Roman" w:cs="Times New Roman"/>
        </w:rPr>
        <w:t>independence</w:t>
      </w:r>
      <w:r w:rsidR="00EB140A" w:rsidRPr="00EB140A">
        <w:rPr>
          <w:rFonts w:ascii="Times New Roman" w:hAnsi="Times New Roman" w:cs="Times New Roman"/>
        </w:rPr>
        <w:t xml:space="preserve"> and towards the larger context of religious tradition and institutional norms, emphasising the difficulties of reconciling opposing ethical standards within religious communities.</w:t>
      </w:r>
      <w:r w:rsidR="00EB140A">
        <w:rPr>
          <w:rFonts w:ascii="Times New Roman" w:hAnsi="Times New Roman" w:cs="Times New Roman"/>
        </w:rPr>
        <w:t xml:space="preserve"> </w:t>
      </w:r>
      <w:r w:rsidR="00016EB1">
        <w:rPr>
          <w:rFonts w:ascii="Times New Roman" w:hAnsi="Times New Roman" w:cs="Times New Roman"/>
        </w:rPr>
        <w:t xml:space="preserve">In conclusion, </w:t>
      </w:r>
      <w:r w:rsidR="006E5F9B" w:rsidRPr="006E5F9B">
        <w:rPr>
          <w:rFonts w:ascii="Times New Roman" w:hAnsi="Times New Roman" w:cs="Times New Roman"/>
        </w:rPr>
        <w:t>the</w:t>
      </w:r>
      <w:r w:rsidR="006E5F9B" w:rsidRPr="006E5F9B">
        <w:rPr>
          <w:rFonts w:ascii="Times New Roman" w:hAnsi="Times New Roman" w:cs="Times New Roman"/>
        </w:rPr>
        <w:t xml:space="preserve"> commentary investigates the ethical and moral complexity of vows and commitments, particularly in familial and religious settings. It concerns the strength of fathers' promises and begs Benedict's judgement. The criticism emphasises autonomy and responsibility, calling </w:t>
      </w:r>
      <w:r w:rsidR="006E5F9B" w:rsidRPr="006E5F9B">
        <w:rPr>
          <w:rFonts w:ascii="Times New Roman" w:hAnsi="Times New Roman" w:cs="Times New Roman"/>
        </w:rPr>
        <w:lastRenderedPageBreak/>
        <w:t xml:space="preserve">into question the legitimacy of promises made by people who may not completely comprehend or agree to them. </w:t>
      </w:r>
    </w:p>
    <w:p w14:paraId="30F49E3A" w14:textId="77777777" w:rsidR="00300020" w:rsidRDefault="00300020" w:rsidP="009262E8">
      <w:pPr>
        <w:spacing w:line="480" w:lineRule="auto"/>
        <w:ind w:firstLine="720"/>
        <w:rPr>
          <w:rFonts w:ascii="Times New Roman" w:hAnsi="Times New Roman" w:cs="Times New Roman"/>
        </w:rPr>
      </w:pPr>
    </w:p>
    <w:p w14:paraId="0FFE2344" w14:textId="77777777" w:rsidR="00300020" w:rsidRDefault="00300020" w:rsidP="009262E8">
      <w:pPr>
        <w:spacing w:line="480" w:lineRule="auto"/>
        <w:ind w:firstLine="720"/>
        <w:rPr>
          <w:rFonts w:ascii="Times New Roman" w:hAnsi="Times New Roman" w:cs="Times New Roman"/>
        </w:rPr>
      </w:pPr>
    </w:p>
    <w:p w14:paraId="264EE659" w14:textId="77777777" w:rsidR="00300020" w:rsidRDefault="00300020" w:rsidP="009262E8">
      <w:pPr>
        <w:spacing w:line="480" w:lineRule="auto"/>
        <w:ind w:firstLine="720"/>
        <w:rPr>
          <w:rFonts w:ascii="Times New Roman" w:hAnsi="Times New Roman" w:cs="Times New Roman"/>
        </w:rPr>
      </w:pPr>
    </w:p>
    <w:p w14:paraId="3FE8642A" w14:textId="77777777" w:rsidR="00300020" w:rsidRDefault="00300020" w:rsidP="009262E8">
      <w:pPr>
        <w:spacing w:line="480" w:lineRule="auto"/>
        <w:ind w:firstLine="720"/>
        <w:rPr>
          <w:rFonts w:ascii="Times New Roman" w:hAnsi="Times New Roman" w:cs="Times New Roman"/>
        </w:rPr>
      </w:pPr>
    </w:p>
    <w:p w14:paraId="21832023" w14:textId="77777777" w:rsidR="00300020" w:rsidRDefault="00300020" w:rsidP="009262E8">
      <w:pPr>
        <w:spacing w:line="480" w:lineRule="auto"/>
        <w:ind w:firstLine="720"/>
        <w:rPr>
          <w:rFonts w:ascii="Times New Roman" w:hAnsi="Times New Roman" w:cs="Times New Roman"/>
        </w:rPr>
      </w:pPr>
    </w:p>
    <w:p w14:paraId="1E4937BA" w14:textId="77777777" w:rsidR="00300020" w:rsidRDefault="00300020" w:rsidP="009262E8">
      <w:pPr>
        <w:spacing w:line="480" w:lineRule="auto"/>
        <w:ind w:firstLine="720"/>
        <w:rPr>
          <w:rFonts w:ascii="Times New Roman" w:hAnsi="Times New Roman" w:cs="Times New Roman"/>
        </w:rPr>
      </w:pPr>
    </w:p>
    <w:p w14:paraId="705CD23D" w14:textId="77777777" w:rsidR="00300020" w:rsidRDefault="00300020" w:rsidP="009262E8">
      <w:pPr>
        <w:spacing w:line="480" w:lineRule="auto"/>
        <w:ind w:firstLine="720"/>
        <w:rPr>
          <w:rFonts w:ascii="Times New Roman" w:hAnsi="Times New Roman" w:cs="Times New Roman"/>
        </w:rPr>
      </w:pPr>
    </w:p>
    <w:p w14:paraId="6C483808" w14:textId="77777777" w:rsidR="00300020" w:rsidRDefault="00300020" w:rsidP="009262E8">
      <w:pPr>
        <w:spacing w:line="480" w:lineRule="auto"/>
        <w:ind w:firstLine="720"/>
        <w:rPr>
          <w:rFonts w:ascii="Times New Roman" w:hAnsi="Times New Roman" w:cs="Times New Roman"/>
        </w:rPr>
      </w:pPr>
    </w:p>
    <w:p w14:paraId="24231909" w14:textId="77777777" w:rsidR="00300020" w:rsidRDefault="00300020" w:rsidP="009262E8">
      <w:pPr>
        <w:spacing w:line="480" w:lineRule="auto"/>
        <w:ind w:firstLine="720"/>
        <w:rPr>
          <w:rFonts w:ascii="Times New Roman" w:hAnsi="Times New Roman" w:cs="Times New Roman"/>
        </w:rPr>
      </w:pPr>
    </w:p>
    <w:p w14:paraId="750C8E2F" w14:textId="77777777" w:rsidR="00300020" w:rsidRDefault="00300020" w:rsidP="009262E8">
      <w:pPr>
        <w:spacing w:line="480" w:lineRule="auto"/>
        <w:ind w:firstLine="720"/>
        <w:rPr>
          <w:rFonts w:ascii="Times New Roman" w:hAnsi="Times New Roman" w:cs="Times New Roman"/>
        </w:rPr>
      </w:pPr>
    </w:p>
    <w:p w14:paraId="0942AC14" w14:textId="77777777" w:rsidR="00300020" w:rsidRDefault="00300020" w:rsidP="009262E8">
      <w:pPr>
        <w:spacing w:line="480" w:lineRule="auto"/>
        <w:ind w:firstLine="720"/>
        <w:rPr>
          <w:rFonts w:ascii="Times New Roman" w:hAnsi="Times New Roman" w:cs="Times New Roman"/>
        </w:rPr>
      </w:pPr>
    </w:p>
    <w:p w14:paraId="1578CDE4" w14:textId="77777777" w:rsidR="00300020" w:rsidRDefault="00300020" w:rsidP="009262E8">
      <w:pPr>
        <w:spacing w:line="480" w:lineRule="auto"/>
        <w:ind w:firstLine="720"/>
        <w:rPr>
          <w:rFonts w:ascii="Times New Roman" w:hAnsi="Times New Roman" w:cs="Times New Roman"/>
        </w:rPr>
      </w:pPr>
    </w:p>
    <w:p w14:paraId="6DF4A0A0" w14:textId="77777777" w:rsidR="00300020" w:rsidRDefault="00300020" w:rsidP="009262E8">
      <w:pPr>
        <w:spacing w:line="480" w:lineRule="auto"/>
        <w:ind w:firstLine="720"/>
        <w:rPr>
          <w:rFonts w:ascii="Times New Roman" w:hAnsi="Times New Roman" w:cs="Times New Roman"/>
        </w:rPr>
      </w:pPr>
    </w:p>
    <w:p w14:paraId="43D01A85" w14:textId="77777777" w:rsidR="00300020" w:rsidRDefault="00300020" w:rsidP="009262E8">
      <w:pPr>
        <w:spacing w:line="480" w:lineRule="auto"/>
        <w:ind w:firstLine="720"/>
        <w:rPr>
          <w:rFonts w:ascii="Times New Roman" w:hAnsi="Times New Roman" w:cs="Times New Roman"/>
        </w:rPr>
      </w:pPr>
    </w:p>
    <w:p w14:paraId="1D7828BA" w14:textId="77777777" w:rsidR="00300020" w:rsidRDefault="00300020" w:rsidP="009262E8">
      <w:pPr>
        <w:spacing w:line="480" w:lineRule="auto"/>
        <w:ind w:firstLine="720"/>
        <w:rPr>
          <w:rFonts w:ascii="Times New Roman" w:hAnsi="Times New Roman" w:cs="Times New Roman"/>
        </w:rPr>
      </w:pPr>
    </w:p>
    <w:p w14:paraId="343D5654" w14:textId="77777777" w:rsidR="00300020" w:rsidRDefault="00300020" w:rsidP="009262E8">
      <w:pPr>
        <w:spacing w:line="480" w:lineRule="auto"/>
        <w:ind w:firstLine="720"/>
        <w:rPr>
          <w:rFonts w:ascii="Times New Roman" w:hAnsi="Times New Roman" w:cs="Times New Roman"/>
        </w:rPr>
      </w:pPr>
    </w:p>
    <w:p w14:paraId="2E06A89B" w14:textId="77777777" w:rsidR="00300020" w:rsidRDefault="00300020" w:rsidP="009262E8">
      <w:pPr>
        <w:spacing w:line="480" w:lineRule="auto"/>
        <w:ind w:firstLine="720"/>
        <w:rPr>
          <w:rFonts w:ascii="Times New Roman" w:hAnsi="Times New Roman" w:cs="Times New Roman"/>
        </w:rPr>
      </w:pPr>
    </w:p>
    <w:p w14:paraId="36455C8A" w14:textId="77777777" w:rsidR="00300020" w:rsidRDefault="00300020" w:rsidP="009262E8">
      <w:pPr>
        <w:spacing w:line="480" w:lineRule="auto"/>
        <w:ind w:firstLine="720"/>
        <w:rPr>
          <w:rFonts w:ascii="Times New Roman" w:hAnsi="Times New Roman" w:cs="Times New Roman"/>
        </w:rPr>
      </w:pPr>
    </w:p>
    <w:p w14:paraId="64DCD3DC" w14:textId="77777777" w:rsidR="00300020" w:rsidRDefault="00300020" w:rsidP="009262E8">
      <w:pPr>
        <w:spacing w:line="480" w:lineRule="auto"/>
        <w:ind w:firstLine="720"/>
        <w:rPr>
          <w:rFonts w:ascii="Times New Roman" w:hAnsi="Times New Roman" w:cs="Times New Roman"/>
        </w:rPr>
      </w:pPr>
    </w:p>
    <w:p w14:paraId="733086A2" w14:textId="77777777" w:rsidR="00300020" w:rsidRDefault="00300020" w:rsidP="009262E8">
      <w:pPr>
        <w:spacing w:line="480" w:lineRule="auto"/>
        <w:ind w:firstLine="720"/>
        <w:rPr>
          <w:rFonts w:ascii="Times New Roman" w:hAnsi="Times New Roman" w:cs="Times New Roman"/>
        </w:rPr>
      </w:pPr>
    </w:p>
    <w:p w14:paraId="39DDFD4A" w14:textId="77777777" w:rsidR="00300020" w:rsidRDefault="00300020" w:rsidP="009262E8">
      <w:pPr>
        <w:spacing w:line="480" w:lineRule="auto"/>
        <w:ind w:firstLine="720"/>
        <w:rPr>
          <w:rFonts w:ascii="Times New Roman" w:hAnsi="Times New Roman" w:cs="Times New Roman"/>
        </w:rPr>
      </w:pPr>
    </w:p>
    <w:p w14:paraId="174FF738" w14:textId="77777777" w:rsidR="00300020" w:rsidRDefault="00300020" w:rsidP="009262E8">
      <w:pPr>
        <w:spacing w:line="480" w:lineRule="auto"/>
        <w:ind w:firstLine="720"/>
        <w:rPr>
          <w:rFonts w:ascii="Times New Roman" w:hAnsi="Times New Roman" w:cs="Times New Roman"/>
        </w:rPr>
      </w:pPr>
    </w:p>
    <w:p w14:paraId="432AB2A2" w14:textId="77777777" w:rsidR="00300020" w:rsidRDefault="00300020" w:rsidP="009262E8">
      <w:pPr>
        <w:spacing w:line="480" w:lineRule="auto"/>
        <w:ind w:firstLine="720"/>
        <w:rPr>
          <w:rFonts w:ascii="Times New Roman" w:hAnsi="Times New Roman" w:cs="Times New Roman"/>
        </w:rPr>
      </w:pPr>
    </w:p>
    <w:p w14:paraId="467711F5" w14:textId="2948F07B" w:rsidR="004649E0" w:rsidRDefault="004649E0" w:rsidP="004649E0">
      <w:pPr>
        <w:pStyle w:val="Heading1"/>
        <w:spacing w:before="0" w:beforeAutospacing="0" w:after="240" w:afterAutospacing="0" w:line="540" w:lineRule="atLeast"/>
        <w:rPr>
          <w:color w:val="000000"/>
          <w:sz w:val="36"/>
          <w:szCs w:val="36"/>
        </w:rPr>
      </w:pPr>
      <w:r>
        <w:rPr>
          <w:color w:val="000000"/>
          <w:sz w:val="36"/>
          <w:szCs w:val="36"/>
        </w:rPr>
        <w:lastRenderedPageBreak/>
        <w:t>Bibliography</w:t>
      </w:r>
    </w:p>
    <w:p w14:paraId="0090D318" w14:textId="77777777" w:rsidR="004649E0" w:rsidRDefault="004649E0" w:rsidP="004649E0">
      <w:pPr>
        <w:pStyle w:val="NormalWeb"/>
        <w:spacing w:before="0" w:beforeAutospacing="0" w:after="240" w:afterAutospacing="0" w:line="360" w:lineRule="atLeast"/>
        <w:ind w:left="720" w:hanging="720"/>
        <w:rPr>
          <w:color w:val="000000"/>
        </w:rPr>
      </w:pPr>
      <w:r>
        <w:rPr>
          <w:color w:val="000000"/>
        </w:rPr>
        <w:t>Clairvaux, Saint Bernard of,</w:t>
      </w:r>
      <w:r>
        <w:rPr>
          <w:rStyle w:val="apple-converted-space"/>
          <w:color w:val="000000"/>
        </w:rPr>
        <w:t> </w:t>
      </w:r>
      <w:r>
        <w:rPr>
          <w:i/>
          <w:iCs/>
          <w:color w:val="000000"/>
        </w:rPr>
        <w:t>Some Letters of Saint Bernard, Abbot of Clairvaux</w:t>
      </w:r>
      <w:r>
        <w:rPr>
          <w:rStyle w:val="apple-converted-space"/>
          <w:color w:val="000000"/>
        </w:rPr>
        <w:t> </w:t>
      </w:r>
      <w:r>
        <w:rPr>
          <w:color w:val="000000"/>
        </w:rPr>
        <w:t>(Grand Rapids, MI: Christian Classics Ethereal Library, 1904),</w:t>
      </w:r>
      <w:r>
        <w:rPr>
          <w:rStyle w:val="apple-converted-space"/>
          <w:color w:val="000000"/>
        </w:rPr>
        <w:t> </w:t>
      </w:r>
      <w:r>
        <w:rPr>
          <w:color w:val="000000"/>
        </w:rPr>
        <w:t>i, 3–4 &lt;http://www.ccel.org/ccel/bernard/letters.html&gt; [accessed 3 March 2024]</w:t>
      </w:r>
    </w:p>
    <w:p w14:paraId="4EFEE3D5" w14:textId="77777777" w:rsidR="004649E0" w:rsidRDefault="004649E0" w:rsidP="004649E0">
      <w:pPr>
        <w:pStyle w:val="NormalWeb"/>
        <w:spacing w:before="0" w:beforeAutospacing="0" w:after="240" w:afterAutospacing="0" w:line="360" w:lineRule="atLeast"/>
        <w:ind w:left="720" w:hanging="720"/>
        <w:rPr>
          <w:color w:val="000000"/>
        </w:rPr>
      </w:pPr>
      <w:r>
        <w:rPr>
          <w:color w:val="000000"/>
        </w:rPr>
        <w:t>Doss, Jacob W., ‘Making Masculine Monks: Gender, Space, and the Imagined “Child” in Twelfth-Century Cistercian Identity Formation’,</w:t>
      </w:r>
      <w:r>
        <w:rPr>
          <w:rStyle w:val="apple-converted-space"/>
          <w:color w:val="000000"/>
        </w:rPr>
        <w:t> </w:t>
      </w:r>
      <w:r>
        <w:rPr>
          <w:i/>
          <w:iCs/>
          <w:color w:val="000000"/>
        </w:rPr>
        <w:t>Church History</w:t>
      </w:r>
      <w:r>
        <w:rPr>
          <w:color w:val="000000"/>
        </w:rPr>
        <w:t>, 91.3 (2022), 467–91 &lt;https://doi.org/10.1017/S0009640722002098&gt;</w:t>
      </w:r>
    </w:p>
    <w:p w14:paraId="2377515A" w14:textId="77777777" w:rsidR="004649E0" w:rsidRDefault="004649E0" w:rsidP="004649E0">
      <w:pPr>
        <w:pStyle w:val="NormalWeb"/>
        <w:spacing w:before="0" w:beforeAutospacing="0" w:after="240" w:afterAutospacing="0" w:line="360" w:lineRule="atLeast"/>
        <w:ind w:left="720" w:hanging="720"/>
        <w:rPr>
          <w:color w:val="000000"/>
        </w:rPr>
      </w:pPr>
      <w:r>
        <w:rPr>
          <w:color w:val="000000"/>
        </w:rPr>
        <w:t>Merton, Thomas,</w:t>
      </w:r>
      <w:r>
        <w:rPr>
          <w:rStyle w:val="apple-converted-space"/>
          <w:color w:val="000000"/>
        </w:rPr>
        <w:t> </w:t>
      </w:r>
      <w:r>
        <w:rPr>
          <w:i/>
          <w:iCs/>
          <w:color w:val="000000"/>
        </w:rPr>
        <w:t>The Cistercian Fathers and Their Monastic Theology</w:t>
      </w:r>
      <w:r>
        <w:rPr>
          <w:rStyle w:val="apple-converted-space"/>
          <w:color w:val="000000"/>
        </w:rPr>
        <w:t> </w:t>
      </w:r>
      <w:r>
        <w:rPr>
          <w:color w:val="000000"/>
        </w:rPr>
        <w:t>(Liturgical Press, 2016), pp. 125–262</w:t>
      </w:r>
    </w:p>
    <w:p w14:paraId="3378A903" w14:textId="5B3697A8" w:rsidR="004649E0" w:rsidRDefault="004649E0" w:rsidP="004649E0">
      <w:pPr>
        <w:pStyle w:val="NormalWeb"/>
        <w:spacing w:before="0" w:beforeAutospacing="0" w:after="240" w:afterAutospacing="0" w:line="360" w:lineRule="atLeast"/>
        <w:ind w:left="720" w:hanging="720"/>
        <w:rPr>
          <w:color w:val="000000"/>
        </w:rPr>
      </w:pPr>
      <w:r>
        <w:rPr>
          <w:color w:val="000000"/>
        </w:rPr>
        <w:t>Rudolph, Conrad,</w:t>
      </w:r>
      <w:r>
        <w:rPr>
          <w:rStyle w:val="apple-converted-space"/>
          <w:color w:val="000000"/>
        </w:rPr>
        <w:t> </w:t>
      </w:r>
      <w:r>
        <w:rPr>
          <w:i/>
          <w:iCs/>
          <w:color w:val="000000"/>
        </w:rPr>
        <w:t>The ‘Things of Greater Importance</w:t>
      </w:r>
      <w:r w:rsidR="00F733DC">
        <w:rPr>
          <w:i/>
          <w:iCs/>
          <w:color w:val="000000"/>
        </w:rPr>
        <w:t>’:</w:t>
      </w:r>
      <w:r>
        <w:rPr>
          <w:i/>
          <w:iCs/>
          <w:color w:val="000000"/>
        </w:rPr>
        <w:t xml:space="preserve"> Bernard of Clairvaux’s ‘Apologia’ and the Medieval Attitude toward </w:t>
      </w:r>
      <w:r w:rsidR="00F733DC">
        <w:rPr>
          <w:i/>
          <w:iCs/>
          <w:color w:val="000000"/>
        </w:rPr>
        <w:t>Art</w:t>
      </w:r>
      <w:r w:rsidR="00F733DC">
        <w:rPr>
          <w:color w:val="000000"/>
        </w:rPr>
        <w:t xml:space="preserve"> (</w:t>
      </w:r>
      <w:r>
        <w:rPr>
          <w:color w:val="000000"/>
        </w:rPr>
        <w:t>Philadelphia: University of Pennsylvania Press, 2016), pp. 18–19</w:t>
      </w:r>
    </w:p>
    <w:p w14:paraId="1C822DBC" w14:textId="14F17913" w:rsidR="003D3781" w:rsidRPr="003D3781" w:rsidRDefault="00C0436E" w:rsidP="00C0436E">
      <w:pPr>
        <w:tabs>
          <w:tab w:val="left" w:pos="5845"/>
        </w:tabs>
        <w:spacing w:after="240" w:line="360" w:lineRule="atLeast"/>
        <w:ind w:hanging="720"/>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ab/>
      </w:r>
      <w:r>
        <w:rPr>
          <w:rFonts w:ascii="Times New Roman" w:eastAsia="Times New Roman" w:hAnsi="Times New Roman" w:cs="Times New Roman"/>
          <w:color w:val="000000"/>
          <w:kern w:val="0"/>
          <w:lang w:eastAsia="en-GB"/>
          <w14:ligatures w14:val="none"/>
        </w:rPr>
        <w:tab/>
      </w:r>
    </w:p>
    <w:sectPr w:rsidR="003D3781" w:rsidRPr="003D37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7F936" w14:textId="77777777" w:rsidR="00251BBE" w:rsidRDefault="00251BBE" w:rsidP="00251BBE">
      <w:r>
        <w:separator/>
      </w:r>
    </w:p>
  </w:endnote>
  <w:endnote w:type="continuationSeparator" w:id="0">
    <w:p w14:paraId="6D9CFA80" w14:textId="77777777" w:rsidR="00251BBE" w:rsidRDefault="00251BBE" w:rsidP="00251B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455DFC" w14:textId="77777777" w:rsidR="00251BBE" w:rsidRDefault="00251BBE" w:rsidP="00251BBE">
      <w:r>
        <w:separator/>
      </w:r>
    </w:p>
  </w:footnote>
  <w:footnote w:type="continuationSeparator" w:id="0">
    <w:p w14:paraId="1F6052A7" w14:textId="77777777" w:rsidR="00251BBE" w:rsidRDefault="00251BBE" w:rsidP="00251BBE">
      <w:r>
        <w:continuationSeparator/>
      </w:r>
    </w:p>
  </w:footnote>
  <w:footnote w:id="1">
    <w:p w14:paraId="60D263FC" w14:textId="200367A6" w:rsidR="006A2336" w:rsidRDefault="006A2336">
      <w:pPr>
        <w:pStyle w:val="FootnoteText"/>
      </w:pPr>
      <w:r>
        <w:rPr>
          <w:rStyle w:val="FootnoteReference"/>
        </w:rPr>
        <w:footnoteRef/>
      </w:r>
      <w:r>
        <w:t xml:space="preserve"> </w:t>
      </w:r>
      <w:r w:rsidR="00B805F6">
        <w:rPr>
          <w:color w:val="000000"/>
        </w:rPr>
        <w:t>Conrad Rudolph,</w:t>
      </w:r>
      <w:r w:rsidR="00B805F6">
        <w:rPr>
          <w:rStyle w:val="apple-converted-space"/>
          <w:color w:val="000000"/>
        </w:rPr>
        <w:t> </w:t>
      </w:r>
      <w:r w:rsidR="00B805F6">
        <w:rPr>
          <w:i/>
          <w:iCs/>
          <w:color w:val="000000"/>
        </w:rPr>
        <w:t>The ‘Things of Greater Importance</w:t>
      </w:r>
      <w:r w:rsidR="003154FE">
        <w:rPr>
          <w:i/>
          <w:iCs/>
          <w:color w:val="000000"/>
        </w:rPr>
        <w:t>’:</w:t>
      </w:r>
      <w:r w:rsidR="00B805F6">
        <w:rPr>
          <w:i/>
          <w:iCs/>
          <w:color w:val="000000"/>
        </w:rPr>
        <w:t xml:space="preserve"> Bernard of Clairvaux’s ‘Apologia’ and the Medieval Attitude toward Art</w:t>
      </w:r>
      <w:r w:rsidR="00B805F6">
        <w:rPr>
          <w:rStyle w:val="apple-converted-space"/>
          <w:color w:val="000000"/>
        </w:rPr>
        <w:t> </w:t>
      </w:r>
      <w:r w:rsidR="00B805F6">
        <w:rPr>
          <w:color w:val="000000"/>
        </w:rPr>
        <w:t>(Philadelphia: University of Pennsylvania Press, 2016), pp. 18–19 (pp. 18–19).</w:t>
      </w:r>
    </w:p>
  </w:footnote>
  <w:footnote w:id="2">
    <w:p w14:paraId="5D84ADF5" w14:textId="24B93101" w:rsidR="00251BBE" w:rsidRDefault="00251BBE">
      <w:pPr>
        <w:pStyle w:val="FootnoteText"/>
      </w:pPr>
      <w:r>
        <w:rPr>
          <w:rStyle w:val="FootnoteReference"/>
        </w:rPr>
        <w:footnoteRef/>
      </w:r>
      <w:r>
        <w:t xml:space="preserve"> </w:t>
      </w:r>
      <w:r w:rsidR="00455795">
        <w:rPr>
          <w:color w:val="000000"/>
        </w:rPr>
        <w:t>Jacob W. Doss, ‘Making Masculine Monks: Gender, Space, and the Imagined “Child” in Twelfth-Century Cistercian Identity Formation’,</w:t>
      </w:r>
      <w:r w:rsidR="00455795">
        <w:rPr>
          <w:rStyle w:val="apple-converted-space"/>
          <w:color w:val="000000"/>
        </w:rPr>
        <w:t> </w:t>
      </w:r>
      <w:r w:rsidR="00455795">
        <w:rPr>
          <w:i/>
          <w:iCs/>
          <w:color w:val="000000"/>
        </w:rPr>
        <w:t>Church History</w:t>
      </w:r>
      <w:r w:rsidR="00455795">
        <w:rPr>
          <w:color w:val="000000"/>
        </w:rPr>
        <w:t>, 91.3 (2022), 467–91 &lt;</w:t>
      </w:r>
      <w:hyperlink r:id="rId1" w:history="1">
        <w:r w:rsidR="00455795">
          <w:rPr>
            <w:rStyle w:val="Hyperlink"/>
          </w:rPr>
          <w:t>https://doi.org/10.1017/S0009640722002098</w:t>
        </w:r>
      </w:hyperlink>
      <w:r w:rsidR="00455795">
        <w:rPr>
          <w:color w:val="000000"/>
        </w:rPr>
        <w:t>&gt;.</w:t>
      </w:r>
    </w:p>
  </w:footnote>
  <w:footnote w:id="3">
    <w:p w14:paraId="02A81071" w14:textId="0F4E7BB5" w:rsidR="00DF3807" w:rsidRDefault="00DF3807">
      <w:pPr>
        <w:pStyle w:val="FootnoteText"/>
      </w:pPr>
      <w:r>
        <w:rPr>
          <w:rStyle w:val="FootnoteReference"/>
        </w:rPr>
        <w:footnoteRef/>
      </w:r>
      <w:r>
        <w:t xml:space="preserve"> </w:t>
      </w:r>
      <w:r w:rsidR="009B743C">
        <w:rPr>
          <w:color w:val="000000"/>
        </w:rPr>
        <w:t>Thomas Merton,</w:t>
      </w:r>
      <w:r w:rsidR="009B743C">
        <w:rPr>
          <w:rStyle w:val="apple-converted-space"/>
          <w:color w:val="000000"/>
        </w:rPr>
        <w:t> </w:t>
      </w:r>
      <w:r w:rsidR="009B743C">
        <w:rPr>
          <w:i/>
          <w:iCs/>
          <w:color w:val="000000"/>
        </w:rPr>
        <w:t>The Cistercian Fathers and Their Monastic Theology</w:t>
      </w:r>
      <w:r w:rsidR="009B743C">
        <w:rPr>
          <w:rStyle w:val="apple-converted-space"/>
          <w:color w:val="000000"/>
        </w:rPr>
        <w:t> </w:t>
      </w:r>
      <w:r w:rsidR="009B743C">
        <w:rPr>
          <w:color w:val="000000"/>
        </w:rPr>
        <w:t>(Liturgical Press, 2016), pp. 125–262 (pp. 125–262).</w:t>
      </w:r>
    </w:p>
  </w:footnote>
  <w:footnote w:id="4">
    <w:p w14:paraId="3624DCA3" w14:textId="21B8CA14" w:rsidR="00486A03" w:rsidRDefault="00486A03">
      <w:pPr>
        <w:pStyle w:val="FootnoteText"/>
      </w:pPr>
      <w:r>
        <w:rPr>
          <w:rStyle w:val="FootnoteReference"/>
        </w:rPr>
        <w:footnoteRef/>
      </w:r>
      <w:r>
        <w:t xml:space="preserve"> </w:t>
      </w:r>
      <w:r w:rsidR="003C33A1">
        <w:rPr>
          <w:color w:val="000000"/>
        </w:rPr>
        <w:t>Thomas Merton,</w:t>
      </w:r>
      <w:r w:rsidR="003C33A1">
        <w:rPr>
          <w:rStyle w:val="apple-converted-space"/>
          <w:color w:val="000000"/>
        </w:rPr>
        <w:t> </w:t>
      </w:r>
      <w:r w:rsidR="003C33A1">
        <w:rPr>
          <w:i/>
          <w:iCs/>
          <w:color w:val="000000"/>
        </w:rPr>
        <w:t>The Cistercian Fathers and Their Monastic Theology</w:t>
      </w:r>
      <w:r w:rsidR="003C33A1">
        <w:rPr>
          <w:rStyle w:val="apple-converted-space"/>
          <w:color w:val="000000"/>
        </w:rPr>
        <w:t> </w:t>
      </w:r>
      <w:r w:rsidR="003C33A1">
        <w:rPr>
          <w:color w:val="000000"/>
        </w:rPr>
        <w:t>(Liturgical Press, 2016), pp. 125–262 (pp. 125–262).</w:t>
      </w:r>
    </w:p>
  </w:footnote>
  <w:footnote w:id="5">
    <w:p w14:paraId="2F58EAC3" w14:textId="73667267" w:rsidR="00ED06C7" w:rsidRDefault="00ED06C7">
      <w:pPr>
        <w:pStyle w:val="FootnoteText"/>
      </w:pPr>
      <w:r>
        <w:rPr>
          <w:rStyle w:val="FootnoteReference"/>
        </w:rPr>
        <w:footnoteRef/>
      </w:r>
      <w:r>
        <w:t xml:space="preserve"> </w:t>
      </w:r>
      <w:r w:rsidR="00C11310">
        <w:rPr>
          <w:color w:val="000000"/>
        </w:rPr>
        <w:t>Jacob W. Doss, ‘Making Masculine Monks: Gender, Space, and the Imagined “Child” in Twelfth-Century Cistercian Identity Formation’,</w:t>
      </w:r>
      <w:r w:rsidR="00C11310">
        <w:rPr>
          <w:rStyle w:val="apple-converted-space"/>
          <w:color w:val="000000"/>
        </w:rPr>
        <w:t> </w:t>
      </w:r>
      <w:r w:rsidR="00C11310">
        <w:rPr>
          <w:i/>
          <w:iCs/>
          <w:color w:val="000000"/>
        </w:rPr>
        <w:t>Church History</w:t>
      </w:r>
      <w:r w:rsidR="00C11310">
        <w:rPr>
          <w:color w:val="000000"/>
        </w:rPr>
        <w:t>, 91.3 (2022), 467–91 &lt;</w:t>
      </w:r>
      <w:hyperlink r:id="rId2" w:history="1">
        <w:r w:rsidR="00C11310">
          <w:rPr>
            <w:rStyle w:val="Hyperlink"/>
          </w:rPr>
          <w:t>https://doi.org/10.1017/S0009640722002098</w:t>
        </w:r>
      </w:hyperlink>
      <w:r w:rsidR="00C11310">
        <w:rPr>
          <w:color w:val="000000"/>
        </w:rPr>
        <w:t>&gt;.</w:t>
      </w:r>
    </w:p>
  </w:footnote>
  <w:footnote w:id="6">
    <w:p w14:paraId="0A99A998" w14:textId="49A7D5FE" w:rsidR="00DF3807" w:rsidRDefault="00DF3807">
      <w:pPr>
        <w:pStyle w:val="FootnoteText"/>
      </w:pPr>
      <w:r>
        <w:rPr>
          <w:rStyle w:val="FootnoteReference"/>
        </w:rPr>
        <w:footnoteRef/>
      </w:r>
      <w:r>
        <w:t xml:space="preserve"> </w:t>
      </w:r>
      <w:r w:rsidR="0088198C">
        <w:rPr>
          <w:color w:val="000000"/>
        </w:rPr>
        <w:t>Thomas Merton,</w:t>
      </w:r>
      <w:r w:rsidR="0088198C">
        <w:rPr>
          <w:rStyle w:val="apple-converted-space"/>
          <w:color w:val="000000"/>
        </w:rPr>
        <w:t> </w:t>
      </w:r>
      <w:r w:rsidR="0088198C">
        <w:rPr>
          <w:i/>
          <w:iCs/>
          <w:color w:val="000000"/>
        </w:rPr>
        <w:t>The Cistercian Fathers and Their Monastic Theology</w:t>
      </w:r>
      <w:r w:rsidR="0088198C">
        <w:rPr>
          <w:rStyle w:val="apple-converted-space"/>
          <w:color w:val="000000"/>
        </w:rPr>
        <w:t> </w:t>
      </w:r>
      <w:r w:rsidR="0088198C">
        <w:rPr>
          <w:color w:val="000000"/>
        </w:rPr>
        <w:t>(Liturgical Press, 2016), pp. 125–262 (pp. 125–262).</w:t>
      </w:r>
    </w:p>
  </w:footnote>
  <w:footnote w:id="7">
    <w:p w14:paraId="0059AF39" w14:textId="0238ACFD" w:rsidR="00B36314" w:rsidRDefault="00B36314">
      <w:pPr>
        <w:pStyle w:val="FootnoteText"/>
      </w:pPr>
      <w:r>
        <w:rPr>
          <w:rStyle w:val="FootnoteReference"/>
        </w:rPr>
        <w:footnoteRef/>
      </w:r>
      <w:r>
        <w:t xml:space="preserve"> </w:t>
      </w:r>
      <w:r w:rsidR="008A21A9">
        <w:rPr>
          <w:color w:val="000000"/>
        </w:rPr>
        <w:t>Saint Bernard of, Clairvaux,</w:t>
      </w:r>
      <w:r w:rsidR="008A21A9">
        <w:rPr>
          <w:rStyle w:val="apple-converted-space"/>
          <w:color w:val="000000"/>
        </w:rPr>
        <w:t> </w:t>
      </w:r>
      <w:r w:rsidR="008A21A9">
        <w:rPr>
          <w:i/>
          <w:iCs/>
          <w:color w:val="000000"/>
        </w:rPr>
        <w:t>Some Letters of Saint Bernard, Abbot of Clairvaux</w:t>
      </w:r>
      <w:r w:rsidR="008A21A9">
        <w:rPr>
          <w:rStyle w:val="apple-converted-space"/>
          <w:color w:val="000000"/>
        </w:rPr>
        <w:t> </w:t>
      </w:r>
      <w:r w:rsidR="008A21A9">
        <w:rPr>
          <w:color w:val="000000"/>
        </w:rPr>
        <w:t>(Grand Rapids, MI: Christian Classics Ethereal Library, 1904),</w:t>
      </w:r>
      <w:r w:rsidR="008A21A9">
        <w:rPr>
          <w:rStyle w:val="apple-converted-space"/>
          <w:color w:val="000000"/>
        </w:rPr>
        <w:t> </w:t>
      </w:r>
      <w:r w:rsidR="008A21A9">
        <w:rPr>
          <w:color w:val="000000"/>
        </w:rPr>
        <w:t>i, 3–4 (pp. 3–4) &lt;</w:t>
      </w:r>
      <w:hyperlink r:id="rId3" w:history="1">
        <w:r w:rsidR="008A21A9">
          <w:rPr>
            <w:rStyle w:val="Hyperlink"/>
          </w:rPr>
          <w:t>http://www.ccel.org/ccel/bernard/letters.html</w:t>
        </w:r>
      </w:hyperlink>
      <w:r w:rsidR="008A21A9">
        <w:rPr>
          <w:color w:val="000000"/>
        </w:rPr>
        <w:t>&gt; [accessed 3 March 2024].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D08"/>
    <w:rsid w:val="00005C98"/>
    <w:rsid w:val="00016EB1"/>
    <w:rsid w:val="00031502"/>
    <w:rsid w:val="00036707"/>
    <w:rsid w:val="00036E1D"/>
    <w:rsid w:val="00080F98"/>
    <w:rsid w:val="000C72DB"/>
    <w:rsid w:val="001C1E53"/>
    <w:rsid w:val="001F01DA"/>
    <w:rsid w:val="001F11A5"/>
    <w:rsid w:val="00251BBE"/>
    <w:rsid w:val="002B4CBC"/>
    <w:rsid w:val="00300020"/>
    <w:rsid w:val="0031083B"/>
    <w:rsid w:val="003154FE"/>
    <w:rsid w:val="0039531E"/>
    <w:rsid w:val="003C33A1"/>
    <w:rsid w:val="003D3781"/>
    <w:rsid w:val="0043098C"/>
    <w:rsid w:val="00455795"/>
    <w:rsid w:val="004649E0"/>
    <w:rsid w:val="00486A03"/>
    <w:rsid w:val="00537EB8"/>
    <w:rsid w:val="005B0E64"/>
    <w:rsid w:val="005B3E0C"/>
    <w:rsid w:val="005D3BFB"/>
    <w:rsid w:val="005F01D1"/>
    <w:rsid w:val="00600D08"/>
    <w:rsid w:val="00621821"/>
    <w:rsid w:val="006A2336"/>
    <w:rsid w:val="006B30EB"/>
    <w:rsid w:val="006E5F9B"/>
    <w:rsid w:val="00713E6D"/>
    <w:rsid w:val="00714F2C"/>
    <w:rsid w:val="00726741"/>
    <w:rsid w:val="00737E90"/>
    <w:rsid w:val="007A3FC8"/>
    <w:rsid w:val="008168B7"/>
    <w:rsid w:val="0088198C"/>
    <w:rsid w:val="008A21A9"/>
    <w:rsid w:val="009262E8"/>
    <w:rsid w:val="009571B7"/>
    <w:rsid w:val="009640C5"/>
    <w:rsid w:val="009B743C"/>
    <w:rsid w:val="00A063A1"/>
    <w:rsid w:val="00A8224F"/>
    <w:rsid w:val="00A87BDD"/>
    <w:rsid w:val="00AC5EF8"/>
    <w:rsid w:val="00AD0194"/>
    <w:rsid w:val="00B36314"/>
    <w:rsid w:val="00B548C8"/>
    <w:rsid w:val="00B805F6"/>
    <w:rsid w:val="00BA766B"/>
    <w:rsid w:val="00BC6CB2"/>
    <w:rsid w:val="00C0436E"/>
    <w:rsid w:val="00C11310"/>
    <w:rsid w:val="00C95C58"/>
    <w:rsid w:val="00D12367"/>
    <w:rsid w:val="00D9449B"/>
    <w:rsid w:val="00DC1698"/>
    <w:rsid w:val="00DC7A2D"/>
    <w:rsid w:val="00DF3807"/>
    <w:rsid w:val="00EB140A"/>
    <w:rsid w:val="00ED06C7"/>
    <w:rsid w:val="00F06945"/>
    <w:rsid w:val="00F733DC"/>
    <w:rsid w:val="00FD281C"/>
    <w:rsid w:val="00FE7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C778FD"/>
  <w15:chartTrackingRefBased/>
  <w15:docId w15:val="{487D0265-99EE-7F44-879E-C301A9B16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00020"/>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51BBE"/>
    <w:rPr>
      <w:sz w:val="20"/>
      <w:szCs w:val="20"/>
    </w:rPr>
  </w:style>
  <w:style w:type="character" w:customStyle="1" w:styleId="FootnoteTextChar">
    <w:name w:val="Footnote Text Char"/>
    <w:basedOn w:val="DefaultParagraphFont"/>
    <w:link w:val="FootnoteText"/>
    <w:uiPriority w:val="99"/>
    <w:semiHidden/>
    <w:rsid w:val="00251BBE"/>
    <w:rPr>
      <w:sz w:val="20"/>
      <w:szCs w:val="20"/>
    </w:rPr>
  </w:style>
  <w:style w:type="character" w:styleId="FootnoteReference">
    <w:name w:val="footnote reference"/>
    <w:basedOn w:val="DefaultParagraphFont"/>
    <w:uiPriority w:val="99"/>
    <w:semiHidden/>
    <w:unhideWhenUsed/>
    <w:rsid w:val="00251BBE"/>
    <w:rPr>
      <w:vertAlign w:val="superscript"/>
    </w:rPr>
  </w:style>
  <w:style w:type="character" w:customStyle="1" w:styleId="apple-converted-space">
    <w:name w:val="apple-converted-space"/>
    <w:basedOn w:val="DefaultParagraphFont"/>
    <w:rsid w:val="009B743C"/>
  </w:style>
  <w:style w:type="character" w:styleId="Hyperlink">
    <w:name w:val="Hyperlink"/>
    <w:basedOn w:val="DefaultParagraphFont"/>
    <w:uiPriority w:val="99"/>
    <w:semiHidden/>
    <w:unhideWhenUsed/>
    <w:rsid w:val="00455795"/>
    <w:rPr>
      <w:color w:val="0000FF"/>
      <w:u w:val="single"/>
    </w:rPr>
  </w:style>
  <w:style w:type="character" w:customStyle="1" w:styleId="Heading1Char">
    <w:name w:val="Heading 1 Char"/>
    <w:basedOn w:val="DefaultParagraphFont"/>
    <w:link w:val="Heading1"/>
    <w:uiPriority w:val="9"/>
    <w:rsid w:val="00300020"/>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300020"/>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020505">
      <w:bodyDiv w:val="1"/>
      <w:marLeft w:val="0"/>
      <w:marRight w:val="0"/>
      <w:marTop w:val="0"/>
      <w:marBottom w:val="0"/>
      <w:divBdr>
        <w:top w:val="none" w:sz="0" w:space="0" w:color="auto"/>
        <w:left w:val="none" w:sz="0" w:space="0" w:color="auto"/>
        <w:bottom w:val="none" w:sz="0" w:space="0" w:color="auto"/>
        <w:right w:val="none" w:sz="0" w:space="0" w:color="auto"/>
      </w:divBdr>
      <w:divsChild>
        <w:div w:id="254099470">
          <w:marLeft w:val="-720"/>
          <w:marRight w:val="0"/>
          <w:marTop w:val="0"/>
          <w:marBottom w:val="0"/>
          <w:divBdr>
            <w:top w:val="none" w:sz="0" w:space="0" w:color="auto"/>
            <w:left w:val="none" w:sz="0" w:space="0" w:color="auto"/>
            <w:bottom w:val="none" w:sz="0" w:space="0" w:color="auto"/>
            <w:right w:val="none" w:sz="0" w:space="0" w:color="auto"/>
          </w:divBdr>
        </w:div>
      </w:divsChild>
    </w:div>
    <w:div w:id="1131678366">
      <w:bodyDiv w:val="1"/>
      <w:marLeft w:val="0"/>
      <w:marRight w:val="0"/>
      <w:marTop w:val="0"/>
      <w:marBottom w:val="0"/>
      <w:divBdr>
        <w:top w:val="none" w:sz="0" w:space="0" w:color="auto"/>
        <w:left w:val="none" w:sz="0" w:space="0" w:color="auto"/>
        <w:bottom w:val="none" w:sz="0" w:space="0" w:color="auto"/>
        <w:right w:val="none" w:sz="0" w:space="0" w:color="auto"/>
      </w:divBdr>
      <w:divsChild>
        <w:div w:id="14471208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www.ccel.org/ccel/bernard/letters.html" TargetMode="External"/><Relationship Id="rId2" Type="http://schemas.openxmlformats.org/officeDocument/2006/relationships/hyperlink" Target="https://doi.org/10.1017/S0009640722002098" TargetMode="External"/><Relationship Id="rId1" Type="http://schemas.openxmlformats.org/officeDocument/2006/relationships/hyperlink" Target="https://doi.org/10.1017/S00096407220020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535295-F0C2-FD4F-95F0-E1305CD3D3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5</Pages>
  <Words>947</Words>
  <Characters>5495</Characters>
  <Application>Microsoft Office Word</Application>
  <DocSecurity>0</DocSecurity>
  <Lines>76</Lines>
  <Paragraphs>5</Paragraphs>
  <ScaleCrop>false</ScaleCrop>
  <Company/>
  <LinksUpToDate>false</LinksUpToDate>
  <CharactersWithSpaces>6437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Peters (2118593)</dc:creator>
  <cp:keywords/>
  <dc:description/>
  <cp:lastModifiedBy>Shakira Peters (2118593)</cp:lastModifiedBy>
  <cp:revision>67</cp:revision>
  <dcterms:created xsi:type="dcterms:W3CDTF">2024-02-24T22:55:00Z</dcterms:created>
  <dcterms:modified xsi:type="dcterms:W3CDTF">2024-03-03T00:50:00Z</dcterms:modified>
</cp:coreProperties>
</file>