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5EF82FCE">
      <w:pPr>
        <w:rPr>
          <w:rFonts w:hint="default" w:ascii="Times New Roman" w:hAnsi="Times New Roman" w:cs="Times New Roman"/>
          <w:sz w:val="24"/>
          <w:szCs w:val="24"/>
          <w:lang w:val="en-GB"/>
        </w:rPr>
      </w:pPr>
    </w:p>
    <w:p w14:paraId="759D5DDF">
      <w:pPr>
        <w:rPr>
          <w:rFonts w:hint="default" w:ascii="Times New Roman" w:hAnsi="Times New Roman" w:cs="Times New Roman"/>
          <w:sz w:val="24"/>
          <w:szCs w:val="24"/>
          <w:lang w:val="en-GB"/>
        </w:rPr>
      </w:pPr>
    </w:p>
    <w:p w14:paraId="6E5B42D9">
      <w:pPr>
        <w:tabs>
          <w:tab w:val="right" w:pos="10591"/>
        </w:tabs>
        <w:spacing w:after="0"/>
      </w:pPr>
      <w:r>
        <w:drawing>
          <wp:inline distT="0" distB="0" distL="0" distR="0">
            <wp:extent cx="1809750" cy="723900"/>
            <wp:effectExtent l="0" t="0" r="6350" b="0"/>
            <wp:docPr id="2" name="Picture 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93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r>
        <w:rPr>
          <w:rFonts w:ascii="Arial" w:hAnsi="Arial" w:eastAsia="Arial" w:cs="Arial"/>
          <w:b/>
          <w:sz w:val="24"/>
        </w:rPr>
        <w:tab/>
      </w:r>
      <w:r>
        <w:rPr>
          <w:rFonts w:ascii="Arial" w:hAnsi="Arial" w:eastAsia="Arial" w:cs="Arial"/>
          <w:b/>
          <w:sz w:val="24"/>
        </w:rPr>
        <w:t xml:space="preserve">  </w:t>
      </w:r>
    </w:p>
    <w:p w14:paraId="3E207B10">
      <w:pPr>
        <w:pStyle w:val="2"/>
        <w:pBdr>
          <w:top w:val="none" w:color="auto" w:sz="0" w:space="0"/>
          <w:left w:val="none" w:color="auto" w:sz="0" w:space="0"/>
          <w:bottom w:val="none" w:color="auto" w:sz="0" w:space="0"/>
          <w:right w:val="none" w:color="auto" w:sz="0" w:space="0"/>
        </w:pBdr>
        <w:shd w:val="clear" w:color="auto" w:fill="auto"/>
        <w:ind w:left="-5"/>
        <w:jc w:val="left"/>
      </w:pPr>
      <w:bookmarkStart w:id="0" w:name="_Toc55238"/>
      <w:r>
        <w:rPr>
          <w:sz w:val="24"/>
        </w:rPr>
        <w:t xml:space="preserve">ASSESSMENT 1 </w:t>
      </w:r>
      <w:bookmarkEnd w:id="0"/>
    </w:p>
    <w:p w14:paraId="7F1DF4F1">
      <w:pPr>
        <w:spacing w:after="300"/>
      </w:pPr>
      <w:r>
        <w:rPr>
          <w:rFonts w:ascii="Arial" w:hAnsi="Arial" w:eastAsia="Arial" w:cs="Arial"/>
          <w:sz w:val="20"/>
        </w:rPr>
        <w:t xml:space="preserve"> </w:t>
      </w:r>
    </w:p>
    <w:p w14:paraId="3B4AC37A">
      <w:pPr>
        <w:pStyle w:val="3"/>
      </w:pPr>
      <w:r>
        <w:t xml:space="preserve">LEVEL 6 ASSESSMENT SPECIFICATION  </w:t>
      </w:r>
    </w:p>
    <w:p w14:paraId="3E39F7F6">
      <w:pPr>
        <w:spacing w:after="0"/>
        <w:ind w:right="45"/>
        <w:jc w:val="center"/>
      </w:pPr>
      <w:r>
        <w:rPr>
          <w:rFonts w:ascii="Arial" w:hAnsi="Arial" w:eastAsia="Arial" w:cs="Arial"/>
          <w:b/>
          <w:i/>
          <w:sz w:val="32"/>
        </w:rPr>
        <w:t xml:space="preserve"> </w:t>
      </w:r>
    </w:p>
    <w:tbl>
      <w:tblPr>
        <w:tblStyle w:val="8"/>
        <w:tblW w:w="9924" w:type="dxa"/>
        <w:jc w:val="center"/>
        <w:tblInd w:w="399" w:type="dxa"/>
        <w:tblLayout w:type="fixed"/>
        <w:tblCellMar>
          <w:top w:w="9" w:type="dxa"/>
          <w:left w:w="106" w:type="dxa"/>
          <w:bottom w:w="0" w:type="dxa"/>
          <w:right w:w="0" w:type="dxa"/>
        </w:tblCellMar>
      </w:tblPr>
      <w:tblGrid>
        <w:gridCol w:w="2091"/>
        <w:gridCol w:w="3297"/>
        <w:gridCol w:w="2265"/>
        <w:gridCol w:w="2271"/>
      </w:tblGrid>
      <w:tr w14:paraId="487B8D89">
        <w:tblPrEx>
          <w:tblLayout w:type="fixed"/>
        </w:tblPrEx>
        <w:trPr>
          <w:trHeight w:val="503"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50EA6DA3">
            <w:pPr>
              <w:spacing w:after="0"/>
            </w:pPr>
            <w:r>
              <w:rPr>
                <w:rFonts w:ascii="Arial" w:hAnsi="Arial" w:eastAsia="Arial" w:cs="Arial"/>
                <w:b/>
              </w:rPr>
              <w:t xml:space="preserve">Student name: </w:t>
            </w:r>
          </w:p>
        </w:tc>
        <w:tc>
          <w:tcPr>
            <w:tcW w:w="3297" w:type="dxa"/>
            <w:tcBorders>
              <w:top w:val="single" w:color="000000" w:sz="4" w:space="0"/>
              <w:left w:val="single" w:color="000000" w:sz="4" w:space="0"/>
              <w:bottom w:val="single" w:color="000000" w:sz="4" w:space="0"/>
              <w:right w:val="single" w:color="000000" w:sz="4" w:space="0"/>
            </w:tcBorders>
            <w:vAlign w:val="center"/>
          </w:tcPr>
          <w:p w14:paraId="4C7CD4D0">
            <w:pPr>
              <w:spacing w:after="0"/>
              <w:ind w:left="0" w:leftChars="0" w:firstLine="0" w:firstLineChars="0"/>
              <w:rPr>
                <w:lang w:val="en-GB"/>
              </w:rPr>
            </w:pPr>
            <w:r>
              <w:rPr>
                <w:rFonts w:hint="default" w:ascii="Arial" w:hAnsi="Arial" w:cs="Arial"/>
                <w:b/>
                <w:bCs/>
                <w:lang w:val="en-GB"/>
              </w:rPr>
              <w:t>Amar Danish Azlan</w:t>
            </w:r>
          </w:p>
        </w:tc>
        <w:tc>
          <w:tcPr>
            <w:tcW w:w="2265" w:type="dxa"/>
            <w:tcBorders>
              <w:top w:val="single" w:color="000000" w:sz="4" w:space="0"/>
              <w:left w:val="single" w:color="000000" w:sz="4" w:space="0"/>
              <w:bottom w:val="single" w:color="000000" w:sz="4" w:space="0"/>
              <w:right w:val="single" w:color="000000" w:sz="4" w:space="0"/>
            </w:tcBorders>
            <w:vAlign w:val="center"/>
          </w:tcPr>
          <w:p w14:paraId="6BFD1E28">
            <w:pPr>
              <w:spacing w:after="0"/>
              <w:ind w:left="1"/>
              <w:jc w:val="both"/>
            </w:pPr>
            <w:r>
              <w:rPr>
                <w:rFonts w:ascii="Arial" w:hAnsi="Arial" w:eastAsia="Arial" w:cs="Arial"/>
                <w:b/>
              </w:rPr>
              <w:t xml:space="preserve">Student ID number: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687AC244">
            <w:pPr>
              <w:spacing w:after="0"/>
              <w:ind w:left="5"/>
            </w:pPr>
            <w:r>
              <w:rPr>
                <w:rFonts w:ascii="Arial" w:hAnsi="Arial" w:eastAsia="Arial" w:cs="Arial"/>
                <w:b/>
              </w:rPr>
              <w:t xml:space="preserve"> </w:t>
            </w:r>
            <w:r>
              <w:rPr>
                <w:rFonts w:ascii="Arial" w:hAnsi="Arial" w:eastAsia="Arial" w:cs="Arial"/>
                <w:b/>
                <w:lang w:val="en-GB"/>
              </w:rPr>
              <w:t>2334437</w:t>
            </w:r>
          </w:p>
        </w:tc>
      </w:tr>
      <w:tr w14:paraId="0E7A02A6">
        <w:tblPrEx>
          <w:tblLayout w:type="fixed"/>
        </w:tblPrEx>
        <w:trPr>
          <w:trHeight w:val="502"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46F18AA6">
            <w:pPr>
              <w:spacing w:after="0"/>
            </w:pPr>
            <w:r>
              <w:rPr>
                <w:rFonts w:ascii="Arial" w:hAnsi="Arial" w:eastAsia="Arial" w:cs="Arial"/>
                <w:b/>
              </w:rPr>
              <w:t xml:space="preserve">Programme: </w:t>
            </w:r>
          </w:p>
        </w:tc>
        <w:tc>
          <w:tcPr>
            <w:tcW w:w="7833" w:type="dxa"/>
            <w:gridSpan w:val="3"/>
            <w:tcBorders>
              <w:top w:val="single" w:color="000000" w:sz="4" w:space="0"/>
              <w:left w:val="single" w:color="000000" w:sz="4" w:space="0"/>
              <w:bottom w:val="single" w:color="000000" w:sz="4" w:space="0"/>
              <w:right w:val="single" w:color="000000" w:sz="4" w:space="0"/>
            </w:tcBorders>
            <w:vAlign w:val="center"/>
          </w:tcPr>
          <w:p w14:paraId="3B60DFE4">
            <w:pPr>
              <w:spacing w:after="0"/>
              <w:ind w:left="3"/>
              <w:rPr>
                <w:lang w:val="en-GB"/>
              </w:rPr>
            </w:pPr>
            <w:r>
              <w:rPr>
                <w:rFonts w:hint="default" w:ascii="Arial" w:hAnsi="Arial" w:cs="Arial"/>
                <w:lang w:val="en-GB"/>
              </w:rPr>
              <w:t>Bachelor of Business Administration in Human Resources Management (Honours)</w:t>
            </w:r>
            <w:r>
              <w:rPr>
                <w:lang w:val="en-GB"/>
              </w:rPr>
              <w:t xml:space="preserve"> </w:t>
            </w:r>
          </w:p>
        </w:tc>
      </w:tr>
      <w:tr w14:paraId="6D84FC81">
        <w:tblPrEx>
          <w:tblLayout w:type="fixed"/>
        </w:tblPrEx>
        <w:trPr>
          <w:trHeight w:val="504"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79C46574">
            <w:pPr>
              <w:spacing w:after="0"/>
              <w:ind w:left="1" w:right="104"/>
              <w:jc w:val="both"/>
              <w:rPr>
                <w:rFonts w:ascii="Arial" w:hAnsi="Arial" w:eastAsia="Arial" w:cs="Arial"/>
                <w:b/>
              </w:rPr>
            </w:pPr>
            <w:r>
              <w:rPr>
                <w:rFonts w:ascii="Arial" w:hAnsi="Arial" w:eastAsia="Arial" w:cs="Arial"/>
                <w:b/>
              </w:rPr>
              <w:t xml:space="preserve">Module: </w:t>
            </w:r>
          </w:p>
        </w:tc>
        <w:tc>
          <w:tcPr>
            <w:tcW w:w="7833" w:type="dxa"/>
            <w:gridSpan w:val="3"/>
            <w:tcBorders>
              <w:top w:val="single" w:color="000000" w:sz="4" w:space="0"/>
              <w:left w:val="single" w:color="000000" w:sz="4" w:space="0"/>
              <w:bottom w:val="single" w:color="000000" w:sz="4" w:space="0"/>
              <w:right w:val="single" w:color="000000" w:sz="4" w:space="0"/>
            </w:tcBorders>
            <w:vAlign w:val="center"/>
          </w:tcPr>
          <w:p w14:paraId="7E751A75">
            <w:pPr>
              <w:spacing w:after="0"/>
              <w:ind w:left="1" w:right="104"/>
              <w:jc w:val="both"/>
              <w:rPr>
                <w:rFonts w:ascii="Arial" w:hAnsi="Arial" w:eastAsia="Arial" w:cs="Arial"/>
                <w:b/>
              </w:rPr>
            </w:pPr>
            <w:r>
              <w:rPr>
                <w:rFonts w:ascii="Arial" w:hAnsi="Arial" w:eastAsia="Arial" w:cs="Arial"/>
                <w:b/>
              </w:rPr>
              <w:t xml:space="preserve">Leading and Developing People </w:t>
            </w:r>
          </w:p>
        </w:tc>
      </w:tr>
      <w:tr w14:paraId="192427A4">
        <w:tblPrEx>
          <w:tblLayout w:type="fixed"/>
        </w:tblPrEx>
        <w:trPr>
          <w:trHeight w:val="1009"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21D7C066">
            <w:pPr>
              <w:spacing w:after="0"/>
              <w:ind w:left="1" w:right="104"/>
              <w:jc w:val="both"/>
              <w:rPr>
                <w:rFonts w:ascii="Arial" w:hAnsi="Arial" w:eastAsia="Arial" w:cs="Arial"/>
                <w:b/>
              </w:rPr>
            </w:pPr>
            <w:r>
              <w:rPr>
                <w:rFonts w:ascii="Arial" w:hAnsi="Arial" w:eastAsia="Arial" w:cs="Arial"/>
                <w:b/>
              </w:rPr>
              <w:t xml:space="preserve">Module code: </w:t>
            </w:r>
          </w:p>
        </w:tc>
        <w:tc>
          <w:tcPr>
            <w:tcW w:w="3297" w:type="dxa"/>
            <w:tcBorders>
              <w:top w:val="single" w:color="000000" w:sz="4" w:space="0"/>
              <w:left w:val="single" w:color="000000" w:sz="4" w:space="0"/>
              <w:bottom w:val="single" w:color="000000" w:sz="4" w:space="0"/>
              <w:right w:val="single" w:color="000000" w:sz="4" w:space="0"/>
            </w:tcBorders>
          </w:tcPr>
          <w:p w14:paraId="6CFCD34E">
            <w:pPr>
              <w:spacing w:after="0"/>
              <w:ind w:left="1" w:right="104"/>
              <w:jc w:val="both"/>
              <w:rPr>
                <w:rFonts w:ascii="Arial" w:hAnsi="Arial" w:eastAsia="Arial" w:cs="Arial"/>
                <w:b/>
              </w:rPr>
            </w:pPr>
            <w:r>
              <w:rPr>
                <w:rFonts w:ascii="Arial" w:hAnsi="Arial" w:eastAsia="Arial" w:cs="Arial"/>
                <w:b/>
              </w:rPr>
              <w:t>IUBA6005</w:t>
            </w:r>
          </w:p>
        </w:tc>
        <w:tc>
          <w:tcPr>
            <w:tcW w:w="2265" w:type="dxa"/>
            <w:tcBorders>
              <w:top w:val="single" w:color="000000" w:sz="4" w:space="0"/>
              <w:left w:val="single" w:color="000000" w:sz="4" w:space="0"/>
              <w:bottom w:val="single" w:color="000000" w:sz="4" w:space="0"/>
              <w:right w:val="single" w:color="000000" w:sz="4" w:space="0"/>
            </w:tcBorders>
            <w:vAlign w:val="center"/>
          </w:tcPr>
          <w:p w14:paraId="3A4357C4">
            <w:pPr>
              <w:spacing w:after="0"/>
              <w:ind w:left="1" w:right="104"/>
              <w:jc w:val="both"/>
              <w:rPr>
                <w:rFonts w:ascii="Arial" w:hAnsi="Arial" w:eastAsia="Arial" w:cs="Arial"/>
                <w:b/>
              </w:rPr>
            </w:pPr>
            <w:r>
              <w:rPr>
                <w:rFonts w:ascii="Arial" w:hAnsi="Arial" w:eastAsia="Arial" w:cs="Arial"/>
                <w:b/>
              </w:rPr>
              <w:t xml:space="preserve">Contribution to Overall Module Assessment (%): </w:t>
            </w:r>
          </w:p>
        </w:tc>
        <w:tc>
          <w:tcPr>
            <w:tcW w:w="2271" w:type="dxa"/>
            <w:tcBorders>
              <w:top w:val="single" w:color="000000" w:sz="4" w:space="0"/>
              <w:left w:val="single" w:color="000000" w:sz="4" w:space="0"/>
              <w:bottom w:val="single" w:color="000000" w:sz="4" w:space="0"/>
              <w:right w:val="single" w:color="000000" w:sz="4" w:space="0"/>
            </w:tcBorders>
          </w:tcPr>
          <w:p w14:paraId="448ABA91">
            <w:pPr>
              <w:spacing w:after="0"/>
              <w:ind w:left="1" w:right="104"/>
              <w:jc w:val="both"/>
              <w:rPr>
                <w:rFonts w:ascii="Arial" w:hAnsi="Arial" w:eastAsia="Arial" w:cs="Arial"/>
                <w:b/>
              </w:rPr>
            </w:pPr>
            <w:r>
              <w:rPr>
                <w:rFonts w:ascii="Arial" w:hAnsi="Arial" w:eastAsia="Arial" w:cs="Arial"/>
                <w:b/>
              </w:rPr>
              <w:t xml:space="preserve">100% </w:t>
            </w:r>
          </w:p>
        </w:tc>
      </w:tr>
      <w:tr w14:paraId="1FD278CF">
        <w:tblPrEx>
          <w:tblLayout w:type="fixed"/>
        </w:tblPrEx>
        <w:trPr>
          <w:trHeight w:val="504" w:hRule="atLeast"/>
          <w:jc w:val="center"/>
        </w:trPr>
        <w:tc>
          <w:tcPr>
            <w:tcW w:w="2091" w:type="dxa"/>
            <w:tcBorders>
              <w:top w:val="single" w:color="000000" w:sz="4" w:space="0"/>
              <w:left w:val="single" w:color="000000" w:sz="4" w:space="0"/>
              <w:bottom w:val="single" w:color="000000" w:sz="4" w:space="0"/>
              <w:right w:val="single" w:color="000000" w:sz="4" w:space="0"/>
            </w:tcBorders>
            <w:vAlign w:val="center"/>
          </w:tcPr>
          <w:p w14:paraId="1B1185B0">
            <w:pPr>
              <w:spacing w:after="0"/>
              <w:ind w:left="1" w:right="104"/>
              <w:jc w:val="both"/>
              <w:rPr>
                <w:rFonts w:ascii="Arial" w:hAnsi="Arial" w:eastAsia="Arial" w:cs="Arial"/>
                <w:b/>
              </w:rPr>
            </w:pPr>
            <w:r>
              <w:rPr>
                <w:rFonts w:ascii="Arial" w:hAnsi="Arial" w:eastAsia="Arial" w:cs="Arial"/>
                <w:b/>
              </w:rPr>
              <w:t xml:space="preserve">Lecturer: </w:t>
            </w:r>
          </w:p>
        </w:tc>
        <w:tc>
          <w:tcPr>
            <w:tcW w:w="3297" w:type="dxa"/>
            <w:tcBorders>
              <w:top w:val="single" w:color="000000" w:sz="4" w:space="0"/>
              <w:left w:val="single" w:color="000000" w:sz="4" w:space="0"/>
              <w:bottom w:val="single" w:color="000000" w:sz="4" w:space="0"/>
              <w:right w:val="single" w:color="000000" w:sz="4" w:space="0"/>
            </w:tcBorders>
            <w:vAlign w:val="center"/>
          </w:tcPr>
          <w:p w14:paraId="0A4272E1">
            <w:pPr>
              <w:spacing w:after="0"/>
              <w:ind w:left="1" w:right="104"/>
              <w:jc w:val="both"/>
              <w:rPr>
                <w:rFonts w:ascii="Arial" w:hAnsi="Arial" w:eastAsia="Arial" w:cs="Arial"/>
                <w:b/>
              </w:rPr>
            </w:pPr>
            <w:r>
              <w:rPr>
                <w:rFonts w:ascii="Arial" w:hAnsi="Arial" w:eastAsia="Arial" w:cs="Arial"/>
                <w:b/>
              </w:rPr>
              <w:t>Emma Roberts</w:t>
            </w:r>
          </w:p>
        </w:tc>
        <w:tc>
          <w:tcPr>
            <w:tcW w:w="2265" w:type="dxa"/>
            <w:tcBorders>
              <w:top w:val="single" w:color="000000" w:sz="4" w:space="0"/>
              <w:left w:val="single" w:color="000000" w:sz="4" w:space="0"/>
              <w:bottom w:val="single" w:color="000000" w:sz="4" w:space="0"/>
              <w:right w:val="single" w:color="000000" w:sz="4" w:space="0"/>
            </w:tcBorders>
            <w:vAlign w:val="center"/>
          </w:tcPr>
          <w:p w14:paraId="323DCF39">
            <w:pPr>
              <w:spacing w:after="0"/>
              <w:ind w:left="1" w:right="104"/>
              <w:jc w:val="both"/>
              <w:rPr>
                <w:rFonts w:ascii="Arial" w:hAnsi="Arial" w:eastAsia="Arial" w:cs="Arial"/>
                <w:b/>
              </w:rPr>
            </w:pPr>
            <w:r>
              <w:rPr>
                <w:rFonts w:ascii="Arial" w:hAnsi="Arial" w:eastAsia="Arial" w:cs="Arial"/>
                <w:b/>
              </w:rPr>
              <w:t xml:space="preserve">Internal Verifier: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08437B01">
            <w:pPr>
              <w:spacing w:after="0"/>
              <w:ind w:left="1" w:right="104"/>
              <w:jc w:val="both"/>
              <w:rPr>
                <w:rFonts w:ascii="Arial" w:hAnsi="Arial" w:eastAsia="Arial" w:cs="Arial"/>
                <w:b/>
              </w:rPr>
            </w:pPr>
          </w:p>
        </w:tc>
      </w:tr>
      <w:tr w14:paraId="03689A13">
        <w:tblPrEx>
          <w:tblLayout w:type="fixed"/>
        </w:tblPrEx>
        <w:trPr>
          <w:trHeight w:val="756"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68714D73">
            <w:pPr>
              <w:spacing w:after="0"/>
              <w:ind w:left="1" w:right="104"/>
              <w:jc w:val="both"/>
              <w:rPr>
                <w:rFonts w:ascii="Arial" w:hAnsi="Arial" w:eastAsia="Arial" w:cs="Arial"/>
                <w:b/>
              </w:rPr>
            </w:pPr>
            <w:r>
              <w:rPr>
                <w:rFonts w:ascii="Arial" w:hAnsi="Arial" w:eastAsia="Arial" w:cs="Arial"/>
                <w:b/>
              </w:rPr>
              <w:t xml:space="preserve">Assignment Title: </w:t>
            </w:r>
          </w:p>
        </w:tc>
        <w:tc>
          <w:tcPr>
            <w:tcW w:w="3297" w:type="dxa"/>
            <w:tcBorders>
              <w:top w:val="single" w:color="000000" w:sz="4" w:space="0"/>
              <w:left w:val="single" w:color="000000" w:sz="4" w:space="0"/>
              <w:bottom w:val="single" w:color="000000" w:sz="4" w:space="0"/>
              <w:right w:val="single" w:color="000000" w:sz="4" w:space="0"/>
            </w:tcBorders>
            <w:vAlign w:val="center"/>
          </w:tcPr>
          <w:p w14:paraId="5DB53414">
            <w:pPr>
              <w:spacing w:after="0"/>
              <w:ind w:left="1" w:right="104"/>
              <w:jc w:val="both"/>
              <w:rPr>
                <w:rFonts w:ascii="Arial" w:hAnsi="Arial" w:eastAsia="Arial" w:cs="Arial"/>
                <w:b/>
              </w:rPr>
            </w:pPr>
            <w:r>
              <w:rPr>
                <w:rFonts w:ascii="Arial" w:hAnsi="Arial" w:eastAsia="Arial" w:cs="Arial"/>
                <w:b/>
              </w:rPr>
              <w:t>Group presentation plus supporting material</w:t>
            </w:r>
          </w:p>
        </w:tc>
        <w:tc>
          <w:tcPr>
            <w:tcW w:w="2265" w:type="dxa"/>
            <w:tcBorders>
              <w:top w:val="single" w:color="000000" w:sz="4" w:space="0"/>
              <w:left w:val="single" w:color="000000" w:sz="4" w:space="0"/>
              <w:bottom w:val="single" w:color="000000" w:sz="4" w:space="0"/>
              <w:right w:val="single" w:color="000000" w:sz="4" w:space="0"/>
            </w:tcBorders>
            <w:vAlign w:val="center"/>
          </w:tcPr>
          <w:p w14:paraId="0B9BD469">
            <w:pPr>
              <w:spacing w:after="0"/>
              <w:ind w:left="1" w:right="104"/>
              <w:jc w:val="both"/>
              <w:rPr>
                <w:rFonts w:ascii="Arial" w:hAnsi="Arial" w:eastAsia="Arial" w:cs="Arial"/>
                <w:b/>
              </w:rPr>
            </w:pPr>
            <w:r>
              <w:rPr>
                <w:rFonts w:ascii="Arial" w:hAnsi="Arial" w:eastAsia="Arial" w:cs="Arial"/>
                <w:b/>
              </w:rPr>
              <w:t xml:space="preserve">Word </w:t>
            </w:r>
            <w:r>
              <w:rPr>
                <w:rFonts w:ascii="Arial" w:hAnsi="Arial" w:eastAsia="Arial" w:cs="Arial"/>
                <w:b/>
              </w:rPr>
              <w:tab/>
            </w:r>
            <w:r>
              <w:rPr>
                <w:rFonts w:ascii="Arial" w:hAnsi="Arial" w:eastAsia="Arial" w:cs="Arial"/>
                <w:b/>
              </w:rPr>
              <w:t xml:space="preserve">count </w:t>
            </w:r>
            <w:r>
              <w:rPr>
                <w:rFonts w:ascii="Arial" w:hAnsi="Arial" w:eastAsia="Arial" w:cs="Arial"/>
                <w:b/>
              </w:rPr>
              <w:tab/>
            </w:r>
            <w:r>
              <w:rPr>
                <w:rFonts w:ascii="Arial" w:hAnsi="Arial" w:eastAsia="Arial" w:cs="Arial"/>
                <w:b/>
              </w:rPr>
              <w:t xml:space="preserve">(or equivalent): </w:t>
            </w:r>
          </w:p>
        </w:tc>
        <w:tc>
          <w:tcPr>
            <w:tcW w:w="2271" w:type="dxa"/>
            <w:tcBorders>
              <w:top w:val="single" w:color="000000" w:sz="4" w:space="0"/>
              <w:left w:val="single" w:color="000000" w:sz="4" w:space="0"/>
              <w:bottom w:val="single" w:color="000000" w:sz="4" w:space="0"/>
              <w:right w:val="single" w:color="000000" w:sz="4" w:space="0"/>
            </w:tcBorders>
          </w:tcPr>
          <w:p w14:paraId="74307E42">
            <w:pPr>
              <w:spacing w:after="0"/>
              <w:ind w:left="1" w:right="104"/>
              <w:jc w:val="both"/>
              <w:rPr>
                <w:rFonts w:ascii="Arial" w:hAnsi="Arial" w:eastAsia="Arial" w:cs="Arial"/>
                <w:b/>
              </w:rPr>
            </w:pPr>
            <w:r>
              <w:rPr>
                <w:rFonts w:ascii="Arial" w:hAnsi="Arial" w:eastAsia="Arial" w:cs="Arial"/>
                <w:b/>
              </w:rPr>
              <w:t>10 minutes per person and 2000 words supporting material</w:t>
            </w:r>
          </w:p>
        </w:tc>
      </w:tr>
      <w:tr w14:paraId="6D9D18B4">
        <w:tblPrEx>
          <w:tblLayout w:type="fixed"/>
        </w:tblPrEx>
        <w:trPr>
          <w:trHeight w:val="1008"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5EEB7430">
            <w:pPr>
              <w:spacing w:after="0"/>
              <w:ind w:left="1" w:right="104"/>
              <w:jc w:val="both"/>
              <w:rPr>
                <w:rFonts w:ascii="Arial" w:hAnsi="Arial" w:eastAsia="Arial" w:cs="Arial"/>
                <w:b/>
              </w:rPr>
            </w:pPr>
            <w:r>
              <w:rPr>
                <w:rFonts w:ascii="Arial" w:hAnsi="Arial" w:eastAsia="Arial" w:cs="Arial"/>
                <w:b/>
              </w:rPr>
              <w:t xml:space="preserve">Submission deadline: </w:t>
            </w:r>
          </w:p>
        </w:tc>
        <w:tc>
          <w:tcPr>
            <w:tcW w:w="3297" w:type="dxa"/>
            <w:tcBorders>
              <w:top w:val="single" w:color="000000" w:sz="4" w:space="0"/>
              <w:left w:val="single" w:color="000000" w:sz="4" w:space="0"/>
              <w:bottom w:val="single" w:color="000000" w:sz="4" w:space="0"/>
              <w:right w:val="single" w:color="000000" w:sz="4" w:space="0"/>
            </w:tcBorders>
          </w:tcPr>
          <w:p w14:paraId="09D53281">
            <w:pPr>
              <w:spacing w:after="0"/>
              <w:ind w:left="1" w:right="104"/>
              <w:jc w:val="both"/>
              <w:rPr>
                <w:rFonts w:ascii="Arial" w:hAnsi="Arial" w:eastAsia="Arial" w:cs="Arial"/>
                <w:b/>
              </w:rPr>
            </w:pPr>
            <w:r>
              <w:rPr>
                <w:rFonts w:ascii="Arial" w:hAnsi="Arial" w:eastAsia="Arial" w:cs="Arial"/>
                <w:b/>
              </w:rPr>
              <w:t xml:space="preserve"> Thursday  24th September 2026 (23.55/ 11.55pm British Summer Time BST)</w:t>
            </w:r>
          </w:p>
        </w:tc>
        <w:tc>
          <w:tcPr>
            <w:tcW w:w="2265" w:type="dxa"/>
            <w:tcBorders>
              <w:top w:val="single" w:color="000000" w:sz="4" w:space="0"/>
              <w:left w:val="single" w:color="000000" w:sz="4" w:space="0"/>
              <w:bottom w:val="single" w:color="000000" w:sz="4" w:space="0"/>
              <w:right w:val="single" w:color="000000" w:sz="4" w:space="0"/>
            </w:tcBorders>
            <w:vAlign w:val="center"/>
          </w:tcPr>
          <w:p w14:paraId="52FF22E7">
            <w:pPr>
              <w:spacing w:after="0"/>
              <w:ind w:left="1" w:right="104"/>
              <w:jc w:val="both"/>
              <w:rPr>
                <w:rFonts w:ascii="Arial" w:hAnsi="Arial" w:eastAsia="Arial" w:cs="Arial"/>
                <w:b/>
              </w:rPr>
            </w:pPr>
            <w:r>
              <w:rPr>
                <w:rFonts w:ascii="Arial" w:hAnsi="Arial" w:eastAsia="Arial" w:cs="Arial"/>
                <w:b/>
              </w:rPr>
              <w:t xml:space="preserve">Return date of provisional marks &amp; written feedback: </w:t>
            </w:r>
          </w:p>
        </w:tc>
        <w:tc>
          <w:tcPr>
            <w:tcW w:w="2271" w:type="dxa"/>
            <w:tcBorders>
              <w:top w:val="single" w:color="000000" w:sz="4" w:space="0"/>
              <w:left w:val="single" w:color="000000" w:sz="4" w:space="0"/>
              <w:bottom w:val="single" w:color="000000" w:sz="4" w:space="0"/>
              <w:right w:val="single" w:color="000000" w:sz="4" w:space="0"/>
            </w:tcBorders>
          </w:tcPr>
          <w:p w14:paraId="20EADFEC">
            <w:pPr>
              <w:spacing w:after="0"/>
              <w:ind w:left="1" w:right="104"/>
              <w:jc w:val="both"/>
              <w:rPr>
                <w:rFonts w:ascii="Arial" w:hAnsi="Arial" w:eastAsia="Arial" w:cs="Arial"/>
                <w:b/>
              </w:rPr>
            </w:pPr>
            <w:r>
              <w:rPr>
                <w:rFonts w:ascii="Arial" w:hAnsi="Arial" w:eastAsia="Arial" w:cs="Arial"/>
                <w:b/>
              </w:rPr>
              <w:t>19th October 2026</w:t>
            </w:r>
          </w:p>
        </w:tc>
      </w:tr>
      <w:tr w14:paraId="23E3A1CA">
        <w:tblPrEx>
          <w:tblLayout w:type="fixed"/>
        </w:tblPrEx>
        <w:trPr>
          <w:trHeight w:val="2768"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3EC9A588">
            <w:pPr>
              <w:spacing w:after="0"/>
            </w:pPr>
            <w:r>
              <w:rPr>
                <w:rFonts w:ascii="Arial" w:hAnsi="Arial" w:eastAsia="Arial" w:cs="Arial"/>
                <w:b/>
              </w:rPr>
              <w:t xml:space="preserve">Submission method: </w:t>
            </w:r>
          </w:p>
        </w:tc>
        <w:tc>
          <w:tcPr>
            <w:tcW w:w="7833" w:type="dxa"/>
            <w:gridSpan w:val="3"/>
            <w:tcBorders>
              <w:top w:val="single" w:color="000000" w:sz="4" w:space="0"/>
              <w:left w:val="single" w:color="000000" w:sz="4" w:space="0"/>
              <w:bottom w:val="single" w:color="000000" w:sz="4" w:space="0"/>
              <w:right w:val="single" w:color="000000" w:sz="4" w:space="0"/>
            </w:tcBorders>
          </w:tcPr>
          <w:p w14:paraId="58E01ADC">
            <w:pPr>
              <w:spacing w:after="110" w:line="246" w:lineRule="auto"/>
              <w:ind w:left="3"/>
            </w:pPr>
            <w:r>
              <w:rPr>
                <w:rFonts w:ascii="Arial" w:hAnsi="Arial"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8735C90">
            <w:pPr>
              <w:spacing w:after="218"/>
              <w:ind w:left="3"/>
            </w:pPr>
            <w:r>
              <w:rPr>
                <w:rFonts w:ascii="Arial" w:hAnsi="Arial" w:eastAsia="Arial" w:cs="Arial"/>
                <w:b/>
              </w:rPr>
              <w:t xml:space="preserve">Alternative submission method (if applicable):  </w:t>
            </w:r>
          </w:p>
          <w:p w14:paraId="6CB2D6B4">
            <w:pPr>
              <w:spacing w:after="0"/>
              <w:ind w:left="3" w:right="109"/>
              <w:jc w:val="both"/>
            </w:pPr>
            <w:r>
              <w:rPr>
                <w:rFonts w:ascii="Arial" w:hAnsi="Arial" w:eastAsia="Arial" w:cs="Arial"/>
                <w:b/>
              </w:rPr>
              <w:t xml:space="preserve">Late submission of the assessment will result in a late penalty mark.  </w:t>
            </w:r>
            <w:r>
              <w:rPr>
                <w:rFonts w:ascii="Arial" w:hAnsi="Arial" w:eastAsia="Arial" w:cs="Arial"/>
              </w:rPr>
              <w:t>Penalties for late submission: Up to one week late, maximum mark of 40%. Over one week late, 0%.  Only the Extenuating Circumstances Panel may approve a change to submission dates.</w:t>
            </w:r>
            <w:r>
              <w:rPr>
                <w:rFonts w:ascii="Arial" w:hAnsi="Arial" w:eastAsia="Arial" w:cs="Arial"/>
                <w:b/>
              </w:rPr>
              <w:t xml:space="preserve"> </w:t>
            </w:r>
          </w:p>
        </w:tc>
      </w:tr>
      <w:tr w14:paraId="239766B7">
        <w:tblPrEx>
          <w:tblLayout w:type="fixed"/>
        </w:tblPrEx>
        <w:trPr>
          <w:trHeight w:val="1261" w:hRule="atLeast"/>
          <w:jc w:val="center"/>
        </w:trPr>
        <w:tc>
          <w:tcPr>
            <w:tcW w:w="2091" w:type="dxa"/>
            <w:tcBorders>
              <w:top w:val="single" w:color="000000" w:sz="4" w:space="0"/>
              <w:left w:val="single" w:color="000000" w:sz="4" w:space="0"/>
              <w:bottom w:val="single" w:color="000000" w:sz="4" w:space="0"/>
              <w:right w:val="single" w:color="000000" w:sz="4" w:space="0"/>
            </w:tcBorders>
          </w:tcPr>
          <w:p w14:paraId="6EC29986">
            <w:pPr>
              <w:spacing w:after="0"/>
              <w:ind w:right="40"/>
            </w:pPr>
            <w:r>
              <w:rPr>
                <w:rFonts w:ascii="Arial" w:hAnsi="Arial" w:eastAsia="Arial" w:cs="Arial"/>
                <w:b/>
              </w:rPr>
              <w:t xml:space="preserve">Academic honesty / referencing: </w:t>
            </w:r>
          </w:p>
        </w:tc>
        <w:tc>
          <w:tcPr>
            <w:tcW w:w="7833" w:type="dxa"/>
            <w:gridSpan w:val="3"/>
            <w:tcBorders>
              <w:top w:val="single" w:color="000000" w:sz="4" w:space="0"/>
              <w:left w:val="single" w:color="000000" w:sz="4" w:space="0"/>
              <w:bottom w:val="single" w:color="000000" w:sz="4" w:space="0"/>
              <w:right w:val="single" w:color="000000" w:sz="4" w:space="0"/>
            </w:tcBorders>
            <w:vAlign w:val="center"/>
          </w:tcPr>
          <w:p w14:paraId="3A888D09">
            <w:pPr>
              <w:spacing w:after="0"/>
              <w:ind w:left="3" w:right="112"/>
              <w:jc w:val="both"/>
            </w:pPr>
            <w:r>
              <w:rPr>
                <w:rFonts w:ascii="Arial" w:hAnsi="Arial" w:eastAsia="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1D71B5C">
      <w:pPr>
        <w:spacing w:after="0"/>
        <w:rPr>
          <w:rFonts w:ascii="Arial" w:hAnsi="Arial" w:eastAsia="Arial" w:cs="Arial"/>
          <w:sz w:val="32"/>
        </w:rPr>
      </w:pPr>
      <w:r>
        <w:rPr>
          <w:rFonts w:ascii="Arial" w:hAnsi="Arial" w:eastAsia="Arial" w:cs="Arial"/>
          <w:sz w:val="32"/>
        </w:rPr>
        <w:t xml:space="preserve"> </w:t>
      </w:r>
    </w:p>
    <w:p w14:paraId="144170C4">
      <w:pPr>
        <w:spacing w:after="0"/>
      </w:pPr>
    </w:p>
    <w:p w14:paraId="2D8FC89A">
      <w:pPr>
        <w:spacing w:after="0"/>
      </w:pPr>
      <w:r>
        <w:rPr>
          <w:rFonts w:ascii="Arial" w:hAnsi="Arial" w:eastAsia="Arial" w:cs="Arial"/>
          <w:sz w:val="32"/>
        </w:rPr>
        <w:t xml:space="preserve"> </w:t>
      </w:r>
    </w:p>
    <w:tbl>
      <w:tblPr>
        <w:tblStyle w:val="8"/>
        <w:tblW w:w="9747" w:type="dxa"/>
        <w:jc w:val="center"/>
        <w:tblInd w:w="399" w:type="dxa"/>
        <w:tblLayout w:type="fixed"/>
        <w:tblCellMar>
          <w:top w:w="5" w:type="dxa"/>
          <w:left w:w="106" w:type="dxa"/>
          <w:bottom w:w="0" w:type="dxa"/>
          <w:right w:w="115" w:type="dxa"/>
        </w:tblCellMar>
      </w:tblPr>
      <w:tblGrid>
        <w:gridCol w:w="9747"/>
      </w:tblGrid>
      <w:tr w14:paraId="6BFB8ADA">
        <w:tblPrEx>
          <w:tblLayout w:type="fixed"/>
        </w:tblPrEx>
        <w:trPr>
          <w:trHeight w:val="514" w:hRule="atLeast"/>
          <w:jc w:val="center"/>
        </w:trPr>
        <w:tc>
          <w:tcPr>
            <w:tcW w:w="9747" w:type="dxa"/>
            <w:tcBorders>
              <w:top w:val="single" w:color="000000" w:sz="4" w:space="0"/>
              <w:left w:val="single" w:color="000000" w:sz="4" w:space="0"/>
              <w:bottom w:val="single" w:color="000000" w:sz="4" w:space="0"/>
              <w:right w:val="single" w:color="000000" w:sz="4" w:space="0"/>
            </w:tcBorders>
          </w:tcPr>
          <w:p w14:paraId="000F74AC">
            <w:pPr>
              <w:spacing w:after="0"/>
              <w:ind w:right="5942"/>
            </w:pPr>
            <w:r>
              <w:rPr>
                <w:rFonts w:ascii="Arial" w:hAnsi="Arial" w:eastAsia="Arial" w:cs="Arial"/>
                <w:b/>
              </w:rPr>
              <w:t>Module Learning Outcomes  (from module syllabus)</w:t>
            </w:r>
            <w:r>
              <w:rPr>
                <w:rFonts w:ascii="Arial" w:hAnsi="Arial" w:eastAsia="Arial" w:cs="Arial"/>
              </w:rPr>
              <w:t xml:space="preserve"> </w:t>
            </w:r>
          </w:p>
        </w:tc>
      </w:tr>
      <w:tr w14:paraId="27160AF7">
        <w:tblPrEx>
          <w:tblLayout w:type="fixed"/>
        </w:tblPrEx>
        <w:trPr>
          <w:trHeight w:val="1869" w:hRule="atLeast"/>
          <w:jc w:val="center"/>
        </w:trPr>
        <w:tc>
          <w:tcPr>
            <w:tcW w:w="9747" w:type="dxa"/>
            <w:tcBorders>
              <w:top w:val="single" w:color="000000" w:sz="4" w:space="0"/>
              <w:left w:val="single" w:color="000000" w:sz="4" w:space="0"/>
              <w:bottom w:val="single" w:color="000000" w:sz="4" w:space="0"/>
              <w:right w:val="single" w:color="000000" w:sz="4" w:space="0"/>
            </w:tcBorders>
          </w:tcPr>
          <w:p w14:paraId="2C0AB905">
            <w:pPr>
              <w:spacing w:after="17"/>
            </w:pPr>
            <w:r>
              <w:rPr>
                <w:rFonts w:ascii="Arial" w:hAnsi="Arial" w:eastAsia="Arial" w:cs="Arial"/>
              </w:rPr>
              <w:t xml:space="preserve"> </w:t>
            </w:r>
          </w:p>
          <w:p w14:paraId="3268C49E">
            <w:pPr>
              <w:numPr>
                <w:ilvl w:val="0"/>
                <w:numId w:val="1"/>
              </w:numPr>
              <w:spacing w:after="5" w:line="368" w:lineRule="auto"/>
              <w:ind w:right="128"/>
              <w:jc w:val="both"/>
            </w:pPr>
            <w:r>
              <w:rPr>
                <w:rFonts w:ascii="Arial" w:hAnsi="Arial" w:eastAsia="Arial" w:cs="Arial"/>
                <w:sz w:val="24"/>
              </w:rPr>
              <w:t xml:space="preserve">Recognise and evaluate the complexities involved in leading people in organisations and the practical application of leadership theory and principles.  </w:t>
            </w:r>
          </w:p>
          <w:p w14:paraId="784BA608">
            <w:pPr>
              <w:spacing w:after="132"/>
              <w:ind w:left="360"/>
            </w:pPr>
            <w:r>
              <w:rPr>
                <w:rFonts w:ascii="Arial" w:hAnsi="Arial" w:eastAsia="Arial" w:cs="Arial"/>
                <w:sz w:val="24"/>
              </w:rPr>
              <w:t xml:space="preserve"> </w:t>
            </w:r>
          </w:p>
          <w:p w14:paraId="092D696F">
            <w:pPr>
              <w:numPr>
                <w:ilvl w:val="0"/>
                <w:numId w:val="1"/>
              </w:numPr>
              <w:spacing w:after="0" w:line="361" w:lineRule="auto"/>
              <w:ind w:right="128"/>
              <w:jc w:val="both"/>
            </w:pPr>
            <w:r>
              <w:rPr>
                <w:rFonts w:ascii="Arial" w:hAnsi="Arial" w:eastAsia="Arial" w:cs="Arial"/>
                <w:sz w:val="24"/>
              </w:rPr>
              <w:t xml:space="preserve">Critically evaluate the design, and implementation of strategies which are focused on enhancing the effectiveness of people, as both employees and leaders, in order to meet current and future organisational needs. </w:t>
            </w:r>
          </w:p>
          <w:p w14:paraId="2E3289C9">
            <w:pPr>
              <w:spacing w:after="0"/>
            </w:pPr>
            <w:r>
              <w:rPr>
                <w:rFonts w:ascii="Arial" w:hAnsi="Arial" w:eastAsia="Arial" w:cs="Arial"/>
              </w:rPr>
              <w:t xml:space="preserve"> </w:t>
            </w:r>
          </w:p>
          <w:p w14:paraId="63DCC247">
            <w:pPr>
              <w:spacing w:after="0"/>
            </w:pPr>
            <w:r>
              <w:rPr>
                <w:rFonts w:ascii="Arial" w:hAnsi="Arial" w:eastAsia="Arial" w:cs="Arial"/>
              </w:rPr>
              <w:t xml:space="preserve"> </w:t>
            </w:r>
          </w:p>
        </w:tc>
      </w:tr>
    </w:tbl>
    <w:p w14:paraId="40EC3F49">
      <w:pPr>
        <w:rPr>
          <w:rFonts w:hint="default" w:ascii="Times New Roman" w:hAnsi="Times New Roman" w:cs="Times New Roman"/>
          <w:sz w:val="24"/>
          <w:szCs w:val="24"/>
          <w:lang w:val="en-GB"/>
        </w:rPr>
      </w:pPr>
    </w:p>
    <w:p w14:paraId="5E9B5C13">
      <w:pPr>
        <w:rPr>
          <w:rFonts w:hint="default" w:ascii="Times New Roman" w:hAnsi="Times New Roman" w:cs="Times New Roman"/>
          <w:sz w:val="24"/>
          <w:szCs w:val="24"/>
          <w:lang w:val="en-GB"/>
        </w:rPr>
      </w:pPr>
    </w:p>
    <w:p w14:paraId="770A1950">
      <w:pPr>
        <w:rPr>
          <w:rFonts w:hint="default" w:ascii="Times New Roman" w:hAnsi="Times New Roman" w:cs="Times New Roman"/>
          <w:sz w:val="24"/>
          <w:szCs w:val="24"/>
          <w:lang w:val="en-GB"/>
        </w:rPr>
      </w:pPr>
    </w:p>
    <w:p w14:paraId="7B928305">
      <w:pPr>
        <w:rPr>
          <w:rFonts w:hint="default" w:ascii="Times New Roman" w:hAnsi="Times New Roman" w:cs="Times New Roman"/>
          <w:sz w:val="24"/>
          <w:szCs w:val="24"/>
          <w:lang w:val="en-GB"/>
        </w:rPr>
      </w:pPr>
    </w:p>
    <w:p w14:paraId="620CD6B4">
      <w:pPr>
        <w:rPr>
          <w:rFonts w:hint="default" w:ascii="Times New Roman" w:hAnsi="Times New Roman" w:cs="Times New Roman"/>
          <w:sz w:val="24"/>
          <w:szCs w:val="24"/>
          <w:lang w:val="en-GB"/>
        </w:rPr>
      </w:pPr>
    </w:p>
    <w:p w14:paraId="68BE31B6">
      <w:pPr>
        <w:rPr>
          <w:rFonts w:hint="default" w:ascii="Times New Roman" w:hAnsi="Times New Roman" w:cs="Times New Roman"/>
          <w:sz w:val="24"/>
          <w:szCs w:val="24"/>
          <w:lang w:val="en-GB"/>
        </w:rPr>
      </w:pPr>
    </w:p>
    <w:p w14:paraId="597EF8E3">
      <w:pPr>
        <w:rPr>
          <w:rFonts w:hint="default" w:ascii="Times New Roman" w:hAnsi="Times New Roman" w:cs="Times New Roman"/>
          <w:sz w:val="24"/>
          <w:szCs w:val="24"/>
          <w:lang w:val="en-GB"/>
        </w:rPr>
      </w:pPr>
    </w:p>
    <w:p w14:paraId="21671379">
      <w:pPr>
        <w:rPr>
          <w:rFonts w:hint="default" w:ascii="Times New Roman" w:hAnsi="Times New Roman" w:cs="Times New Roman"/>
          <w:sz w:val="24"/>
          <w:szCs w:val="24"/>
          <w:lang w:val="en-GB"/>
        </w:rPr>
      </w:pPr>
    </w:p>
    <w:p w14:paraId="3EACA597">
      <w:pPr>
        <w:rPr>
          <w:rFonts w:hint="default" w:ascii="Times New Roman" w:hAnsi="Times New Roman" w:cs="Times New Roman"/>
          <w:sz w:val="24"/>
          <w:szCs w:val="24"/>
          <w:lang w:val="en-GB"/>
        </w:rPr>
      </w:pPr>
    </w:p>
    <w:p w14:paraId="4D0C846A">
      <w:pPr>
        <w:rPr>
          <w:rFonts w:hint="default" w:ascii="Times New Roman" w:hAnsi="Times New Roman" w:cs="Times New Roman"/>
          <w:sz w:val="24"/>
          <w:szCs w:val="24"/>
          <w:lang w:val="en-GB"/>
        </w:rPr>
      </w:pPr>
    </w:p>
    <w:p w14:paraId="32D7374D">
      <w:pPr>
        <w:rPr>
          <w:rFonts w:hint="default" w:ascii="Times New Roman" w:hAnsi="Times New Roman" w:cs="Times New Roman"/>
          <w:sz w:val="24"/>
          <w:szCs w:val="24"/>
          <w:lang w:val="en-GB"/>
        </w:rPr>
      </w:pPr>
    </w:p>
    <w:p w14:paraId="2C460360">
      <w:pPr>
        <w:rPr>
          <w:rFonts w:hint="default" w:ascii="Times New Roman" w:hAnsi="Times New Roman" w:cs="Times New Roman"/>
          <w:sz w:val="24"/>
          <w:szCs w:val="24"/>
          <w:lang w:val="en-GB"/>
        </w:rPr>
      </w:pPr>
    </w:p>
    <w:p w14:paraId="07526784">
      <w:pPr>
        <w:rPr>
          <w:rFonts w:hint="default" w:ascii="Times New Roman" w:hAnsi="Times New Roman" w:cs="Times New Roman"/>
          <w:sz w:val="24"/>
          <w:szCs w:val="24"/>
          <w:lang w:val="en-GB"/>
        </w:rPr>
      </w:pPr>
    </w:p>
    <w:p w14:paraId="7854BB90">
      <w:pPr>
        <w:rPr>
          <w:rFonts w:hint="default" w:ascii="Times New Roman" w:hAnsi="Times New Roman" w:cs="Times New Roman"/>
          <w:sz w:val="24"/>
          <w:szCs w:val="24"/>
          <w:lang w:val="en-GB"/>
        </w:rPr>
      </w:pPr>
    </w:p>
    <w:p w14:paraId="04A123BB">
      <w:pPr>
        <w:rPr>
          <w:rFonts w:hint="default" w:ascii="Times New Roman" w:hAnsi="Times New Roman" w:cs="Times New Roman"/>
          <w:sz w:val="24"/>
          <w:szCs w:val="24"/>
          <w:lang w:val="en-GB"/>
        </w:rPr>
      </w:pPr>
    </w:p>
    <w:p w14:paraId="7672F984">
      <w:pPr>
        <w:rPr>
          <w:rFonts w:hint="default" w:ascii="Times New Roman" w:hAnsi="Times New Roman" w:cs="Times New Roman"/>
          <w:sz w:val="24"/>
          <w:szCs w:val="24"/>
          <w:lang w:val="en-GB"/>
        </w:rPr>
      </w:pPr>
    </w:p>
    <w:p w14:paraId="797A3F5C">
      <w:pPr>
        <w:rPr>
          <w:rFonts w:hint="default" w:ascii="Times New Roman" w:hAnsi="Times New Roman" w:cs="Times New Roman"/>
          <w:sz w:val="24"/>
          <w:szCs w:val="24"/>
          <w:lang w:val="en-GB"/>
        </w:rPr>
      </w:pPr>
    </w:p>
    <w:p w14:paraId="5FB41388">
      <w:pPr>
        <w:rPr>
          <w:rFonts w:hint="default" w:ascii="Times New Roman" w:hAnsi="Times New Roman" w:cs="Times New Roman"/>
          <w:sz w:val="24"/>
          <w:szCs w:val="24"/>
          <w:lang w:val="en-GB"/>
        </w:rPr>
      </w:pPr>
    </w:p>
    <w:p w14:paraId="5721D14B">
      <w:pPr>
        <w:rPr>
          <w:rFonts w:hint="default" w:ascii="Times New Roman" w:hAnsi="Times New Roman" w:cs="Times New Roman"/>
          <w:sz w:val="24"/>
          <w:szCs w:val="24"/>
          <w:lang w:val="en-GB"/>
        </w:rPr>
      </w:pPr>
    </w:p>
    <w:p w14:paraId="62A3C871">
      <w:pPr>
        <w:rPr>
          <w:rFonts w:hint="default" w:ascii="Times New Roman" w:hAnsi="Times New Roman" w:cs="Times New Roman"/>
          <w:sz w:val="24"/>
          <w:szCs w:val="24"/>
          <w:lang w:val="en-GB"/>
        </w:rPr>
      </w:pPr>
    </w:p>
    <w:p w14:paraId="514F3B73">
      <w:pPr>
        <w:rPr>
          <w:rFonts w:hint="default" w:ascii="Times New Roman" w:hAnsi="Times New Roman" w:cs="Times New Roman"/>
          <w:sz w:val="24"/>
          <w:szCs w:val="24"/>
          <w:lang w:val="en-GB"/>
        </w:rPr>
      </w:pPr>
    </w:p>
    <w:p w14:paraId="66ED3799">
      <w:pPr>
        <w:rPr>
          <w:rFonts w:hint="default" w:ascii="Times New Roman" w:hAnsi="Times New Roman" w:cs="Times New Roman"/>
          <w:sz w:val="24"/>
          <w:szCs w:val="24"/>
          <w:lang w:val="en-GB"/>
        </w:rPr>
      </w:pPr>
    </w:p>
    <w:p w14:paraId="6C1E9612">
      <w:pPr>
        <w:rPr>
          <w:rFonts w:hint="default" w:ascii="Times New Roman" w:hAnsi="Times New Roman" w:cs="Times New Roman"/>
          <w:sz w:val="24"/>
          <w:szCs w:val="24"/>
          <w:lang w:val="en-GB"/>
        </w:rPr>
      </w:pPr>
    </w:p>
    <w:p w14:paraId="0CCA88FE">
      <w:pPr>
        <w:rPr>
          <w:rFonts w:hint="default" w:ascii="Times New Roman" w:hAnsi="Times New Roman" w:cs="Times New Roman"/>
          <w:sz w:val="24"/>
          <w:szCs w:val="24"/>
          <w:lang w:val="en-GB"/>
        </w:rPr>
      </w:pPr>
    </w:p>
    <w:p w14:paraId="7C9C8B6F">
      <w:pPr>
        <w:rPr>
          <w:rFonts w:hint="default" w:ascii="Times New Roman" w:hAnsi="Times New Roman" w:cs="Times New Roman"/>
          <w:sz w:val="24"/>
          <w:szCs w:val="24"/>
          <w:lang w:val="en-GB"/>
        </w:rPr>
      </w:pPr>
    </w:p>
    <w:p w14:paraId="0011317D">
      <w:pPr>
        <w:rPr>
          <w:rFonts w:hint="default" w:ascii="Times New Roman" w:hAnsi="Times New Roman" w:cs="Times New Roman"/>
          <w:sz w:val="24"/>
          <w:szCs w:val="24"/>
          <w:lang w:val="en-GB"/>
        </w:rPr>
      </w:pPr>
    </w:p>
    <w:p w14:paraId="383E2CCC">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TABLE OF CONTENT </w:t>
      </w:r>
    </w:p>
    <w:p w14:paraId="46A79353">
      <w:pPr>
        <w:rPr>
          <w:rFonts w:hint="default" w:ascii="Times New Roman" w:hAnsi="Times New Roman" w:cs="Times New Roman"/>
          <w:sz w:val="24"/>
          <w:szCs w:val="24"/>
          <w:lang w:val="en-GB"/>
        </w:rPr>
      </w:pPr>
    </w:p>
    <w:p w14:paraId="0ADB4EB8">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1.0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Introduction to PROTON………………………………….………4</w:t>
      </w:r>
    </w:p>
    <w:p w14:paraId="30082C1D">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2.0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Recruitment and Talent Management of PROTON……. ..……….5</w:t>
      </w:r>
    </w:p>
    <w:p w14:paraId="7AE112F7">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3.0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Training and Development at PROTON…………………….…….7</w:t>
      </w:r>
    </w:p>
    <w:p w14:paraId="2938F262">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4.0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Recruitment and Talent Management at Toyota…………….……..………………………………….………………9</w:t>
      </w:r>
    </w:p>
    <w:p w14:paraId="7EFED222">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5.0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Training and Development at Toyota…………………………….10</w:t>
      </w:r>
    </w:p>
    <w:p w14:paraId="59E4ECA5">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6.0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Comparative Discussion…………………. …………….…….….11</w:t>
      </w:r>
    </w:p>
    <w:p w14:paraId="447F9994">
      <w:pPr>
        <w:rPr>
          <w:rFonts w:hint="default" w:ascii="Times New Roman" w:hAnsi="Times New Roman" w:cs="Times New Roman"/>
          <w:sz w:val="24"/>
          <w:szCs w:val="24"/>
          <w:lang w:val="en-GB"/>
        </w:rPr>
      </w:pPr>
      <w:r>
        <w:rPr>
          <w:rFonts w:hint="default" w:ascii="Times New Roman" w:hAnsi="Times New Roman" w:cs="Times New Roman"/>
          <w:sz w:val="24"/>
          <w:szCs w:val="24"/>
          <w:lang w:val="en-GB"/>
        </w:rPr>
        <w:t>7.0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Conclusion………………………………………………………..13</w:t>
      </w:r>
    </w:p>
    <w:p w14:paraId="0C9EED1D">
      <w:pPr>
        <w:rPr>
          <w:rFonts w:hint="eastAsia"/>
        </w:rPr>
      </w:pPr>
      <w:r>
        <w:rPr>
          <w:rFonts w:hint="default" w:ascii="Times New Roman" w:hAnsi="Times New Roman" w:cs="Times New Roman"/>
          <w:sz w:val="24"/>
          <w:szCs w:val="24"/>
          <w:lang w:val="en-GB"/>
        </w:rPr>
        <w:t>References………………………………………………………………….14</w:t>
      </w:r>
    </w:p>
    <w:p w14:paraId="07EC9CF1">
      <w:pPr>
        <w:rPr>
          <w:rFonts w:hint="default" w:ascii="Times New Roman" w:hAnsi="Times New Roman" w:cs="Times New Roman"/>
          <w:sz w:val="24"/>
          <w:szCs w:val="24"/>
          <w:lang w:val="en-GB"/>
        </w:rPr>
      </w:pPr>
    </w:p>
    <w:p w14:paraId="5DB6958B">
      <w:pPr>
        <w:rPr>
          <w:rFonts w:hint="eastAsia"/>
        </w:rPr>
      </w:pPr>
    </w:p>
    <w:p w14:paraId="1361DDAC">
      <w:pPr>
        <w:rPr>
          <w:rFonts w:hint="eastAsia"/>
        </w:rPr>
      </w:pPr>
    </w:p>
    <w:p w14:paraId="62340705">
      <w:pPr>
        <w:rPr>
          <w:rFonts w:hint="eastAsia"/>
        </w:rPr>
      </w:pPr>
    </w:p>
    <w:p w14:paraId="4CE06869">
      <w:pPr>
        <w:rPr>
          <w:rFonts w:hint="eastAsia"/>
        </w:rPr>
      </w:pPr>
    </w:p>
    <w:p w14:paraId="1ED70A24">
      <w:pPr>
        <w:rPr>
          <w:rFonts w:hint="eastAsia"/>
        </w:rPr>
      </w:pPr>
    </w:p>
    <w:p w14:paraId="567ACFF0">
      <w:pPr>
        <w:rPr>
          <w:rFonts w:hint="eastAsia"/>
        </w:rPr>
      </w:pPr>
    </w:p>
    <w:p w14:paraId="08EE2A08">
      <w:pPr>
        <w:rPr>
          <w:rFonts w:hint="eastAsia"/>
        </w:rPr>
      </w:pPr>
    </w:p>
    <w:p w14:paraId="7527380B">
      <w:pPr>
        <w:rPr>
          <w:rFonts w:hint="eastAsia"/>
        </w:rPr>
      </w:pPr>
    </w:p>
    <w:p w14:paraId="6B6EA348">
      <w:pPr>
        <w:rPr>
          <w:rFonts w:hint="eastAsia"/>
        </w:rPr>
      </w:pPr>
    </w:p>
    <w:p w14:paraId="73951DE9">
      <w:pPr>
        <w:rPr>
          <w:rFonts w:hint="eastAsia"/>
        </w:rPr>
      </w:pPr>
    </w:p>
    <w:p w14:paraId="54B49C45">
      <w:pPr>
        <w:rPr>
          <w:rFonts w:hint="eastAsia"/>
        </w:rPr>
      </w:pPr>
    </w:p>
    <w:p w14:paraId="223E7E6A">
      <w:pPr>
        <w:rPr>
          <w:rFonts w:hint="eastAsia"/>
        </w:rPr>
      </w:pPr>
    </w:p>
    <w:p w14:paraId="5B1E970B">
      <w:pPr>
        <w:rPr>
          <w:rFonts w:hint="eastAsia"/>
        </w:rPr>
      </w:pPr>
    </w:p>
    <w:p w14:paraId="27632403">
      <w:pPr>
        <w:rPr>
          <w:rFonts w:hint="eastAsia"/>
        </w:rPr>
      </w:pPr>
    </w:p>
    <w:p w14:paraId="2AFDB25F">
      <w:pPr>
        <w:rPr>
          <w:rFonts w:hint="eastAsia"/>
        </w:rPr>
      </w:pPr>
    </w:p>
    <w:p w14:paraId="7D6D3FAC">
      <w:pPr>
        <w:rPr>
          <w:rFonts w:hint="eastAsia"/>
        </w:rPr>
      </w:pPr>
    </w:p>
    <w:p w14:paraId="0BEB2445">
      <w:pPr>
        <w:rPr>
          <w:rFonts w:hint="eastAsia"/>
        </w:rPr>
      </w:pPr>
    </w:p>
    <w:p w14:paraId="256843CE">
      <w:pPr>
        <w:rPr>
          <w:rFonts w:hint="eastAsia"/>
        </w:rPr>
      </w:pPr>
    </w:p>
    <w:p w14:paraId="41542E7E">
      <w:pPr>
        <w:rPr>
          <w:rFonts w:hint="eastAsia"/>
        </w:rPr>
      </w:pPr>
    </w:p>
    <w:p w14:paraId="1535B275">
      <w:pPr>
        <w:rPr>
          <w:rFonts w:hint="eastAsia"/>
        </w:rPr>
      </w:pPr>
    </w:p>
    <w:p w14:paraId="0D6E9396">
      <w:pPr>
        <w:rPr>
          <w:rFonts w:hint="eastAsia"/>
        </w:rPr>
      </w:pPr>
    </w:p>
    <w:p w14:paraId="163F72CB">
      <w:pPr>
        <w:rPr>
          <w:rFonts w:hint="eastAsia"/>
        </w:rPr>
      </w:pPr>
    </w:p>
    <w:p w14:paraId="6487758B">
      <w:pPr>
        <w:rPr>
          <w:rFonts w:hint="eastAsia"/>
        </w:rPr>
      </w:pPr>
    </w:p>
    <w:p w14:paraId="30B52675">
      <w:pPr>
        <w:rPr>
          <w:rFonts w:hint="eastAsia"/>
        </w:rPr>
      </w:pPr>
    </w:p>
    <w:p w14:paraId="07E49555">
      <w:pPr>
        <w:rPr>
          <w:rFonts w:hint="eastAsia"/>
        </w:rPr>
      </w:pPr>
    </w:p>
    <w:p w14:paraId="6C41FE3B">
      <w:pPr>
        <w:rPr>
          <w:rFonts w:hint="eastAsia"/>
        </w:rPr>
      </w:pPr>
    </w:p>
    <w:p w14:paraId="7B793061">
      <w:pPr>
        <w:rPr>
          <w:rFonts w:hint="eastAsia"/>
        </w:rPr>
      </w:pPr>
    </w:p>
    <w:p w14:paraId="7105DAC3">
      <w:pPr>
        <w:rPr>
          <w:rFonts w:hint="eastAsia"/>
        </w:rPr>
      </w:pPr>
    </w:p>
    <w:p w14:paraId="193932BD">
      <w:pPr>
        <w:rPr>
          <w:rFonts w:hint="eastAsia"/>
        </w:rPr>
      </w:pPr>
    </w:p>
    <w:p w14:paraId="19E7463E">
      <w:pPr>
        <w:rPr>
          <w:rFonts w:hint="eastAsia"/>
        </w:rPr>
      </w:pPr>
    </w:p>
    <w:p w14:paraId="04190322">
      <w:pPr>
        <w:rPr>
          <w:rFonts w:hint="eastAsia"/>
        </w:rPr>
      </w:pPr>
    </w:p>
    <w:p w14:paraId="7F480BAC">
      <w:pPr>
        <w:rPr>
          <w:rFonts w:hint="eastAsia"/>
        </w:rPr>
      </w:pPr>
    </w:p>
    <w:p w14:paraId="7FC8556E">
      <w:pPr>
        <w:rPr>
          <w:rFonts w:hint="eastAsia"/>
        </w:rPr>
      </w:pPr>
    </w:p>
    <w:p w14:paraId="7AE473F4">
      <w:pPr>
        <w:spacing w:line="360" w:lineRule="auto"/>
        <w:rPr>
          <w:rFonts w:hint="default" w:ascii="Times New Roman" w:hAnsi="Times New Roman" w:cs="Times New Roman"/>
          <w:sz w:val="24"/>
          <w:szCs w:val="24"/>
          <w:lang w:val="en-GB"/>
        </w:rPr>
      </w:pPr>
      <w:r>
        <w:rPr>
          <w:rFonts w:hint="default"/>
          <w:lang w:val="en-GB"/>
        </w:rPr>
        <w:t>1.0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 xml:space="preserve">Introduction </w:t>
      </w:r>
    </w:p>
    <w:p w14:paraId="44997580">
      <w:pPr>
        <w:spacing w:line="360" w:lineRule="auto"/>
        <w:rPr>
          <w:rFonts w:hint="default" w:ascii="Times New Roman" w:hAnsi="Times New Roman" w:cs="Times New Roman"/>
          <w:sz w:val="24"/>
          <w:szCs w:val="24"/>
        </w:rPr>
      </w:pPr>
    </w:p>
    <w:p w14:paraId="2619DAAA">
      <w:pPr>
        <w:spacing w:line="360" w:lineRule="auto"/>
        <w:ind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Automotive industries rely on human resource management heavily, as they need highly technical expertise, high efficiency, innovation, and constant employee development. With the dramatic pace of automotive innovation, especially electrification, digitalisation and new production methods, companies have become more reliant on recruiting appropriate talent and are continually retraining their employees. The presentation for this case study compares and contrasts the management of people by PROTON with the ways that Toyota manages it, particularly regarding recruitment and talent management, training and development. The presentation also highlights similarity and difference in the two institutions in respect of the development of future automotive professionals. Red Yellow and White Illustrative HRM Development Program Presentation.pdf</w:t>
      </w:r>
    </w:p>
    <w:p w14:paraId="71D09C61">
      <w:pPr>
        <w:spacing w:line="360" w:lineRule="auto"/>
        <w:ind w:leftChars="200" w:firstLine="420" w:firstLineChars="200"/>
        <w:rPr>
          <w:rFonts w:hint="default" w:ascii="Times New Roman" w:hAnsi="Times New Roman" w:cs="Times New Roman"/>
          <w:sz w:val="24"/>
          <w:szCs w:val="24"/>
        </w:rPr>
      </w:pPr>
    </w:p>
    <w:p w14:paraId="26D62769">
      <w:pPr>
        <w:spacing w:line="360" w:lineRule="auto"/>
        <w:ind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PROTON's inception was as Malaysia's national car project with the ultimate aim of promoting economic development and building a local car industry. In 1985, the company launched its first model, the Proton Saga, and in 2017 the company entered into a new internationalisation and technological development stage with DRB-HICOM and Zhejiang Geely Holding Group (PROTON, n.d.). Now PROTON is a fully-fledged car manufacturer, with a research and development division, manufacturing division and advanced engineering division, and its deal with Geely has helped it to go global and transform technologically (PROTON, n.d.-a). </w:t>
      </w:r>
    </w:p>
    <w:p w14:paraId="300EEA7D">
      <w:pPr>
        <w:spacing w:line="360" w:lineRule="auto"/>
        <w:ind w:leftChars="200" w:firstLine="420" w:firstLineChars="200"/>
        <w:rPr>
          <w:rFonts w:hint="default" w:ascii="Times New Roman" w:hAnsi="Times New Roman" w:cs="Times New Roman"/>
          <w:sz w:val="24"/>
          <w:szCs w:val="24"/>
        </w:rPr>
      </w:pPr>
    </w:p>
    <w:p w14:paraId="2619DAAA">
      <w:pPr>
        <w:spacing w:line="360" w:lineRule="auto"/>
        <w:ind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Toyota, on the other hand, was founded on 28 August 1937 by Kiichiro Toyoda and has grown into an automotive company distributed throughout the world. Currently, Toyota Motor Corporation has 390,927 consolidated employees (Toyota Motor Corporation, 2026), which shows the size and complexity of the HR needs at Toyota.  It is no surprise that the organisation's human resource philosophy has always been linked to the Toyota Way, in which continuous improvement and respect for people are key principles (Toyota Motor Corporation, n.d.-a).</w:t>
      </w:r>
    </w:p>
    <w:p w14:paraId="4E771210">
      <w:pPr>
        <w:spacing w:line="360" w:lineRule="auto"/>
        <w:ind w:left="0" w:leftChars="0" w:firstLine="0" w:firstLineChars="0"/>
        <w:rPr>
          <w:rFonts w:hint="default" w:ascii="Times New Roman" w:hAnsi="Times New Roman" w:cs="Times New Roman"/>
          <w:sz w:val="24"/>
          <w:szCs w:val="24"/>
        </w:rPr>
      </w:pPr>
    </w:p>
    <w:p w14:paraId="12D1C8A6">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2.0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Recruitment and Talent Management at PROTON</w:t>
      </w:r>
    </w:p>
    <w:p w14:paraId="2ECBF1DE">
      <w:pPr>
        <w:spacing w:line="360" w:lineRule="auto"/>
        <w:ind w:left="0" w:leftChars="0" w:firstLine="0" w:firstLineChars="0"/>
        <w:rPr>
          <w:rFonts w:hint="default" w:ascii="Times New Roman" w:hAnsi="Times New Roman" w:cs="Times New Roman"/>
          <w:sz w:val="24"/>
          <w:szCs w:val="24"/>
          <w:lang w:val="en-GB"/>
        </w:rPr>
      </w:pPr>
    </w:p>
    <w:p w14:paraId="7D5FAC22">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PROTON's recruitment and talent management initiative focuses greatly on nurturing Malaysian talents and building an ongoing supply chain of automotive industry professionals. This can be witnessed in its PROTON Young Talent (PYT) Programme. PYT is a fast-track development programme for high-potential young graduates, according to the official career information of the company. The programme is centered around onboarding, classroom training, job attachment, project coaching as well as the career development framework (PROTON, n.d.-b) covering the next five years. </w:t>
      </w:r>
    </w:p>
    <w:p w14:paraId="1C44620C">
      <w:pPr>
        <w:spacing w:line="360" w:lineRule="auto"/>
        <w:ind w:left="0" w:leftChars="200" w:firstLine="420" w:firstLineChars="200"/>
        <w:rPr>
          <w:rFonts w:hint="default" w:ascii="Times New Roman" w:hAnsi="Times New Roman" w:cs="Times New Roman"/>
          <w:sz w:val="24"/>
          <w:szCs w:val="24"/>
        </w:rPr>
      </w:pPr>
    </w:p>
    <w:p w14:paraId="08B5EBFF">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As a talent-management programme, PYT is structured, not just a traditional graduate recruitment programme. Young workers are introduced to various aspects of the organisation including manufacturing, engineering/technical, commercial and human resource. Project coaching is also provided for each participant during job attachments, providing opportunities for new employees to gain an understanding of the business and build up practical skills (PROTON, n.d.-b).  This is consistent with the wider definition of talent management that is provided by the Chartered Institute of Personnel and Development (CIPD) which defines talent management as the 'systematic attraction, identification, development, engagement, retention and deployment of employees who are valuable due to their potential or critical role' (CIPD, 2025). </w:t>
      </w:r>
    </w:p>
    <w:p w14:paraId="42FAE56A">
      <w:pPr>
        <w:spacing w:line="360" w:lineRule="auto"/>
        <w:ind w:left="0" w:leftChars="200" w:firstLine="420" w:firstLineChars="200"/>
        <w:rPr>
          <w:rFonts w:hint="default" w:ascii="Times New Roman" w:hAnsi="Times New Roman" w:cs="Times New Roman"/>
          <w:sz w:val="24"/>
          <w:szCs w:val="24"/>
        </w:rPr>
      </w:pPr>
    </w:p>
    <w:p w14:paraId="48DBAB90">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PROTON is also a university engagement to recruit. The Business Case Study Challenge allows the organisation to see students' analytical, innovative, problem-solving and teamwork skills. In 2024, there were almost 300 students competing from six Malaysian universities, and conditional entry into the PYT programme (PROTON, 2024) was possible.  This project was then expanded in the year 2025. According to PROTON, the second edition was carried out by 42 teams from 25 universities and resulted in 30 conditional PYT offers, showing the company is continuing to work closely with universities to look for high-potential candidates before they enter the labour market (PROTON, 2025a). </w:t>
      </w:r>
    </w:p>
    <w:p w14:paraId="59EA5691">
      <w:pPr>
        <w:spacing w:line="360" w:lineRule="auto"/>
        <w:ind w:left="0" w:leftChars="200" w:firstLine="420" w:firstLineChars="200"/>
        <w:rPr>
          <w:rFonts w:hint="default" w:ascii="Times New Roman" w:hAnsi="Times New Roman" w:cs="Times New Roman"/>
          <w:sz w:val="24"/>
          <w:szCs w:val="24"/>
        </w:rPr>
      </w:pPr>
    </w:p>
    <w:p w14:paraId="591E1ADF">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development of talent is crucial, especially as PROTON is evolving to fit new automotive advancements. According to the company the PYT programme had successfully recruited 311 Malaysian youths throughout 27 batches and offered exposure in advanced manufacturing, electric vehicles (PROTON, 2025b).  By the end of 2025 PROTON reported that some 400 young graduates had participated in the programme, which involved job rotations, mentoring, peer and performance reviews and hands on projects (PROTON, 2025a). </w:t>
      </w:r>
    </w:p>
    <w:p w14:paraId="54DF7426">
      <w:pPr>
        <w:spacing w:line="360" w:lineRule="auto"/>
        <w:ind w:left="0" w:leftChars="200" w:firstLine="420" w:firstLineChars="200"/>
        <w:rPr>
          <w:rFonts w:hint="default" w:ascii="Times New Roman" w:hAnsi="Times New Roman" w:cs="Times New Roman"/>
          <w:sz w:val="24"/>
          <w:szCs w:val="24"/>
        </w:rPr>
      </w:pPr>
    </w:p>
    <w:p w14:paraId="77423619">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PROTON's talent-management initiatives, therefore, reflect a focus on early identification of talent, career development and development of a local talent pipeline. This aligns with broader findings suggesting that embedding talent-management initiatives into organisational culture, employee development, and business strategy, rather than just recruitment efforts, can help improve the performance of these organisations (CIPD, 2025).</w:t>
      </w:r>
    </w:p>
    <w:p w14:paraId="7D5FAC22">
      <w:pPr>
        <w:spacing w:line="360" w:lineRule="auto"/>
        <w:ind w:left="0" w:leftChars="200" w:firstLine="420" w:firstLineChars="200"/>
        <w:rPr>
          <w:rFonts w:hint="default" w:ascii="Times New Roman" w:hAnsi="Times New Roman" w:cs="Times New Roman"/>
          <w:sz w:val="24"/>
          <w:szCs w:val="24"/>
        </w:rPr>
      </w:pPr>
    </w:p>
    <w:p w14:paraId="3CB8FDB3">
      <w:pPr>
        <w:spacing w:line="360" w:lineRule="auto"/>
        <w:ind w:left="0" w:leftChars="200" w:firstLine="420" w:firstLineChars="200"/>
        <w:rPr>
          <w:rFonts w:hint="default" w:ascii="Times New Roman" w:hAnsi="Times New Roman" w:cs="Times New Roman"/>
          <w:sz w:val="24"/>
          <w:szCs w:val="24"/>
        </w:rPr>
      </w:pPr>
    </w:p>
    <w:p w14:paraId="38035046">
      <w:pPr>
        <w:spacing w:line="360" w:lineRule="auto"/>
        <w:ind w:left="0" w:leftChars="200" w:firstLine="420" w:firstLineChars="200"/>
        <w:rPr>
          <w:rFonts w:hint="default" w:ascii="Times New Roman" w:hAnsi="Times New Roman" w:cs="Times New Roman"/>
          <w:sz w:val="24"/>
          <w:szCs w:val="24"/>
        </w:rPr>
      </w:pPr>
    </w:p>
    <w:p w14:paraId="00E71CFB">
      <w:pPr>
        <w:spacing w:line="360" w:lineRule="auto"/>
        <w:ind w:left="0" w:leftChars="200" w:firstLine="420" w:firstLineChars="200"/>
        <w:rPr>
          <w:rFonts w:hint="default" w:ascii="Times New Roman" w:hAnsi="Times New Roman" w:cs="Times New Roman"/>
          <w:sz w:val="24"/>
          <w:szCs w:val="24"/>
        </w:rPr>
      </w:pPr>
    </w:p>
    <w:p w14:paraId="2EEB1731">
      <w:pPr>
        <w:spacing w:line="360" w:lineRule="auto"/>
        <w:ind w:left="0" w:leftChars="200" w:firstLine="420" w:firstLineChars="200"/>
        <w:rPr>
          <w:rFonts w:hint="default" w:ascii="Times New Roman" w:hAnsi="Times New Roman" w:cs="Times New Roman"/>
          <w:sz w:val="24"/>
          <w:szCs w:val="24"/>
        </w:rPr>
      </w:pPr>
    </w:p>
    <w:p w14:paraId="3A32199B">
      <w:pPr>
        <w:spacing w:line="360" w:lineRule="auto"/>
        <w:ind w:left="0" w:leftChars="200" w:firstLine="420" w:firstLineChars="200"/>
        <w:rPr>
          <w:rFonts w:hint="default" w:ascii="Times New Roman" w:hAnsi="Times New Roman" w:cs="Times New Roman"/>
          <w:sz w:val="24"/>
          <w:szCs w:val="24"/>
        </w:rPr>
      </w:pPr>
    </w:p>
    <w:p w14:paraId="2EF24802">
      <w:pPr>
        <w:spacing w:line="360" w:lineRule="auto"/>
        <w:ind w:left="0" w:leftChars="200" w:firstLine="420" w:firstLineChars="200"/>
        <w:rPr>
          <w:rFonts w:hint="default" w:ascii="Times New Roman" w:hAnsi="Times New Roman" w:cs="Times New Roman"/>
          <w:sz w:val="24"/>
          <w:szCs w:val="24"/>
        </w:rPr>
      </w:pPr>
    </w:p>
    <w:p w14:paraId="42B7D95C">
      <w:pPr>
        <w:spacing w:line="360" w:lineRule="auto"/>
        <w:ind w:left="0" w:leftChars="200" w:firstLine="420" w:firstLineChars="200"/>
        <w:rPr>
          <w:rFonts w:hint="default" w:ascii="Times New Roman" w:hAnsi="Times New Roman" w:cs="Times New Roman"/>
          <w:sz w:val="24"/>
          <w:szCs w:val="24"/>
        </w:rPr>
      </w:pPr>
    </w:p>
    <w:p w14:paraId="00F755D8">
      <w:pPr>
        <w:spacing w:line="360" w:lineRule="auto"/>
        <w:ind w:left="0" w:leftChars="0" w:firstLine="0" w:firstLineChars="0"/>
        <w:rPr>
          <w:rFonts w:hint="default" w:ascii="Times New Roman" w:hAnsi="Times New Roman" w:cs="Times New Roman"/>
          <w:sz w:val="24"/>
          <w:szCs w:val="24"/>
          <w:lang w:val="en-GB"/>
        </w:rPr>
      </w:pPr>
    </w:p>
    <w:p w14:paraId="37F2FAEB">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3.0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Training and Development at PROTON</w:t>
      </w:r>
    </w:p>
    <w:p w14:paraId="0C8CF3C3">
      <w:pPr>
        <w:spacing w:line="360" w:lineRule="auto"/>
        <w:ind w:left="0" w:leftChars="0" w:firstLine="0" w:firstLineChars="0"/>
        <w:rPr>
          <w:rFonts w:hint="default" w:ascii="Times New Roman" w:hAnsi="Times New Roman" w:cs="Times New Roman"/>
          <w:sz w:val="24"/>
          <w:szCs w:val="24"/>
          <w:lang w:val="en-GB"/>
        </w:rPr>
      </w:pPr>
    </w:p>
    <w:p w14:paraId="1C39BD37">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Training and development are also another key aspect of PROTON's HR strategy. The presentation features joint efforts between PROTON and the Department of Manpower (Jabatan Tenaga Manusia or JTM) in the field of technical and vocational education and training (TVET). In 2024, five employees from PROTON were initially chosen for the modular training and the programme would be phased out to involve 600 employees. The modules include automotive technologies, computer and telecommunication technologies (PROTON, 2024a). This presentation displays the Red &amp; Yellow &amp; White Illustrative HR Management Development Program.This presentation is an example of an HR Management Development Program.</w:t>
      </w:r>
    </w:p>
    <w:p w14:paraId="725F9774">
      <w:pPr>
        <w:spacing w:line="360" w:lineRule="auto"/>
        <w:ind w:left="0" w:leftChars="200" w:firstLine="420" w:firstLineChars="200"/>
        <w:rPr>
          <w:rFonts w:hint="default" w:ascii="Times New Roman" w:hAnsi="Times New Roman" w:cs="Times New Roman"/>
          <w:sz w:val="24"/>
          <w:szCs w:val="24"/>
        </w:rPr>
      </w:pPr>
    </w:p>
    <w:p w14:paraId="059C8D0E">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The programme illustrates the ability of PROTON to upskill and reskill to fill skills gaps in an industry that is undergoing a rapid technological change. The partnership offers access to JTM institutions, training and certification and helps in running a continuous supply of skilled employees and technicians within the PROTON ecosystem (PROTON, 2024a).  This is a key aspect that is of growing importance as automobile companies push their workers further from the traditional manufacturing process into the realm of technologies they don't normally have to master.</w:t>
      </w:r>
    </w:p>
    <w:p w14:paraId="5CFF7B99">
      <w:pPr>
        <w:spacing w:line="360" w:lineRule="auto"/>
        <w:ind w:left="0" w:leftChars="200" w:firstLine="420" w:firstLineChars="200"/>
        <w:rPr>
          <w:rFonts w:hint="default" w:ascii="Times New Roman" w:hAnsi="Times New Roman" w:cs="Times New Roman"/>
          <w:sz w:val="24"/>
          <w:szCs w:val="24"/>
        </w:rPr>
      </w:pPr>
    </w:p>
    <w:p w14:paraId="21F98E69">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Furthermore, the recognition given for PROTON's HR practices is part of its wider fund investment of learning and development. In 2024, it was reported that the company has trained around 3,000 talents in the past five years and its learning and development programme and first time manager development programme (PROTON) have been recognised (2024b). </w:t>
      </w:r>
    </w:p>
    <w:p w14:paraId="4D733C20">
      <w:pPr>
        <w:spacing w:line="360" w:lineRule="auto"/>
        <w:ind w:left="0" w:leftChars="200" w:firstLine="420" w:firstLineChars="200"/>
        <w:rPr>
          <w:rFonts w:hint="default" w:ascii="Times New Roman" w:hAnsi="Times New Roman" w:cs="Times New Roman"/>
          <w:sz w:val="24"/>
          <w:szCs w:val="24"/>
        </w:rPr>
      </w:pPr>
    </w:p>
    <w:p w14:paraId="6D8A4DA2">
      <w:pPr>
        <w:spacing w:line="360" w:lineRule="auto"/>
        <w:ind w:left="0" w:leftChars="200" w:firstLine="420" w:firstLineChars="200"/>
        <w:rPr>
          <w:rFonts w:hint="default" w:ascii="Times New Roman" w:hAnsi="Times New Roman" w:cs="Times New Roman"/>
          <w:sz w:val="24"/>
          <w:szCs w:val="24"/>
        </w:rPr>
      </w:pPr>
    </w:p>
    <w:p w14:paraId="4D1E5AF3">
      <w:pPr>
        <w:spacing w:line="360" w:lineRule="auto"/>
        <w:ind w:left="0" w:leftChars="200" w:firstLine="420" w:firstLineChars="200"/>
        <w:rPr>
          <w:rFonts w:hint="default" w:ascii="Times New Roman" w:hAnsi="Times New Roman" w:cs="Times New Roman"/>
          <w:sz w:val="24"/>
          <w:szCs w:val="24"/>
        </w:rPr>
      </w:pPr>
    </w:p>
    <w:p w14:paraId="1C39BD37">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Studies in the auto industry support the need for such training. The training and development of automotive employees is a key topic due to the changing requirements of the market and rapid technological advances (Saleh &amp; Basri, 2024). They provide a systematic review which identifies training quality, training approaches, assessment, organisational requirements and resource allocation as important factors that impact training effectiveness.  In a similar way, a study was carried out in 2026 in Malaysia on the automotive manufacturing employees in Ipoh to determine the correlation between the training needs assessment, training design, training delivery, training evaluation and the performance of the employees and the results obtained a significant positive relationship between the training needs assessment, training design, training delivery, training evaluation and employee performance (Nagayah &amp; Abd Rahim, 2026).</w:t>
      </w:r>
      <w:r>
        <w:rPr>
          <w:rFonts w:hint="default" w:ascii="Times New Roman" w:hAnsi="Times New Roman" w:cs="Times New Roman"/>
          <w:sz w:val="24"/>
          <w:szCs w:val="24"/>
        </w:rPr>
        <w:t>Factory, a PROTON initiative (PROTON 2026b).  This shows you can learn about international exposure in the context of employee development.</w:t>
      </w:r>
    </w:p>
    <w:p w14:paraId="4F5D90C6">
      <w:pPr>
        <w:spacing w:line="360" w:lineRule="auto"/>
        <w:ind w:left="0" w:leftChars="200" w:firstLine="420" w:firstLineChars="200"/>
        <w:rPr>
          <w:rFonts w:hint="default" w:ascii="Times New Roman" w:hAnsi="Times New Roman" w:cs="Times New Roman"/>
          <w:sz w:val="24"/>
          <w:szCs w:val="24"/>
        </w:rPr>
      </w:pPr>
    </w:p>
    <w:p w14:paraId="20412D0B">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This mirrors the CIPD (2025) position from a human resource point of view that learning and development should link to what the organisation currently and/or future needs in terms of its capability. Learning needs analysis should highlight any skills gaps between the current skills of the employees and those required in the future (CIPD, 2025).  The training strategy is becoming more attuned to the future needs for EVs, digital skills, and advanced manufacturing, as seen in the training focus on PROTON's EVs, its digital skills training, and its advanced manufacturing training.</w:t>
      </w:r>
    </w:p>
    <w:p w14:paraId="5A27B690">
      <w:pPr>
        <w:spacing w:line="360" w:lineRule="auto"/>
        <w:rPr>
          <w:rFonts w:hint="default" w:ascii="Times New Roman" w:hAnsi="Times New Roman" w:cs="Times New Roman"/>
          <w:sz w:val="24"/>
          <w:szCs w:val="24"/>
        </w:rPr>
      </w:pPr>
    </w:p>
    <w:p w14:paraId="203C7BDB">
      <w:pPr>
        <w:spacing w:line="360" w:lineRule="auto"/>
        <w:rPr>
          <w:rFonts w:hint="default" w:ascii="Times New Roman" w:hAnsi="Times New Roman" w:cs="Times New Roman"/>
          <w:sz w:val="24"/>
          <w:szCs w:val="24"/>
        </w:rPr>
      </w:pPr>
    </w:p>
    <w:p w14:paraId="2E752054">
      <w:pPr>
        <w:spacing w:line="360" w:lineRule="auto"/>
        <w:rPr>
          <w:rFonts w:hint="default" w:ascii="Times New Roman" w:hAnsi="Times New Roman" w:cs="Times New Roman"/>
          <w:sz w:val="24"/>
          <w:szCs w:val="24"/>
        </w:rPr>
      </w:pPr>
    </w:p>
    <w:p w14:paraId="50A1D3C1">
      <w:pPr>
        <w:spacing w:line="360" w:lineRule="auto"/>
        <w:rPr>
          <w:rFonts w:hint="default" w:ascii="Times New Roman" w:hAnsi="Times New Roman" w:cs="Times New Roman"/>
          <w:sz w:val="24"/>
          <w:szCs w:val="24"/>
        </w:rPr>
      </w:pPr>
    </w:p>
    <w:p w14:paraId="0D03DAFE">
      <w:pPr>
        <w:spacing w:line="360" w:lineRule="auto"/>
        <w:rPr>
          <w:rFonts w:hint="default" w:ascii="Times New Roman" w:hAnsi="Times New Roman" w:cs="Times New Roman"/>
          <w:sz w:val="24"/>
          <w:szCs w:val="24"/>
        </w:rPr>
      </w:pPr>
    </w:p>
    <w:p w14:paraId="6BB11BF1">
      <w:pPr>
        <w:spacing w:line="360" w:lineRule="auto"/>
        <w:rPr>
          <w:rFonts w:hint="default" w:ascii="Times New Roman" w:hAnsi="Times New Roman" w:cs="Times New Roman"/>
          <w:sz w:val="24"/>
          <w:szCs w:val="24"/>
        </w:rPr>
      </w:pPr>
    </w:p>
    <w:p w14:paraId="022071BA">
      <w:pPr>
        <w:spacing w:line="360" w:lineRule="auto"/>
        <w:rPr>
          <w:rFonts w:hint="default" w:ascii="Times New Roman" w:hAnsi="Times New Roman" w:cs="Times New Roman"/>
          <w:sz w:val="24"/>
          <w:szCs w:val="24"/>
        </w:rPr>
      </w:pPr>
    </w:p>
    <w:p w14:paraId="1A4139D6">
      <w:pPr>
        <w:spacing w:line="360" w:lineRule="auto"/>
        <w:rPr>
          <w:rFonts w:hint="default" w:ascii="Times New Roman" w:hAnsi="Times New Roman" w:cs="Times New Roman"/>
          <w:sz w:val="24"/>
          <w:szCs w:val="24"/>
        </w:rPr>
      </w:pPr>
    </w:p>
    <w:p w14:paraId="1193D555">
      <w:pPr>
        <w:spacing w:line="36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4.0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Recruitment and Talent Management at Toyota</w:t>
      </w:r>
    </w:p>
    <w:p w14:paraId="1B8FD5D0">
      <w:pPr>
        <w:spacing w:line="360" w:lineRule="auto"/>
        <w:rPr>
          <w:rFonts w:hint="default" w:ascii="Times New Roman" w:hAnsi="Times New Roman" w:cs="Times New Roman"/>
          <w:sz w:val="24"/>
          <w:szCs w:val="24"/>
          <w:lang w:val="en-GB"/>
        </w:rPr>
      </w:pPr>
    </w:p>
    <w:p w14:paraId="692AF76B">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However, there are slight variations in the scope of the recruitment strategy that Toyota uses. Instead of emphasizing on recruitment of young Malaysian graduates, Toyota's global HR policy is a synergistic approach of graduate recruitment, mid-career recruitment and international development. The Integrated Report 2025 reveals that the number of mid-career hires rose to 48% in FY2025, signaling a drive for the Company to master new skills and knowledge.The number of mid-career hires rose to 48% in FY2025, as per Toyota's Integrated Report 2025, indicating a pursuit of new skills and knowledge. Meanwhile, Toyota is still hiring university, technical college and vocational school graduates and other educational institutions (Toyota Motor Corporation, 2025). </w:t>
      </w:r>
    </w:p>
    <w:p w14:paraId="6654CD49">
      <w:pPr>
        <w:spacing w:line="360" w:lineRule="auto"/>
        <w:ind w:leftChars="200" w:firstLine="480" w:firstLineChars="200"/>
        <w:rPr>
          <w:rFonts w:hint="default" w:ascii="Times New Roman" w:hAnsi="Times New Roman" w:cs="Times New Roman"/>
          <w:sz w:val="24"/>
          <w:szCs w:val="24"/>
        </w:rPr>
      </w:pPr>
    </w:p>
    <w:p w14:paraId="67C76EAD">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With this approach, Toyota will be able to integrate new graduates with experienced workers. It is also getting more specialised with recruitment. According to Toyota Motor Corporation (2025) course-specific recruitment is used to identify students with clear career aspirations, and the company has boosted their recruitment of IT-related staff and overseas university graduates.  This is simply part of the general shift of the automotive industry from technical automotive knowledge to software, artificial intelligence, data and electrification.</w:t>
      </w:r>
    </w:p>
    <w:p w14:paraId="105B4D14">
      <w:pPr>
        <w:spacing w:line="360" w:lineRule="auto"/>
        <w:ind w:leftChars="200" w:firstLine="480" w:firstLineChars="200"/>
        <w:rPr>
          <w:rFonts w:hint="default" w:ascii="Times New Roman" w:hAnsi="Times New Roman" w:cs="Times New Roman"/>
          <w:sz w:val="24"/>
          <w:szCs w:val="24"/>
        </w:rPr>
      </w:pPr>
    </w:p>
    <w:p w14:paraId="428C93E4">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presentation also focuses on Toyota's preference for candidates with technical skills, the ability to solve problems, teamwork skills, and cultural compatibility within Malaysia. Toyota's Skills Contest 2025 presents a set of illustrations of Toyota's skills development and assessment program. The categories of this competition were technical diagnosis, maintenance and repair, customer relations, service advisory, parts and sales, said UMW Toyota Motor. It also employed written evaluations, challenges and simulations of how they interacted with customers to gauge staff capacities (UMW Toyota Motor, 2025). </w:t>
      </w:r>
    </w:p>
    <w:p w14:paraId="4EECBFA1">
      <w:pPr>
        <w:spacing w:line="360" w:lineRule="auto"/>
        <w:ind w:leftChars="200" w:firstLine="480" w:firstLineChars="200"/>
        <w:rPr>
          <w:rFonts w:hint="default" w:ascii="Times New Roman" w:hAnsi="Times New Roman" w:cs="Times New Roman"/>
          <w:sz w:val="24"/>
          <w:szCs w:val="24"/>
        </w:rPr>
      </w:pPr>
    </w:p>
    <w:p w14:paraId="62534BB7">
      <w:pPr>
        <w:spacing w:line="360" w:lineRule="auto"/>
        <w:ind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Toyota also has plans in place for future leaders' career development. Future leaders is the term used to refer to an Integrated Report that includes assignments and executive training in the global program that also includes regional succession committees (Toyota Motor Corp., 2025).  This establishes a succession plan, which enables talent management to go beyond hiring and include exposure and succession planning.</w:t>
      </w:r>
    </w:p>
    <w:p w14:paraId="549BF9E7">
      <w:pPr>
        <w:spacing w:line="360" w:lineRule="auto"/>
        <w:ind w:left="0" w:leftChars="0" w:firstLine="0" w:firstLineChars="0"/>
        <w:rPr>
          <w:rFonts w:hint="default" w:ascii="Times New Roman" w:hAnsi="Times New Roman" w:cs="Times New Roman"/>
          <w:sz w:val="24"/>
          <w:szCs w:val="24"/>
        </w:rPr>
      </w:pPr>
    </w:p>
    <w:p w14:paraId="0D9207E3">
      <w:pPr>
        <w:spacing w:line="360" w:lineRule="auto"/>
        <w:ind w:left="0" w:leftChars="0" w:firstLine="0" w:firstLineChars="0"/>
        <w:rPr>
          <w:rFonts w:hint="default" w:ascii="Times New Roman" w:hAnsi="Times New Roman" w:cs="Times New Roman"/>
          <w:sz w:val="24"/>
          <w:szCs w:val="24"/>
        </w:rPr>
      </w:pPr>
    </w:p>
    <w:p w14:paraId="0255790D">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5.0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Training and Development at Toyota</w:t>
      </w:r>
    </w:p>
    <w:p w14:paraId="1E91F3AB">
      <w:pPr>
        <w:spacing w:line="360" w:lineRule="auto"/>
        <w:ind w:left="0" w:leftChars="0" w:firstLine="0" w:firstLineChars="0"/>
        <w:rPr>
          <w:rFonts w:hint="default" w:ascii="Times New Roman" w:hAnsi="Times New Roman" w:cs="Times New Roman"/>
          <w:sz w:val="24"/>
          <w:szCs w:val="24"/>
          <w:lang w:val="en-GB"/>
        </w:rPr>
      </w:pPr>
    </w:p>
    <w:p w14:paraId="6AFB1FD0">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Kaizen is strongly connected to training at Toyota. The Toyota Way says that two main principles are continuous improvement and respect for people; there are many other concepts such as challenge, Kaizen, Genchi Genbutsu, respect and teamwork (Toyota Motor Corporation, n.d.-a).  Consequently, training is not considered just a way to teach employees particular technical activities. It is also related to a philosophy of continuous problem identification, solution development and process improvement.</w:t>
      </w:r>
    </w:p>
    <w:p w14:paraId="788C8D08">
      <w:pPr>
        <w:spacing w:line="360" w:lineRule="auto"/>
        <w:ind w:left="0" w:leftChars="200" w:firstLine="420" w:firstLineChars="200"/>
        <w:rPr>
          <w:rFonts w:hint="default" w:ascii="Times New Roman" w:hAnsi="Times New Roman" w:cs="Times New Roman"/>
          <w:sz w:val="24"/>
          <w:szCs w:val="24"/>
        </w:rPr>
      </w:pPr>
    </w:p>
    <w:p w14:paraId="7F485891">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 xml:space="preserve">The presentation thus focuses on the training strategy Toyota is using for current employees and how close it is related to Kaizen. Staff are encouraged to recognise issues and develop their working practices to aid their work. This is backed up by the Toyota's Skills Contest that assesses employees in technical, service and customer-facing activities. The contest is based on “Customer First” and “Quality First” principles, and the participants are asked to showcase their technical expertise, problem-solving abilities, and customer service skills (UMW Toyota Motor, 2025). </w:t>
      </w:r>
    </w:p>
    <w:p w14:paraId="48906BA9">
      <w:pPr>
        <w:spacing w:line="360" w:lineRule="auto"/>
        <w:ind w:left="0" w:leftChars="200" w:firstLine="420" w:firstLineChars="200"/>
        <w:rPr>
          <w:rFonts w:hint="default" w:ascii="Times New Roman" w:hAnsi="Times New Roman" w:cs="Times New Roman"/>
          <w:sz w:val="24"/>
          <w:szCs w:val="24"/>
        </w:rPr>
      </w:pPr>
    </w:p>
    <w:p w14:paraId="3CE415F3">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Toyota also has a solid technical education feeder program. The Toyota Technical Education Programme (T-TEP) is carried out in collaboration with technical and vocational institutions in Malaysia. The programme has trained over 7,000 students since 1991 at 25 partner institutions, according to UMW Toyota Motor (2025).  This shows a long-term strategy for nurturing automotive talent, before a person officially joins the organisation.</w:t>
      </w:r>
    </w:p>
    <w:p w14:paraId="5B126878">
      <w:pPr>
        <w:spacing w:line="360" w:lineRule="auto"/>
        <w:ind w:left="0" w:leftChars="200" w:firstLine="420" w:firstLineChars="200"/>
        <w:rPr>
          <w:rFonts w:hint="default" w:ascii="Times New Roman" w:hAnsi="Times New Roman" w:cs="Times New Roman"/>
          <w:sz w:val="24"/>
          <w:szCs w:val="24"/>
        </w:rPr>
      </w:pPr>
    </w:p>
    <w:p w14:paraId="6AFB1FD0">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Toyota has a wide range of HRD infrastructure worldwide as well. It has a history of human resource development that has Toyota Institute, Global Production Center, Global Learning Center, and Toyota Learning Center, which encompass management development, technical skills, global operations and position-specific training (Toyota Motor Corporation, n.d.-b).  The current Integrated Report also connects career development and training with the goal of building human resources that will support Toyota’s mobility company (Toyota Motor Corporation, 2025) transformation.</w:t>
      </w:r>
    </w:p>
    <w:p w14:paraId="16C486CF">
      <w:pPr>
        <w:spacing w:line="360" w:lineRule="auto"/>
        <w:ind w:left="0" w:leftChars="200" w:firstLine="420" w:firstLineChars="200"/>
        <w:rPr>
          <w:rFonts w:hint="default" w:ascii="Times New Roman" w:hAnsi="Times New Roman" w:cs="Times New Roman"/>
          <w:sz w:val="24"/>
          <w:szCs w:val="24"/>
        </w:rPr>
      </w:pPr>
    </w:p>
    <w:p w14:paraId="52F581E7">
      <w:pPr>
        <w:spacing w:line="360" w:lineRule="auto"/>
        <w:ind w:left="0" w:leftChars="0" w:firstLine="0" w:firstLineChars="0"/>
        <w:rPr>
          <w:rFonts w:hint="default" w:ascii="Times New Roman" w:hAnsi="Times New Roman" w:cs="Times New Roman"/>
          <w:sz w:val="24"/>
          <w:szCs w:val="24"/>
          <w:lang w:val="en-GB"/>
        </w:rPr>
      </w:pPr>
    </w:p>
    <w:p w14:paraId="2503C0EA">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6.0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Comparative Discussion</w:t>
      </w:r>
    </w:p>
    <w:p w14:paraId="4148DDF1">
      <w:pPr>
        <w:spacing w:line="360" w:lineRule="auto"/>
        <w:ind w:left="0" w:leftChars="0" w:firstLine="0" w:firstLineChars="0"/>
        <w:rPr>
          <w:rFonts w:hint="default" w:ascii="Times New Roman" w:hAnsi="Times New Roman" w:cs="Times New Roman"/>
          <w:sz w:val="24"/>
          <w:szCs w:val="24"/>
          <w:lang w:val="en-GB"/>
        </w:rPr>
      </w:pPr>
    </w:p>
    <w:p w14:paraId="4B7EF190">
      <w:pPr>
        <w:spacing w:line="360" w:lineRule="auto"/>
        <w:ind w:left="0" w:leftChars="20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The comparison suggests that PROTON and Toyota are aware of the value of employees in their organisation's capability. Both organisations develop future leaders, career progression, technical development and recruitment. They both also have links with educational institutions, developing future car practitioners.</w:t>
      </w:r>
    </w:p>
    <w:p w14:paraId="7FCE9109">
      <w:pPr>
        <w:spacing w:line="360" w:lineRule="auto"/>
        <w:ind w:left="0" w:leftChars="0" w:firstLine="0" w:firstLineChars="0"/>
        <w:rPr>
          <w:rFonts w:hint="default" w:ascii="Times New Roman" w:hAnsi="Times New Roman" w:cs="Times New Roman"/>
          <w:sz w:val="24"/>
          <w:szCs w:val="24"/>
        </w:rPr>
      </w:pPr>
    </w:p>
    <w:p w14:paraId="3CFE32EF">
      <w:pPr>
        <w:spacing w:line="360" w:lineRule="auto"/>
        <w:ind w:left="0" w:leftChars="0"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But there is a difference in the emphasis that the two organisations put on talent development. PROTON's philosophy is very focused on nurturing the young talents of the locals and creating a local talent pool to work for them. It has a structured pathway from education to employment through its PYT programme, university business competitions, TVET partnerships and activities for graduate development. The presentation thus highlights that PROTON is more geared towards nurturing the next generation of young Malaysian talents, to produce the next generation of Malaysian car workers. Illustrative HR Management Development Program Presentation - Red Yellow and White.pdf</w:t>
      </w:r>
    </w:p>
    <w:p w14:paraId="4C2E8ABA">
      <w:pPr>
        <w:spacing w:line="360" w:lineRule="auto"/>
        <w:ind w:left="0" w:leftChars="0" w:firstLine="0" w:firstLineChars="0"/>
        <w:rPr>
          <w:rFonts w:hint="default" w:ascii="Times New Roman" w:hAnsi="Times New Roman" w:cs="Times New Roman"/>
          <w:sz w:val="24"/>
          <w:szCs w:val="24"/>
        </w:rPr>
      </w:pPr>
    </w:p>
    <w:p w14:paraId="7E3D9EB5">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Toyota takes a global perspective. It brings together graduates and mid-career professionals to their recruitment portfolio and international assignments, leadership programmes and global succession planning to its career development. Concurrently, Toyota continues to have a long history of technical education system in Malaysia with T-TEP and technical competitions.</w:t>
      </w:r>
    </w:p>
    <w:p w14:paraId="1BF0A8DB">
      <w:pPr>
        <w:spacing w:line="360" w:lineRule="auto"/>
        <w:ind w:left="0" w:leftChars="0" w:firstLine="0" w:firstLineChars="0"/>
        <w:rPr>
          <w:rFonts w:hint="default" w:ascii="Times New Roman" w:hAnsi="Times New Roman" w:cs="Times New Roman"/>
          <w:sz w:val="24"/>
          <w:szCs w:val="24"/>
        </w:rPr>
      </w:pPr>
    </w:p>
    <w:p w14:paraId="4035F0C5">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It is also reflected in the approach to training. PROTON is highly committed to reskilling and building new skills for an ever-evolving automotive industry, such as EV-related and digital skills. The development is part of the Toyota philosophy of Kaizen, which is closely linked to the continuous improvement of operations, and the learning of the employees is closely linked to this. These strategies are not competitive; they can be used in conjunction. They are both continuous capability development activities, and focus on different priorities of the organisation.</w:t>
      </w:r>
    </w:p>
    <w:p w14:paraId="5EC8E7EB">
      <w:pPr>
        <w:spacing w:line="360" w:lineRule="auto"/>
        <w:ind w:left="0" w:leftChars="0" w:firstLine="0" w:firstLineChars="0"/>
        <w:rPr>
          <w:rFonts w:hint="default" w:ascii="Times New Roman" w:hAnsi="Times New Roman" w:cs="Times New Roman"/>
          <w:sz w:val="24"/>
          <w:szCs w:val="24"/>
        </w:rPr>
      </w:pPr>
    </w:p>
    <w:p w14:paraId="4B7EF190">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External environment backs up the importance of both approaches. According to World Economic Forum (2025) findings, the Future of Jobs Report 2025 indicates that 39% of core skills of the current workforce will be altered by 2030 and 85% of employers surveyed will focus on upskilling their workforce.  For automotive companies it is no longer a choice but an imperative to train and manage their employees with a system.</w:t>
      </w:r>
    </w:p>
    <w:p w14:paraId="272F59E8">
      <w:pPr>
        <w:spacing w:line="360" w:lineRule="auto"/>
        <w:ind w:left="0" w:leftChars="0" w:firstLine="0" w:firstLineChars="0"/>
        <w:rPr>
          <w:rFonts w:hint="default" w:ascii="Times New Roman" w:hAnsi="Times New Roman" w:cs="Times New Roman"/>
          <w:sz w:val="24"/>
          <w:szCs w:val="24"/>
        </w:rPr>
      </w:pPr>
    </w:p>
    <w:p w14:paraId="3AE41F55">
      <w:pPr>
        <w:spacing w:line="360" w:lineRule="auto"/>
        <w:ind w:left="0" w:leftChars="0" w:firstLine="0" w:firstLineChars="0"/>
        <w:rPr>
          <w:rFonts w:hint="default" w:ascii="Times New Roman" w:hAnsi="Times New Roman" w:cs="Times New Roman"/>
          <w:sz w:val="24"/>
          <w:szCs w:val="24"/>
          <w:lang w:val="en-GB"/>
        </w:rPr>
      </w:pPr>
    </w:p>
    <w:p w14:paraId="5327D3DE">
      <w:pPr>
        <w:spacing w:line="360" w:lineRule="auto"/>
        <w:ind w:left="0" w:leftChars="0" w:firstLine="0" w:firstLineChars="0"/>
        <w:rPr>
          <w:rFonts w:hint="default" w:ascii="Times New Roman" w:hAnsi="Times New Roman" w:cs="Times New Roman"/>
          <w:sz w:val="24"/>
          <w:szCs w:val="24"/>
          <w:lang w:val="en-GB"/>
        </w:rPr>
      </w:pPr>
    </w:p>
    <w:p w14:paraId="454B800D">
      <w:pPr>
        <w:spacing w:line="360" w:lineRule="auto"/>
        <w:ind w:left="0" w:leftChars="0" w:firstLine="0" w:firstLineChars="0"/>
        <w:rPr>
          <w:rFonts w:hint="default" w:ascii="Times New Roman" w:hAnsi="Times New Roman" w:cs="Times New Roman"/>
          <w:sz w:val="24"/>
          <w:szCs w:val="24"/>
          <w:lang w:val="en-GB"/>
        </w:rPr>
      </w:pPr>
    </w:p>
    <w:p w14:paraId="420099FE">
      <w:pPr>
        <w:spacing w:line="360" w:lineRule="auto"/>
        <w:ind w:left="0" w:leftChars="0" w:firstLine="0" w:firstLineChars="0"/>
        <w:rPr>
          <w:rFonts w:hint="default" w:ascii="Times New Roman" w:hAnsi="Times New Roman" w:cs="Times New Roman"/>
          <w:sz w:val="24"/>
          <w:szCs w:val="24"/>
          <w:lang w:val="en-GB"/>
        </w:rPr>
      </w:pPr>
    </w:p>
    <w:p w14:paraId="37889405">
      <w:pPr>
        <w:spacing w:line="360" w:lineRule="auto"/>
        <w:ind w:left="0" w:leftChars="0" w:firstLine="0" w:firstLineChars="0"/>
        <w:rPr>
          <w:rFonts w:hint="default" w:ascii="Times New Roman" w:hAnsi="Times New Roman" w:cs="Times New Roman"/>
          <w:sz w:val="24"/>
          <w:szCs w:val="24"/>
          <w:lang w:val="en-GB"/>
        </w:rPr>
      </w:pPr>
    </w:p>
    <w:p w14:paraId="7AF4BBAF">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7.0</w:t>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ab/>
      </w:r>
      <w:r>
        <w:rPr>
          <w:rFonts w:hint="default" w:ascii="Times New Roman" w:hAnsi="Times New Roman" w:cs="Times New Roman"/>
          <w:sz w:val="24"/>
          <w:szCs w:val="24"/>
          <w:lang w:val="en-GB"/>
        </w:rPr>
        <w:t>Conclusion</w:t>
      </w:r>
    </w:p>
    <w:p w14:paraId="61447B2C">
      <w:pPr>
        <w:spacing w:line="360" w:lineRule="auto"/>
        <w:ind w:left="0" w:leftChars="0" w:firstLine="0" w:firstLineChars="0"/>
        <w:rPr>
          <w:rFonts w:hint="default" w:ascii="Times New Roman" w:hAnsi="Times New Roman" w:cs="Times New Roman"/>
          <w:sz w:val="24"/>
          <w:szCs w:val="24"/>
          <w:lang w:val="en-GB"/>
        </w:rPr>
      </w:pPr>
    </w:p>
    <w:p w14:paraId="5BBC13D3">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The example of the two companies PROTON and Toyota shows that the management of human resources in the automotive sector is becoming vital in the use of systematic recruitment, identification of talent, ongoing learning and development of individuals' careers. Both organisations have structured programmes for developing their employees and for building their future talent pipeline, but the approaches are different because of the different organisations.</w:t>
      </w:r>
    </w:p>
    <w:p w14:paraId="36500166">
      <w:pPr>
        <w:spacing w:line="360" w:lineRule="auto"/>
        <w:ind w:left="0" w:leftChars="200" w:firstLine="420" w:firstLineChars="200"/>
        <w:rPr>
          <w:rFonts w:hint="default" w:ascii="Times New Roman" w:hAnsi="Times New Roman" w:cs="Times New Roman"/>
          <w:sz w:val="24"/>
          <w:szCs w:val="24"/>
        </w:rPr>
      </w:pPr>
    </w:p>
    <w:p w14:paraId="760C6C9B">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A significant focus of PROTON is on the development of young Malaysian talent, university engagement, TVET development, reskilling and accelerated development via the PYT programme. Toyota's approach to graduate recruitment integrates with experienced mid career recruitment with a focus on continuous improvement, technical skills and global development and succession of leadership. Red Yellow and White – Illustrative HR Management Development Program Presentation.pdf</w:t>
      </w:r>
    </w:p>
    <w:p w14:paraId="025D00D6">
      <w:pPr>
        <w:spacing w:line="360" w:lineRule="auto"/>
        <w:ind w:left="0" w:leftChars="200" w:firstLine="420" w:firstLineChars="200"/>
        <w:rPr>
          <w:rFonts w:hint="default" w:ascii="Times New Roman" w:hAnsi="Times New Roman" w:cs="Times New Roman"/>
          <w:sz w:val="24"/>
          <w:szCs w:val="24"/>
        </w:rPr>
      </w:pPr>
    </w:p>
    <w:p w14:paraId="5BBC13D3">
      <w:pPr>
        <w:spacing w:line="360" w:lineRule="auto"/>
        <w:ind w:left="0" w:leftChars="200" w:firstLine="420" w:firstLineChars="200"/>
        <w:rPr>
          <w:rFonts w:hint="default" w:ascii="Times New Roman" w:hAnsi="Times New Roman" w:cs="Times New Roman"/>
          <w:sz w:val="24"/>
          <w:szCs w:val="24"/>
        </w:rPr>
      </w:pPr>
      <w:r>
        <w:rPr>
          <w:rFonts w:hint="default" w:ascii="Times New Roman" w:hAnsi="Times New Roman" w:cs="Times New Roman"/>
          <w:sz w:val="24"/>
          <w:szCs w:val="24"/>
        </w:rPr>
        <w:t>Finally, the case study demonstrates that recruitment and training need to be part of an organisations long-term strategy. In an automotive world that is increasingly electrified, digitalised and characterised by a dynamic skills environment, organisations need to continually invest in their human capital to ensure that they have the right skills available to support the transformation. As a whole, the findings of the PROTON and Toyota initiatives, as well as recent studies on automotive training, suggest that the processes of employee development have come to be linked with productivity, innovation, and operational capability and long-term organizational sustainability.</w:t>
      </w:r>
    </w:p>
    <w:p w14:paraId="2904B75D">
      <w:pPr>
        <w:spacing w:line="360" w:lineRule="auto"/>
        <w:ind w:left="0" w:leftChars="0" w:firstLine="0" w:firstLineChars="0"/>
        <w:rPr>
          <w:rFonts w:hint="default" w:ascii="Times New Roman" w:hAnsi="Times New Roman" w:cs="Times New Roman"/>
          <w:sz w:val="24"/>
          <w:szCs w:val="24"/>
        </w:rPr>
      </w:pPr>
    </w:p>
    <w:p w14:paraId="6B9943F2">
      <w:pPr>
        <w:spacing w:line="360" w:lineRule="auto"/>
        <w:ind w:left="0" w:leftChars="0" w:firstLine="0" w:firstLineChars="0"/>
        <w:rPr>
          <w:rFonts w:hint="default" w:ascii="Times New Roman" w:hAnsi="Times New Roman" w:cs="Times New Roman"/>
          <w:sz w:val="24"/>
          <w:szCs w:val="24"/>
        </w:rPr>
      </w:pPr>
    </w:p>
    <w:p w14:paraId="5D061693">
      <w:pPr>
        <w:spacing w:line="360" w:lineRule="auto"/>
        <w:ind w:left="0" w:leftChars="0" w:firstLine="0" w:firstLineChars="0"/>
        <w:rPr>
          <w:rFonts w:hint="default" w:ascii="Times New Roman" w:hAnsi="Times New Roman" w:cs="Times New Roman"/>
          <w:sz w:val="24"/>
          <w:szCs w:val="24"/>
        </w:rPr>
      </w:pPr>
    </w:p>
    <w:p w14:paraId="4A5F5795">
      <w:pPr>
        <w:spacing w:line="360" w:lineRule="auto"/>
        <w:ind w:left="0" w:leftChars="0" w:firstLine="0" w:firstLineChars="0"/>
        <w:rPr>
          <w:rFonts w:hint="default" w:ascii="Times New Roman" w:hAnsi="Times New Roman" w:cs="Times New Roman"/>
          <w:sz w:val="24"/>
          <w:szCs w:val="24"/>
        </w:rPr>
      </w:pPr>
    </w:p>
    <w:p w14:paraId="6A05AB1F">
      <w:pPr>
        <w:spacing w:line="360" w:lineRule="auto"/>
        <w:ind w:left="0" w:leftChars="0" w:firstLine="0" w:firstLineChars="0"/>
        <w:rPr>
          <w:rFonts w:hint="default" w:ascii="Times New Roman" w:hAnsi="Times New Roman" w:cs="Times New Roman"/>
          <w:sz w:val="24"/>
          <w:szCs w:val="24"/>
          <w:lang w:val="en-GB"/>
        </w:rPr>
      </w:pPr>
      <w:r>
        <w:rPr>
          <w:rFonts w:hint="default" w:ascii="Times New Roman" w:hAnsi="Times New Roman" w:cs="Times New Roman"/>
          <w:sz w:val="24"/>
          <w:szCs w:val="24"/>
          <w:lang w:val="en-GB"/>
        </w:rPr>
        <w:t>References</w:t>
      </w:r>
    </w:p>
    <w:p w14:paraId="2B434FB4">
      <w:pPr>
        <w:spacing w:line="360" w:lineRule="auto"/>
        <w:ind w:left="0" w:leftChars="0" w:firstLine="0" w:firstLineChars="0"/>
        <w:rPr>
          <w:rFonts w:hint="default" w:ascii="Times New Roman" w:hAnsi="Times New Roman" w:cs="Times New Roman"/>
          <w:sz w:val="24"/>
          <w:szCs w:val="24"/>
          <w:lang w:val="en-GB"/>
        </w:rPr>
      </w:pPr>
    </w:p>
    <w:p w14:paraId="73C8B7C1">
      <w:pPr>
        <w:spacing w:line="360" w:lineRule="auto"/>
        <w:ind w:left="0" w:leftChars="0" w:firstLine="0" w:firstLineChars="0"/>
        <w:rPr>
          <w:rFonts w:hint="default" w:ascii="Times New Roman" w:hAnsi="Times New Roman" w:cs="Times New Roman"/>
          <w:i w:val="0"/>
          <w:iCs w:val="0"/>
          <w:sz w:val="24"/>
          <w:szCs w:val="24"/>
          <w:lang w:val="en-GB"/>
        </w:rPr>
      </w:pPr>
      <w:r>
        <w:rPr>
          <w:rFonts w:hint="default" w:ascii="Times New Roman" w:hAnsi="Times New Roman" w:cs="Times New Roman"/>
          <w:sz w:val="24"/>
          <w:szCs w:val="24"/>
          <w:lang w:val="en-GB"/>
        </w:rPr>
        <w:t>CIPD. (2025, June 26).</w:t>
      </w:r>
      <w:r>
        <w:rPr>
          <w:rFonts w:hint="default" w:ascii="Times New Roman" w:hAnsi="Times New Roman" w:cs="Times New Roman"/>
          <w:i/>
          <w:iCs/>
          <w:sz w:val="24"/>
          <w:szCs w:val="24"/>
          <w:lang w:val="en-GB"/>
        </w:rPr>
        <w:t xml:space="preserve"> Talent management: Guidance for people professionals. </w:t>
      </w:r>
      <w:r>
        <w:rPr>
          <w:rFonts w:hint="default" w:ascii="Times New Roman" w:hAnsi="Times New Roman" w:cs="Times New Roman"/>
          <w:i w:val="0"/>
          <w:iCs w:val="0"/>
          <w:sz w:val="24"/>
          <w:szCs w:val="24"/>
          <w:lang w:val="en-GB"/>
        </w:rPr>
        <w:t>Chartered Institute of Personnel and Development.</w:t>
      </w:r>
    </w:p>
    <w:p w14:paraId="1A03A3F7">
      <w:pPr>
        <w:spacing w:line="360" w:lineRule="auto"/>
        <w:ind w:left="0" w:leftChars="0" w:firstLine="0" w:firstLineChars="0"/>
        <w:rPr>
          <w:rFonts w:hint="default" w:ascii="Times New Roman" w:hAnsi="Times New Roman" w:cs="Times New Roman"/>
          <w:i w:val="0"/>
          <w:iCs w:val="0"/>
          <w:sz w:val="24"/>
          <w:szCs w:val="24"/>
          <w:lang w:val="en-GB"/>
        </w:rPr>
      </w:pPr>
    </w:p>
    <w:p w14:paraId="14DFF05E">
      <w:pPr>
        <w:spacing w:line="360" w:lineRule="auto"/>
        <w:ind w:left="0" w:leftChars="0" w:firstLine="0" w:firstLineChars="0"/>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Nagayah, C. D. A. &amp; Abd Rahim, N. (2026). </w:t>
      </w:r>
      <w:r>
        <w:rPr>
          <w:rFonts w:hint="default" w:ascii="Times New Roman" w:hAnsi="Times New Roman" w:cs="Times New Roman"/>
          <w:i/>
          <w:iCs/>
          <w:sz w:val="24"/>
          <w:szCs w:val="24"/>
          <w:lang w:val="en-GB"/>
        </w:rPr>
        <w:t>Training and employee performance in the automotive manufacturing sector: Evidence from Ipoh, Malaysia.</w:t>
      </w:r>
      <w:r>
        <w:rPr>
          <w:rFonts w:hint="default" w:ascii="Times New Roman" w:hAnsi="Times New Roman" w:cs="Times New Roman"/>
          <w:i w:val="0"/>
          <w:iCs w:val="0"/>
          <w:sz w:val="24"/>
          <w:szCs w:val="24"/>
          <w:lang w:val="en-GB"/>
        </w:rPr>
        <w:t xml:space="preserve"> International Journal of Academic Research in Business and Social Sciences, 16(5). </w:t>
      </w:r>
    </w:p>
    <w:p w14:paraId="4E0BED8F">
      <w:pPr>
        <w:spacing w:line="360" w:lineRule="auto"/>
        <w:ind w:left="0" w:leftChars="0" w:firstLine="0" w:firstLineChars="0"/>
        <w:rPr>
          <w:rFonts w:hint="default" w:ascii="Times New Roman" w:hAnsi="Times New Roman" w:cs="Times New Roman"/>
          <w:i w:val="0"/>
          <w:iCs w:val="0"/>
          <w:sz w:val="24"/>
          <w:szCs w:val="24"/>
          <w:lang w:val="en-GB"/>
        </w:rPr>
      </w:pPr>
    </w:p>
    <w:p w14:paraId="3BE501A0">
      <w:pPr>
        <w:spacing w:line="360" w:lineRule="auto"/>
        <w:ind w:left="0" w:leftChars="0" w:firstLine="0" w:firstLineChars="0"/>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 xml:space="preserve">PROTON. (n.d.) </w:t>
      </w:r>
      <w:r>
        <w:rPr>
          <w:rFonts w:hint="default" w:ascii="Times New Roman" w:hAnsi="Times New Roman" w:cs="Times New Roman"/>
          <w:i/>
          <w:iCs/>
          <w:sz w:val="24"/>
          <w:szCs w:val="24"/>
          <w:lang w:val="en-GB"/>
        </w:rPr>
        <w:t xml:space="preserve">About us. </w:t>
      </w:r>
      <w:r>
        <w:rPr>
          <w:rFonts w:hint="default" w:ascii="Times New Roman" w:hAnsi="Times New Roman" w:cs="Times New Roman"/>
          <w:i w:val="0"/>
          <w:iCs w:val="0"/>
          <w:sz w:val="24"/>
          <w:szCs w:val="24"/>
          <w:lang w:val="en-GB"/>
        </w:rPr>
        <w:t>PROTON Holdings Berhad.</w:t>
      </w:r>
    </w:p>
    <w:p w14:paraId="32DC8E1F">
      <w:pPr>
        <w:spacing w:line="360" w:lineRule="auto"/>
        <w:ind w:left="0" w:leftChars="0" w:firstLine="0" w:firstLineChars="0"/>
        <w:rPr>
          <w:rFonts w:hint="default" w:ascii="Times New Roman" w:hAnsi="Times New Roman" w:cs="Times New Roman"/>
          <w:i w:val="0"/>
          <w:iCs w:val="0"/>
          <w:sz w:val="24"/>
          <w:szCs w:val="24"/>
          <w:lang w:val="en-GB"/>
        </w:rPr>
      </w:pPr>
    </w:p>
    <w:p w14:paraId="55265504">
      <w:pPr>
        <w:spacing w:line="360" w:lineRule="auto"/>
        <w:ind w:left="0" w:leftChars="0" w:firstLine="0" w:firstLineChars="0"/>
        <w:rPr>
          <w:rFonts w:hint="default" w:ascii="Times New Roman" w:hAnsi="Times New Roman" w:cs="Times New Roman"/>
          <w:i w:val="0"/>
          <w:iCs w:val="0"/>
          <w:sz w:val="24"/>
          <w:szCs w:val="24"/>
          <w:lang w:val="en-GB"/>
        </w:rPr>
      </w:pPr>
      <w:r>
        <w:rPr>
          <w:rFonts w:hint="default" w:ascii="Times New Roman" w:hAnsi="Times New Roman" w:cs="Times New Roman"/>
          <w:i w:val="0"/>
          <w:iCs w:val="0"/>
          <w:sz w:val="24"/>
          <w:szCs w:val="24"/>
          <w:lang w:val="en-GB"/>
        </w:rPr>
        <w:t>PROTON. (n.d. -a).</w:t>
      </w:r>
      <w:r>
        <w:rPr>
          <w:rFonts w:hint="default" w:ascii="Times New Roman" w:hAnsi="Times New Roman" w:cs="Times New Roman"/>
          <w:i/>
          <w:iCs/>
          <w:sz w:val="24"/>
          <w:szCs w:val="24"/>
          <w:lang w:val="en-GB"/>
        </w:rPr>
        <w:t xml:space="preserve"> Business overview. </w:t>
      </w:r>
      <w:r>
        <w:rPr>
          <w:rFonts w:hint="default" w:ascii="Times New Roman" w:hAnsi="Times New Roman" w:cs="Times New Roman"/>
          <w:i w:val="0"/>
          <w:iCs w:val="0"/>
          <w:sz w:val="24"/>
          <w:szCs w:val="24"/>
          <w:lang w:val="en-GB"/>
        </w:rPr>
        <w:t>PROTON Holdings Berhad.</w:t>
      </w:r>
    </w:p>
    <w:p w14:paraId="38F461E9">
      <w:pPr>
        <w:spacing w:line="360" w:lineRule="auto"/>
        <w:ind w:left="0" w:leftChars="0" w:firstLine="0" w:firstLineChars="0"/>
        <w:rPr>
          <w:rFonts w:hint="default" w:ascii="Times New Roman" w:hAnsi="Times New Roman" w:cs="Times New Roman"/>
          <w:i w:val="0"/>
          <w:iCs w:val="0"/>
          <w:sz w:val="24"/>
          <w:szCs w:val="24"/>
          <w:lang w:val="en-GB"/>
        </w:rPr>
      </w:pPr>
    </w:p>
    <w:p w14:paraId="2124C93A">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PROTON. (n.d.-b). Career – PROTON Young Talent Development Plan. PROTON Holdings Berhad. </w:t>
      </w:r>
    </w:p>
    <w:p w14:paraId="0B29D4AD">
      <w:pPr>
        <w:spacing w:line="360" w:lineRule="auto"/>
        <w:ind w:left="0" w:leftChars="0" w:firstLine="0" w:firstLineChars="0"/>
        <w:rPr>
          <w:rFonts w:hint="default" w:ascii="Times New Roman" w:hAnsi="Times New Roman" w:cs="Times New Roman"/>
          <w:sz w:val="24"/>
          <w:szCs w:val="24"/>
        </w:rPr>
      </w:pPr>
    </w:p>
    <w:p w14:paraId="0D71F590">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PROTON. (2024, July 12). PROTON wins four awards in best HR practices, employee development and experience. </w:t>
      </w:r>
    </w:p>
    <w:p w14:paraId="3715A42B">
      <w:pPr>
        <w:spacing w:line="360" w:lineRule="auto"/>
        <w:ind w:left="0" w:leftChars="0" w:firstLine="0" w:firstLineChars="0"/>
        <w:rPr>
          <w:rFonts w:hint="default" w:ascii="Times New Roman" w:hAnsi="Times New Roman" w:cs="Times New Roman"/>
          <w:sz w:val="24"/>
          <w:szCs w:val="24"/>
        </w:rPr>
      </w:pPr>
    </w:p>
    <w:p w14:paraId="0AAA7173">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PROTON. (2024, October 8). Department of Manpower collaborates with PROTON to promote TVET programmes. </w:t>
      </w:r>
    </w:p>
    <w:p w14:paraId="5924FAAC">
      <w:pPr>
        <w:spacing w:line="360" w:lineRule="auto"/>
        <w:ind w:left="0" w:leftChars="0" w:firstLine="0" w:firstLineChars="0"/>
        <w:rPr>
          <w:rFonts w:hint="default" w:ascii="Times New Roman" w:hAnsi="Times New Roman" w:cs="Times New Roman"/>
          <w:sz w:val="24"/>
          <w:szCs w:val="24"/>
        </w:rPr>
      </w:pPr>
    </w:p>
    <w:p w14:paraId="304BF8AD">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PROTON. (2024, September 26). This year's business case study challenge PROTON attracts 300 university students. </w:t>
      </w:r>
    </w:p>
    <w:p w14:paraId="77575FF9">
      <w:pPr>
        <w:spacing w:line="360" w:lineRule="auto"/>
        <w:ind w:left="0" w:leftChars="0" w:firstLine="0" w:firstLineChars="0"/>
        <w:rPr>
          <w:rFonts w:hint="default" w:ascii="Times New Roman" w:hAnsi="Times New Roman" w:cs="Times New Roman"/>
          <w:sz w:val="24"/>
          <w:szCs w:val="24"/>
        </w:rPr>
      </w:pPr>
    </w:p>
    <w:p w14:paraId="2A9615DD">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PROTON. (2025, August 21). PROTON Young Talent Programme nurturing Malaysia's automotive talent. </w:t>
      </w:r>
    </w:p>
    <w:p w14:paraId="13FFC34C">
      <w:pPr>
        <w:spacing w:line="360" w:lineRule="auto"/>
        <w:ind w:left="0" w:leftChars="0" w:firstLine="0" w:firstLineChars="0"/>
        <w:rPr>
          <w:rFonts w:hint="default" w:ascii="Times New Roman" w:hAnsi="Times New Roman" w:cs="Times New Roman"/>
          <w:sz w:val="24"/>
          <w:szCs w:val="24"/>
        </w:rPr>
      </w:pPr>
    </w:p>
    <w:p w14:paraId="6AB0177D">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PROTON. (2025, December 29). PROTON Business Case Study Challenge 2025 is an opportunity for University students to demonstrate their skills. </w:t>
      </w:r>
    </w:p>
    <w:p w14:paraId="06052C22">
      <w:pPr>
        <w:spacing w:line="360" w:lineRule="auto"/>
        <w:ind w:left="0" w:leftChars="0" w:firstLine="0" w:firstLineChars="0"/>
        <w:rPr>
          <w:rFonts w:hint="default" w:ascii="Times New Roman" w:hAnsi="Times New Roman" w:cs="Times New Roman"/>
          <w:sz w:val="24"/>
          <w:szCs w:val="24"/>
        </w:rPr>
      </w:pPr>
    </w:p>
    <w:p w14:paraId="354DBF7B">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Saleh, H., &amp; Basri, S. A. M. F. (2024). A systematic review on critical factors regarding employee training in the automotive industry: performance-based training strategies. The International Journal of Academic Research in Business and Social Sciences, Vol. 14, No. 12 (December 2013): 1805-1813. </w:t>
      </w:r>
    </w:p>
    <w:p w14:paraId="5237216A">
      <w:pPr>
        <w:spacing w:line="360" w:lineRule="auto"/>
        <w:ind w:left="0" w:leftChars="0" w:firstLine="0" w:firstLineChars="0"/>
        <w:rPr>
          <w:rFonts w:hint="default" w:ascii="Times New Roman" w:hAnsi="Times New Roman" w:cs="Times New Roman"/>
          <w:sz w:val="24"/>
          <w:szCs w:val="24"/>
        </w:rPr>
      </w:pPr>
    </w:p>
    <w:p w14:paraId="1711C688">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Toyota Motor Corporation. (2025). Integrated Report 2025. Toyota Motor Corporation. </w:t>
      </w:r>
    </w:p>
    <w:p w14:paraId="744A0FD0">
      <w:pPr>
        <w:spacing w:line="360" w:lineRule="auto"/>
        <w:ind w:left="0" w:leftChars="0" w:firstLine="0" w:firstLineChars="0"/>
        <w:rPr>
          <w:rFonts w:hint="default" w:ascii="Times New Roman" w:hAnsi="Times New Roman" w:cs="Times New Roman"/>
          <w:sz w:val="24"/>
          <w:szCs w:val="24"/>
        </w:rPr>
      </w:pPr>
    </w:p>
    <w:p w14:paraId="1C0521F0">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Toyota Motor Corporation. (2026). Overview: Company profile. Toyota Motor Corporation. </w:t>
      </w:r>
    </w:p>
    <w:p w14:paraId="714ED2EF">
      <w:pPr>
        <w:spacing w:line="360" w:lineRule="auto"/>
        <w:ind w:left="0" w:leftChars="0" w:firstLine="0" w:firstLineChars="0"/>
        <w:rPr>
          <w:rFonts w:hint="default" w:ascii="Times New Roman" w:hAnsi="Times New Roman" w:cs="Times New Roman"/>
          <w:sz w:val="24"/>
          <w:szCs w:val="24"/>
        </w:rPr>
      </w:pPr>
    </w:p>
    <w:p w14:paraId="1571CBFC">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Toyota Motor Corporation. (n.d.-a). Toyota Way 2001. </w:t>
      </w:r>
    </w:p>
    <w:p w14:paraId="12CFA78A">
      <w:pPr>
        <w:spacing w:line="360" w:lineRule="auto"/>
        <w:ind w:left="0" w:leftChars="0" w:firstLine="0" w:firstLineChars="0"/>
        <w:rPr>
          <w:rFonts w:hint="default" w:ascii="Times New Roman" w:hAnsi="Times New Roman" w:cs="Times New Roman"/>
          <w:sz w:val="24"/>
          <w:szCs w:val="24"/>
        </w:rPr>
      </w:pPr>
    </w:p>
    <w:p w14:paraId="7A69FFC9">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Toyota Motor Corporation. (n.d.-b). Personnel related development: Education developments. </w:t>
      </w:r>
    </w:p>
    <w:p w14:paraId="0362E296">
      <w:pPr>
        <w:spacing w:line="360" w:lineRule="auto"/>
        <w:ind w:left="0" w:leftChars="0" w:firstLine="0" w:firstLineChars="0"/>
        <w:rPr>
          <w:rFonts w:hint="default" w:ascii="Times New Roman" w:hAnsi="Times New Roman" w:cs="Times New Roman"/>
          <w:sz w:val="24"/>
          <w:szCs w:val="24"/>
        </w:rPr>
      </w:pPr>
    </w:p>
    <w:p w14:paraId="67866269">
      <w:pPr>
        <w:spacing w:line="360" w:lineRule="auto"/>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UMW Toyota Motor. (2025, November 2). Toyota Skills Contest 2025 celebrates the best talents in the automotive industry in Malaysia under the theme “Customer First, Quality First”. </w:t>
      </w:r>
    </w:p>
    <w:p w14:paraId="30F66A5A">
      <w:pPr>
        <w:spacing w:line="360" w:lineRule="auto"/>
        <w:ind w:left="0" w:leftChars="0" w:firstLine="0" w:firstLineChars="0"/>
        <w:rPr>
          <w:rFonts w:hint="default" w:ascii="Times New Roman" w:hAnsi="Times New Roman" w:cs="Times New Roman"/>
          <w:sz w:val="24"/>
          <w:szCs w:val="24"/>
        </w:rPr>
      </w:pPr>
    </w:p>
    <w:p w14:paraId="2124C93A">
      <w:pPr>
        <w:spacing w:line="360" w:lineRule="auto"/>
        <w:ind w:left="0" w:leftChars="0" w:firstLine="0" w:firstLineChars="0"/>
        <w:rPr>
          <w:rFonts w:hint="default" w:ascii="Times New Roman" w:hAnsi="Times New Roman" w:cs="Times New Roman"/>
          <w:i w:val="0"/>
          <w:iCs w:val="0"/>
          <w:sz w:val="24"/>
          <w:szCs w:val="24"/>
          <w:lang w:val="en-GB"/>
        </w:rPr>
      </w:pPr>
      <w:r>
        <w:rPr>
          <w:rFonts w:hint="default" w:ascii="Times New Roman" w:hAnsi="Times New Roman" w:cs="Times New Roman"/>
          <w:sz w:val="24"/>
          <w:szCs w:val="24"/>
        </w:rPr>
        <w:t>World Economic Forum. (2025, January 7). Be strategic with your thinking and preparation for the Future of Jobs Report 2025.</w:t>
      </w:r>
    </w:p>
    <w:p w14:paraId="596E14A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4138F6E6">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36E7913B">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6E0790B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05B15C8E">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72BE3061">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469FD150">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1FA01A24">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77C0B899">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5FBE63A7">
      <w:pPr>
        <w:pStyle w:val="6"/>
        <w:widowControl/>
        <w:spacing w:beforeAutospacing="0" w:after="0" w:afterAutospacing="0" w:line="480" w:lineRule="atLeast"/>
        <w:ind w:left="0" w:firstLine="0"/>
        <w:rPr>
          <w:rFonts w:hint="default" w:ascii="Times New Roman" w:hAnsi="Times New Roman" w:cs="Times New Roman"/>
          <w:i w:val="0"/>
          <w:caps w:val="0"/>
          <w:color w:val="000000"/>
          <w:spacing w:val="0"/>
          <w:sz w:val="24"/>
          <w:szCs w:val="24"/>
          <w:u w:val="none"/>
        </w:rPr>
      </w:pPr>
    </w:p>
    <w:p w14:paraId="7E2E9D00">
      <w:pPr>
        <w:spacing w:line="360" w:lineRule="auto"/>
        <w:ind w:left="0" w:leftChars="0" w:firstLine="0" w:firstLineChars="0"/>
        <w:rPr>
          <w:rFonts w:hint="default" w:ascii="Times New Roman" w:hAnsi="Times New Roman" w:cs="Times New Roman"/>
          <w:sz w:val="24"/>
          <w:szCs w:val="24"/>
          <w:lang w:val="en-GB"/>
        </w:rPr>
      </w:pPr>
    </w:p>
    <w:sectPr>
      <w:headerReference r:id="rId3" w:type="default"/>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egoe UI Symbol">
    <w:panose1 w:val="020B0502040204020203"/>
    <w:charset w:val="00"/>
    <w:family w:val="swiss"/>
    <w:pitch w:val="default"/>
    <w:sig w:usb0="00000000" w:usb1="00000000" w:usb2="00040000" w:usb3="00000000" w:csb0="00000001" w:csb1="00000000"/>
  </w:font>
  <w:font w:name="Symbol">
    <w:panose1 w:val="05050102010706020507"/>
    <w:charset w:val="02"/>
    <w:family w:val="roman"/>
    <w:pitch w:val="default"/>
    <w:sig w:usb0="00000000" w:usb1="00000000" w:usb2="00000000" w:usb3="00000000" w:csb0="80000000" w:csb1="00000000"/>
  </w:font>
  <w:font w:name="CG Times (WN)">
    <w:panose1 w:val="00000000000000000000"/>
    <w:charset w:val="00"/>
    <w:family w:val="roman"/>
    <w:pitch w:val="default"/>
    <w:sig w:usb0="00000000" w:usb1="00000000" w:usb2="00000000" w:usb3="00000000" w:csb0="00000001" w:csb1="00000000"/>
  </w:font>
  <w:font w:name="MS Gothic">
    <w:altName w:val="ＭＳ ゴシック"/>
    <w:panose1 w:val="020B0609070205080204"/>
    <w:charset w:val="80"/>
    <w:family w:val="modern"/>
    <w:pitch w:val="default"/>
    <w:sig w:usb0="00000000" w:usb1="00000000" w:usb2="08000012" w:usb3="00000000" w:csb0="0002009F" w:csb1="00000000"/>
  </w:font>
  <w:font w:name="DengXian Light">
    <w:altName w:val="等线 Light"/>
    <w:panose1 w:val="02010600030101010101"/>
    <w:charset w:val="86"/>
    <w:family w:val="auto"/>
    <w:pitch w:val="default"/>
    <w:sig w:usb0="00000000" w:usb1="00000000" w:usb2="00000016" w:usb3="00000000" w:csb0="0004000F" w:csb1="00000000"/>
  </w:font>
  <w:font w:name="Aptos Display">
    <w:panose1 w:val="00000000000000000000"/>
    <w:charset w:val="00"/>
    <w:family w:val="swiss"/>
    <w:pitch w:val="default"/>
    <w:sig w:usb0="00000000" w:usb1="00000000" w:usb2="00000000" w:usb3="00000000" w:csb0="0000019F" w:csb1="00000000"/>
  </w:font>
  <w:font w:name="DengXian">
    <w:altName w:val="等线"/>
    <w:panose1 w:val="02010600030101010101"/>
    <w:charset w:val="86"/>
    <w:family w:val="auto"/>
    <w:pitch w:val="default"/>
    <w:sig w:usb0="00000000" w:usb1="00000000" w:usb2="00000016" w:usb3="00000000" w:csb0="0004000F" w:csb1="00000000"/>
  </w:font>
  <w:font w:name="Aptos">
    <w:panose1 w:val="00000000000000000000"/>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FC452E4">
    <w:pPr>
      <w:pStyle w:val="4"/>
      <w:jc w:val="center"/>
    </w:pPr>
    <w: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96F68D3">
                          <w:pPr>
                            <w:pStyle w:val="4"/>
                            <w:rPr>
                              <w:lang w:val="en-GB"/>
                            </w:rPr>
                          </w:pPr>
                          <w:r>
                            <w:rPr>
                              <w:lang w:val="en-GB"/>
                            </w:rPr>
                            <w:fldChar w:fldCharType="begin"/>
                          </w:r>
                          <w:r>
                            <w:rPr>
                              <w:lang w:val="en-GB"/>
                            </w:rPr>
                            <w:instrText xml:space="preserve"> PAGE  \* MERGEFORMAT </w:instrText>
                          </w:r>
                          <w:r>
                            <w:rPr>
                              <w:lang w:val="en-GB"/>
                            </w:rPr>
                            <w:fldChar w:fldCharType="separate"/>
                          </w:r>
                          <w:r>
                            <w:t>1</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p w14:paraId="596F68D3">
                    <w:pPr>
                      <w:pStyle w:val="4"/>
                      <w:rPr>
                        <w:lang w:val="en-GB"/>
                      </w:rPr>
                    </w:pPr>
                    <w:r>
                      <w:rPr>
                        <w:lang w:val="en-GB"/>
                      </w:rPr>
                      <w:fldChar w:fldCharType="begin"/>
                    </w:r>
                    <w:r>
                      <w:rPr>
                        <w:lang w:val="en-GB"/>
                      </w:rPr>
                      <w:instrText xml:space="preserve"> PAGE  \* MERGEFORMAT </w:instrText>
                    </w:r>
                    <w:r>
                      <w:rPr>
                        <w:lang w:val="en-GB"/>
                      </w:rPr>
                      <w:fldChar w:fldCharType="separate"/>
                    </w:r>
                    <w:r>
                      <w:t>1</w:t>
                    </w:r>
                    <w:r>
                      <w:rPr>
                        <w:lang w:val="en-GB"/>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6E61558">
    <w:pPr>
      <w:pStyle w:val="5"/>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0C1453"/>
    <w:multiLevelType w:val="multilevel"/>
    <w:tmpl w:val="210C14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keepNext/>
      <w:keepLines/>
      <w:pBdr>
        <w:top w:val="single" w:color="000000" w:sz="4" w:space="0"/>
        <w:left w:val="single" w:color="000000" w:sz="4" w:space="0"/>
        <w:bottom w:val="single" w:color="000000" w:sz="4" w:space="0"/>
        <w:right w:val="single" w:color="000000" w:sz="4" w:space="0"/>
      </w:pBdr>
      <w:shd w:val="clear" w:color="auto" w:fill="C0C0C0"/>
      <w:spacing w:line="259" w:lineRule="auto"/>
      <w:ind w:left="131" w:hanging="10"/>
      <w:jc w:val="center"/>
      <w:outlineLvl w:val="0"/>
    </w:pPr>
    <w:rPr>
      <w:rFonts w:ascii="Arial" w:hAnsi="Arial" w:eastAsia="Arial" w:cs="Arial"/>
      <w:b/>
      <w:color w:val="000000"/>
      <w:sz w:val="40"/>
      <w:szCs w:val="22"/>
      <w:lang w:val="en-US" w:eastAsia="en-US" w:bidi="ar-SA"/>
    </w:rPr>
  </w:style>
  <w:style w:type="paragraph" w:styleId="3">
    <w:name w:val="heading 2"/>
    <w:next w:val="1"/>
    <w:unhideWhenUsed/>
    <w:qFormat/>
    <w:uiPriority w:val="0"/>
    <w:pPr>
      <w:keepNext/>
      <w:keepLines/>
      <w:pBdr>
        <w:top w:val="single" w:color="000000" w:sz="4" w:space="0"/>
        <w:left w:val="single" w:color="000000" w:sz="4" w:space="0"/>
        <w:bottom w:val="single" w:color="000000" w:sz="4" w:space="0"/>
        <w:right w:val="single" w:color="000000" w:sz="4" w:space="0"/>
      </w:pBdr>
      <w:shd w:val="clear" w:color="auto" w:fill="C0C0C0"/>
      <w:spacing w:line="259" w:lineRule="auto"/>
      <w:ind w:left="131" w:hanging="10"/>
      <w:jc w:val="center"/>
      <w:outlineLvl w:val="1"/>
    </w:pPr>
    <w:rPr>
      <w:rFonts w:ascii="Arial" w:hAnsi="Arial" w:eastAsia="Arial" w:cs="Arial"/>
      <w:b/>
      <w:color w:val="000000"/>
      <w:sz w:val="40"/>
      <w:szCs w:val="22"/>
      <w:lang w:val="en-US" w:eastAsia="en-US" w:bidi="ar-SA"/>
    </w:rPr>
  </w:style>
  <w:style w:type="character" w:default="1" w:styleId="7">
    <w:name w:val="Default Paragraph Font"/>
    <w:semiHidden/>
    <w:uiPriority w:val="0"/>
  </w:style>
  <w:style w:type="table" w:default="1" w:styleId="8">
    <w:name w:val="Normal Table"/>
    <w:semiHidden/>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center"/>
    </w:pPr>
    <w:rPr>
      <w:sz w:val="18"/>
      <w:szCs w:val="18"/>
    </w:rPr>
  </w:style>
  <w:style w:type="paragraph" w:styleId="5">
    <w:name w:val="header"/>
    <w:basedOn w:val="1"/>
    <w:uiPriority w:val="0"/>
    <w:pPr>
      <w:tabs>
        <w:tab w:val="center" w:pos="4153"/>
        <w:tab w:val="right" w:pos="8306"/>
      </w:tabs>
      <w:snapToGrid w:val="0"/>
      <w:jc w:val="center"/>
    </w:pPr>
    <w:rPr>
      <w:sz w:val="18"/>
      <w:szCs w:val="18"/>
    </w:rPr>
  </w:style>
  <w:style w:type="paragraph" w:styleId="6">
    <w:name w:val="Normal (Web)"/>
    <w:uiPriority w:val="0"/>
    <w:pPr>
      <w:spacing w:beforeAutospacing="1" w:after="0" w:afterAutospacing="1"/>
      <w:ind w:left="0" w:right="0"/>
      <w:jc w:val="left"/>
    </w:pPr>
    <w:rPr>
      <w:rFonts w:ascii="Times New Roman" w:hAnsi="Times New Roman" w:eastAsia="宋体"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2026-09-22T05:29:17Z</dcterms:created>
  <dc:creator>iPad</dc:creator>
  <cp:lastModifiedBy>iPad</cp:lastModifiedBy>
  <dcterms:modified xsi:type="dcterms:W3CDTF">2026-09-24T01:30:38Z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3081-26.9.0</vt:lpwstr>
  </property>
  <property fmtid="{D5CDD505-2E9C-101B-9397-08002B2CF9AE}" pid="3" name="ICV">
    <vt:lpwstr>12456CDD66926121D137B26AC0B1B546_33</vt:lpwstr>
  </property>
</Properties>
</file>