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DC6343" w14:textId="77777777" w:rsidR="000C685B" w:rsidRPr="00C720DA" w:rsidRDefault="000C685B" w:rsidP="000C685B">
      <w:pPr>
        <w:pStyle w:val="NormalWeb"/>
      </w:pPr>
      <w:r w:rsidRPr="00C720DA">
        <w:rPr>
          <w:rFonts w:eastAsia="Times New Roman"/>
          <w:noProof/>
          <w:lang w:val="en-US"/>
        </w:rPr>
        <w:drawing>
          <wp:inline distT="0" distB="0" distL="0" distR="0" wp14:anchorId="2B04DC20" wp14:editId="747D70B8">
            <wp:extent cx="2968625" cy="91440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566" cy="918386"/>
                    </a:xfrm>
                    <a:prstGeom prst="rect">
                      <a:avLst/>
                    </a:prstGeom>
                    <a:noFill/>
                  </pic:spPr>
                </pic:pic>
              </a:graphicData>
            </a:graphic>
          </wp:inline>
        </w:drawing>
      </w:r>
    </w:p>
    <w:p w14:paraId="53D8DB54" w14:textId="77777777" w:rsidR="000C685B" w:rsidRPr="00C720DA" w:rsidRDefault="000C685B" w:rsidP="000C685B">
      <w:pPr>
        <w:jc w:val="center"/>
        <w:rPr>
          <w:rFonts w:cs="Times New Roman"/>
          <w:b/>
          <w:sz w:val="28"/>
          <w:szCs w:val="28"/>
        </w:rPr>
      </w:pPr>
    </w:p>
    <w:p w14:paraId="41630520" w14:textId="77777777" w:rsidR="000C685B" w:rsidRPr="00C720DA" w:rsidRDefault="000C685B" w:rsidP="000C685B">
      <w:pPr>
        <w:jc w:val="center"/>
        <w:rPr>
          <w:rFonts w:cs="Times New Roman"/>
          <w:b/>
          <w:sz w:val="28"/>
          <w:szCs w:val="28"/>
        </w:rPr>
      </w:pPr>
    </w:p>
    <w:p w14:paraId="0EC86DC7" w14:textId="77777777" w:rsidR="000C685B" w:rsidRPr="000C685B" w:rsidRDefault="000C685B" w:rsidP="000C685B">
      <w:pPr>
        <w:spacing w:line="256" w:lineRule="auto"/>
        <w:jc w:val="center"/>
        <w:rPr>
          <w:b/>
          <w:sz w:val="28"/>
          <w:lang w:val="en-AU"/>
        </w:rPr>
      </w:pPr>
      <w:r w:rsidRPr="000C685B">
        <w:rPr>
          <w:b/>
          <w:sz w:val="28"/>
          <w:lang w:val="en-AU"/>
        </w:rPr>
        <w:t>Business Report to the Directors of Vodafone Group plc</w:t>
      </w:r>
    </w:p>
    <w:p w14:paraId="3A2813E8" w14:textId="77777777" w:rsidR="000C685B" w:rsidRPr="00C720DA" w:rsidRDefault="000C685B" w:rsidP="000C685B">
      <w:pPr>
        <w:jc w:val="center"/>
        <w:rPr>
          <w:rFonts w:cs="Times New Roman"/>
          <w:b/>
          <w:sz w:val="28"/>
          <w:szCs w:val="28"/>
        </w:rPr>
      </w:pPr>
      <w:r w:rsidRPr="00C720DA">
        <w:rPr>
          <w:rFonts w:cs="Times New Roman"/>
          <w:b/>
          <w:sz w:val="28"/>
          <w:szCs w:val="28"/>
        </w:rPr>
        <w:br/>
        <w:t xml:space="preserve">Part 1: </w:t>
      </w:r>
      <w:r>
        <w:rPr>
          <w:rFonts w:cs="Times New Roman"/>
          <w:b/>
          <w:sz w:val="28"/>
          <w:szCs w:val="28"/>
        </w:rPr>
        <w:t>Vodafone</w:t>
      </w:r>
      <w:r w:rsidRPr="00C720DA">
        <w:rPr>
          <w:rFonts w:cs="Times New Roman"/>
          <w:b/>
          <w:sz w:val="28"/>
          <w:szCs w:val="28"/>
        </w:rPr>
        <w:br/>
        <w:t xml:space="preserve">Part 2: </w:t>
      </w:r>
      <w:r>
        <w:rPr>
          <w:rFonts w:cs="Times New Roman"/>
          <w:b/>
          <w:sz w:val="28"/>
          <w:szCs w:val="28"/>
        </w:rPr>
        <w:t>Beard</w:t>
      </w:r>
      <w:r w:rsidRPr="00C720DA">
        <w:rPr>
          <w:rFonts w:cs="Times New Roman"/>
          <w:b/>
          <w:sz w:val="28"/>
          <w:szCs w:val="28"/>
        </w:rPr>
        <w:t xml:space="preserve"> Plc</w:t>
      </w:r>
    </w:p>
    <w:p w14:paraId="2E906FFE" w14:textId="77777777" w:rsidR="000C685B" w:rsidRPr="00C720DA" w:rsidRDefault="000C685B" w:rsidP="000C685B">
      <w:pPr>
        <w:jc w:val="center"/>
        <w:rPr>
          <w:rFonts w:cs="Times New Roman"/>
          <w:b/>
          <w:sz w:val="28"/>
          <w:szCs w:val="28"/>
        </w:rPr>
      </w:pPr>
      <w:r>
        <w:rPr>
          <w:rFonts w:cs="Times New Roman"/>
          <w:b/>
          <w:sz w:val="28"/>
          <w:szCs w:val="28"/>
        </w:rPr>
        <w:t xml:space="preserve">Name: Sayam Ahmed - </w:t>
      </w:r>
      <w:r w:rsidRPr="00C720DA">
        <w:rPr>
          <w:rFonts w:cs="Times New Roman"/>
          <w:b/>
          <w:sz w:val="28"/>
          <w:szCs w:val="28"/>
        </w:rPr>
        <w:t>2519728</w:t>
      </w:r>
    </w:p>
    <w:p w14:paraId="76252C67" w14:textId="77777777" w:rsidR="000C685B" w:rsidRPr="00C720DA" w:rsidRDefault="000C685B" w:rsidP="000C685B">
      <w:pPr>
        <w:jc w:val="center"/>
        <w:rPr>
          <w:rFonts w:cs="Times New Roman"/>
          <w:b/>
          <w:sz w:val="28"/>
          <w:szCs w:val="28"/>
        </w:rPr>
      </w:pPr>
      <w:r w:rsidRPr="00C720DA">
        <w:rPr>
          <w:rFonts w:cs="Times New Roman"/>
          <w:b/>
          <w:sz w:val="28"/>
          <w:szCs w:val="28"/>
        </w:rPr>
        <w:t>Lecturer: Marie Pitson</w:t>
      </w:r>
    </w:p>
    <w:p w14:paraId="0B25500D" w14:textId="77777777" w:rsidR="000C685B" w:rsidRDefault="000C685B" w:rsidP="000C685B">
      <w:pPr>
        <w:jc w:val="center"/>
        <w:rPr>
          <w:rFonts w:cs="Times New Roman"/>
          <w:b/>
          <w:sz w:val="28"/>
          <w:szCs w:val="28"/>
        </w:rPr>
      </w:pPr>
      <w:r w:rsidRPr="00C720DA">
        <w:rPr>
          <w:rFonts w:cs="Times New Roman"/>
          <w:b/>
          <w:sz w:val="28"/>
          <w:szCs w:val="28"/>
        </w:rPr>
        <w:t>Module</w:t>
      </w:r>
      <w:r>
        <w:rPr>
          <w:rFonts w:cs="Times New Roman"/>
          <w:b/>
          <w:sz w:val="28"/>
          <w:szCs w:val="28"/>
        </w:rPr>
        <w:t xml:space="preserve">: Finance for Business Managers - </w:t>
      </w:r>
      <w:r w:rsidRPr="00C720DA">
        <w:rPr>
          <w:rFonts w:cs="Times New Roman"/>
          <w:b/>
          <w:sz w:val="28"/>
          <w:szCs w:val="28"/>
        </w:rPr>
        <w:t>BMMB7005D</w:t>
      </w:r>
    </w:p>
    <w:p w14:paraId="317CB41A" w14:textId="77777777" w:rsidR="000C685B" w:rsidRDefault="000C685B">
      <w:pPr>
        <w:spacing w:after="0" w:line="240" w:lineRule="auto"/>
        <w:jc w:val="left"/>
        <w:rPr>
          <w:lang w:val="en-AU"/>
        </w:rPr>
      </w:pPr>
      <w:r>
        <w:rPr>
          <w:lang w:val="en-AU"/>
        </w:rPr>
        <w:br w:type="page"/>
      </w:r>
    </w:p>
    <w:p w14:paraId="181617D3" w14:textId="77777777" w:rsidR="000C685B" w:rsidRDefault="000C685B" w:rsidP="00A77462">
      <w:pPr>
        <w:spacing w:line="256" w:lineRule="auto"/>
        <w:rPr>
          <w:lang w:val="en-AU"/>
        </w:rPr>
      </w:pPr>
    </w:p>
    <w:p w14:paraId="229CACFB" w14:textId="77777777" w:rsidR="00A77462" w:rsidRPr="000C685B" w:rsidRDefault="00A77462" w:rsidP="000C685B">
      <w:pPr>
        <w:jc w:val="center"/>
        <w:rPr>
          <w:b/>
          <w:sz w:val="40"/>
          <w:lang w:val="en-AU"/>
        </w:rPr>
      </w:pPr>
      <w:r w:rsidRPr="000C685B">
        <w:rPr>
          <w:b/>
          <w:sz w:val="40"/>
          <w:lang w:val="en-AU"/>
        </w:rPr>
        <w:t>Executive summary</w:t>
      </w:r>
    </w:p>
    <w:p w14:paraId="6FA4DCEB" w14:textId="77777777" w:rsidR="00A77462" w:rsidRPr="00F7729C" w:rsidRDefault="00A77462" w:rsidP="009A74D4">
      <w:pPr>
        <w:rPr>
          <w:lang w:val="en-US"/>
        </w:rPr>
      </w:pPr>
      <w:r w:rsidRPr="009A74D4">
        <w:rPr>
          <w:lang w:val="en-US"/>
        </w:rPr>
        <w:t xml:space="preserve">This report assesses the financial </w:t>
      </w:r>
      <w:r w:rsidRPr="00F7729C">
        <w:rPr>
          <w:lang w:val="en-US"/>
        </w:rPr>
        <w:t xml:space="preserve">performance and investment decision-making based on two business analyses that are separate. Part 1 analyses Vodafone Group plc in terms of FY2025 and re-presented FY2024 financial-statement data. The ratio analysis indicates that the gross margin of Vodafone has been generally stable, whereas statutory profitability has declined drastically as operating profit shifted to an operating loss of €411 million, which is primarily due to impairment charges. There was an improvement in liquidity on a continuing-operations basis, as the current ratio increased to 1.26, as compared to 0.92, but this must be viewed with caution since disposals and held-for-sale classifications have an impact on comparability. The efficiency outcomes indicate longer debtor days, longer creditor days, and slightly worse stock turnover. The gearing position is mixed: borrowings and net debt decreased, but borrowings relative to net assets increased, and interest cover became negative. </w:t>
      </w:r>
    </w:p>
    <w:p w14:paraId="22BC0501" w14:textId="5DE91A74" w:rsidR="009A74D4" w:rsidRDefault="00A77462" w:rsidP="009A74D4">
      <w:pPr>
        <w:rPr>
          <w:lang w:val="en-US"/>
        </w:rPr>
      </w:pPr>
      <w:r w:rsidRPr="00F7729C">
        <w:rPr>
          <w:lang w:val="en-US"/>
        </w:rPr>
        <w:t>Part 2 analyses three proposed investment options for Beard Plc in terms of NPV, IRR, and capital rationing. The reason why Option A should be rejected is that it has a negative NPV of £3.263k. Option B is also a viable option with an NPV of £73.952k, but the best single option is Option C with an NPV of £91.226k and an approximate IRR of 8.57%, which is above the 5% cost of capital. When there is a funding constraint of £1.5 million and the projects can be divided, the best policy would be</w:t>
      </w:r>
      <w:r>
        <w:rPr>
          <w:lang w:val="en-US"/>
        </w:rPr>
        <w:t xml:space="preserve"> to pursue all of </w:t>
      </w:r>
      <w:r w:rsidRPr="009A74D4">
        <w:rPr>
          <w:bCs/>
          <w:lang w:val="en-US"/>
        </w:rPr>
        <w:t>Option</w:t>
      </w:r>
      <w:r w:rsidRPr="009A74D4">
        <w:rPr>
          <w:lang w:val="en-US"/>
        </w:rPr>
        <w:t xml:space="preserve"> C and 55.56% of </w:t>
      </w:r>
      <w:r w:rsidRPr="009A74D4">
        <w:rPr>
          <w:bCs/>
          <w:lang w:val="en-US"/>
        </w:rPr>
        <w:t>Option</w:t>
      </w:r>
      <w:r w:rsidRPr="009A74D4">
        <w:rPr>
          <w:lang w:val="en-US"/>
        </w:rPr>
        <w:t xml:space="preserve"> B, giving a total NPV of </w:t>
      </w:r>
      <w:r w:rsidRPr="009A74D4">
        <w:rPr>
          <w:bCs/>
          <w:lang w:val="en-US"/>
        </w:rPr>
        <w:t>£132.310</w:t>
      </w:r>
      <w:r w:rsidRPr="009A74D4">
        <w:rPr>
          <w:lang w:val="en-US"/>
        </w:rPr>
        <w:t>k</w:t>
      </w:r>
      <w:r>
        <w:rPr>
          <w:lang w:val="en-US"/>
        </w:rPr>
        <w:t>.</w:t>
      </w:r>
    </w:p>
    <w:p w14:paraId="2218C4EB" w14:textId="77777777" w:rsidR="009A74D4" w:rsidRDefault="009A74D4">
      <w:pPr>
        <w:spacing w:after="0" w:line="240" w:lineRule="auto"/>
        <w:jc w:val="left"/>
        <w:rPr>
          <w:lang w:val="en-US"/>
        </w:rPr>
      </w:pPr>
      <w:r>
        <w:rPr>
          <w:lang w:val="en-US"/>
        </w:rPr>
        <w:br w:type="page"/>
      </w:r>
    </w:p>
    <w:sdt>
      <w:sdtPr>
        <w:rPr>
          <w:rFonts w:ascii="Times New Roman" w:eastAsiaTheme="minorHAnsi" w:hAnsi="Times New Roman" w:cstheme="minorBidi"/>
          <w:b w:val="0"/>
          <w:bCs w:val="0"/>
          <w:smallCaps w:val="0"/>
          <w:color w:val="auto"/>
          <w:sz w:val="24"/>
          <w:szCs w:val="22"/>
          <w:u w:val="none"/>
          <w:lang w:val="en-GB"/>
          <w14:ligatures w14:val="standardContextual"/>
        </w:rPr>
        <w:id w:val="-1491859793"/>
        <w:docPartObj>
          <w:docPartGallery w:val="Table of Contents"/>
          <w:docPartUnique/>
        </w:docPartObj>
      </w:sdtPr>
      <w:sdtEndPr>
        <w:rPr>
          <w:noProof/>
        </w:rPr>
      </w:sdtEndPr>
      <w:sdtContent>
        <w:p w14:paraId="2B471EC6" w14:textId="77777777" w:rsidR="009A74D4" w:rsidRDefault="009A74D4">
          <w:pPr>
            <w:pStyle w:val="TOCHeading"/>
          </w:pPr>
          <w:r>
            <w:t>Contents</w:t>
          </w:r>
        </w:p>
        <w:p w14:paraId="42509197" w14:textId="0D73F331" w:rsidR="00D551D7" w:rsidRDefault="009A74D4">
          <w:pPr>
            <w:pStyle w:val="TOC1"/>
            <w:tabs>
              <w:tab w:val="left" w:pos="480"/>
              <w:tab w:val="right" w:leader="underscore" w:pos="9350"/>
            </w:tabs>
            <w:rPr>
              <w:rFonts w:eastAsiaTheme="minorEastAsia"/>
              <w:b w:val="0"/>
              <w:bCs w:val="0"/>
              <w:i w:val="0"/>
              <w:iCs w:val="0"/>
              <w:noProof/>
              <w:sz w:val="22"/>
              <w:szCs w:val="22"/>
              <w:lang w:val="en-US"/>
              <w14:ligatures w14:val="none"/>
            </w:rPr>
          </w:pPr>
          <w:r>
            <w:rPr>
              <w:b w:val="0"/>
              <w:bCs w:val="0"/>
              <w:i w:val="0"/>
              <w:iCs w:val="0"/>
            </w:rPr>
            <w:fldChar w:fldCharType="begin"/>
          </w:r>
          <w:r>
            <w:rPr>
              <w:b w:val="0"/>
              <w:bCs w:val="0"/>
              <w:i w:val="0"/>
              <w:iCs w:val="0"/>
            </w:rPr>
            <w:instrText xml:space="preserve"> TOC \o "1-3" \h \z \u </w:instrText>
          </w:r>
          <w:r>
            <w:rPr>
              <w:b w:val="0"/>
              <w:bCs w:val="0"/>
              <w:i w:val="0"/>
              <w:iCs w:val="0"/>
            </w:rPr>
            <w:fldChar w:fldCharType="separate"/>
          </w:r>
          <w:hyperlink w:anchor="_Toc236249769" w:history="1">
            <w:r w:rsidR="00D551D7" w:rsidRPr="00AC5884">
              <w:rPr>
                <w:rStyle w:val="Hyperlink"/>
                <w:noProof/>
                <w:lang w:val="en-US"/>
              </w:rPr>
              <w:t>1.</w:t>
            </w:r>
            <w:r w:rsidR="00D551D7">
              <w:rPr>
                <w:rFonts w:eastAsiaTheme="minorEastAsia"/>
                <w:b w:val="0"/>
                <w:bCs w:val="0"/>
                <w:i w:val="0"/>
                <w:iCs w:val="0"/>
                <w:noProof/>
                <w:sz w:val="22"/>
                <w:szCs w:val="22"/>
                <w:lang w:val="en-US"/>
                <w14:ligatures w14:val="none"/>
              </w:rPr>
              <w:tab/>
            </w:r>
            <w:r w:rsidR="00D551D7" w:rsidRPr="00AC5884">
              <w:rPr>
                <w:rStyle w:val="Hyperlink"/>
                <w:noProof/>
                <w:lang w:val="en-US"/>
              </w:rPr>
              <w:t>Part 1 Vodafone Group Plc</w:t>
            </w:r>
            <w:r w:rsidR="00D551D7">
              <w:rPr>
                <w:noProof/>
                <w:webHidden/>
              </w:rPr>
              <w:tab/>
            </w:r>
            <w:r w:rsidR="00D551D7">
              <w:rPr>
                <w:noProof/>
                <w:webHidden/>
              </w:rPr>
              <w:fldChar w:fldCharType="begin"/>
            </w:r>
            <w:r w:rsidR="00D551D7">
              <w:rPr>
                <w:noProof/>
                <w:webHidden/>
              </w:rPr>
              <w:instrText xml:space="preserve"> PAGEREF _Toc236249769 \h </w:instrText>
            </w:r>
            <w:r w:rsidR="00D551D7">
              <w:rPr>
                <w:noProof/>
                <w:webHidden/>
              </w:rPr>
            </w:r>
            <w:r w:rsidR="00D551D7">
              <w:rPr>
                <w:noProof/>
                <w:webHidden/>
              </w:rPr>
              <w:fldChar w:fldCharType="separate"/>
            </w:r>
            <w:r w:rsidR="00D551D7">
              <w:rPr>
                <w:noProof/>
                <w:webHidden/>
              </w:rPr>
              <w:t>5</w:t>
            </w:r>
            <w:r w:rsidR="00D551D7">
              <w:rPr>
                <w:noProof/>
                <w:webHidden/>
              </w:rPr>
              <w:fldChar w:fldCharType="end"/>
            </w:r>
          </w:hyperlink>
        </w:p>
        <w:p w14:paraId="27EE1D0E" w14:textId="0F7EB9E9"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70" w:history="1">
            <w:r w:rsidRPr="00AC5884">
              <w:rPr>
                <w:rStyle w:val="Hyperlink"/>
                <w:noProof/>
                <w:lang w:val="en-US"/>
              </w:rPr>
              <w:t>1.1</w:t>
            </w:r>
            <w:r>
              <w:rPr>
                <w:rFonts w:eastAsiaTheme="minorEastAsia"/>
                <w:b w:val="0"/>
                <w:bCs w:val="0"/>
                <w:noProof/>
                <w:lang w:val="en-US"/>
                <w14:ligatures w14:val="none"/>
              </w:rPr>
              <w:tab/>
            </w:r>
            <w:r w:rsidRPr="00AC5884">
              <w:rPr>
                <w:rStyle w:val="Hyperlink"/>
                <w:noProof/>
              </w:rPr>
              <w:t>Introduction and scope</w:t>
            </w:r>
            <w:r>
              <w:rPr>
                <w:noProof/>
                <w:webHidden/>
              </w:rPr>
              <w:tab/>
            </w:r>
            <w:r>
              <w:rPr>
                <w:noProof/>
                <w:webHidden/>
              </w:rPr>
              <w:fldChar w:fldCharType="begin"/>
            </w:r>
            <w:r>
              <w:rPr>
                <w:noProof/>
                <w:webHidden/>
              </w:rPr>
              <w:instrText xml:space="preserve"> PAGEREF _Toc236249770 \h </w:instrText>
            </w:r>
            <w:r>
              <w:rPr>
                <w:noProof/>
                <w:webHidden/>
              </w:rPr>
            </w:r>
            <w:r>
              <w:rPr>
                <w:noProof/>
                <w:webHidden/>
              </w:rPr>
              <w:fldChar w:fldCharType="separate"/>
            </w:r>
            <w:r>
              <w:rPr>
                <w:noProof/>
                <w:webHidden/>
              </w:rPr>
              <w:t>5</w:t>
            </w:r>
            <w:r>
              <w:rPr>
                <w:noProof/>
                <w:webHidden/>
              </w:rPr>
              <w:fldChar w:fldCharType="end"/>
            </w:r>
          </w:hyperlink>
        </w:p>
        <w:p w14:paraId="74DD7BB3" w14:textId="0BA79E65"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71" w:history="1">
            <w:r w:rsidRPr="00AC5884">
              <w:rPr>
                <w:rStyle w:val="Hyperlink"/>
                <w:noProof/>
              </w:rPr>
              <w:t>1.2</w:t>
            </w:r>
            <w:r>
              <w:rPr>
                <w:rFonts w:eastAsiaTheme="minorEastAsia"/>
                <w:b w:val="0"/>
                <w:bCs w:val="0"/>
                <w:noProof/>
                <w:lang w:val="en-US"/>
                <w14:ligatures w14:val="none"/>
              </w:rPr>
              <w:tab/>
            </w:r>
            <w:r w:rsidRPr="00AC5884">
              <w:rPr>
                <w:rStyle w:val="Hyperlink"/>
                <w:noProof/>
              </w:rPr>
              <w:t>Main Findings: Ratio Results Summary</w:t>
            </w:r>
            <w:r>
              <w:rPr>
                <w:noProof/>
                <w:webHidden/>
              </w:rPr>
              <w:tab/>
            </w:r>
            <w:r>
              <w:rPr>
                <w:noProof/>
                <w:webHidden/>
              </w:rPr>
              <w:fldChar w:fldCharType="begin"/>
            </w:r>
            <w:r>
              <w:rPr>
                <w:noProof/>
                <w:webHidden/>
              </w:rPr>
              <w:instrText xml:space="preserve"> PAGEREF _Toc236249771 \h </w:instrText>
            </w:r>
            <w:r>
              <w:rPr>
                <w:noProof/>
                <w:webHidden/>
              </w:rPr>
            </w:r>
            <w:r>
              <w:rPr>
                <w:noProof/>
                <w:webHidden/>
              </w:rPr>
              <w:fldChar w:fldCharType="separate"/>
            </w:r>
            <w:r>
              <w:rPr>
                <w:noProof/>
                <w:webHidden/>
              </w:rPr>
              <w:t>5</w:t>
            </w:r>
            <w:r>
              <w:rPr>
                <w:noProof/>
                <w:webHidden/>
              </w:rPr>
              <w:fldChar w:fldCharType="end"/>
            </w:r>
          </w:hyperlink>
        </w:p>
        <w:p w14:paraId="6FDF6528" w14:textId="3B06114A"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72" w:history="1">
            <w:r w:rsidRPr="00AC5884">
              <w:rPr>
                <w:rStyle w:val="Hyperlink"/>
                <w:noProof/>
              </w:rPr>
              <w:t>1.3</w:t>
            </w:r>
            <w:r>
              <w:rPr>
                <w:rFonts w:eastAsiaTheme="minorEastAsia"/>
                <w:b w:val="0"/>
                <w:bCs w:val="0"/>
                <w:noProof/>
                <w:lang w:val="en-US"/>
                <w14:ligatures w14:val="none"/>
              </w:rPr>
              <w:tab/>
            </w:r>
            <w:r w:rsidRPr="00AC5884">
              <w:rPr>
                <w:rStyle w:val="Hyperlink"/>
                <w:noProof/>
              </w:rPr>
              <w:t>Critical evaluation of the ratios</w:t>
            </w:r>
            <w:r>
              <w:rPr>
                <w:noProof/>
                <w:webHidden/>
              </w:rPr>
              <w:tab/>
            </w:r>
            <w:r>
              <w:rPr>
                <w:noProof/>
                <w:webHidden/>
              </w:rPr>
              <w:fldChar w:fldCharType="begin"/>
            </w:r>
            <w:r>
              <w:rPr>
                <w:noProof/>
                <w:webHidden/>
              </w:rPr>
              <w:instrText xml:space="preserve"> PAGEREF _Toc236249772 \h </w:instrText>
            </w:r>
            <w:r>
              <w:rPr>
                <w:noProof/>
                <w:webHidden/>
              </w:rPr>
            </w:r>
            <w:r>
              <w:rPr>
                <w:noProof/>
                <w:webHidden/>
              </w:rPr>
              <w:fldChar w:fldCharType="separate"/>
            </w:r>
            <w:r>
              <w:rPr>
                <w:noProof/>
                <w:webHidden/>
              </w:rPr>
              <w:t>6</w:t>
            </w:r>
            <w:r>
              <w:rPr>
                <w:noProof/>
                <w:webHidden/>
              </w:rPr>
              <w:fldChar w:fldCharType="end"/>
            </w:r>
          </w:hyperlink>
        </w:p>
        <w:p w14:paraId="6838955B" w14:textId="286589B5"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73" w:history="1">
            <w:r w:rsidRPr="00AC5884">
              <w:rPr>
                <w:rStyle w:val="Hyperlink"/>
                <w:noProof/>
                <w:lang w:val="en-AU"/>
              </w:rPr>
              <w:t>1.3.1</w:t>
            </w:r>
            <w:r>
              <w:rPr>
                <w:rFonts w:eastAsiaTheme="minorEastAsia"/>
                <w:noProof/>
                <w:sz w:val="22"/>
                <w:szCs w:val="22"/>
                <w:lang w:val="en-US"/>
                <w14:ligatures w14:val="none"/>
              </w:rPr>
              <w:tab/>
            </w:r>
            <w:r w:rsidRPr="00AC5884">
              <w:rPr>
                <w:rStyle w:val="Hyperlink"/>
                <w:noProof/>
                <w:lang w:val="en-AU"/>
              </w:rPr>
              <w:t>Profitability</w:t>
            </w:r>
            <w:r>
              <w:rPr>
                <w:noProof/>
                <w:webHidden/>
              </w:rPr>
              <w:tab/>
            </w:r>
            <w:r>
              <w:rPr>
                <w:noProof/>
                <w:webHidden/>
              </w:rPr>
              <w:fldChar w:fldCharType="begin"/>
            </w:r>
            <w:r>
              <w:rPr>
                <w:noProof/>
                <w:webHidden/>
              </w:rPr>
              <w:instrText xml:space="preserve"> PAGEREF _Toc236249773 \h </w:instrText>
            </w:r>
            <w:r>
              <w:rPr>
                <w:noProof/>
                <w:webHidden/>
              </w:rPr>
            </w:r>
            <w:r>
              <w:rPr>
                <w:noProof/>
                <w:webHidden/>
              </w:rPr>
              <w:fldChar w:fldCharType="separate"/>
            </w:r>
            <w:r>
              <w:rPr>
                <w:noProof/>
                <w:webHidden/>
              </w:rPr>
              <w:t>6</w:t>
            </w:r>
            <w:r>
              <w:rPr>
                <w:noProof/>
                <w:webHidden/>
              </w:rPr>
              <w:fldChar w:fldCharType="end"/>
            </w:r>
          </w:hyperlink>
        </w:p>
        <w:p w14:paraId="5DC6BE91" w14:textId="7D5915EE"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74" w:history="1">
            <w:r w:rsidRPr="00AC5884">
              <w:rPr>
                <w:rStyle w:val="Hyperlink"/>
                <w:noProof/>
                <w:lang w:val="en-AU"/>
              </w:rPr>
              <w:t>1.3.2</w:t>
            </w:r>
            <w:r>
              <w:rPr>
                <w:rFonts w:eastAsiaTheme="minorEastAsia"/>
                <w:noProof/>
                <w:sz w:val="22"/>
                <w:szCs w:val="22"/>
                <w:lang w:val="en-US"/>
                <w14:ligatures w14:val="none"/>
              </w:rPr>
              <w:tab/>
            </w:r>
            <w:r w:rsidRPr="00AC5884">
              <w:rPr>
                <w:rStyle w:val="Hyperlink"/>
                <w:noProof/>
                <w:lang w:val="en-AU"/>
              </w:rPr>
              <w:t>Efficiency</w:t>
            </w:r>
            <w:r>
              <w:rPr>
                <w:noProof/>
                <w:webHidden/>
              </w:rPr>
              <w:tab/>
            </w:r>
            <w:r>
              <w:rPr>
                <w:noProof/>
                <w:webHidden/>
              </w:rPr>
              <w:fldChar w:fldCharType="begin"/>
            </w:r>
            <w:r>
              <w:rPr>
                <w:noProof/>
                <w:webHidden/>
              </w:rPr>
              <w:instrText xml:space="preserve"> PAGEREF _Toc236249774 \h </w:instrText>
            </w:r>
            <w:r>
              <w:rPr>
                <w:noProof/>
                <w:webHidden/>
              </w:rPr>
            </w:r>
            <w:r>
              <w:rPr>
                <w:noProof/>
                <w:webHidden/>
              </w:rPr>
              <w:fldChar w:fldCharType="separate"/>
            </w:r>
            <w:r>
              <w:rPr>
                <w:noProof/>
                <w:webHidden/>
              </w:rPr>
              <w:t>7</w:t>
            </w:r>
            <w:r>
              <w:rPr>
                <w:noProof/>
                <w:webHidden/>
              </w:rPr>
              <w:fldChar w:fldCharType="end"/>
            </w:r>
          </w:hyperlink>
        </w:p>
        <w:p w14:paraId="2C8999D8" w14:textId="54DEE39C"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75" w:history="1">
            <w:r w:rsidRPr="00AC5884">
              <w:rPr>
                <w:rStyle w:val="Hyperlink"/>
                <w:noProof/>
                <w:lang w:val="en-US"/>
              </w:rPr>
              <w:t>1.3.3</w:t>
            </w:r>
            <w:r>
              <w:rPr>
                <w:rFonts w:eastAsiaTheme="minorEastAsia"/>
                <w:noProof/>
                <w:sz w:val="22"/>
                <w:szCs w:val="22"/>
                <w:lang w:val="en-US"/>
                <w14:ligatures w14:val="none"/>
              </w:rPr>
              <w:tab/>
            </w:r>
            <w:r w:rsidRPr="00AC5884">
              <w:rPr>
                <w:rStyle w:val="Hyperlink"/>
                <w:noProof/>
                <w:lang w:val="en-US"/>
              </w:rPr>
              <w:t>Liquidity</w:t>
            </w:r>
            <w:r>
              <w:rPr>
                <w:noProof/>
                <w:webHidden/>
              </w:rPr>
              <w:tab/>
            </w:r>
            <w:r>
              <w:rPr>
                <w:noProof/>
                <w:webHidden/>
              </w:rPr>
              <w:fldChar w:fldCharType="begin"/>
            </w:r>
            <w:r>
              <w:rPr>
                <w:noProof/>
                <w:webHidden/>
              </w:rPr>
              <w:instrText xml:space="preserve"> PAGEREF _Toc236249775 \h </w:instrText>
            </w:r>
            <w:r>
              <w:rPr>
                <w:noProof/>
                <w:webHidden/>
              </w:rPr>
            </w:r>
            <w:r>
              <w:rPr>
                <w:noProof/>
                <w:webHidden/>
              </w:rPr>
              <w:fldChar w:fldCharType="separate"/>
            </w:r>
            <w:r>
              <w:rPr>
                <w:noProof/>
                <w:webHidden/>
              </w:rPr>
              <w:t>8</w:t>
            </w:r>
            <w:r>
              <w:rPr>
                <w:noProof/>
                <w:webHidden/>
              </w:rPr>
              <w:fldChar w:fldCharType="end"/>
            </w:r>
          </w:hyperlink>
        </w:p>
        <w:p w14:paraId="35DFACCA" w14:textId="66565616"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76" w:history="1">
            <w:r w:rsidRPr="00AC5884">
              <w:rPr>
                <w:rStyle w:val="Hyperlink"/>
                <w:noProof/>
                <w:lang w:val="en-AU"/>
              </w:rPr>
              <w:t>1.3.4</w:t>
            </w:r>
            <w:r>
              <w:rPr>
                <w:rFonts w:eastAsiaTheme="minorEastAsia"/>
                <w:noProof/>
                <w:sz w:val="22"/>
                <w:szCs w:val="22"/>
                <w:lang w:val="en-US"/>
                <w14:ligatures w14:val="none"/>
              </w:rPr>
              <w:tab/>
            </w:r>
            <w:r w:rsidRPr="00AC5884">
              <w:rPr>
                <w:rStyle w:val="Hyperlink"/>
                <w:noProof/>
                <w:lang w:val="en-AU"/>
              </w:rPr>
              <w:t>Investment ratios</w:t>
            </w:r>
            <w:r>
              <w:rPr>
                <w:noProof/>
                <w:webHidden/>
              </w:rPr>
              <w:tab/>
            </w:r>
            <w:r>
              <w:rPr>
                <w:noProof/>
                <w:webHidden/>
              </w:rPr>
              <w:fldChar w:fldCharType="begin"/>
            </w:r>
            <w:r>
              <w:rPr>
                <w:noProof/>
                <w:webHidden/>
              </w:rPr>
              <w:instrText xml:space="preserve"> PAGEREF _Toc236249776 \h </w:instrText>
            </w:r>
            <w:r>
              <w:rPr>
                <w:noProof/>
                <w:webHidden/>
              </w:rPr>
            </w:r>
            <w:r>
              <w:rPr>
                <w:noProof/>
                <w:webHidden/>
              </w:rPr>
              <w:fldChar w:fldCharType="separate"/>
            </w:r>
            <w:r>
              <w:rPr>
                <w:noProof/>
                <w:webHidden/>
              </w:rPr>
              <w:t>9</w:t>
            </w:r>
            <w:r>
              <w:rPr>
                <w:noProof/>
                <w:webHidden/>
              </w:rPr>
              <w:fldChar w:fldCharType="end"/>
            </w:r>
          </w:hyperlink>
        </w:p>
        <w:p w14:paraId="60F4997F" w14:textId="347DE948"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77" w:history="1">
            <w:r w:rsidRPr="00AC5884">
              <w:rPr>
                <w:rStyle w:val="Hyperlink"/>
                <w:noProof/>
                <w:lang w:val="en-AU"/>
              </w:rPr>
              <w:t>1.3.5</w:t>
            </w:r>
            <w:r>
              <w:rPr>
                <w:rFonts w:eastAsiaTheme="minorEastAsia"/>
                <w:noProof/>
                <w:sz w:val="22"/>
                <w:szCs w:val="22"/>
                <w:lang w:val="en-US"/>
                <w14:ligatures w14:val="none"/>
              </w:rPr>
              <w:tab/>
            </w:r>
            <w:r w:rsidRPr="00AC5884">
              <w:rPr>
                <w:rStyle w:val="Hyperlink"/>
                <w:noProof/>
                <w:lang w:val="en-AU"/>
              </w:rPr>
              <w:t>Gearing and interest cover</w:t>
            </w:r>
            <w:r>
              <w:rPr>
                <w:noProof/>
                <w:webHidden/>
              </w:rPr>
              <w:tab/>
            </w:r>
            <w:r>
              <w:rPr>
                <w:noProof/>
                <w:webHidden/>
              </w:rPr>
              <w:fldChar w:fldCharType="begin"/>
            </w:r>
            <w:r>
              <w:rPr>
                <w:noProof/>
                <w:webHidden/>
              </w:rPr>
              <w:instrText xml:space="preserve"> PAGEREF _Toc236249777 \h </w:instrText>
            </w:r>
            <w:r>
              <w:rPr>
                <w:noProof/>
                <w:webHidden/>
              </w:rPr>
            </w:r>
            <w:r>
              <w:rPr>
                <w:noProof/>
                <w:webHidden/>
              </w:rPr>
              <w:fldChar w:fldCharType="separate"/>
            </w:r>
            <w:r>
              <w:rPr>
                <w:noProof/>
                <w:webHidden/>
              </w:rPr>
              <w:t>9</w:t>
            </w:r>
            <w:r>
              <w:rPr>
                <w:noProof/>
                <w:webHidden/>
              </w:rPr>
              <w:fldChar w:fldCharType="end"/>
            </w:r>
          </w:hyperlink>
        </w:p>
        <w:p w14:paraId="22B18E5B" w14:textId="41AFDD24"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78" w:history="1">
            <w:r w:rsidRPr="00AC5884">
              <w:rPr>
                <w:rStyle w:val="Hyperlink"/>
                <w:noProof/>
                <w:lang w:val="en-US"/>
              </w:rPr>
              <w:t>1.3.6</w:t>
            </w:r>
            <w:r>
              <w:rPr>
                <w:rFonts w:eastAsiaTheme="minorEastAsia"/>
                <w:noProof/>
                <w:sz w:val="22"/>
                <w:szCs w:val="22"/>
                <w:lang w:val="en-US"/>
                <w14:ligatures w14:val="none"/>
              </w:rPr>
              <w:tab/>
            </w:r>
            <w:r w:rsidRPr="00AC5884">
              <w:rPr>
                <w:rStyle w:val="Hyperlink"/>
                <w:noProof/>
              </w:rPr>
              <w:t>Limitations of ratio analysis</w:t>
            </w:r>
            <w:r>
              <w:rPr>
                <w:noProof/>
                <w:webHidden/>
              </w:rPr>
              <w:tab/>
            </w:r>
            <w:r>
              <w:rPr>
                <w:noProof/>
                <w:webHidden/>
              </w:rPr>
              <w:fldChar w:fldCharType="begin"/>
            </w:r>
            <w:r>
              <w:rPr>
                <w:noProof/>
                <w:webHidden/>
              </w:rPr>
              <w:instrText xml:space="preserve"> PAGEREF _Toc236249778 \h </w:instrText>
            </w:r>
            <w:r>
              <w:rPr>
                <w:noProof/>
                <w:webHidden/>
              </w:rPr>
            </w:r>
            <w:r>
              <w:rPr>
                <w:noProof/>
                <w:webHidden/>
              </w:rPr>
              <w:fldChar w:fldCharType="separate"/>
            </w:r>
            <w:r>
              <w:rPr>
                <w:noProof/>
                <w:webHidden/>
              </w:rPr>
              <w:t>10</w:t>
            </w:r>
            <w:r>
              <w:rPr>
                <w:noProof/>
                <w:webHidden/>
              </w:rPr>
              <w:fldChar w:fldCharType="end"/>
            </w:r>
          </w:hyperlink>
        </w:p>
        <w:p w14:paraId="10AEFE25" w14:textId="6812CADA" w:rsidR="00D551D7" w:rsidRDefault="00D551D7">
          <w:pPr>
            <w:pStyle w:val="TOC1"/>
            <w:tabs>
              <w:tab w:val="left" w:pos="480"/>
              <w:tab w:val="right" w:leader="underscore" w:pos="9350"/>
            </w:tabs>
            <w:rPr>
              <w:rFonts w:eastAsiaTheme="minorEastAsia"/>
              <w:b w:val="0"/>
              <w:bCs w:val="0"/>
              <w:i w:val="0"/>
              <w:iCs w:val="0"/>
              <w:noProof/>
              <w:sz w:val="22"/>
              <w:szCs w:val="22"/>
              <w:lang w:val="en-US"/>
              <w14:ligatures w14:val="none"/>
            </w:rPr>
          </w:pPr>
          <w:hyperlink w:anchor="_Toc236249779" w:history="1">
            <w:r w:rsidRPr="00AC5884">
              <w:rPr>
                <w:rStyle w:val="Hyperlink"/>
                <w:noProof/>
                <w:lang w:val="en-US"/>
              </w:rPr>
              <w:t>2.</w:t>
            </w:r>
            <w:r>
              <w:rPr>
                <w:rFonts w:eastAsiaTheme="minorEastAsia"/>
                <w:b w:val="0"/>
                <w:bCs w:val="0"/>
                <w:i w:val="0"/>
                <w:iCs w:val="0"/>
                <w:noProof/>
                <w:sz w:val="22"/>
                <w:szCs w:val="22"/>
                <w:lang w:val="en-US"/>
                <w14:ligatures w14:val="none"/>
              </w:rPr>
              <w:tab/>
            </w:r>
            <w:r w:rsidRPr="00AC5884">
              <w:rPr>
                <w:rStyle w:val="Hyperlink"/>
                <w:noProof/>
                <w:lang w:val="en-US"/>
              </w:rPr>
              <w:t>Part 2 Investment Appraisal of Beard Plc</w:t>
            </w:r>
            <w:r>
              <w:rPr>
                <w:noProof/>
                <w:webHidden/>
              </w:rPr>
              <w:tab/>
            </w:r>
            <w:r>
              <w:rPr>
                <w:noProof/>
                <w:webHidden/>
              </w:rPr>
              <w:fldChar w:fldCharType="begin"/>
            </w:r>
            <w:r>
              <w:rPr>
                <w:noProof/>
                <w:webHidden/>
              </w:rPr>
              <w:instrText xml:space="preserve"> PAGEREF _Toc236249779 \h </w:instrText>
            </w:r>
            <w:r>
              <w:rPr>
                <w:noProof/>
                <w:webHidden/>
              </w:rPr>
            </w:r>
            <w:r>
              <w:rPr>
                <w:noProof/>
                <w:webHidden/>
              </w:rPr>
              <w:fldChar w:fldCharType="separate"/>
            </w:r>
            <w:r>
              <w:rPr>
                <w:noProof/>
                <w:webHidden/>
              </w:rPr>
              <w:t>11</w:t>
            </w:r>
            <w:r>
              <w:rPr>
                <w:noProof/>
                <w:webHidden/>
              </w:rPr>
              <w:fldChar w:fldCharType="end"/>
            </w:r>
          </w:hyperlink>
        </w:p>
        <w:p w14:paraId="2458970D" w14:textId="34069048"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0" w:history="1">
            <w:r w:rsidRPr="00AC5884">
              <w:rPr>
                <w:rStyle w:val="Hyperlink"/>
                <w:noProof/>
                <w:lang w:val="en-US"/>
              </w:rPr>
              <w:t>2.1</w:t>
            </w:r>
            <w:r>
              <w:rPr>
                <w:rFonts w:eastAsiaTheme="minorEastAsia"/>
                <w:b w:val="0"/>
                <w:bCs w:val="0"/>
                <w:noProof/>
                <w:lang w:val="en-US"/>
                <w14:ligatures w14:val="none"/>
              </w:rPr>
              <w:tab/>
            </w:r>
            <w:r w:rsidRPr="00AC5884">
              <w:rPr>
                <w:rStyle w:val="Hyperlink"/>
                <w:noProof/>
                <w:lang w:val="en-US"/>
              </w:rPr>
              <w:t>Basis of appraisal and assumptions</w:t>
            </w:r>
            <w:r>
              <w:rPr>
                <w:noProof/>
                <w:webHidden/>
              </w:rPr>
              <w:tab/>
            </w:r>
            <w:r>
              <w:rPr>
                <w:noProof/>
                <w:webHidden/>
              </w:rPr>
              <w:fldChar w:fldCharType="begin"/>
            </w:r>
            <w:r>
              <w:rPr>
                <w:noProof/>
                <w:webHidden/>
              </w:rPr>
              <w:instrText xml:space="preserve"> PAGEREF _Toc236249780 \h </w:instrText>
            </w:r>
            <w:r>
              <w:rPr>
                <w:noProof/>
                <w:webHidden/>
              </w:rPr>
            </w:r>
            <w:r>
              <w:rPr>
                <w:noProof/>
                <w:webHidden/>
              </w:rPr>
              <w:fldChar w:fldCharType="separate"/>
            </w:r>
            <w:r>
              <w:rPr>
                <w:noProof/>
                <w:webHidden/>
              </w:rPr>
              <w:t>11</w:t>
            </w:r>
            <w:r>
              <w:rPr>
                <w:noProof/>
                <w:webHidden/>
              </w:rPr>
              <w:fldChar w:fldCharType="end"/>
            </w:r>
          </w:hyperlink>
        </w:p>
        <w:p w14:paraId="75A79DBE" w14:textId="06F90AE2"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1" w:history="1">
            <w:r w:rsidRPr="00AC5884">
              <w:rPr>
                <w:rStyle w:val="Hyperlink"/>
                <w:noProof/>
                <w:lang w:val="en-US"/>
              </w:rPr>
              <w:t>2.2</w:t>
            </w:r>
            <w:r>
              <w:rPr>
                <w:rFonts w:eastAsiaTheme="minorEastAsia"/>
                <w:b w:val="0"/>
                <w:bCs w:val="0"/>
                <w:noProof/>
                <w:lang w:val="en-US"/>
                <w14:ligatures w14:val="none"/>
              </w:rPr>
              <w:tab/>
            </w:r>
            <w:r w:rsidRPr="00AC5884">
              <w:rPr>
                <w:rStyle w:val="Hyperlink"/>
                <w:noProof/>
                <w:lang w:val="en-US"/>
              </w:rPr>
              <w:t>Discussion of the three investments</w:t>
            </w:r>
            <w:r>
              <w:rPr>
                <w:noProof/>
                <w:webHidden/>
              </w:rPr>
              <w:tab/>
            </w:r>
            <w:r>
              <w:rPr>
                <w:noProof/>
                <w:webHidden/>
              </w:rPr>
              <w:fldChar w:fldCharType="begin"/>
            </w:r>
            <w:r>
              <w:rPr>
                <w:noProof/>
                <w:webHidden/>
              </w:rPr>
              <w:instrText xml:space="preserve"> PAGEREF _Toc236249781 \h </w:instrText>
            </w:r>
            <w:r>
              <w:rPr>
                <w:noProof/>
                <w:webHidden/>
              </w:rPr>
            </w:r>
            <w:r>
              <w:rPr>
                <w:noProof/>
                <w:webHidden/>
              </w:rPr>
              <w:fldChar w:fldCharType="separate"/>
            </w:r>
            <w:r>
              <w:rPr>
                <w:noProof/>
                <w:webHidden/>
              </w:rPr>
              <w:t>11</w:t>
            </w:r>
            <w:r>
              <w:rPr>
                <w:noProof/>
                <w:webHidden/>
              </w:rPr>
              <w:fldChar w:fldCharType="end"/>
            </w:r>
          </w:hyperlink>
        </w:p>
        <w:p w14:paraId="3A5B81ED" w14:textId="0C41F28A"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2" w:history="1">
            <w:r w:rsidRPr="00AC5884">
              <w:rPr>
                <w:rStyle w:val="Hyperlink"/>
                <w:noProof/>
                <w:lang w:val="en-AU"/>
              </w:rPr>
              <w:t>2.3</w:t>
            </w:r>
            <w:r>
              <w:rPr>
                <w:rFonts w:eastAsiaTheme="minorEastAsia"/>
                <w:b w:val="0"/>
                <w:bCs w:val="0"/>
                <w:noProof/>
                <w:lang w:val="en-US"/>
                <w14:ligatures w14:val="none"/>
              </w:rPr>
              <w:tab/>
            </w:r>
            <w:r w:rsidRPr="00AC5884">
              <w:rPr>
                <w:rStyle w:val="Hyperlink"/>
                <w:noProof/>
                <w:lang w:val="en-AU"/>
              </w:rPr>
              <w:t>Approximate IRR of the recommended option</w:t>
            </w:r>
            <w:r>
              <w:rPr>
                <w:noProof/>
                <w:webHidden/>
              </w:rPr>
              <w:tab/>
            </w:r>
            <w:r>
              <w:rPr>
                <w:noProof/>
                <w:webHidden/>
              </w:rPr>
              <w:fldChar w:fldCharType="begin"/>
            </w:r>
            <w:r>
              <w:rPr>
                <w:noProof/>
                <w:webHidden/>
              </w:rPr>
              <w:instrText xml:space="preserve"> PAGEREF _Toc236249782 \h </w:instrText>
            </w:r>
            <w:r>
              <w:rPr>
                <w:noProof/>
                <w:webHidden/>
              </w:rPr>
            </w:r>
            <w:r>
              <w:rPr>
                <w:noProof/>
                <w:webHidden/>
              </w:rPr>
              <w:fldChar w:fldCharType="separate"/>
            </w:r>
            <w:r>
              <w:rPr>
                <w:noProof/>
                <w:webHidden/>
              </w:rPr>
              <w:t>12</w:t>
            </w:r>
            <w:r>
              <w:rPr>
                <w:noProof/>
                <w:webHidden/>
              </w:rPr>
              <w:fldChar w:fldCharType="end"/>
            </w:r>
          </w:hyperlink>
        </w:p>
        <w:p w14:paraId="63943D55" w14:textId="589A90F9"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3" w:history="1">
            <w:r w:rsidRPr="00AC5884">
              <w:rPr>
                <w:rStyle w:val="Hyperlink"/>
                <w:noProof/>
                <w:lang w:val="en-US"/>
              </w:rPr>
              <w:t>2.4</w:t>
            </w:r>
            <w:r>
              <w:rPr>
                <w:rFonts w:eastAsiaTheme="minorEastAsia"/>
                <w:b w:val="0"/>
                <w:bCs w:val="0"/>
                <w:noProof/>
                <w:lang w:val="en-US"/>
                <w14:ligatures w14:val="none"/>
              </w:rPr>
              <w:tab/>
            </w:r>
            <w:r w:rsidRPr="00AC5884">
              <w:rPr>
                <w:rStyle w:val="Hyperlink"/>
                <w:noProof/>
                <w:lang w:val="en-US"/>
              </w:rPr>
              <w:t>Theoretical case for NPV</w:t>
            </w:r>
            <w:r>
              <w:rPr>
                <w:noProof/>
                <w:webHidden/>
              </w:rPr>
              <w:tab/>
            </w:r>
            <w:r>
              <w:rPr>
                <w:noProof/>
                <w:webHidden/>
              </w:rPr>
              <w:fldChar w:fldCharType="begin"/>
            </w:r>
            <w:r>
              <w:rPr>
                <w:noProof/>
                <w:webHidden/>
              </w:rPr>
              <w:instrText xml:space="preserve"> PAGEREF _Toc236249783 \h </w:instrText>
            </w:r>
            <w:r>
              <w:rPr>
                <w:noProof/>
                <w:webHidden/>
              </w:rPr>
            </w:r>
            <w:r>
              <w:rPr>
                <w:noProof/>
                <w:webHidden/>
              </w:rPr>
              <w:fldChar w:fldCharType="separate"/>
            </w:r>
            <w:r>
              <w:rPr>
                <w:noProof/>
                <w:webHidden/>
              </w:rPr>
              <w:t>13</w:t>
            </w:r>
            <w:r>
              <w:rPr>
                <w:noProof/>
                <w:webHidden/>
              </w:rPr>
              <w:fldChar w:fldCharType="end"/>
            </w:r>
          </w:hyperlink>
        </w:p>
        <w:p w14:paraId="4901D6B8" w14:textId="4091E8D8"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4" w:history="1">
            <w:r w:rsidRPr="00AC5884">
              <w:rPr>
                <w:rStyle w:val="Hyperlink"/>
                <w:noProof/>
                <w:lang w:val="en-US"/>
              </w:rPr>
              <w:t>2.5</w:t>
            </w:r>
            <w:r>
              <w:rPr>
                <w:rFonts w:eastAsiaTheme="minorEastAsia"/>
                <w:b w:val="0"/>
                <w:bCs w:val="0"/>
                <w:noProof/>
                <w:lang w:val="en-US"/>
                <w14:ligatures w14:val="none"/>
              </w:rPr>
              <w:tab/>
            </w:r>
            <w:r w:rsidRPr="00AC5884">
              <w:rPr>
                <w:rStyle w:val="Hyperlink"/>
                <w:noProof/>
                <w:lang w:val="en-US"/>
              </w:rPr>
              <w:t>Reasons why non-discounting techniques are still popular</w:t>
            </w:r>
            <w:r>
              <w:rPr>
                <w:noProof/>
                <w:webHidden/>
              </w:rPr>
              <w:tab/>
            </w:r>
            <w:r>
              <w:rPr>
                <w:noProof/>
                <w:webHidden/>
              </w:rPr>
              <w:fldChar w:fldCharType="begin"/>
            </w:r>
            <w:r>
              <w:rPr>
                <w:noProof/>
                <w:webHidden/>
              </w:rPr>
              <w:instrText xml:space="preserve"> PAGEREF _Toc236249784 \h </w:instrText>
            </w:r>
            <w:r>
              <w:rPr>
                <w:noProof/>
                <w:webHidden/>
              </w:rPr>
            </w:r>
            <w:r>
              <w:rPr>
                <w:noProof/>
                <w:webHidden/>
              </w:rPr>
              <w:fldChar w:fldCharType="separate"/>
            </w:r>
            <w:r>
              <w:rPr>
                <w:noProof/>
                <w:webHidden/>
              </w:rPr>
              <w:t>14</w:t>
            </w:r>
            <w:r>
              <w:rPr>
                <w:noProof/>
                <w:webHidden/>
              </w:rPr>
              <w:fldChar w:fldCharType="end"/>
            </w:r>
          </w:hyperlink>
        </w:p>
        <w:p w14:paraId="66973FCF" w14:textId="68731DFB"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5" w:history="1">
            <w:r w:rsidRPr="00AC5884">
              <w:rPr>
                <w:rStyle w:val="Hyperlink"/>
                <w:noProof/>
                <w:lang w:val="en-US"/>
              </w:rPr>
              <w:t>2.6</w:t>
            </w:r>
            <w:r>
              <w:rPr>
                <w:rFonts w:eastAsiaTheme="minorEastAsia"/>
                <w:b w:val="0"/>
                <w:bCs w:val="0"/>
                <w:noProof/>
                <w:lang w:val="en-US"/>
                <w14:ligatures w14:val="none"/>
              </w:rPr>
              <w:tab/>
            </w:r>
            <w:r w:rsidRPr="00AC5884">
              <w:rPr>
                <w:rStyle w:val="Hyperlink"/>
                <w:noProof/>
                <w:lang w:val="en-US"/>
              </w:rPr>
              <w:t>Pre-final investment decision factors</w:t>
            </w:r>
            <w:r>
              <w:rPr>
                <w:noProof/>
                <w:webHidden/>
              </w:rPr>
              <w:tab/>
            </w:r>
            <w:r>
              <w:rPr>
                <w:noProof/>
                <w:webHidden/>
              </w:rPr>
              <w:fldChar w:fldCharType="begin"/>
            </w:r>
            <w:r>
              <w:rPr>
                <w:noProof/>
                <w:webHidden/>
              </w:rPr>
              <w:instrText xml:space="preserve"> PAGEREF _Toc236249785 \h </w:instrText>
            </w:r>
            <w:r>
              <w:rPr>
                <w:noProof/>
                <w:webHidden/>
              </w:rPr>
            </w:r>
            <w:r>
              <w:rPr>
                <w:noProof/>
                <w:webHidden/>
              </w:rPr>
              <w:fldChar w:fldCharType="separate"/>
            </w:r>
            <w:r>
              <w:rPr>
                <w:noProof/>
                <w:webHidden/>
              </w:rPr>
              <w:t>15</w:t>
            </w:r>
            <w:r>
              <w:rPr>
                <w:noProof/>
                <w:webHidden/>
              </w:rPr>
              <w:fldChar w:fldCharType="end"/>
            </w:r>
          </w:hyperlink>
        </w:p>
        <w:p w14:paraId="5377E8C6" w14:textId="1FBE754D"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6" w:history="1">
            <w:r w:rsidRPr="00AC5884">
              <w:rPr>
                <w:rStyle w:val="Hyperlink"/>
                <w:noProof/>
                <w:lang w:val="en-AU"/>
              </w:rPr>
              <w:t>2.7</w:t>
            </w:r>
            <w:r>
              <w:rPr>
                <w:rFonts w:eastAsiaTheme="minorEastAsia"/>
                <w:b w:val="0"/>
                <w:bCs w:val="0"/>
                <w:noProof/>
                <w:lang w:val="en-US"/>
                <w14:ligatures w14:val="none"/>
              </w:rPr>
              <w:tab/>
            </w:r>
            <w:r w:rsidRPr="00AC5884">
              <w:rPr>
                <w:rStyle w:val="Hyperlink"/>
                <w:noProof/>
                <w:lang w:val="en-AU"/>
              </w:rPr>
              <w:t>Capital rationing decision</w:t>
            </w:r>
            <w:r>
              <w:rPr>
                <w:noProof/>
                <w:webHidden/>
              </w:rPr>
              <w:tab/>
            </w:r>
            <w:r>
              <w:rPr>
                <w:noProof/>
                <w:webHidden/>
              </w:rPr>
              <w:fldChar w:fldCharType="begin"/>
            </w:r>
            <w:r>
              <w:rPr>
                <w:noProof/>
                <w:webHidden/>
              </w:rPr>
              <w:instrText xml:space="preserve"> PAGEREF _Toc236249786 \h </w:instrText>
            </w:r>
            <w:r>
              <w:rPr>
                <w:noProof/>
                <w:webHidden/>
              </w:rPr>
            </w:r>
            <w:r>
              <w:rPr>
                <w:noProof/>
                <w:webHidden/>
              </w:rPr>
              <w:fldChar w:fldCharType="separate"/>
            </w:r>
            <w:r>
              <w:rPr>
                <w:noProof/>
                <w:webHidden/>
              </w:rPr>
              <w:t>16</w:t>
            </w:r>
            <w:r>
              <w:rPr>
                <w:noProof/>
                <w:webHidden/>
              </w:rPr>
              <w:fldChar w:fldCharType="end"/>
            </w:r>
          </w:hyperlink>
        </w:p>
        <w:p w14:paraId="3A29E872" w14:textId="39626E4B"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7" w:history="1">
            <w:r w:rsidRPr="00AC5884">
              <w:rPr>
                <w:rStyle w:val="Hyperlink"/>
                <w:noProof/>
                <w:lang w:val="en-AU"/>
              </w:rPr>
              <w:t>2.8</w:t>
            </w:r>
            <w:r>
              <w:rPr>
                <w:rFonts w:eastAsiaTheme="minorEastAsia"/>
                <w:b w:val="0"/>
                <w:bCs w:val="0"/>
                <w:noProof/>
                <w:lang w:val="en-US"/>
                <w14:ligatures w14:val="none"/>
              </w:rPr>
              <w:tab/>
            </w:r>
            <w:r w:rsidRPr="00AC5884">
              <w:rPr>
                <w:rStyle w:val="Hyperlink"/>
                <w:noProof/>
                <w:lang w:val="en-AU"/>
              </w:rPr>
              <w:t>Financing the investment programme</w:t>
            </w:r>
            <w:r>
              <w:rPr>
                <w:noProof/>
                <w:webHidden/>
              </w:rPr>
              <w:tab/>
            </w:r>
            <w:r>
              <w:rPr>
                <w:noProof/>
                <w:webHidden/>
              </w:rPr>
              <w:fldChar w:fldCharType="begin"/>
            </w:r>
            <w:r>
              <w:rPr>
                <w:noProof/>
                <w:webHidden/>
              </w:rPr>
              <w:instrText xml:space="preserve"> PAGEREF _Toc236249787 \h </w:instrText>
            </w:r>
            <w:r>
              <w:rPr>
                <w:noProof/>
                <w:webHidden/>
              </w:rPr>
            </w:r>
            <w:r>
              <w:rPr>
                <w:noProof/>
                <w:webHidden/>
              </w:rPr>
              <w:fldChar w:fldCharType="separate"/>
            </w:r>
            <w:r>
              <w:rPr>
                <w:noProof/>
                <w:webHidden/>
              </w:rPr>
              <w:t>17</w:t>
            </w:r>
            <w:r>
              <w:rPr>
                <w:noProof/>
                <w:webHidden/>
              </w:rPr>
              <w:fldChar w:fldCharType="end"/>
            </w:r>
          </w:hyperlink>
        </w:p>
        <w:p w14:paraId="74C72232" w14:textId="17B2667D"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88" w:history="1">
            <w:r w:rsidRPr="00AC5884">
              <w:rPr>
                <w:rStyle w:val="Hyperlink"/>
                <w:noProof/>
                <w:lang w:val="en-US"/>
              </w:rPr>
              <w:t>2.9</w:t>
            </w:r>
            <w:r>
              <w:rPr>
                <w:rFonts w:eastAsiaTheme="minorEastAsia"/>
                <w:b w:val="0"/>
                <w:bCs w:val="0"/>
                <w:noProof/>
                <w:lang w:val="en-US"/>
                <w14:ligatures w14:val="none"/>
              </w:rPr>
              <w:tab/>
            </w:r>
            <w:r w:rsidRPr="00AC5884">
              <w:rPr>
                <w:rStyle w:val="Hyperlink"/>
                <w:noProof/>
                <w:lang w:val="en-US"/>
              </w:rPr>
              <w:t>Conclusion</w:t>
            </w:r>
            <w:r>
              <w:rPr>
                <w:noProof/>
                <w:webHidden/>
              </w:rPr>
              <w:tab/>
            </w:r>
            <w:r>
              <w:rPr>
                <w:noProof/>
                <w:webHidden/>
              </w:rPr>
              <w:fldChar w:fldCharType="begin"/>
            </w:r>
            <w:r>
              <w:rPr>
                <w:noProof/>
                <w:webHidden/>
              </w:rPr>
              <w:instrText xml:space="preserve"> PAGEREF _Toc236249788 \h </w:instrText>
            </w:r>
            <w:r>
              <w:rPr>
                <w:noProof/>
                <w:webHidden/>
              </w:rPr>
            </w:r>
            <w:r>
              <w:rPr>
                <w:noProof/>
                <w:webHidden/>
              </w:rPr>
              <w:fldChar w:fldCharType="separate"/>
            </w:r>
            <w:r>
              <w:rPr>
                <w:noProof/>
                <w:webHidden/>
              </w:rPr>
              <w:t>18</w:t>
            </w:r>
            <w:r>
              <w:rPr>
                <w:noProof/>
                <w:webHidden/>
              </w:rPr>
              <w:fldChar w:fldCharType="end"/>
            </w:r>
          </w:hyperlink>
        </w:p>
        <w:p w14:paraId="1677CEA1" w14:textId="4BABA100" w:rsidR="00D551D7" w:rsidRDefault="00D551D7">
          <w:pPr>
            <w:pStyle w:val="TOC1"/>
            <w:tabs>
              <w:tab w:val="left" w:pos="480"/>
              <w:tab w:val="right" w:leader="underscore" w:pos="9350"/>
            </w:tabs>
            <w:rPr>
              <w:rFonts w:eastAsiaTheme="minorEastAsia"/>
              <w:b w:val="0"/>
              <w:bCs w:val="0"/>
              <w:i w:val="0"/>
              <w:iCs w:val="0"/>
              <w:noProof/>
              <w:sz w:val="22"/>
              <w:szCs w:val="22"/>
              <w:lang w:val="en-US"/>
              <w14:ligatures w14:val="none"/>
            </w:rPr>
          </w:pPr>
          <w:hyperlink w:anchor="_Toc236249789" w:history="1">
            <w:r w:rsidRPr="00AC5884">
              <w:rPr>
                <w:rStyle w:val="Hyperlink"/>
                <w:noProof/>
                <w:lang w:val="en-AU"/>
              </w:rPr>
              <w:t>3.</w:t>
            </w:r>
            <w:r>
              <w:rPr>
                <w:rFonts w:eastAsiaTheme="minorEastAsia"/>
                <w:b w:val="0"/>
                <w:bCs w:val="0"/>
                <w:i w:val="0"/>
                <w:iCs w:val="0"/>
                <w:noProof/>
                <w:sz w:val="22"/>
                <w:szCs w:val="22"/>
                <w:lang w:val="en-US"/>
                <w14:ligatures w14:val="none"/>
              </w:rPr>
              <w:tab/>
            </w:r>
            <w:r w:rsidRPr="00AC5884">
              <w:rPr>
                <w:rStyle w:val="Hyperlink"/>
                <w:noProof/>
                <w:lang w:val="en-AU"/>
              </w:rPr>
              <w:t>Reference list</w:t>
            </w:r>
            <w:r>
              <w:rPr>
                <w:noProof/>
                <w:webHidden/>
              </w:rPr>
              <w:tab/>
            </w:r>
            <w:r>
              <w:rPr>
                <w:noProof/>
                <w:webHidden/>
              </w:rPr>
              <w:fldChar w:fldCharType="begin"/>
            </w:r>
            <w:r>
              <w:rPr>
                <w:noProof/>
                <w:webHidden/>
              </w:rPr>
              <w:instrText xml:space="preserve"> PAGEREF _Toc236249789 \h </w:instrText>
            </w:r>
            <w:r>
              <w:rPr>
                <w:noProof/>
                <w:webHidden/>
              </w:rPr>
            </w:r>
            <w:r>
              <w:rPr>
                <w:noProof/>
                <w:webHidden/>
              </w:rPr>
              <w:fldChar w:fldCharType="separate"/>
            </w:r>
            <w:r>
              <w:rPr>
                <w:noProof/>
                <w:webHidden/>
              </w:rPr>
              <w:t>20</w:t>
            </w:r>
            <w:r>
              <w:rPr>
                <w:noProof/>
                <w:webHidden/>
              </w:rPr>
              <w:fldChar w:fldCharType="end"/>
            </w:r>
          </w:hyperlink>
        </w:p>
        <w:p w14:paraId="0D3EB0B6" w14:textId="5BACBD73" w:rsidR="00D551D7" w:rsidRDefault="00D551D7">
          <w:pPr>
            <w:pStyle w:val="TOC1"/>
            <w:tabs>
              <w:tab w:val="left" w:pos="480"/>
              <w:tab w:val="right" w:leader="underscore" w:pos="9350"/>
            </w:tabs>
            <w:rPr>
              <w:rFonts w:eastAsiaTheme="minorEastAsia"/>
              <w:b w:val="0"/>
              <w:bCs w:val="0"/>
              <w:i w:val="0"/>
              <w:iCs w:val="0"/>
              <w:noProof/>
              <w:sz w:val="22"/>
              <w:szCs w:val="22"/>
              <w:lang w:val="en-US"/>
              <w14:ligatures w14:val="none"/>
            </w:rPr>
          </w:pPr>
          <w:hyperlink w:anchor="_Toc236249790" w:history="1">
            <w:r w:rsidRPr="00AC5884">
              <w:rPr>
                <w:rStyle w:val="Hyperlink"/>
                <w:noProof/>
                <w:lang w:val="en-AU"/>
              </w:rPr>
              <w:t>4.</w:t>
            </w:r>
            <w:r>
              <w:rPr>
                <w:rFonts w:eastAsiaTheme="minorEastAsia"/>
                <w:b w:val="0"/>
                <w:bCs w:val="0"/>
                <w:i w:val="0"/>
                <w:iCs w:val="0"/>
                <w:noProof/>
                <w:sz w:val="22"/>
                <w:szCs w:val="22"/>
                <w:lang w:val="en-US"/>
                <w14:ligatures w14:val="none"/>
              </w:rPr>
              <w:tab/>
            </w:r>
            <w:r w:rsidRPr="00AC5884">
              <w:rPr>
                <w:rStyle w:val="Hyperlink"/>
                <w:noProof/>
                <w:lang w:val="en-AU"/>
              </w:rPr>
              <w:t>Appendices</w:t>
            </w:r>
            <w:r>
              <w:rPr>
                <w:noProof/>
                <w:webHidden/>
              </w:rPr>
              <w:tab/>
            </w:r>
            <w:r>
              <w:rPr>
                <w:noProof/>
                <w:webHidden/>
              </w:rPr>
              <w:fldChar w:fldCharType="begin"/>
            </w:r>
            <w:r>
              <w:rPr>
                <w:noProof/>
                <w:webHidden/>
              </w:rPr>
              <w:instrText xml:space="preserve"> PAGEREF _Toc236249790 \h </w:instrText>
            </w:r>
            <w:r>
              <w:rPr>
                <w:noProof/>
                <w:webHidden/>
              </w:rPr>
            </w:r>
            <w:r>
              <w:rPr>
                <w:noProof/>
                <w:webHidden/>
              </w:rPr>
              <w:fldChar w:fldCharType="separate"/>
            </w:r>
            <w:r>
              <w:rPr>
                <w:noProof/>
                <w:webHidden/>
              </w:rPr>
              <w:t>22</w:t>
            </w:r>
            <w:r>
              <w:rPr>
                <w:noProof/>
                <w:webHidden/>
              </w:rPr>
              <w:fldChar w:fldCharType="end"/>
            </w:r>
          </w:hyperlink>
        </w:p>
        <w:p w14:paraId="390DEEC4" w14:textId="2CEB3B6A"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91" w:history="1">
            <w:r w:rsidRPr="00AC5884">
              <w:rPr>
                <w:rStyle w:val="Hyperlink"/>
                <w:noProof/>
              </w:rPr>
              <w:t>4.1</w:t>
            </w:r>
            <w:r>
              <w:rPr>
                <w:rFonts w:eastAsiaTheme="minorEastAsia"/>
                <w:b w:val="0"/>
                <w:bCs w:val="0"/>
                <w:noProof/>
                <w:lang w:val="en-US"/>
                <w14:ligatures w14:val="none"/>
              </w:rPr>
              <w:tab/>
            </w:r>
            <w:r w:rsidRPr="00AC5884">
              <w:rPr>
                <w:rStyle w:val="Hyperlink"/>
                <w:noProof/>
              </w:rPr>
              <w:t>Appendix A</w:t>
            </w:r>
            <w:r>
              <w:rPr>
                <w:noProof/>
                <w:webHidden/>
              </w:rPr>
              <w:tab/>
            </w:r>
            <w:r>
              <w:rPr>
                <w:noProof/>
                <w:webHidden/>
              </w:rPr>
              <w:fldChar w:fldCharType="begin"/>
            </w:r>
            <w:r>
              <w:rPr>
                <w:noProof/>
                <w:webHidden/>
              </w:rPr>
              <w:instrText xml:space="preserve"> PAGEREF _Toc236249791 \h </w:instrText>
            </w:r>
            <w:r>
              <w:rPr>
                <w:noProof/>
                <w:webHidden/>
              </w:rPr>
            </w:r>
            <w:r>
              <w:rPr>
                <w:noProof/>
                <w:webHidden/>
              </w:rPr>
              <w:fldChar w:fldCharType="separate"/>
            </w:r>
            <w:r>
              <w:rPr>
                <w:noProof/>
                <w:webHidden/>
              </w:rPr>
              <w:t>22</w:t>
            </w:r>
            <w:r>
              <w:rPr>
                <w:noProof/>
                <w:webHidden/>
              </w:rPr>
              <w:fldChar w:fldCharType="end"/>
            </w:r>
          </w:hyperlink>
        </w:p>
        <w:p w14:paraId="668D94F7" w14:textId="7FFE3B52"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92" w:history="1">
            <w:r w:rsidRPr="00AC5884">
              <w:rPr>
                <w:rStyle w:val="Hyperlink"/>
                <w:noProof/>
              </w:rPr>
              <w:t>4.2</w:t>
            </w:r>
            <w:r>
              <w:rPr>
                <w:rFonts w:eastAsiaTheme="minorEastAsia"/>
                <w:b w:val="0"/>
                <w:bCs w:val="0"/>
                <w:noProof/>
                <w:lang w:val="en-US"/>
                <w14:ligatures w14:val="none"/>
              </w:rPr>
              <w:tab/>
            </w:r>
            <w:r w:rsidRPr="00AC5884">
              <w:rPr>
                <w:rStyle w:val="Hyperlink"/>
                <w:noProof/>
              </w:rPr>
              <w:t>Appendix B: full ratio calculations</w:t>
            </w:r>
            <w:r>
              <w:rPr>
                <w:noProof/>
                <w:webHidden/>
              </w:rPr>
              <w:tab/>
            </w:r>
            <w:r>
              <w:rPr>
                <w:noProof/>
                <w:webHidden/>
              </w:rPr>
              <w:fldChar w:fldCharType="begin"/>
            </w:r>
            <w:r>
              <w:rPr>
                <w:noProof/>
                <w:webHidden/>
              </w:rPr>
              <w:instrText xml:space="preserve"> PAGEREF _Toc236249792 \h </w:instrText>
            </w:r>
            <w:r>
              <w:rPr>
                <w:noProof/>
                <w:webHidden/>
              </w:rPr>
            </w:r>
            <w:r>
              <w:rPr>
                <w:noProof/>
                <w:webHidden/>
              </w:rPr>
              <w:fldChar w:fldCharType="separate"/>
            </w:r>
            <w:r>
              <w:rPr>
                <w:noProof/>
                <w:webHidden/>
              </w:rPr>
              <w:t>22</w:t>
            </w:r>
            <w:r>
              <w:rPr>
                <w:noProof/>
                <w:webHidden/>
              </w:rPr>
              <w:fldChar w:fldCharType="end"/>
            </w:r>
          </w:hyperlink>
        </w:p>
        <w:p w14:paraId="6098B7AC" w14:textId="3D24138A"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93" w:history="1">
            <w:r w:rsidRPr="00AC5884">
              <w:rPr>
                <w:rStyle w:val="Hyperlink"/>
                <w:noProof/>
                <w:lang w:val="en-AU"/>
              </w:rPr>
              <w:t>4.2.1</w:t>
            </w:r>
            <w:r>
              <w:rPr>
                <w:rFonts w:eastAsiaTheme="minorEastAsia"/>
                <w:noProof/>
                <w:sz w:val="22"/>
                <w:szCs w:val="22"/>
                <w:lang w:val="en-US"/>
                <w14:ligatures w14:val="none"/>
              </w:rPr>
              <w:tab/>
            </w:r>
            <w:r w:rsidRPr="00AC5884">
              <w:rPr>
                <w:rStyle w:val="Hyperlink"/>
                <w:noProof/>
                <w:lang w:val="en-AU"/>
              </w:rPr>
              <w:t>Appendix B1: Source figures used</w:t>
            </w:r>
            <w:r>
              <w:rPr>
                <w:noProof/>
                <w:webHidden/>
              </w:rPr>
              <w:tab/>
            </w:r>
            <w:r>
              <w:rPr>
                <w:noProof/>
                <w:webHidden/>
              </w:rPr>
              <w:fldChar w:fldCharType="begin"/>
            </w:r>
            <w:r>
              <w:rPr>
                <w:noProof/>
                <w:webHidden/>
              </w:rPr>
              <w:instrText xml:space="preserve"> PAGEREF _Toc236249793 \h </w:instrText>
            </w:r>
            <w:r>
              <w:rPr>
                <w:noProof/>
                <w:webHidden/>
              </w:rPr>
            </w:r>
            <w:r>
              <w:rPr>
                <w:noProof/>
                <w:webHidden/>
              </w:rPr>
              <w:fldChar w:fldCharType="separate"/>
            </w:r>
            <w:r>
              <w:rPr>
                <w:noProof/>
                <w:webHidden/>
              </w:rPr>
              <w:t>22</w:t>
            </w:r>
            <w:r>
              <w:rPr>
                <w:noProof/>
                <w:webHidden/>
              </w:rPr>
              <w:fldChar w:fldCharType="end"/>
            </w:r>
          </w:hyperlink>
        </w:p>
        <w:p w14:paraId="5DCB298F" w14:textId="28890BE9"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94" w:history="1">
            <w:r w:rsidRPr="00AC5884">
              <w:rPr>
                <w:rStyle w:val="Hyperlink"/>
                <w:noProof/>
              </w:rPr>
              <w:t>4.2.2</w:t>
            </w:r>
            <w:r>
              <w:rPr>
                <w:rFonts w:eastAsiaTheme="minorEastAsia"/>
                <w:noProof/>
                <w:sz w:val="22"/>
                <w:szCs w:val="22"/>
                <w:lang w:val="en-US"/>
                <w14:ligatures w14:val="none"/>
              </w:rPr>
              <w:tab/>
            </w:r>
            <w:r w:rsidRPr="00AC5884">
              <w:rPr>
                <w:rStyle w:val="Hyperlink"/>
                <w:noProof/>
              </w:rPr>
              <w:t>Appendix B2: profitability ratios</w:t>
            </w:r>
            <w:r>
              <w:rPr>
                <w:noProof/>
                <w:webHidden/>
              </w:rPr>
              <w:tab/>
            </w:r>
            <w:r>
              <w:rPr>
                <w:noProof/>
                <w:webHidden/>
              </w:rPr>
              <w:fldChar w:fldCharType="begin"/>
            </w:r>
            <w:r>
              <w:rPr>
                <w:noProof/>
                <w:webHidden/>
              </w:rPr>
              <w:instrText xml:space="preserve"> PAGEREF _Toc236249794 \h </w:instrText>
            </w:r>
            <w:r>
              <w:rPr>
                <w:noProof/>
                <w:webHidden/>
              </w:rPr>
            </w:r>
            <w:r>
              <w:rPr>
                <w:noProof/>
                <w:webHidden/>
              </w:rPr>
              <w:fldChar w:fldCharType="separate"/>
            </w:r>
            <w:r>
              <w:rPr>
                <w:noProof/>
                <w:webHidden/>
              </w:rPr>
              <w:t>23</w:t>
            </w:r>
            <w:r>
              <w:rPr>
                <w:noProof/>
                <w:webHidden/>
              </w:rPr>
              <w:fldChar w:fldCharType="end"/>
            </w:r>
          </w:hyperlink>
        </w:p>
        <w:p w14:paraId="56063840" w14:textId="2DA1C13A"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95" w:history="1">
            <w:r w:rsidRPr="00AC5884">
              <w:rPr>
                <w:rStyle w:val="Hyperlink"/>
                <w:noProof/>
                <w:lang w:val="en-AU"/>
              </w:rPr>
              <w:t>4.2.3</w:t>
            </w:r>
            <w:r>
              <w:rPr>
                <w:rFonts w:eastAsiaTheme="minorEastAsia"/>
                <w:noProof/>
                <w:sz w:val="22"/>
                <w:szCs w:val="22"/>
                <w:lang w:val="en-US"/>
                <w14:ligatures w14:val="none"/>
              </w:rPr>
              <w:tab/>
            </w:r>
            <w:r w:rsidRPr="00AC5884">
              <w:rPr>
                <w:rStyle w:val="Hyperlink"/>
                <w:noProof/>
                <w:lang w:val="en-AU"/>
              </w:rPr>
              <w:t>Appendix B3: efficiency ratios</w:t>
            </w:r>
            <w:r>
              <w:rPr>
                <w:noProof/>
                <w:webHidden/>
              </w:rPr>
              <w:tab/>
            </w:r>
            <w:r>
              <w:rPr>
                <w:noProof/>
                <w:webHidden/>
              </w:rPr>
              <w:fldChar w:fldCharType="begin"/>
            </w:r>
            <w:r>
              <w:rPr>
                <w:noProof/>
                <w:webHidden/>
              </w:rPr>
              <w:instrText xml:space="preserve"> PAGEREF _Toc236249795 \h </w:instrText>
            </w:r>
            <w:r>
              <w:rPr>
                <w:noProof/>
                <w:webHidden/>
              </w:rPr>
            </w:r>
            <w:r>
              <w:rPr>
                <w:noProof/>
                <w:webHidden/>
              </w:rPr>
              <w:fldChar w:fldCharType="separate"/>
            </w:r>
            <w:r>
              <w:rPr>
                <w:noProof/>
                <w:webHidden/>
              </w:rPr>
              <w:t>24</w:t>
            </w:r>
            <w:r>
              <w:rPr>
                <w:noProof/>
                <w:webHidden/>
              </w:rPr>
              <w:fldChar w:fldCharType="end"/>
            </w:r>
          </w:hyperlink>
        </w:p>
        <w:p w14:paraId="47A8DF45" w14:textId="061284A3"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96" w:history="1">
            <w:r w:rsidRPr="00AC5884">
              <w:rPr>
                <w:rStyle w:val="Hyperlink"/>
                <w:noProof/>
                <w:lang w:val="en-AU"/>
              </w:rPr>
              <w:t>4.2.4</w:t>
            </w:r>
            <w:r>
              <w:rPr>
                <w:rFonts w:eastAsiaTheme="minorEastAsia"/>
                <w:noProof/>
                <w:sz w:val="22"/>
                <w:szCs w:val="22"/>
                <w:lang w:val="en-US"/>
                <w14:ligatures w14:val="none"/>
              </w:rPr>
              <w:tab/>
            </w:r>
            <w:r w:rsidRPr="00AC5884">
              <w:rPr>
                <w:rStyle w:val="Hyperlink"/>
                <w:noProof/>
                <w:lang w:val="en-AU"/>
              </w:rPr>
              <w:t>Appendix B4: liquidity ratios</w:t>
            </w:r>
            <w:r>
              <w:rPr>
                <w:noProof/>
                <w:webHidden/>
              </w:rPr>
              <w:tab/>
            </w:r>
            <w:r>
              <w:rPr>
                <w:noProof/>
                <w:webHidden/>
              </w:rPr>
              <w:fldChar w:fldCharType="begin"/>
            </w:r>
            <w:r>
              <w:rPr>
                <w:noProof/>
                <w:webHidden/>
              </w:rPr>
              <w:instrText xml:space="preserve"> PAGEREF _Toc236249796 \h </w:instrText>
            </w:r>
            <w:r>
              <w:rPr>
                <w:noProof/>
                <w:webHidden/>
              </w:rPr>
            </w:r>
            <w:r>
              <w:rPr>
                <w:noProof/>
                <w:webHidden/>
              </w:rPr>
              <w:fldChar w:fldCharType="separate"/>
            </w:r>
            <w:r>
              <w:rPr>
                <w:noProof/>
                <w:webHidden/>
              </w:rPr>
              <w:t>25</w:t>
            </w:r>
            <w:r>
              <w:rPr>
                <w:noProof/>
                <w:webHidden/>
              </w:rPr>
              <w:fldChar w:fldCharType="end"/>
            </w:r>
          </w:hyperlink>
        </w:p>
        <w:p w14:paraId="348A22BF" w14:textId="4CA20044"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97" w:history="1">
            <w:r w:rsidRPr="00AC5884">
              <w:rPr>
                <w:rStyle w:val="Hyperlink"/>
                <w:noProof/>
                <w:lang w:val="en-AU"/>
              </w:rPr>
              <w:t>4.2.5</w:t>
            </w:r>
            <w:r>
              <w:rPr>
                <w:rFonts w:eastAsiaTheme="minorEastAsia"/>
                <w:noProof/>
                <w:sz w:val="22"/>
                <w:szCs w:val="22"/>
                <w:lang w:val="en-US"/>
                <w14:ligatures w14:val="none"/>
              </w:rPr>
              <w:tab/>
            </w:r>
            <w:r w:rsidRPr="00AC5884">
              <w:rPr>
                <w:rStyle w:val="Hyperlink"/>
                <w:noProof/>
                <w:lang w:val="en-AU"/>
              </w:rPr>
              <w:t>Appendix B5: investment ratios</w:t>
            </w:r>
            <w:r>
              <w:rPr>
                <w:noProof/>
                <w:webHidden/>
              </w:rPr>
              <w:tab/>
            </w:r>
            <w:r>
              <w:rPr>
                <w:noProof/>
                <w:webHidden/>
              </w:rPr>
              <w:fldChar w:fldCharType="begin"/>
            </w:r>
            <w:r>
              <w:rPr>
                <w:noProof/>
                <w:webHidden/>
              </w:rPr>
              <w:instrText xml:space="preserve"> PAGEREF _Toc236249797 \h </w:instrText>
            </w:r>
            <w:r>
              <w:rPr>
                <w:noProof/>
                <w:webHidden/>
              </w:rPr>
            </w:r>
            <w:r>
              <w:rPr>
                <w:noProof/>
                <w:webHidden/>
              </w:rPr>
              <w:fldChar w:fldCharType="separate"/>
            </w:r>
            <w:r>
              <w:rPr>
                <w:noProof/>
                <w:webHidden/>
              </w:rPr>
              <w:t>26</w:t>
            </w:r>
            <w:r>
              <w:rPr>
                <w:noProof/>
                <w:webHidden/>
              </w:rPr>
              <w:fldChar w:fldCharType="end"/>
            </w:r>
          </w:hyperlink>
        </w:p>
        <w:p w14:paraId="3263DA92" w14:textId="073A3867"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798" w:history="1">
            <w:r w:rsidRPr="00AC5884">
              <w:rPr>
                <w:rStyle w:val="Hyperlink"/>
                <w:noProof/>
                <w:lang w:val="en-AU"/>
              </w:rPr>
              <w:t>4.2.6</w:t>
            </w:r>
            <w:r>
              <w:rPr>
                <w:rFonts w:eastAsiaTheme="minorEastAsia"/>
                <w:noProof/>
                <w:sz w:val="22"/>
                <w:szCs w:val="22"/>
                <w:lang w:val="en-US"/>
                <w14:ligatures w14:val="none"/>
              </w:rPr>
              <w:tab/>
            </w:r>
            <w:r w:rsidRPr="00AC5884">
              <w:rPr>
                <w:rStyle w:val="Hyperlink"/>
                <w:noProof/>
                <w:lang w:val="en-AU"/>
              </w:rPr>
              <w:t>Appendix B6: gearing ratios</w:t>
            </w:r>
            <w:r>
              <w:rPr>
                <w:noProof/>
                <w:webHidden/>
              </w:rPr>
              <w:tab/>
            </w:r>
            <w:r>
              <w:rPr>
                <w:noProof/>
                <w:webHidden/>
              </w:rPr>
              <w:fldChar w:fldCharType="begin"/>
            </w:r>
            <w:r>
              <w:rPr>
                <w:noProof/>
                <w:webHidden/>
              </w:rPr>
              <w:instrText xml:space="preserve"> PAGEREF _Toc236249798 \h </w:instrText>
            </w:r>
            <w:r>
              <w:rPr>
                <w:noProof/>
                <w:webHidden/>
              </w:rPr>
            </w:r>
            <w:r>
              <w:rPr>
                <w:noProof/>
                <w:webHidden/>
              </w:rPr>
              <w:fldChar w:fldCharType="separate"/>
            </w:r>
            <w:r>
              <w:rPr>
                <w:noProof/>
                <w:webHidden/>
              </w:rPr>
              <w:t>26</w:t>
            </w:r>
            <w:r>
              <w:rPr>
                <w:noProof/>
                <w:webHidden/>
              </w:rPr>
              <w:fldChar w:fldCharType="end"/>
            </w:r>
          </w:hyperlink>
        </w:p>
        <w:p w14:paraId="3BC4DD12" w14:textId="2D53B577"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799" w:history="1">
            <w:r w:rsidRPr="00AC5884">
              <w:rPr>
                <w:rStyle w:val="Hyperlink"/>
                <w:noProof/>
                <w:lang w:val="en-AU"/>
              </w:rPr>
              <w:t>4.3</w:t>
            </w:r>
            <w:r>
              <w:rPr>
                <w:rFonts w:eastAsiaTheme="minorEastAsia"/>
                <w:b w:val="0"/>
                <w:bCs w:val="0"/>
                <w:noProof/>
                <w:lang w:val="en-US"/>
                <w14:ligatures w14:val="none"/>
              </w:rPr>
              <w:tab/>
            </w:r>
            <w:r w:rsidRPr="00AC5884">
              <w:rPr>
                <w:rStyle w:val="Hyperlink"/>
                <w:noProof/>
                <w:lang w:val="en-AU"/>
              </w:rPr>
              <w:t>Appendix C: Capital allowances and after-tax cash flows</w:t>
            </w:r>
            <w:r>
              <w:rPr>
                <w:noProof/>
                <w:webHidden/>
              </w:rPr>
              <w:tab/>
            </w:r>
            <w:r>
              <w:rPr>
                <w:noProof/>
                <w:webHidden/>
              </w:rPr>
              <w:fldChar w:fldCharType="begin"/>
            </w:r>
            <w:r>
              <w:rPr>
                <w:noProof/>
                <w:webHidden/>
              </w:rPr>
              <w:instrText xml:space="preserve"> PAGEREF _Toc236249799 \h </w:instrText>
            </w:r>
            <w:r>
              <w:rPr>
                <w:noProof/>
                <w:webHidden/>
              </w:rPr>
            </w:r>
            <w:r>
              <w:rPr>
                <w:noProof/>
                <w:webHidden/>
              </w:rPr>
              <w:fldChar w:fldCharType="separate"/>
            </w:r>
            <w:r>
              <w:rPr>
                <w:noProof/>
                <w:webHidden/>
              </w:rPr>
              <w:t>27</w:t>
            </w:r>
            <w:r>
              <w:rPr>
                <w:noProof/>
                <w:webHidden/>
              </w:rPr>
              <w:fldChar w:fldCharType="end"/>
            </w:r>
          </w:hyperlink>
        </w:p>
        <w:p w14:paraId="0A61C0B4" w14:textId="248F1C99"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800" w:history="1">
            <w:r w:rsidRPr="00AC5884">
              <w:rPr>
                <w:rStyle w:val="Hyperlink"/>
                <w:noProof/>
                <w:lang w:val="en-AU"/>
              </w:rPr>
              <w:t>4.3.1</w:t>
            </w:r>
            <w:r>
              <w:rPr>
                <w:rFonts w:eastAsiaTheme="minorEastAsia"/>
                <w:noProof/>
                <w:sz w:val="22"/>
                <w:szCs w:val="22"/>
                <w:lang w:val="en-US"/>
                <w14:ligatures w14:val="none"/>
              </w:rPr>
              <w:tab/>
            </w:r>
            <w:r w:rsidRPr="00AC5884">
              <w:rPr>
                <w:rStyle w:val="Hyperlink"/>
                <w:noProof/>
                <w:lang w:val="en-AU"/>
              </w:rPr>
              <w:t>C1. Capital allowance calculation</w:t>
            </w:r>
            <w:r>
              <w:rPr>
                <w:noProof/>
                <w:webHidden/>
              </w:rPr>
              <w:tab/>
            </w:r>
            <w:r>
              <w:rPr>
                <w:noProof/>
                <w:webHidden/>
              </w:rPr>
              <w:fldChar w:fldCharType="begin"/>
            </w:r>
            <w:r>
              <w:rPr>
                <w:noProof/>
                <w:webHidden/>
              </w:rPr>
              <w:instrText xml:space="preserve"> PAGEREF _Toc236249800 \h </w:instrText>
            </w:r>
            <w:r>
              <w:rPr>
                <w:noProof/>
                <w:webHidden/>
              </w:rPr>
            </w:r>
            <w:r>
              <w:rPr>
                <w:noProof/>
                <w:webHidden/>
              </w:rPr>
              <w:fldChar w:fldCharType="separate"/>
            </w:r>
            <w:r>
              <w:rPr>
                <w:noProof/>
                <w:webHidden/>
              </w:rPr>
              <w:t>27</w:t>
            </w:r>
            <w:r>
              <w:rPr>
                <w:noProof/>
                <w:webHidden/>
              </w:rPr>
              <w:fldChar w:fldCharType="end"/>
            </w:r>
          </w:hyperlink>
        </w:p>
        <w:p w14:paraId="632A5F9A" w14:textId="66804C46"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801" w:history="1">
            <w:r w:rsidRPr="00AC5884">
              <w:rPr>
                <w:rStyle w:val="Hyperlink"/>
                <w:noProof/>
                <w:lang w:val="en-AU"/>
              </w:rPr>
              <w:t>4.3.2</w:t>
            </w:r>
            <w:r>
              <w:rPr>
                <w:rFonts w:eastAsiaTheme="minorEastAsia"/>
                <w:noProof/>
                <w:sz w:val="22"/>
                <w:szCs w:val="22"/>
                <w:lang w:val="en-US"/>
                <w14:ligatures w14:val="none"/>
              </w:rPr>
              <w:tab/>
            </w:r>
            <w:r w:rsidRPr="00AC5884">
              <w:rPr>
                <w:rStyle w:val="Hyperlink"/>
                <w:noProof/>
                <w:lang w:val="en-AU"/>
              </w:rPr>
              <w:t>C2. Discount factors at 5%</w:t>
            </w:r>
            <w:r>
              <w:rPr>
                <w:noProof/>
                <w:webHidden/>
              </w:rPr>
              <w:tab/>
            </w:r>
            <w:r>
              <w:rPr>
                <w:noProof/>
                <w:webHidden/>
              </w:rPr>
              <w:fldChar w:fldCharType="begin"/>
            </w:r>
            <w:r>
              <w:rPr>
                <w:noProof/>
                <w:webHidden/>
              </w:rPr>
              <w:instrText xml:space="preserve"> PAGEREF _Toc236249801 \h </w:instrText>
            </w:r>
            <w:r>
              <w:rPr>
                <w:noProof/>
                <w:webHidden/>
              </w:rPr>
            </w:r>
            <w:r>
              <w:rPr>
                <w:noProof/>
                <w:webHidden/>
              </w:rPr>
              <w:fldChar w:fldCharType="separate"/>
            </w:r>
            <w:r>
              <w:rPr>
                <w:noProof/>
                <w:webHidden/>
              </w:rPr>
              <w:t>27</w:t>
            </w:r>
            <w:r>
              <w:rPr>
                <w:noProof/>
                <w:webHidden/>
              </w:rPr>
              <w:fldChar w:fldCharType="end"/>
            </w:r>
          </w:hyperlink>
        </w:p>
        <w:p w14:paraId="6BA28935" w14:textId="0949DDE4"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802" w:history="1">
            <w:r w:rsidRPr="00AC5884">
              <w:rPr>
                <w:rStyle w:val="Hyperlink"/>
                <w:noProof/>
                <w:lang w:val="en-AU"/>
              </w:rPr>
              <w:t>4.4</w:t>
            </w:r>
            <w:r>
              <w:rPr>
                <w:rFonts w:eastAsiaTheme="minorEastAsia"/>
                <w:b w:val="0"/>
                <w:bCs w:val="0"/>
                <w:noProof/>
                <w:lang w:val="en-US"/>
                <w14:ligatures w14:val="none"/>
              </w:rPr>
              <w:tab/>
            </w:r>
            <w:r w:rsidRPr="00AC5884">
              <w:rPr>
                <w:rStyle w:val="Hyperlink"/>
                <w:noProof/>
                <w:lang w:val="en-AU"/>
              </w:rPr>
              <w:t>Appendix D: NPV calculations</w:t>
            </w:r>
            <w:r>
              <w:rPr>
                <w:noProof/>
                <w:webHidden/>
              </w:rPr>
              <w:tab/>
            </w:r>
            <w:r>
              <w:rPr>
                <w:noProof/>
                <w:webHidden/>
              </w:rPr>
              <w:fldChar w:fldCharType="begin"/>
            </w:r>
            <w:r>
              <w:rPr>
                <w:noProof/>
                <w:webHidden/>
              </w:rPr>
              <w:instrText xml:space="preserve"> PAGEREF _Toc236249802 \h </w:instrText>
            </w:r>
            <w:r>
              <w:rPr>
                <w:noProof/>
                <w:webHidden/>
              </w:rPr>
            </w:r>
            <w:r>
              <w:rPr>
                <w:noProof/>
                <w:webHidden/>
              </w:rPr>
              <w:fldChar w:fldCharType="separate"/>
            </w:r>
            <w:r>
              <w:rPr>
                <w:noProof/>
                <w:webHidden/>
              </w:rPr>
              <w:t>28</w:t>
            </w:r>
            <w:r>
              <w:rPr>
                <w:noProof/>
                <w:webHidden/>
              </w:rPr>
              <w:fldChar w:fldCharType="end"/>
            </w:r>
          </w:hyperlink>
        </w:p>
        <w:p w14:paraId="5576B688" w14:textId="174C8710"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803" w:history="1">
            <w:r w:rsidRPr="00AC5884">
              <w:rPr>
                <w:rStyle w:val="Hyperlink"/>
                <w:noProof/>
                <w:lang w:val="en-AU"/>
              </w:rPr>
              <w:t>4.4.1</w:t>
            </w:r>
            <w:r>
              <w:rPr>
                <w:rFonts w:eastAsiaTheme="minorEastAsia"/>
                <w:noProof/>
                <w:sz w:val="22"/>
                <w:szCs w:val="22"/>
                <w:lang w:val="en-US"/>
                <w14:ligatures w14:val="none"/>
              </w:rPr>
              <w:tab/>
            </w:r>
            <w:r w:rsidRPr="00AC5884">
              <w:rPr>
                <w:rStyle w:val="Hyperlink"/>
                <w:noProof/>
                <w:lang w:val="en-AU"/>
              </w:rPr>
              <w:t>D1. Option A: Expand retail outlet</w:t>
            </w:r>
            <w:r>
              <w:rPr>
                <w:noProof/>
                <w:webHidden/>
              </w:rPr>
              <w:tab/>
            </w:r>
            <w:r>
              <w:rPr>
                <w:noProof/>
                <w:webHidden/>
              </w:rPr>
              <w:fldChar w:fldCharType="begin"/>
            </w:r>
            <w:r>
              <w:rPr>
                <w:noProof/>
                <w:webHidden/>
              </w:rPr>
              <w:instrText xml:space="preserve"> PAGEREF _Toc236249803 \h </w:instrText>
            </w:r>
            <w:r>
              <w:rPr>
                <w:noProof/>
                <w:webHidden/>
              </w:rPr>
            </w:r>
            <w:r>
              <w:rPr>
                <w:noProof/>
                <w:webHidden/>
              </w:rPr>
              <w:fldChar w:fldCharType="separate"/>
            </w:r>
            <w:r>
              <w:rPr>
                <w:noProof/>
                <w:webHidden/>
              </w:rPr>
              <w:t>28</w:t>
            </w:r>
            <w:r>
              <w:rPr>
                <w:noProof/>
                <w:webHidden/>
              </w:rPr>
              <w:fldChar w:fldCharType="end"/>
            </w:r>
          </w:hyperlink>
        </w:p>
        <w:p w14:paraId="4645580C" w14:textId="6F066C46"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804" w:history="1">
            <w:r w:rsidRPr="00AC5884">
              <w:rPr>
                <w:rStyle w:val="Hyperlink"/>
                <w:noProof/>
                <w:lang w:val="en-AU"/>
              </w:rPr>
              <w:t>4.4.2</w:t>
            </w:r>
            <w:r>
              <w:rPr>
                <w:rFonts w:eastAsiaTheme="minorEastAsia"/>
                <w:noProof/>
                <w:sz w:val="22"/>
                <w:szCs w:val="22"/>
                <w:lang w:val="en-US"/>
                <w14:ligatures w14:val="none"/>
              </w:rPr>
              <w:tab/>
            </w:r>
            <w:r w:rsidRPr="00AC5884">
              <w:rPr>
                <w:rStyle w:val="Hyperlink"/>
                <w:noProof/>
                <w:lang w:val="en-AU"/>
              </w:rPr>
              <w:t>D2. Option B: Develop internet sales</w:t>
            </w:r>
            <w:r>
              <w:rPr>
                <w:noProof/>
                <w:webHidden/>
              </w:rPr>
              <w:tab/>
            </w:r>
            <w:r>
              <w:rPr>
                <w:noProof/>
                <w:webHidden/>
              </w:rPr>
              <w:fldChar w:fldCharType="begin"/>
            </w:r>
            <w:r>
              <w:rPr>
                <w:noProof/>
                <w:webHidden/>
              </w:rPr>
              <w:instrText xml:space="preserve"> PAGEREF _Toc236249804 \h </w:instrText>
            </w:r>
            <w:r>
              <w:rPr>
                <w:noProof/>
                <w:webHidden/>
              </w:rPr>
            </w:r>
            <w:r>
              <w:rPr>
                <w:noProof/>
                <w:webHidden/>
              </w:rPr>
              <w:fldChar w:fldCharType="separate"/>
            </w:r>
            <w:r>
              <w:rPr>
                <w:noProof/>
                <w:webHidden/>
              </w:rPr>
              <w:t>28</w:t>
            </w:r>
            <w:r>
              <w:rPr>
                <w:noProof/>
                <w:webHidden/>
              </w:rPr>
              <w:fldChar w:fldCharType="end"/>
            </w:r>
          </w:hyperlink>
        </w:p>
        <w:p w14:paraId="6D4F99A0" w14:textId="6A603DD0" w:rsidR="00D551D7" w:rsidRDefault="00D551D7">
          <w:pPr>
            <w:pStyle w:val="TOC3"/>
            <w:tabs>
              <w:tab w:val="left" w:pos="1200"/>
              <w:tab w:val="right" w:leader="underscore" w:pos="9350"/>
            </w:tabs>
            <w:rPr>
              <w:rFonts w:eastAsiaTheme="minorEastAsia"/>
              <w:noProof/>
              <w:sz w:val="22"/>
              <w:szCs w:val="22"/>
              <w:lang w:val="en-US"/>
              <w14:ligatures w14:val="none"/>
            </w:rPr>
          </w:pPr>
          <w:hyperlink w:anchor="_Toc236249805" w:history="1">
            <w:r w:rsidRPr="00AC5884">
              <w:rPr>
                <w:rStyle w:val="Hyperlink"/>
                <w:noProof/>
                <w:lang w:val="en-AU"/>
              </w:rPr>
              <w:t>4.4.3</w:t>
            </w:r>
            <w:r>
              <w:rPr>
                <w:rFonts w:eastAsiaTheme="minorEastAsia"/>
                <w:noProof/>
                <w:sz w:val="22"/>
                <w:szCs w:val="22"/>
                <w:lang w:val="en-US"/>
                <w14:ligatures w14:val="none"/>
              </w:rPr>
              <w:tab/>
            </w:r>
            <w:r w:rsidRPr="00AC5884">
              <w:rPr>
                <w:rStyle w:val="Hyperlink"/>
                <w:noProof/>
                <w:lang w:val="en-AU"/>
              </w:rPr>
              <w:t>D3. Option C: Produce purses and wallets</w:t>
            </w:r>
            <w:r>
              <w:rPr>
                <w:noProof/>
                <w:webHidden/>
              </w:rPr>
              <w:tab/>
            </w:r>
            <w:r>
              <w:rPr>
                <w:noProof/>
                <w:webHidden/>
              </w:rPr>
              <w:fldChar w:fldCharType="begin"/>
            </w:r>
            <w:r>
              <w:rPr>
                <w:noProof/>
                <w:webHidden/>
              </w:rPr>
              <w:instrText xml:space="preserve"> PAGEREF _Toc236249805 \h </w:instrText>
            </w:r>
            <w:r>
              <w:rPr>
                <w:noProof/>
                <w:webHidden/>
              </w:rPr>
            </w:r>
            <w:r>
              <w:rPr>
                <w:noProof/>
                <w:webHidden/>
              </w:rPr>
              <w:fldChar w:fldCharType="separate"/>
            </w:r>
            <w:r>
              <w:rPr>
                <w:noProof/>
                <w:webHidden/>
              </w:rPr>
              <w:t>29</w:t>
            </w:r>
            <w:r>
              <w:rPr>
                <w:noProof/>
                <w:webHidden/>
              </w:rPr>
              <w:fldChar w:fldCharType="end"/>
            </w:r>
          </w:hyperlink>
        </w:p>
        <w:p w14:paraId="21C58417" w14:textId="35B8DF5A"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806" w:history="1">
            <w:r w:rsidRPr="00AC5884">
              <w:rPr>
                <w:rStyle w:val="Hyperlink"/>
                <w:noProof/>
                <w:lang w:val="en-AU"/>
              </w:rPr>
              <w:t>4.5</w:t>
            </w:r>
            <w:r>
              <w:rPr>
                <w:rFonts w:eastAsiaTheme="minorEastAsia"/>
                <w:b w:val="0"/>
                <w:bCs w:val="0"/>
                <w:noProof/>
                <w:lang w:val="en-US"/>
                <w14:ligatures w14:val="none"/>
              </w:rPr>
              <w:tab/>
            </w:r>
            <w:r w:rsidRPr="00AC5884">
              <w:rPr>
                <w:rStyle w:val="Hyperlink"/>
                <w:noProof/>
                <w:lang w:val="en-AU"/>
              </w:rPr>
              <w:t>Appendix E: IRR calculation for Option C</w:t>
            </w:r>
            <w:r>
              <w:rPr>
                <w:noProof/>
                <w:webHidden/>
              </w:rPr>
              <w:tab/>
            </w:r>
            <w:r>
              <w:rPr>
                <w:noProof/>
                <w:webHidden/>
              </w:rPr>
              <w:fldChar w:fldCharType="begin"/>
            </w:r>
            <w:r>
              <w:rPr>
                <w:noProof/>
                <w:webHidden/>
              </w:rPr>
              <w:instrText xml:space="preserve"> PAGEREF _Toc236249806 \h </w:instrText>
            </w:r>
            <w:r>
              <w:rPr>
                <w:noProof/>
                <w:webHidden/>
              </w:rPr>
            </w:r>
            <w:r>
              <w:rPr>
                <w:noProof/>
                <w:webHidden/>
              </w:rPr>
              <w:fldChar w:fldCharType="separate"/>
            </w:r>
            <w:r>
              <w:rPr>
                <w:noProof/>
                <w:webHidden/>
              </w:rPr>
              <w:t>29</w:t>
            </w:r>
            <w:r>
              <w:rPr>
                <w:noProof/>
                <w:webHidden/>
              </w:rPr>
              <w:fldChar w:fldCharType="end"/>
            </w:r>
          </w:hyperlink>
        </w:p>
        <w:p w14:paraId="31692EAA" w14:textId="5ACFBF22" w:rsidR="00D551D7" w:rsidRDefault="00D551D7">
          <w:pPr>
            <w:pStyle w:val="TOC2"/>
            <w:tabs>
              <w:tab w:val="left" w:pos="960"/>
              <w:tab w:val="right" w:leader="underscore" w:pos="9350"/>
            </w:tabs>
            <w:rPr>
              <w:rFonts w:eastAsiaTheme="minorEastAsia"/>
              <w:b w:val="0"/>
              <w:bCs w:val="0"/>
              <w:noProof/>
              <w:lang w:val="en-US"/>
              <w14:ligatures w14:val="none"/>
            </w:rPr>
          </w:pPr>
          <w:hyperlink w:anchor="_Toc236249807" w:history="1">
            <w:r w:rsidRPr="00AC5884">
              <w:rPr>
                <w:rStyle w:val="Hyperlink"/>
                <w:noProof/>
                <w:lang w:val="en-AU"/>
              </w:rPr>
              <w:t>4.6</w:t>
            </w:r>
            <w:r>
              <w:rPr>
                <w:rFonts w:eastAsiaTheme="minorEastAsia"/>
                <w:b w:val="0"/>
                <w:bCs w:val="0"/>
                <w:noProof/>
                <w:lang w:val="en-US"/>
                <w14:ligatures w14:val="none"/>
              </w:rPr>
              <w:tab/>
            </w:r>
            <w:r w:rsidRPr="00AC5884">
              <w:rPr>
                <w:rStyle w:val="Hyperlink"/>
                <w:noProof/>
                <w:lang w:val="en-AU"/>
              </w:rPr>
              <w:t>Appendix F: Capital rationing calculation</w:t>
            </w:r>
            <w:r>
              <w:rPr>
                <w:noProof/>
                <w:webHidden/>
              </w:rPr>
              <w:tab/>
            </w:r>
            <w:r>
              <w:rPr>
                <w:noProof/>
                <w:webHidden/>
              </w:rPr>
              <w:fldChar w:fldCharType="begin"/>
            </w:r>
            <w:r>
              <w:rPr>
                <w:noProof/>
                <w:webHidden/>
              </w:rPr>
              <w:instrText xml:space="preserve"> PAGEREF _Toc236249807 \h </w:instrText>
            </w:r>
            <w:r>
              <w:rPr>
                <w:noProof/>
                <w:webHidden/>
              </w:rPr>
            </w:r>
            <w:r>
              <w:rPr>
                <w:noProof/>
                <w:webHidden/>
              </w:rPr>
              <w:fldChar w:fldCharType="separate"/>
            </w:r>
            <w:r>
              <w:rPr>
                <w:noProof/>
                <w:webHidden/>
              </w:rPr>
              <w:t>31</w:t>
            </w:r>
            <w:r>
              <w:rPr>
                <w:noProof/>
                <w:webHidden/>
              </w:rPr>
              <w:fldChar w:fldCharType="end"/>
            </w:r>
          </w:hyperlink>
        </w:p>
        <w:p w14:paraId="555ED036" w14:textId="40C78BF2" w:rsidR="009A74D4" w:rsidRDefault="009A74D4">
          <w:r>
            <w:rPr>
              <w:rFonts w:asciiTheme="minorHAnsi" w:hAnsiTheme="minorHAnsi"/>
              <w:b/>
              <w:bCs/>
              <w:i/>
              <w:iCs/>
              <w:szCs w:val="24"/>
            </w:rPr>
            <w:fldChar w:fldCharType="end"/>
          </w:r>
        </w:p>
      </w:sdtContent>
    </w:sdt>
    <w:p w14:paraId="31667FF5" w14:textId="77777777" w:rsidR="000C685B" w:rsidRPr="009A74D4" w:rsidRDefault="000C685B" w:rsidP="009A74D4">
      <w:pPr>
        <w:rPr>
          <w:lang w:val="en-US"/>
        </w:rPr>
      </w:pPr>
    </w:p>
    <w:p w14:paraId="4447B9C3" w14:textId="77777777" w:rsidR="000C685B" w:rsidRPr="009A74D4" w:rsidRDefault="000C685B" w:rsidP="009A74D4">
      <w:pPr>
        <w:rPr>
          <w:lang w:val="en-US"/>
        </w:rPr>
      </w:pPr>
      <w:r w:rsidRPr="009A74D4">
        <w:rPr>
          <w:lang w:val="en-US"/>
        </w:rPr>
        <w:br w:type="page"/>
      </w:r>
    </w:p>
    <w:p w14:paraId="0EAE4CED" w14:textId="77777777" w:rsidR="00A77462" w:rsidRDefault="000C685B" w:rsidP="000C685B">
      <w:pPr>
        <w:pStyle w:val="Heading1"/>
        <w:numPr>
          <w:ilvl w:val="0"/>
          <w:numId w:val="9"/>
        </w:numPr>
        <w:rPr>
          <w:lang w:val="en-US"/>
        </w:rPr>
      </w:pPr>
      <w:bookmarkStart w:id="0" w:name="_Toc236249769"/>
      <w:r>
        <w:rPr>
          <w:lang w:val="en-US"/>
        </w:rPr>
        <w:lastRenderedPageBreak/>
        <w:t>Part 1 Vodafone Group Plc</w:t>
      </w:r>
      <w:bookmarkEnd w:id="0"/>
    </w:p>
    <w:p w14:paraId="4FC9E6D4" w14:textId="77777777" w:rsidR="00A77462" w:rsidRPr="000C685B" w:rsidRDefault="000C685B" w:rsidP="000C685B">
      <w:pPr>
        <w:pStyle w:val="Heading2"/>
        <w:numPr>
          <w:ilvl w:val="1"/>
          <w:numId w:val="9"/>
        </w:numPr>
        <w:rPr>
          <w:lang w:val="en-US"/>
        </w:rPr>
      </w:pPr>
      <w:bookmarkStart w:id="1" w:name="_Toc236249770"/>
      <w:r>
        <w:t>Introduction and scope</w:t>
      </w:r>
      <w:bookmarkEnd w:id="1"/>
    </w:p>
    <w:p w14:paraId="0FA93ED7" w14:textId="77777777" w:rsidR="00A77462" w:rsidRPr="00F7729C" w:rsidRDefault="00A77462" w:rsidP="000C685B">
      <w:pPr>
        <w:rPr>
          <w:bCs/>
          <w:lang w:val="en-US"/>
        </w:rPr>
      </w:pPr>
      <w:r w:rsidRPr="00F7729C">
        <w:rPr>
          <w:bCs/>
        </w:rPr>
        <w:t>Vodafone Group plc is a UK-headquartered telecommunications group. Part 1 uses its FY2025 financial-statement data and re-presented FY2024 comparatives to assess profitability, efficiency, liquidity, shareholder returns and financial risk. The re-presented figures provide the most consistent two-year basis because the reporting perimeter changed (Vodafone Group plc, 2025).</w:t>
      </w:r>
    </w:p>
    <w:p w14:paraId="6ADC8031" w14:textId="77777777" w:rsidR="000F16A6" w:rsidRPr="00F7729C" w:rsidRDefault="00FA2970">
      <w:pPr>
        <w:rPr>
          <w:bCs/>
        </w:rPr>
      </w:pPr>
      <w:r w:rsidRPr="00F7729C">
        <w:rPr>
          <w:bCs/>
        </w:rPr>
        <w:t>Part 2 evaluates Beard Plc’s three capital-investment options using net present value, internal rate of return, payback period and capital rationing. These methods assess the timing, return and value created by investment cash flows (Sokolov, 2024; Purnamasari and Adriza, 2024).</w:t>
      </w:r>
    </w:p>
    <w:p w14:paraId="282EB996" w14:textId="77777777" w:rsidR="00A77462" w:rsidRPr="00F7729C" w:rsidRDefault="00A77462" w:rsidP="000C685B">
      <w:pPr>
        <w:rPr>
          <w:bCs/>
          <w:lang w:val="en-US"/>
        </w:rPr>
      </w:pPr>
      <w:r w:rsidRPr="00F7729C">
        <w:rPr>
          <w:bCs/>
          <w:lang w:val="en-US"/>
        </w:rPr>
        <w:t>The consolidated financial statements are prepared using UK-adopted International Accounting Standards and IFRS as issued by the IASB. This is important since the ratios are sensitive to accounting outputs: impairment charges, discontinued operations, fair value items, and held-for-sale classifications all influence the numbers that are used in ratio analysis (Ali Abebe, 2022).</w:t>
      </w:r>
    </w:p>
    <w:p w14:paraId="2392649E" w14:textId="77777777" w:rsidR="00A77462" w:rsidRPr="00F7729C" w:rsidRDefault="00A77462" w:rsidP="000C685B">
      <w:pPr>
        <w:rPr>
          <w:bCs/>
          <w:lang w:val="en-AU"/>
        </w:rPr>
      </w:pPr>
      <w:r w:rsidRPr="00F7729C">
        <w:rPr>
          <w:bCs/>
        </w:rPr>
        <w:t>The formula definitions, source figures and full calculation workings are set out in Appendix B, so the main findings focus on the meaning of the reported ratios.</w:t>
      </w:r>
    </w:p>
    <w:p w14:paraId="422AD2EC" w14:textId="77777777" w:rsidR="00A77462" w:rsidRDefault="00A77462" w:rsidP="00A77462">
      <w:pPr>
        <w:spacing w:line="256" w:lineRule="auto"/>
        <w:rPr>
          <w:lang w:val="en-AU"/>
        </w:rPr>
      </w:pPr>
      <w:r w:rsidRPr="00F7729C">
        <w:rPr>
          <w:bCs/>
        </w:rPr>
        <w:t>The calculations use a consistent continuing-operations basis. Where FY2024 held-for-sale balances would distort comparability with FY2025, the figures are excluded and the sensitivity calculation is provided in Appendix B4</w:t>
      </w:r>
      <w:r>
        <w:rPr>
          <w:b/>
        </w:rPr>
        <w:t>.</w:t>
      </w:r>
    </w:p>
    <w:p w14:paraId="7FEA732F" w14:textId="77777777" w:rsidR="00A77462" w:rsidRPr="000C685B" w:rsidRDefault="000C685B" w:rsidP="000C685B">
      <w:pPr>
        <w:pStyle w:val="Heading2"/>
        <w:numPr>
          <w:ilvl w:val="1"/>
          <w:numId w:val="9"/>
        </w:numPr>
      </w:pPr>
      <w:bookmarkStart w:id="2" w:name="_Toc236249771"/>
      <w:r>
        <w:t>Main Findings: Ratio Results Summary</w:t>
      </w:r>
      <w:bookmarkEnd w:id="2"/>
    </w:p>
    <w:p w14:paraId="6051CEE7" w14:textId="77777777" w:rsidR="00A77462" w:rsidRPr="00F7729C" w:rsidRDefault="00A77462" w:rsidP="00A77462">
      <w:pPr>
        <w:spacing w:line="256" w:lineRule="auto"/>
        <w:rPr>
          <w:bCs/>
          <w:lang w:val="en-AU"/>
        </w:rPr>
      </w:pPr>
      <w:r w:rsidRPr="00F7729C">
        <w:rPr>
          <w:bCs/>
        </w:rPr>
        <w:t>Vodafone’s annual report is used for the underlying reported figures, while the interpretation draws on independent accounting and finance literature (Ali Abebe, 2022). The source figures and full workings are shown in Appendix B.</w:t>
      </w:r>
    </w:p>
    <w:p w14:paraId="3D7B656F" w14:textId="77777777" w:rsidR="000F16A6" w:rsidRPr="00F7729C" w:rsidRDefault="00FA2970">
      <w:pPr>
        <w:rPr>
          <w:bCs/>
        </w:rPr>
      </w:pPr>
      <w:r w:rsidRPr="00F7729C">
        <w:rPr>
          <w:bCs/>
        </w:rPr>
        <w:t>Ratio-purpose context. Profitability ratios assess the capacity of sales and capital employed to generate returns. Efficiency ratios assess asset use and cash-conversion timing, liquidity ratios assess short-term obligation coverage, investment ratios assess shareholder returns and dividend sustainability, and gearing and interest cover assess financial risk and debt-service capacity.</w:t>
      </w:r>
    </w:p>
    <w:p w14:paraId="41EF3448" w14:textId="77777777" w:rsidR="000F16A6" w:rsidRPr="00F7729C" w:rsidRDefault="00FA2970">
      <w:pPr>
        <w:rPr>
          <w:bCs/>
        </w:rPr>
      </w:pPr>
      <w:r w:rsidRPr="00F7729C">
        <w:rPr>
          <w:bCs/>
        </w:rPr>
        <w:lastRenderedPageBreak/>
        <w:t>Benchmark context. FY2024 is used as Vodafone’s internal historical benchmark because the annual report does not publish target values for each statutory ratio calculated here. Accordingly, the analysis evaluates FY2025 against FY2024, while treating positive operating profit and ROCE above the cost of capital, current and quick ratios at or above 1.0x, dividend cover above 1.0x, and sustainable positive interest cover as basic thresholds. Efficiency and gearing are interpreted in the context of UK telecommunications’ capital intensity rather than against a single universal target.</w:t>
      </w:r>
    </w:p>
    <w:tbl>
      <w:tblPr>
        <w:tblStyle w:val="GridTable4-Accent11"/>
        <w:tblW w:w="0" w:type="auto"/>
        <w:tblLook w:val="04A0" w:firstRow="1" w:lastRow="0" w:firstColumn="1" w:lastColumn="0" w:noHBand="0" w:noVBand="1"/>
      </w:tblPr>
      <w:tblGrid>
        <w:gridCol w:w="1716"/>
        <w:gridCol w:w="2509"/>
        <w:gridCol w:w="1256"/>
        <w:gridCol w:w="1256"/>
      </w:tblGrid>
      <w:tr w:rsidR="00A77462" w14:paraId="47727100" w14:textId="77777777" w:rsidTr="000C68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589A6" w14:textId="77777777" w:rsidR="00A77462" w:rsidRDefault="00A77462" w:rsidP="000C685B">
            <w:pPr>
              <w:spacing w:line="256" w:lineRule="auto"/>
              <w:jc w:val="left"/>
              <w:rPr>
                <w:lang w:val="en-AU" w:eastAsia="en-AU"/>
              </w:rPr>
            </w:pPr>
            <w:r>
              <w:rPr>
                <w:lang w:val="en-AU" w:eastAsia="en-AU"/>
              </w:rPr>
              <w:t>Ratio category</w:t>
            </w:r>
          </w:p>
        </w:tc>
        <w:tc>
          <w:tcPr>
            <w:tcW w:w="0" w:type="auto"/>
            <w:hideMark/>
          </w:tcPr>
          <w:p w14:paraId="1F6E5077"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lang w:val="en-AU" w:eastAsia="en-AU"/>
              </w:rPr>
            </w:pPr>
            <w:r>
              <w:rPr>
                <w:lang w:val="en-AU" w:eastAsia="en-AU"/>
              </w:rPr>
              <w:t>Ratio</w:t>
            </w:r>
          </w:p>
        </w:tc>
        <w:tc>
          <w:tcPr>
            <w:tcW w:w="0" w:type="auto"/>
            <w:hideMark/>
          </w:tcPr>
          <w:p w14:paraId="6611B0AE"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lang w:val="en-AU" w:eastAsia="en-AU"/>
              </w:rPr>
            </w:pPr>
            <w:r>
              <w:rPr>
                <w:lang w:val="en-AU" w:eastAsia="en-AU"/>
              </w:rPr>
              <w:t>FY2025</w:t>
            </w:r>
          </w:p>
        </w:tc>
        <w:tc>
          <w:tcPr>
            <w:tcW w:w="0" w:type="auto"/>
            <w:hideMark/>
          </w:tcPr>
          <w:p w14:paraId="4FB4000A"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lang w:val="en-AU" w:eastAsia="en-AU"/>
              </w:rPr>
            </w:pPr>
            <w:r>
              <w:rPr>
                <w:lang w:val="en-AU" w:eastAsia="en-AU"/>
              </w:rPr>
              <w:t>FY2024</w:t>
            </w:r>
          </w:p>
        </w:tc>
      </w:tr>
      <w:tr w:rsidR="00A77462" w14:paraId="5299B6A5"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5E006" w14:textId="77777777" w:rsidR="00A77462" w:rsidRDefault="00A77462" w:rsidP="000C685B">
            <w:pPr>
              <w:spacing w:line="256" w:lineRule="auto"/>
              <w:rPr>
                <w:lang w:val="en-AU" w:eastAsia="en-AU"/>
              </w:rPr>
            </w:pPr>
            <w:r>
              <w:rPr>
                <w:lang w:val="en-AU" w:eastAsia="en-AU"/>
              </w:rPr>
              <w:t>Profitability</w:t>
            </w:r>
          </w:p>
        </w:tc>
        <w:tc>
          <w:tcPr>
            <w:tcW w:w="0" w:type="auto"/>
            <w:hideMark/>
          </w:tcPr>
          <w:p w14:paraId="3B50038C"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Gross profit margin</w:t>
            </w:r>
          </w:p>
        </w:tc>
        <w:tc>
          <w:tcPr>
            <w:tcW w:w="0" w:type="auto"/>
            <w:hideMark/>
          </w:tcPr>
          <w:p w14:paraId="07A4E2A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33.43%</w:t>
            </w:r>
          </w:p>
        </w:tc>
        <w:tc>
          <w:tcPr>
            <w:tcW w:w="0" w:type="auto"/>
            <w:hideMark/>
          </w:tcPr>
          <w:p w14:paraId="5B973359"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33.39%</w:t>
            </w:r>
          </w:p>
        </w:tc>
      </w:tr>
      <w:tr w:rsidR="00A77462" w14:paraId="45D7D853"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6E00C58F" w14:textId="77777777" w:rsidR="00A77462" w:rsidRDefault="00A77462" w:rsidP="000C685B">
            <w:pPr>
              <w:spacing w:line="256" w:lineRule="auto"/>
              <w:rPr>
                <w:lang w:val="en-AU" w:eastAsia="en-AU"/>
              </w:rPr>
            </w:pPr>
            <w:r>
              <w:rPr>
                <w:lang w:val="en-AU" w:eastAsia="en-AU"/>
              </w:rPr>
              <w:t>Profitability</w:t>
            </w:r>
          </w:p>
        </w:tc>
        <w:tc>
          <w:tcPr>
            <w:tcW w:w="0" w:type="auto"/>
            <w:hideMark/>
          </w:tcPr>
          <w:p w14:paraId="2EA7F530"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Operating profit margin</w:t>
            </w:r>
          </w:p>
        </w:tc>
        <w:tc>
          <w:tcPr>
            <w:tcW w:w="0" w:type="auto"/>
            <w:hideMark/>
          </w:tcPr>
          <w:p w14:paraId="7C75FE30"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-1.10%</w:t>
            </w:r>
          </w:p>
        </w:tc>
        <w:tc>
          <w:tcPr>
            <w:tcW w:w="0" w:type="auto"/>
            <w:hideMark/>
          </w:tcPr>
          <w:p w14:paraId="55A569C7"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9.98%</w:t>
            </w:r>
          </w:p>
        </w:tc>
      </w:tr>
      <w:tr w:rsidR="00A77462" w14:paraId="7132A080"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92CA9D" w14:textId="77777777" w:rsidR="00A77462" w:rsidRDefault="00A77462" w:rsidP="000C685B">
            <w:pPr>
              <w:spacing w:line="256" w:lineRule="auto"/>
              <w:rPr>
                <w:lang w:val="en-AU" w:eastAsia="en-AU"/>
              </w:rPr>
            </w:pPr>
            <w:r>
              <w:rPr>
                <w:lang w:val="en-AU" w:eastAsia="en-AU"/>
              </w:rPr>
              <w:t>Profitability</w:t>
            </w:r>
          </w:p>
        </w:tc>
        <w:tc>
          <w:tcPr>
            <w:tcW w:w="0" w:type="auto"/>
            <w:hideMark/>
          </w:tcPr>
          <w:p w14:paraId="0E73901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ROCE</w:t>
            </w:r>
          </w:p>
        </w:tc>
        <w:tc>
          <w:tcPr>
            <w:tcW w:w="0" w:type="auto"/>
            <w:hideMark/>
          </w:tcPr>
          <w:p w14:paraId="026AF4BC"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-0.39%</w:t>
            </w:r>
          </w:p>
        </w:tc>
        <w:tc>
          <w:tcPr>
            <w:tcW w:w="0" w:type="auto"/>
            <w:hideMark/>
          </w:tcPr>
          <w:p w14:paraId="5C3B7CE1"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3.56%</w:t>
            </w:r>
          </w:p>
        </w:tc>
      </w:tr>
      <w:tr w:rsidR="00A77462" w14:paraId="7DFEFEA6"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3E443A66" w14:textId="77777777" w:rsidR="00A77462" w:rsidRDefault="00A77462" w:rsidP="000C685B">
            <w:pPr>
              <w:spacing w:line="256" w:lineRule="auto"/>
              <w:rPr>
                <w:lang w:val="en-AU" w:eastAsia="en-AU"/>
              </w:rPr>
            </w:pPr>
            <w:r>
              <w:rPr>
                <w:lang w:val="en-AU" w:eastAsia="en-AU"/>
              </w:rPr>
              <w:t>Efficiency</w:t>
            </w:r>
          </w:p>
        </w:tc>
        <w:tc>
          <w:tcPr>
            <w:tcW w:w="0" w:type="auto"/>
            <w:hideMark/>
          </w:tcPr>
          <w:p w14:paraId="5A81241C"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Asset turnover</w:t>
            </w:r>
          </w:p>
        </w:tc>
        <w:tc>
          <w:tcPr>
            <w:tcW w:w="0" w:type="auto"/>
            <w:hideMark/>
          </w:tcPr>
          <w:p w14:paraId="275323D6"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0.35x</w:t>
            </w:r>
          </w:p>
        </w:tc>
        <w:tc>
          <w:tcPr>
            <w:tcW w:w="0" w:type="auto"/>
            <w:hideMark/>
          </w:tcPr>
          <w:p w14:paraId="3B927E2B"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0.36x</w:t>
            </w:r>
          </w:p>
        </w:tc>
      </w:tr>
      <w:tr w:rsidR="00A77462" w14:paraId="2E8E7DEF"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7C2E00" w14:textId="77777777" w:rsidR="00A77462" w:rsidRDefault="00A77462" w:rsidP="000C685B">
            <w:pPr>
              <w:spacing w:line="256" w:lineRule="auto"/>
              <w:rPr>
                <w:lang w:val="en-AU" w:eastAsia="en-AU"/>
              </w:rPr>
            </w:pPr>
            <w:r>
              <w:rPr>
                <w:lang w:val="en-AU" w:eastAsia="en-AU"/>
              </w:rPr>
              <w:t>Efficiency</w:t>
            </w:r>
          </w:p>
        </w:tc>
        <w:tc>
          <w:tcPr>
            <w:tcW w:w="0" w:type="auto"/>
            <w:hideMark/>
          </w:tcPr>
          <w:p w14:paraId="48FD8E0A"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lang w:val="en-AU" w:eastAsia="en-AU"/>
              </w:rPr>
              <w:t>Debtor days</w:t>
            </w:r>
          </w:p>
        </w:tc>
        <w:tc>
          <w:tcPr>
            <w:tcW w:w="0" w:type="auto"/>
            <w:hideMark/>
          </w:tcPr>
          <w:p w14:paraId="423EFFE2"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35.64 days</w:t>
            </w:r>
          </w:p>
        </w:tc>
        <w:tc>
          <w:tcPr>
            <w:tcW w:w="0" w:type="auto"/>
            <w:hideMark/>
          </w:tcPr>
          <w:p w14:paraId="05EB4A4F"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32.63 days</w:t>
            </w:r>
          </w:p>
        </w:tc>
      </w:tr>
      <w:tr w:rsidR="00A77462" w14:paraId="08E9177F"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2B820D5F" w14:textId="77777777" w:rsidR="00A77462" w:rsidRDefault="00A77462" w:rsidP="000C685B">
            <w:pPr>
              <w:spacing w:line="256" w:lineRule="auto"/>
              <w:rPr>
                <w:lang w:val="en-AU" w:eastAsia="en-AU"/>
              </w:rPr>
            </w:pPr>
            <w:r>
              <w:rPr>
                <w:lang w:val="en-AU" w:eastAsia="en-AU"/>
              </w:rPr>
              <w:t>Efficiency</w:t>
            </w:r>
          </w:p>
        </w:tc>
        <w:tc>
          <w:tcPr>
            <w:tcW w:w="0" w:type="auto"/>
            <w:hideMark/>
          </w:tcPr>
          <w:p w14:paraId="3747BD4B"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Creditor days</w:t>
            </w:r>
          </w:p>
        </w:tc>
        <w:tc>
          <w:tcPr>
            <w:tcW w:w="0" w:type="auto"/>
            <w:hideMark/>
          </w:tcPr>
          <w:p w14:paraId="5635C089"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90.15 days</w:t>
            </w:r>
          </w:p>
        </w:tc>
        <w:tc>
          <w:tcPr>
            <w:tcW w:w="0" w:type="auto"/>
            <w:hideMark/>
          </w:tcPr>
          <w:p w14:paraId="67281CE3"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83.76 days</w:t>
            </w:r>
          </w:p>
        </w:tc>
      </w:tr>
      <w:tr w:rsidR="00A77462" w14:paraId="444430A4"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370D3E" w14:textId="77777777" w:rsidR="00A77462" w:rsidRDefault="00A77462" w:rsidP="000C685B">
            <w:pPr>
              <w:spacing w:line="256" w:lineRule="auto"/>
              <w:rPr>
                <w:lang w:val="en-AU" w:eastAsia="en-AU"/>
              </w:rPr>
            </w:pPr>
            <w:r>
              <w:rPr>
                <w:lang w:val="en-AU" w:eastAsia="en-AU"/>
              </w:rPr>
              <w:t>Efficiency</w:t>
            </w:r>
          </w:p>
        </w:tc>
        <w:tc>
          <w:tcPr>
            <w:tcW w:w="0" w:type="auto"/>
            <w:hideMark/>
          </w:tcPr>
          <w:p w14:paraId="680406DF"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Stock days</w:t>
            </w:r>
          </w:p>
        </w:tc>
        <w:tc>
          <w:tcPr>
            <w:tcW w:w="0" w:type="auto"/>
            <w:hideMark/>
          </w:tcPr>
          <w:p w14:paraId="7D8882E2"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9.03 days</w:t>
            </w:r>
          </w:p>
        </w:tc>
        <w:tc>
          <w:tcPr>
            <w:tcW w:w="0" w:type="auto"/>
            <w:hideMark/>
          </w:tcPr>
          <w:p w14:paraId="79120B30"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8.48 days</w:t>
            </w:r>
          </w:p>
        </w:tc>
      </w:tr>
      <w:tr w:rsidR="00A77462" w14:paraId="5E4E4433"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070AD554" w14:textId="77777777" w:rsidR="00A77462" w:rsidRDefault="00A77462" w:rsidP="000C685B">
            <w:pPr>
              <w:spacing w:line="256" w:lineRule="auto"/>
              <w:rPr>
                <w:lang w:val="en-AU" w:eastAsia="en-AU"/>
              </w:rPr>
            </w:pPr>
            <w:r>
              <w:rPr>
                <w:lang w:val="en-AU" w:eastAsia="en-AU"/>
              </w:rPr>
              <w:t>Efficiency</w:t>
            </w:r>
          </w:p>
        </w:tc>
        <w:tc>
          <w:tcPr>
            <w:tcW w:w="0" w:type="auto"/>
            <w:hideMark/>
          </w:tcPr>
          <w:p w14:paraId="45A6B183"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Stock turnover</w:t>
            </w:r>
          </w:p>
        </w:tc>
        <w:tc>
          <w:tcPr>
            <w:tcW w:w="0" w:type="auto"/>
            <w:hideMark/>
          </w:tcPr>
          <w:p w14:paraId="26F4B8B2"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40.40x</w:t>
            </w:r>
          </w:p>
        </w:tc>
        <w:tc>
          <w:tcPr>
            <w:tcW w:w="0" w:type="auto"/>
            <w:hideMark/>
          </w:tcPr>
          <w:p w14:paraId="155E50CB"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43.06x</w:t>
            </w:r>
          </w:p>
        </w:tc>
      </w:tr>
      <w:tr w:rsidR="00A77462" w14:paraId="46492078"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9B4B2A" w14:textId="77777777" w:rsidR="00A77462" w:rsidRDefault="00A77462" w:rsidP="000C685B">
            <w:pPr>
              <w:spacing w:line="256" w:lineRule="auto"/>
              <w:rPr>
                <w:lang w:val="en-AU" w:eastAsia="en-AU"/>
              </w:rPr>
            </w:pPr>
            <w:r>
              <w:rPr>
                <w:lang w:val="en-AU" w:eastAsia="en-AU"/>
              </w:rPr>
              <w:t>Liquidity</w:t>
            </w:r>
          </w:p>
        </w:tc>
        <w:tc>
          <w:tcPr>
            <w:tcW w:w="0" w:type="auto"/>
            <w:hideMark/>
          </w:tcPr>
          <w:p w14:paraId="0F9F8704"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Current ratio</w:t>
            </w:r>
          </w:p>
        </w:tc>
        <w:tc>
          <w:tcPr>
            <w:tcW w:w="0" w:type="auto"/>
            <w:hideMark/>
          </w:tcPr>
          <w:p w14:paraId="760B688F"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1.26x</w:t>
            </w:r>
          </w:p>
        </w:tc>
        <w:tc>
          <w:tcPr>
            <w:tcW w:w="0" w:type="auto"/>
            <w:hideMark/>
          </w:tcPr>
          <w:p w14:paraId="2EB73A6C"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0.92x</w:t>
            </w:r>
          </w:p>
        </w:tc>
      </w:tr>
      <w:tr w:rsidR="00A77462" w14:paraId="23DF34C0"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7E6F7042" w14:textId="77777777" w:rsidR="00A77462" w:rsidRDefault="00A77462" w:rsidP="000C685B">
            <w:pPr>
              <w:spacing w:line="256" w:lineRule="auto"/>
              <w:rPr>
                <w:lang w:val="en-AU" w:eastAsia="en-AU"/>
              </w:rPr>
            </w:pPr>
            <w:r>
              <w:rPr>
                <w:lang w:val="en-AU" w:eastAsia="en-AU"/>
              </w:rPr>
              <w:t>Liquidity</w:t>
            </w:r>
          </w:p>
        </w:tc>
        <w:tc>
          <w:tcPr>
            <w:tcW w:w="0" w:type="auto"/>
            <w:hideMark/>
          </w:tcPr>
          <w:p w14:paraId="14329DEC"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Quick ratio</w:t>
            </w:r>
          </w:p>
        </w:tc>
        <w:tc>
          <w:tcPr>
            <w:tcW w:w="0" w:type="auto"/>
            <w:hideMark/>
          </w:tcPr>
          <w:p w14:paraId="74E129A4"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1.23x</w:t>
            </w:r>
          </w:p>
        </w:tc>
        <w:tc>
          <w:tcPr>
            <w:tcW w:w="0" w:type="auto"/>
            <w:hideMark/>
          </w:tcPr>
          <w:p w14:paraId="7D0780A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0.89x</w:t>
            </w:r>
          </w:p>
        </w:tc>
      </w:tr>
      <w:tr w:rsidR="00A77462" w14:paraId="15BBFB5E"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F77880" w14:textId="77777777" w:rsidR="00A77462" w:rsidRDefault="00A77462" w:rsidP="000C685B">
            <w:pPr>
              <w:spacing w:line="256" w:lineRule="auto"/>
              <w:rPr>
                <w:lang w:val="en-AU" w:eastAsia="en-AU"/>
              </w:rPr>
            </w:pPr>
            <w:r>
              <w:rPr>
                <w:lang w:val="en-AU" w:eastAsia="en-AU"/>
              </w:rPr>
              <w:t>Investment</w:t>
            </w:r>
          </w:p>
        </w:tc>
        <w:tc>
          <w:tcPr>
            <w:tcW w:w="0" w:type="auto"/>
            <w:hideMark/>
          </w:tcPr>
          <w:p w14:paraId="64D69CAA"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EPS</w:t>
            </w:r>
          </w:p>
        </w:tc>
        <w:tc>
          <w:tcPr>
            <w:tcW w:w="0" w:type="auto"/>
            <w:hideMark/>
          </w:tcPr>
          <w:p w14:paraId="1845219E"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-15.94c</w:t>
            </w:r>
          </w:p>
        </w:tc>
        <w:tc>
          <w:tcPr>
            <w:tcW w:w="0" w:type="auto"/>
            <w:hideMark/>
          </w:tcPr>
          <w:p w14:paraId="2F27678B"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4.21c</w:t>
            </w:r>
          </w:p>
        </w:tc>
      </w:tr>
      <w:tr w:rsidR="00A77462" w14:paraId="0DC60720"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67A6FDA4" w14:textId="77777777" w:rsidR="00A77462" w:rsidRDefault="00A77462" w:rsidP="000C685B">
            <w:pPr>
              <w:spacing w:line="256" w:lineRule="auto"/>
              <w:rPr>
                <w:lang w:val="en-AU" w:eastAsia="en-AU"/>
              </w:rPr>
            </w:pPr>
            <w:r>
              <w:rPr>
                <w:lang w:val="en-AU" w:eastAsia="en-AU"/>
              </w:rPr>
              <w:t>Investment</w:t>
            </w:r>
          </w:p>
        </w:tc>
        <w:tc>
          <w:tcPr>
            <w:tcW w:w="0" w:type="auto"/>
            <w:hideMark/>
          </w:tcPr>
          <w:p w14:paraId="0C5D7B23"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Dividend cover</w:t>
            </w:r>
          </w:p>
        </w:tc>
        <w:tc>
          <w:tcPr>
            <w:tcW w:w="0" w:type="auto"/>
            <w:hideMark/>
          </w:tcPr>
          <w:p w14:paraId="7949992C"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-2.32x</w:t>
            </w:r>
          </w:p>
        </w:tc>
        <w:tc>
          <w:tcPr>
            <w:tcW w:w="0" w:type="auto"/>
            <w:hideMark/>
          </w:tcPr>
          <w:p w14:paraId="17861450"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0.47x</w:t>
            </w:r>
          </w:p>
        </w:tc>
      </w:tr>
      <w:tr w:rsidR="00A77462" w14:paraId="61C94DC5"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0C03BC" w14:textId="77777777" w:rsidR="00A77462" w:rsidRDefault="00A77462" w:rsidP="000C685B">
            <w:pPr>
              <w:spacing w:line="256" w:lineRule="auto"/>
              <w:rPr>
                <w:lang w:val="en-AU" w:eastAsia="en-AU"/>
              </w:rPr>
            </w:pPr>
            <w:r>
              <w:rPr>
                <w:lang w:val="en-AU" w:eastAsia="en-AU"/>
              </w:rPr>
              <w:t>Gearing</w:t>
            </w:r>
          </w:p>
        </w:tc>
        <w:tc>
          <w:tcPr>
            <w:tcW w:w="0" w:type="auto"/>
            <w:hideMark/>
          </w:tcPr>
          <w:p w14:paraId="44F8041C"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Gearing ratio 1</w:t>
            </w:r>
          </w:p>
        </w:tc>
        <w:tc>
          <w:tcPr>
            <w:tcW w:w="0" w:type="auto"/>
            <w:hideMark/>
          </w:tcPr>
          <w:p w14:paraId="79C28494"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50.25%</w:t>
            </w:r>
          </w:p>
        </w:tc>
        <w:tc>
          <w:tcPr>
            <w:tcW w:w="0" w:type="auto"/>
            <w:hideMark/>
          </w:tcPr>
          <w:p w14:paraId="36652856"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55.35%</w:t>
            </w:r>
          </w:p>
        </w:tc>
      </w:tr>
      <w:tr w:rsidR="00A77462" w14:paraId="4E7B1EE4" w14:textId="77777777" w:rsidTr="000C685B">
        <w:tc>
          <w:tcPr>
            <w:cnfStyle w:val="001000000000" w:firstRow="0" w:lastRow="0" w:firstColumn="1" w:lastColumn="0" w:oddVBand="0" w:evenVBand="0" w:oddHBand="0" w:evenHBand="0" w:firstRowFirstColumn="0" w:firstRowLastColumn="0" w:lastRowFirstColumn="0" w:lastRowLastColumn="0"/>
            <w:tcW w:w="0" w:type="auto"/>
            <w:hideMark/>
          </w:tcPr>
          <w:p w14:paraId="02B9794E" w14:textId="77777777" w:rsidR="00A77462" w:rsidRDefault="00A77462" w:rsidP="000C685B">
            <w:pPr>
              <w:spacing w:line="256" w:lineRule="auto"/>
              <w:rPr>
                <w:lang w:val="en-AU" w:eastAsia="en-AU"/>
              </w:rPr>
            </w:pPr>
            <w:r>
              <w:rPr>
                <w:lang w:val="en-AU" w:eastAsia="en-AU"/>
              </w:rPr>
              <w:t>Gearing</w:t>
            </w:r>
          </w:p>
        </w:tc>
        <w:tc>
          <w:tcPr>
            <w:tcW w:w="0" w:type="auto"/>
            <w:hideMark/>
          </w:tcPr>
          <w:p w14:paraId="206F46AE"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Gearing ratio 2</w:t>
            </w:r>
          </w:p>
        </w:tc>
        <w:tc>
          <w:tcPr>
            <w:tcW w:w="0" w:type="auto"/>
            <w:hideMark/>
          </w:tcPr>
          <w:p w14:paraId="67F75488"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98.57%</w:t>
            </w:r>
          </w:p>
        </w:tc>
        <w:tc>
          <w:tcPr>
            <w:tcW w:w="0" w:type="auto"/>
            <w:hideMark/>
          </w:tcPr>
          <w:p w14:paraId="1672D5A7"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93.42%</w:t>
            </w:r>
          </w:p>
        </w:tc>
      </w:tr>
      <w:tr w:rsidR="00A77462" w14:paraId="69625394" w14:textId="77777777" w:rsidTr="000C68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5CE5A5" w14:textId="77777777" w:rsidR="00A77462" w:rsidRDefault="00A77462" w:rsidP="000C685B">
            <w:pPr>
              <w:spacing w:line="256" w:lineRule="auto"/>
              <w:rPr>
                <w:lang w:val="en-AU" w:eastAsia="en-AU"/>
              </w:rPr>
            </w:pPr>
            <w:r>
              <w:rPr>
                <w:lang w:val="en-AU" w:eastAsia="en-AU"/>
              </w:rPr>
              <w:t>Gearing</w:t>
            </w:r>
          </w:p>
        </w:tc>
        <w:tc>
          <w:tcPr>
            <w:tcW w:w="0" w:type="auto"/>
            <w:hideMark/>
          </w:tcPr>
          <w:p w14:paraId="5AE2DC75"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Interest cover</w:t>
            </w:r>
          </w:p>
        </w:tc>
        <w:tc>
          <w:tcPr>
            <w:tcW w:w="0" w:type="auto"/>
            <w:hideMark/>
          </w:tcPr>
          <w:p w14:paraId="4C305576"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-0.21x</w:t>
            </w:r>
          </w:p>
        </w:tc>
        <w:tc>
          <w:tcPr>
            <w:tcW w:w="0" w:type="auto"/>
            <w:hideMark/>
          </w:tcPr>
          <w:p w14:paraId="754B6B5A"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1.40x</w:t>
            </w:r>
          </w:p>
        </w:tc>
      </w:tr>
    </w:tbl>
    <w:p w14:paraId="7C2D4694" w14:textId="77777777" w:rsidR="00A77462" w:rsidRPr="000C685B" w:rsidRDefault="00A77462" w:rsidP="000C685B">
      <w:pPr>
        <w:pStyle w:val="Heading2"/>
        <w:numPr>
          <w:ilvl w:val="1"/>
          <w:numId w:val="9"/>
        </w:numPr>
      </w:pPr>
      <w:bookmarkStart w:id="3" w:name="_Toc236249772"/>
      <w:r w:rsidRPr="000C685B">
        <w:t>Critical evaluation of the ratios</w:t>
      </w:r>
      <w:bookmarkEnd w:id="3"/>
    </w:p>
    <w:p w14:paraId="6FF99898" w14:textId="77777777" w:rsidR="00A77462" w:rsidRDefault="00A77462" w:rsidP="000C685B">
      <w:pPr>
        <w:pStyle w:val="Heading3"/>
        <w:numPr>
          <w:ilvl w:val="2"/>
          <w:numId w:val="9"/>
        </w:numPr>
        <w:rPr>
          <w:lang w:val="en-AU"/>
        </w:rPr>
      </w:pPr>
      <w:bookmarkStart w:id="4" w:name="_Toc236249773"/>
      <w:r>
        <w:rPr>
          <w:lang w:val="en-AU"/>
        </w:rPr>
        <w:t>Profitability</w:t>
      </w:r>
      <w:bookmarkEnd w:id="4"/>
    </w:p>
    <w:p w14:paraId="555FF0BC" w14:textId="77777777" w:rsidR="00914225" w:rsidRPr="00F7729C" w:rsidRDefault="00914225" w:rsidP="00914225">
      <w:pPr>
        <w:rPr>
          <w:bCs/>
        </w:rPr>
      </w:pPr>
      <w:r w:rsidRPr="00F7729C">
        <w:rPr>
          <w:bCs/>
        </w:rPr>
        <w:t xml:space="preserve">The gross profit margin of Vodafone remained nearly unchanged, rising from 33.39% in FY2024 to 33.43% in FY2025. Despite this stability, it does not compensate for the decline in operating </w:t>
      </w:r>
      <w:r w:rsidRPr="00F7729C">
        <w:rPr>
          <w:bCs/>
        </w:rPr>
        <w:lastRenderedPageBreak/>
        <w:t>profitability: operating profit decreased from €3.665bn to an operating loss of €411m while ROCE dropped from 3.56% to -0.39%. An impairment charge impacts both earnings and the capital base and thus profitability should be viewed in the context of cash generation and asset recoverability (Ali Abebe, 2022).</w:t>
      </w:r>
    </w:p>
    <w:p w14:paraId="5CA33D54" w14:textId="77777777" w:rsidR="00914225" w:rsidRPr="00F7729C" w:rsidRDefault="00914225" w:rsidP="00914225">
      <w:pPr>
        <w:rPr>
          <w:bCs/>
        </w:rPr>
      </w:pPr>
      <w:r w:rsidRPr="00F7729C">
        <w:rPr>
          <w:bCs/>
        </w:rPr>
        <w:t>The impairment is non-cash in the period recognised, which is not to say that operating cash generation was lost in the period of recognition. However, it does indicate that future returns from the impacted assets are now lower, which is why the drop in statutory profitability and ROCE is of economic significance.</w:t>
      </w:r>
    </w:p>
    <w:p w14:paraId="7D74A1F8" w14:textId="77777777" w:rsidR="00914225" w:rsidRPr="00F7729C" w:rsidRDefault="00914225" w:rsidP="00914225">
      <w:pPr>
        <w:rPr>
          <w:bCs/>
        </w:rPr>
      </w:pPr>
      <w:r w:rsidRPr="00F7729C">
        <w:rPr>
          <w:bCs/>
        </w:rPr>
        <w:t>The ROCE outcome is particularly weak. Vodafone's statutory ROCE is -0.39%, which is below the positive-return threshold and below what is needed to generate value from capital: ROCE should be higher than the cost of capital. The negative return on capital in telecommunications is a clear sign that the asset base is not generating a sufficient statutory return, and that substantial investment is required in network, spectrum and technology.</w:t>
      </w:r>
    </w:p>
    <w:p w14:paraId="7E769ADB" w14:textId="77777777" w:rsidR="00914225" w:rsidRPr="00F7729C" w:rsidRDefault="00914225" w:rsidP="00914225">
      <w:pPr>
        <w:rPr>
          <w:bCs/>
        </w:rPr>
      </w:pPr>
      <w:r w:rsidRPr="00F7729C">
        <w:rPr>
          <w:bCs/>
        </w:rPr>
        <w:t>Recommendation. UK commercial performance and return on capital should be the focus of the recovery plan for management. The monthly reporting should include service revenue, churn, ARPU, customer acquisition cost, customer lifetime value, network quality and segment-level ROCE.</w:t>
      </w:r>
    </w:p>
    <w:p w14:paraId="271FB5D3" w14:textId="77777777" w:rsidR="00A77462" w:rsidRDefault="00A77462" w:rsidP="000C685B">
      <w:pPr>
        <w:pStyle w:val="Heading3"/>
        <w:numPr>
          <w:ilvl w:val="2"/>
          <w:numId w:val="9"/>
        </w:numPr>
        <w:rPr>
          <w:lang w:val="en-AU"/>
        </w:rPr>
      </w:pPr>
      <w:bookmarkStart w:id="5" w:name="_Toc236249774"/>
      <w:r>
        <w:rPr>
          <w:lang w:val="en-AU"/>
        </w:rPr>
        <w:t>Efficiency</w:t>
      </w:r>
      <w:bookmarkEnd w:id="5"/>
    </w:p>
    <w:p w14:paraId="068F39A5" w14:textId="77777777" w:rsidR="008B14B8" w:rsidRPr="00F7729C" w:rsidRDefault="00914225">
      <w:r w:rsidRPr="00914225">
        <w:t xml:space="preserve">The </w:t>
      </w:r>
      <w:r w:rsidRPr="00F7729C">
        <w:t xml:space="preserve">asset turnover was virtually unchanged but slightly weaker, declining from 0.36x to 0.35x. This is further evidence that Vodafone's large base of assets is generating relatively low sales per euro of capital employed. Low asset turnover is not a surprise for a telecoms group as network infrastructure is capital intensive. The debtor days deteriorated to 35.64 days as compared to 32.63 days. The increase isn't severe, but it's unfavourable because it means that Vodafone is slower to turn revenue into cash. A three-day move at Vodafone's scale isn't something to be taken lightly. The debtor-day calculation is shown in Appendix B3. </w:t>
      </w:r>
      <w:r w:rsidR="00A77462" w:rsidRPr="00F7729C">
        <w:t xml:space="preserve">Creditor days rose from 83.76 to 90.15 days. </w:t>
      </w:r>
      <w:r w:rsidR="008B14B8" w:rsidRPr="00F7729C">
        <w:t xml:space="preserve">There is an immediate cash-flow implication to the increase. Vodafone paid its suppliers later, keeping cash on hand for longer. It shouldn't </w:t>
      </w:r>
      <w:r w:rsidRPr="00F7729C">
        <w:t>be assumed that it's an automatic efficiency boost as it can be a sign of working capital issues or pressure on suppliers. The calculation of creditor days is displayed in Appendix B3.</w:t>
      </w:r>
    </w:p>
    <w:p w14:paraId="3FA32830" w14:textId="77777777" w:rsidR="000F16A6" w:rsidRPr="00F7729C" w:rsidRDefault="00FA2970">
      <w:r w:rsidRPr="00F7729C">
        <w:lastRenderedPageBreak/>
        <w:t>Recommendation. Supplier financing and longer payment terms should be reported separately from ordinary payables so that liquidity support is not mistaken for underlying working-capital improvement.</w:t>
      </w:r>
    </w:p>
    <w:p w14:paraId="71498A95" w14:textId="77777777" w:rsidR="00A77462" w:rsidRPr="00A23E65" w:rsidRDefault="00A77462" w:rsidP="000C685B">
      <w:pPr>
        <w:rPr>
          <w:rFonts w:eastAsia="Times New Roman" w:cs="Times New Roman"/>
          <w:szCs w:val="24"/>
          <w:lang w:val="en-US"/>
        </w:rPr>
      </w:pPr>
      <w:r w:rsidRPr="00F7729C">
        <w:rPr>
          <w:rFonts w:eastAsia="Times New Roman" w:cs="Times New Roman"/>
          <w:szCs w:val="24"/>
          <w:lang w:val="en-US"/>
        </w:rPr>
        <w:t>The stock days increased to 9.03 days as compared to 8.48 days and the stock turnover decreased to 40.40x compa</w:t>
      </w:r>
      <w:r w:rsidRPr="00F7729C">
        <w:t>red to 43.06x. This is a slight deterioration, but inventory is not the key ratio for Vodafone. Receivables, payables, capex, spectrum, debt, leases and customer churn issues are much more important</w:t>
      </w:r>
      <w:r w:rsidRPr="000C685B">
        <w:t xml:space="preserve"> </w:t>
      </w:r>
      <w:r w:rsidRPr="00A23E65">
        <w:rPr>
          <w:rFonts w:eastAsia="Times New Roman" w:cs="Times New Roman"/>
          <w:szCs w:val="24"/>
          <w:lang w:val="en-US"/>
        </w:rPr>
        <w:t>in a telecoms group than inventory.</w:t>
      </w:r>
    </w:p>
    <w:p w14:paraId="2D566B78" w14:textId="77777777" w:rsidR="00A77462" w:rsidRPr="00A23E65" w:rsidRDefault="000C685B" w:rsidP="000C685B">
      <w:pPr>
        <w:pStyle w:val="Heading3"/>
        <w:numPr>
          <w:ilvl w:val="2"/>
          <w:numId w:val="9"/>
        </w:numPr>
        <w:rPr>
          <w:lang w:val="en-US"/>
        </w:rPr>
      </w:pPr>
      <w:bookmarkStart w:id="6" w:name="_Toc236249775"/>
      <w:r>
        <w:rPr>
          <w:lang w:val="en-US"/>
        </w:rPr>
        <w:t>Liquidity</w:t>
      </w:r>
      <w:bookmarkEnd w:id="6"/>
    </w:p>
    <w:p w14:paraId="67659F73" w14:textId="77777777" w:rsidR="00A77462" w:rsidRPr="00F7729C" w:rsidRDefault="00A77462" w:rsidP="000C685B">
      <w:pPr>
        <w:rPr>
          <w:lang w:val="en-US"/>
        </w:rPr>
      </w:pPr>
      <w:r w:rsidRPr="00A23E65">
        <w:rPr>
          <w:lang w:val="en-US"/>
        </w:rPr>
        <w:t xml:space="preserve">Under the selected continuing-operations basis, the current ratio has increased to 1.26x as compared to 0.92x and the quick ratio has increased to 1.23x as compared to 0.89x. This is a significant change since the current liabilities in </w:t>
      </w:r>
      <w:r w:rsidRPr="000C685B">
        <w:t xml:space="preserve">FY2024 were more than the current assets but in FY2025, the current assets were more than the current liabilities. The current assets of Vodafone grew to €28.6bn, which was primarily due to an increase in cash and cash equivalents, trade </w:t>
      </w:r>
      <w:r w:rsidRPr="00F7729C">
        <w:t>and other receivables, and other investments.</w:t>
      </w:r>
    </w:p>
    <w:p w14:paraId="40A2FC35" w14:textId="77777777" w:rsidR="00A77462" w:rsidRPr="00F7729C" w:rsidRDefault="00A77462" w:rsidP="000C685B">
      <w:pPr>
        <w:rPr>
          <w:lang w:val="en-US"/>
        </w:rPr>
      </w:pPr>
      <w:r w:rsidRPr="00F7729C">
        <w:t>This improvement should not, however, be oversold. The current ratio of over 1.0 is encouraging, although the increase is partly due to disposals and balance-sheet restructuring. Moreover, not every current asset is as liquid or as available to service debt. A quick ratio of 1.23x is good, although it comprises other investments, receivables, and derivative financial instruments, rather than cash alone. The liquidity conclusion is: liquidity in the short term is better; however, this improvement does not eliminate the necessity</w:t>
      </w:r>
      <w:r w:rsidRPr="00F7729C">
        <w:rPr>
          <w:lang w:val="en-US"/>
        </w:rPr>
        <w:t xml:space="preserve"> of tight cash-flow management since Vodafone is still highly leveraged and capital-intensive (Khoza, 2025).</w:t>
      </w:r>
    </w:p>
    <w:p w14:paraId="47B259A4" w14:textId="77777777" w:rsidR="00914225" w:rsidRPr="00F7729C" w:rsidRDefault="00914225" w:rsidP="000C685B">
      <w:pPr>
        <w:rPr>
          <w:lang w:val="en-US"/>
        </w:rPr>
      </w:pPr>
      <w:r w:rsidRPr="00F7729C">
        <w:t>The FY2024 comparative presentation is sensitive because assets and liabilities held for sale were classified at year-end, but not in FY2025. If included, the current ratio for FY2024 would be 1.35x instead of 0.92x. It is important to exclude them to provide a more comparable basis, but it also highlights the need for judgement in ratio analysis, as opposed to mechanical calculation (Khoza, 2025). The sensitivity calculation is shown in Appendix B4.</w:t>
      </w:r>
    </w:p>
    <w:p w14:paraId="2025C0FF" w14:textId="77777777" w:rsidR="00A77462" w:rsidRDefault="00A77462" w:rsidP="000C685B">
      <w:pPr>
        <w:pStyle w:val="Heading3"/>
        <w:numPr>
          <w:ilvl w:val="2"/>
          <w:numId w:val="9"/>
        </w:numPr>
        <w:rPr>
          <w:lang w:val="en-AU"/>
        </w:rPr>
      </w:pPr>
      <w:bookmarkStart w:id="7" w:name="_Toc236249776"/>
      <w:r>
        <w:rPr>
          <w:lang w:val="en-AU"/>
        </w:rPr>
        <w:lastRenderedPageBreak/>
        <w:t>Investment ratios</w:t>
      </w:r>
      <w:bookmarkEnd w:id="7"/>
    </w:p>
    <w:p w14:paraId="6369B700" w14:textId="77777777" w:rsidR="00914225" w:rsidRPr="00F7729C" w:rsidRDefault="00914225" w:rsidP="00914225">
      <w:pPr>
        <w:rPr>
          <w:bCs/>
        </w:rPr>
      </w:pPr>
      <w:r w:rsidRPr="00F7729C">
        <w:rPr>
          <w:bCs/>
        </w:rPr>
        <w:t>EPS fell from 4.21 eurocents in FY2024 to -15.94 eurocents in FY2025, as the attributable profit of €1.140bn turned into a loss of €4.169bn. Although impairment charges, tax effects and operating performance impact the statutory EPS measure, the result is not something that should be ignored, as EPS is negative. The EPS and dividend-cover calculations are shown in Appendix B5.</w:t>
      </w:r>
    </w:p>
    <w:p w14:paraId="699E55F6" w14:textId="77777777" w:rsidR="00914225" w:rsidRPr="00F7729C" w:rsidRDefault="00914225" w:rsidP="00914225">
      <w:pPr>
        <w:rPr>
          <w:bCs/>
          <w:lang w:val="en-AU"/>
        </w:rPr>
      </w:pPr>
      <w:r w:rsidRPr="00F7729C">
        <w:rPr>
          <w:bCs/>
        </w:rPr>
        <w:t>Dividend cover was below 1.0x in both years: 0.47x in FY2024 and -2.32x in FY2025. In both instances, the amount of declared dividends exceeded attributable profit and, therefore, dividend decisions were based on capacity within the cash flow and balance sheet rather than on current-year statutory earnings.</w:t>
      </w:r>
    </w:p>
    <w:p w14:paraId="7A54ABD6" w14:textId="77777777" w:rsidR="00A77462" w:rsidRDefault="00A77462" w:rsidP="000C685B">
      <w:pPr>
        <w:pStyle w:val="Heading3"/>
        <w:numPr>
          <w:ilvl w:val="2"/>
          <w:numId w:val="9"/>
        </w:numPr>
        <w:rPr>
          <w:lang w:val="en-AU"/>
        </w:rPr>
      </w:pPr>
      <w:bookmarkStart w:id="8" w:name="_Toc236249777"/>
      <w:r>
        <w:rPr>
          <w:lang w:val="en-AU"/>
        </w:rPr>
        <w:t>Gearing and interest cover</w:t>
      </w:r>
      <w:bookmarkEnd w:id="8"/>
    </w:p>
    <w:p w14:paraId="1D51190B" w14:textId="77777777" w:rsidR="00914225" w:rsidRPr="00F7729C" w:rsidRDefault="00914225" w:rsidP="00914225">
      <w:pPr>
        <w:rPr>
          <w:bCs/>
        </w:rPr>
      </w:pPr>
      <w:r w:rsidRPr="00F7729C">
        <w:rPr>
          <w:bCs/>
        </w:rPr>
        <w:t>The fall in borrowings and increase in capital employed on a continuing basis resulted in an improvement in the gearing ratio 1 from 55.35% to 50.25%. This is a partial improvement: the debt reduction needs to be considered in conjunction with the equity change, cash flow and interest cover evidence.</w:t>
      </w:r>
    </w:p>
    <w:p w14:paraId="4B3A8ED7" w14:textId="77777777" w:rsidR="00914225" w:rsidRPr="00F7729C" w:rsidRDefault="00914225" w:rsidP="00914225">
      <w:pPr>
        <w:rPr>
          <w:bCs/>
        </w:rPr>
      </w:pPr>
      <w:r w:rsidRPr="00F7729C">
        <w:rPr>
          <w:bCs/>
        </w:rPr>
        <w:t>Gearing ratio 2 worsened from 93.42% to 98.57% because net assets fell from €60.998bn to €53.916bn. The evidence is thus mixed, with debt and net debt falling while equity fell by more, and debt to net assets rising. The calculations of gearing are provided in Appendix B6.</w:t>
      </w:r>
    </w:p>
    <w:p w14:paraId="2086B1C3" w14:textId="77777777" w:rsidR="000F16A6" w:rsidRPr="00F7729C" w:rsidRDefault="00914225" w:rsidP="00914225">
      <w:pPr>
        <w:rPr>
          <w:bCs/>
        </w:rPr>
      </w:pPr>
      <w:r w:rsidRPr="00F7729C">
        <w:rPr>
          <w:bCs/>
        </w:rPr>
        <w:t xml:space="preserve">Interest cover was 1.40x in FY2024 and -0.21x in FY2025. The negative FY2025 number is due to an operating loss and is an indicator that finance costs exceeded statutory operating profit. While a cash-based measure may appear to be stronger once the non-cash impairment is removed, the statutory measure still reflects a weak debt-service position. Capital allocation should thus safeguard lender confidence and cash generation. </w:t>
      </w:r>
      <w:r w:rsidR="00FA2970" w:rsidRPr="00F7729C">
        <w:rPr>
          <w:bCs/>
        </w:rPr>
        <w:t>Recommendation. Capital allocation for capex, spectrum, IT transformation and customer acquisition should be approved only where expected returns exceed the cost of capital and clear post-investment performance measures are in place. Dividend and buyback decisions should be subordinated to sustainable free cash flow, debt-service requirements and leverage reduction.</w:t>
      </w:r>
    </w:p>
    <w:p w14:paraId="6A5E4FA4" w14:textId="77777777" w:rsidR="00A77462" w:rsidRPr="00084ED5" w:rsidRDefault="00A77462" w:rsidP="000C685B">
      <w:pPr>
        <w:pStyle w:val="Heading3"/>
        <w:numPr>
          <w:ilvl w:val="2"/>
          <w:numId w:val="9"/>
        </w:numPr>
        <w:rPr>
          <w:lang w:val="en-US"/>
        </w:rPr>
      </w:pPr>
      <w:bookmarkStart w:id="9" w:name="_Toc236249778"/>
      <w:r>
        <w:lastRenderedPageBreak/>
        <w:t>Limitations of ratio analysis</w:t>
      </w:r>
      <w:bookmarkEnd w:id="9"/>
    </w:p>
    <w:p w14:paraId="3F22438F" w14:textId="77777777" w:rsidR="00A77462" w:rsidRPr="00F7729C" w:rsidRDefault="00A77462" w:rsidP="000C685B">
      <w:pPr>
        <w:rPr>
          <w:lang w:val="en-US"/>
        </w:rPr>
      </w:pPr>
      <w:r w:rsidRPr="000C685B">
        <w:rPr>
          <w:lang w:val="en-US"/>
        </w:rPr>
        <w:t xml:space="preserve">The reason why ratio analysis is a good tool is that it transforms the information contained in financial statements into </w:t>
      </w:r>
      <w:r>
        <w:rPr>
          <w:b/>
          <w:lang w:val="en-US"/>
        </w:rPr>
        <w:t>comparable measures</w:t>
      </w:r>
      <w:r>
        <w:rPr>
          <w:lang w:val="en-US"/>
        </w:rPr>
        <w:t xml:space="preserve"> of profitability, liquidity, efficiency and solvency. The recent scholarly </w:t>
      </w:r>
      <w:r w:rsidRPr="00F7729C">
        <w:rPr>
          <w:lang w:val="en-US"/>
        </w:rPr>
        <w:t>literature still considers financial ratios as a valuable instrument in evaluating the performance of firms, yet it also demonstrates that their interpretation is strongly reliant on accounting frameworks and contexts. The analysis of IFRS and financial ratios conducted by Ali Abebe (2022), including the liquidity, leverage and return measures, indicates that IFRS may have a considerable impact.</w:t>
      </w:r>
    </w:p>
    <w:p w14:paraId="20869DE4" w14:textId="77777777" w:rsidR="00A77462" w:rsidRPr="00F7729C" w:rsidRDefault="00A77462" w:rsidP="000C685B">
      <w:pPr>
        <w:rPr>
          <w:lang w:val="en-US"/>
        </w:rPr>
      </w:pPr>
      <w:r w:rsidRPr="00F7729C">
        <w:t>The first limitation is that ratios are backward-looking. FY2025 ratios describe the financial position after a significant restructuring, but cannot by themselves determine whether future commercial recovery and UK investment will create value. Ratio analysis therefore requires strategic interpretation alongside the figures.</w:t>
      </w:r>
    </w:p>
    <w:p w14:paraId="6763FE9B" w14:textId="77777777" w:rsidR="00A77462" w:rsidRPr="00F7729C" w:rsidRDefault="00A77462" w:rsidP="000C685B">
      <w:pPr>
        <w:rPr>
          <w:lang w:val="en-US"/>
        </w:rPr>
      </w:pPr>
      <w:r w:rsidRPr="00F7729C">
        <w:t>The second limitation is accounting classification. When held-for-sale assets and liabilities are included in a comparative balance sheet but are not matched in the following year, liquidity ratios can be altered. Impairment charges can likewise distort statutory profitability and ROCE, although they may indicate reduced recoverable value.</w:t>
      </w:r>
    </w:p>
    <w:p w14:paraId="022B64CB" w14:textId="77777777" w:rsidR="00A77462" w:rsidRPr="00F7729C" w:rsidRDefault="00A77462" w:rsidP="000C685B">
      <w:pPr>
        <w:rPr>
          <w:lang w:val="en-US"/>
        </w:rPr>
      </w:pPr>
      <w:r w:rsidRPr="00F7729C">
        <w:rPr>
          <w:lang w:val="en-US"/>
        </w:rPr>
        <w:t>The third weakness is that the conventional ratios do not show the significance of cash flow. Seretidou et al. (2025) in a systematic review claim that cash-flow-based ratios are becoming increasingly valued due to their dynamic view of liquidity and financial well-being. This is important to Vodafone because a statutory operating loss and negative EPS coexist with positive adjusted free cash flow.</w:t>
      </w:r>
    </w:p>
    <w:p w14:paraId="55C6631C" w14:textId="77777777" w:rsidR="00A77462" w:rsidRPr="00F7729C" w:rsidRDefault="00A77462" w:rsidP="000C685B">
      <w:pPr>
        <w:rPr>
          <w:lang w:val="en-US"/>
        </w:rPr>
      </w:pPr>
      <w:r w:rsidRPr="00F7729C">
        <w:t>The fourth limitation is that ratios do not capture sector economics. UK telecommunications is capital-intensive and regulated, so the evidence needs UK market context rather than a universal ratio target (Ofcom, 2025).</w:t>
      </w:r>
    </w:p>
    <w:p w14:paraId="36D51F30" w14:textId="77777777" w:rsidR="00A77462" w:rsidRPr="00084ED5" w:rsidRDefault="00A77462" w:rsidP="000C685B">
      <w:pPr>
        <w:pStyle w:val="Heading1"/>
        <w:pageBreakBefore/>
        <w:numPr>
          <w:ilvl w:val="0"/>
          <w:numId w:val="9"/>
        </w:numPr>
        <w:rPr>
          <w:lang w:val="en-US"/>
        </w:rPr>
      </w:pPr>
      <w:bookmarkStart w:id="10" w:name="_Toc236249779"/>
      <w:r w:rsidRPr="00084ED5">
        <w:rPr>
          <w:lang w:val="en-US"/>
        </w:rPr>
        <w:lastRenderedPageBreak/>
        <w:t>Part 2 Investment Appraisal of Beard Plc</w:t>
      </w:r>
      <w:bookmarkEnd w:id="10"/>
    </w:p>
    <w:p w14:paraId="291A4224" w14:textId="77777777" w:rsidR="00A77462" w:rsidRPr="00084ED5" w:rsidRDefault="00A77462" w:rsidP="000C685B">
      <w:pPr>
        <w:pStyle w:val="Heading2"/>
        <w:numPr>
          <w:ilvl w:val="1"/>
          <w:numId w:val="9"/>
        </w:numPr>
        <w:rPr>
          <w:lang w:val="en-US"/>
        </w:rPr>
      </w:pPr>
      <w:bookmarkStart w:id="11" w:name="_Toc236249780"/>
      <w:r w:rsidRPr="00084ED5">
        <w:rPr>
          <w:lang w:val="en-US"/>
        </w:rPr>
        <w:t>Basis of appraisal and assumptions</w:t>
      </w:r>
      <w:bookmarkEnd w:id="11"/>
    </w:p>
    <w:p w14:paraId="6F68206A" w14:textId="77777777" w:rsidR="00F8531B" w:rsidRPr="00F7729C" w:rsidRDefault="00F8531B" w:rsidP="00F8531B">
      <w:pPr>
        <w:rPr>
          <w:bCs/>
        </w:rPr>
      </w:pPr>
      <w:r w:rsidRPr="00F7729C">
        <w:rPr>
          <w:bCs/>
        </w:rPr>
        <w:t>Beard Plc is considering three independent projects: Project A – Expansion of retail outlet, Project B – Development of internet sales and Project C – Production of purses and wallets. They are evaluated using discounted cash-flow approaches, of which the most prominent is net present value, which is the absolute value added to shareholders' wealth (Sokolov, 2024). The calculations assume that the initial investment takes place in Year 0, that the cash flows are taxable operating cash flows (excluding capital allowances) and that tax is paid in the year that the cash flow is received. Capital allowances are not treated as cash expenses but as tax shields (Purnamasari and Adriza, 2024).</w:t>
      </w:r>
    </w:p>
    <w:p w14:paraId="08B06B56" w14:textId="77777777" w:rsidR="00F8531B" w:rsidRPr="00F7729C" w:rsidRDefault="00F8531B" w:rsidP="00F8531B">
      <w:pPr>
        <w:rPr>
          <w:bCs/>
        </w:rPr>
      </w:pPr>
      <w:r w:rsidRPr="00F7729C">
        <w:rPr>
          <w:bCs/>
        </w:rPr>
        <w:t>The model is based on the assumption of immediate relief for negative taxable profit. This affects the Year 1 tax relief when the annual capital allowance exceeds operating cash flow, which should be verified with Beard Plc's actual tax position before approval. If immediate tax relief were not available, then Option A would be weaker but overall the recommendation would remain the same.</w:t>
      </w:r>
    </w:p>
    <w:p w14:paraId="73127A36" w14:textId="77777777" w:rsidR="00A77462" w:rsidRPr="00F7729C" w:rsidRDefault="00A77462" w:rsidP="00F8531B">
      <w:pPr>
        <w:rPr>
          <w:bCs/>
          <w:lang w:val="en-US"/>
        </w:rPr>
      </w:pPr>
      <w:r w:rsidRPr="00F7729C">
        <w:rPr>
          <w:bCs/>
          <w:lang w:val="en-US"/>
        </w:rPr>
        <w:t>The following after-tax cash-flow logic is used to calculate the cash flows:</w:t>
      </w:r>
    </w:p>
    <w:p w14:paraId="26E75DC2" w14:textId="77777777" w:rsidR="000C685B" w:rsidRPr="00F7729C" w:rsidRDefault="00A77462" w:rsidP="000C685B">
      <w:pPr>
        <w:pStyle w:val="ListParagraph"/>
        <w:numPr>
          <w:ilvl w:val="0"/>
          <w:numId w:val="13"/>
        </w:numPr>
        <w:spacing w:before="100" w:beforeAutospacing="1" w:after="100" w:afterAutospacing="1" w:line="240" w:lineRule="auto"/>
        <w:rPr>
          <w:rFonts w:eastAsia="Times New Roman" w:cs="Times New Roman"/>
          <w:bCs/>
          <w:szCs w:val="24"/>
          <w:lang w:val="en-US"/>
        </w:rPr>
      </w:pPr>
      <w:r w:rsidRPr="00F7729C">
        <w:rPr>
          <w:rFonts w:eastAsia="Times New Roman" w:cs="Times New Roman"/>
          <w:bCs/>
          <w:szCs w:val="24"/>
          <w:lang w:val="en-US"/>
        </w:rPr>
        <w:t>Taxable profit = operating cash flow –</w:t>
      </w:r>
      <w:r w:rsidR="000C685B" w:rsidRPr="00F7729C">
        <w:rPr>
          <w:rFonts w:eastAsia="Times New Roman" w:cs="Times New Roman"/>
          <w:bCs/>
          <w:szCs w:val="24"/>
          <w:lang w:val="en-US"/>
        </w:rPr>
        <w:t xml:space="preserve"> capital allowance.</w:t>
      </w:r>
    </w:p>
    <w:p w14:paraId="1504A3EF" w14:textId="77777777" w:rsidR="000C685B" w:rsidRPr="00F7729C" w:rsidRDefault="00A77462" w:rsidP="000C685B">
      <w:pPr>
        <w:pStyle w:val="ListParagraph"/>
        <w:numPr>
          <w:ilvl w:val="0"/>
          <w:numId w:val="13"/>
        </w:numPr>
        <w:spacing w:before="100" w:beforeAutospacing="1" w:after="100" w:afterAutospacing="1" w:line="240" w:lineRule="auto"/>
        <w:rPr>
          <w:rFonts w:eastAsia="Times New Roman" w:cs="Times New Roman"/>
          <w:bCs/>
          <w:szCs w:val="24"/>
          <w:lang w:val="en-US"/>
        </w:rPr>
      </w:pPr>
      <w:r w:rsidRPr="00F7729C">
        <w:rPr>
          <w:rFonts w:eastAsia="Times New Roman" w:cs="Times New Roman"/>
          <w:bCs/>
          <w:szCs w:val="24"/>
          <w:lang w:val="en-US"/>
        </w:rPr>
        <w:t>Tax payable = 25% of the taxable profit.</w:t>
      </w:r>
    </w:p>
    <w:p w14:paraId="6E11D419" w14:textId="77777777" w:rsidR="00A77462" w:rsidRPr="00F7729C" w:rsidRDefault="00A77462" w:rsidP="000C685B">
      <w:pPr>
        <w:pStyle w:val="ListParagraph"/>
        <w:numPr>
          <w:ilvl w:val="0"/>
          <w:numId w:val="13"/>
        </w:numPr>
        <w:spacing w:before="100" w:beforeAutospacing="1" w:after="100" w:afterAutospacing="1" w:line="240" w:lineRule="auto"/>
        <w:rPr>
          <w:rFonts w:eastAsia="Times New Roman" w:cs="Times New Roman"/>
          <w:bCs/>
          <w:szCs w:val="24"/>
          <w:lang w:val="en-US"/>
        </w:rPr>
      </w:pPr>
      <w:r w:rsidRPr="00F7729C">
        <w:rPr>
          <w:rFonts w:eastAsia="Times New Roman" w:cs="Times New Roman"/>
          <w:bCs/>
          <w:szCs w:val="24"/>
          <w:lang w:val="en-US"/>
        </w:rPr>
        <w:t>After-tax cash flow = operating cash flow – tax payable.</w:t>
      </w:r>
    </w:p>
    <w:p w14:paraId="3D02BFD7" w14:textId="77777777" w:rsidR="007C61DD" w:rsidRPr="00F7729C" w:rsidRDefault="007C61DD" w:rsidP="00A77462">
      <w:pPr>
        <w:spacing w:before="100" w:beforeAutospacing="1" w:after="100" w:afterAutospacing="1" w:line="240" w:lineRule="auto"/>
        <w:rPr>
          <w:rFonts w:eastAsia="Times New Roman" w:cs="Times New Roman"/>
          <w:bCs/>
          <w:szCs w:val="24"/>
          <w:lang w:val="en-US"/>
        </w:rPr>
      </w:pPr>
      <w:r w:rsidRPr="00F7729C">
        <w:rPr>
          <w:bCs/>
        </w:rPr>
        <w:t>The base-case discount rate is 5%. It should not be regarded as a commercial appraisal that has been fully risked, as the projects have different operational and market risks, such as technology and cybersecurity risks for online sales, and production, inventory and supplier risks for purses and wallets (Hartmann and Weißenberger, 2024).</w:t>
      </w:r>
    </w:p>
    <w:p w14:paraId="2D865F37" w14:textId="77777777" w:rsidR="00A77462" w:rsidRPr="004613AA" w:rsidRDefault="00A77462" w:rsidP="000C685B">
      <w:pPr>
        <w:pStyle w:val="Heading2"/>
        <w:numPr>
          <w:ilvl w:val="1"/>
          <w:numId w:val="9"/>
        </w:numPr>
        <w:rPr>
          <w:lang w:val="en-US"/>
        </w:rPr>
      </w:pPr>
      <w:bookmarkStart w:id="12" w:name="_Toc236249781"/>
      <w:r w:rsidRPr="004613AA">
        <w:rPr>
          <w:lang w:val="en-US"/>
        </w:rPr>
        <w:t>Discussion of the three investments</w:t>
      </w:r>
      <w:bookmarkEnd w:id="12"/>
    </w:p>
    <w:p w14:paraId="16FF9F18" w14:textId="77777777" w:rsidR="00A77462" w:rsidRPr="00F7729C" w:rsidRDefault="00A77462" w:rsidP="000C685B">
      <w:pPr>
        <w:rPr>
          <w:bCs/>
          <w:lang w:val="en-US"/>
        </w:rPr>
      </w:pPr>
      <w:r w:rsidRPr="00F7729C">
        <w:rPr>
          <w:bCs/>
          <w:lang w:val="en-US"/>
        </w:rPr>
        <w:t>The NPV results show that Option A should not be considered. Its NPV is -£3.263k, i.e., the present value of its after-tax future cash flows is a little less than the initial investment (Appendix D1). The project</w:t>
      </w:r>
      <w:r w:rsidR="000C685B" w:rsidRPr="00F7729C">
        <w:rPr>
          <w:bCs/>
          <w:lang w:val="en-US"/>
        </w:rPr>
        <w:t xml:space="preserve"> is nearly break-even, yet </w:t>
      </w:r>
      <w:r w:rsidRPr="00F7729C">
        <w:rPr>
          <w:bCs/>
          <w:lang w:val="en-US"/>
        </w:rPr>
        <w:t xml:space="preserve">a near break-even result is not a good investment outcome. When NPV is negative, it means that the project is not earning the required 5% and </w:t>
      </w:r>
      <w:r w:rsidRPr="00F7729C">
        <w:rPr>
          <w:bCs/>
          <w:lang w:val="en-US"/>
        </w:rPr>
        <w:lastRenderedPageBreak/>
        <w:t>therefore reduces shareholder value. Unless there are compelling non-financial factors, like brand protection, customer experience or the defence of existing retail sales, the Board should not approve Option A. Even then, the Board would have to explain why such benefits are not reflected in the cash-flow forecast.</w:t>
      </w:r>
    </w:p>
    <w:p w14:paraId="67871496" w14:textId="77777777" w:rsidR="00A77462" w:rsidRPr="00F7729C" w:rsidRDefault="00A77462" w:rsidP="000C685B">
      <w:pPr>
        <w:rPr>
          <w:bCs/>
          <w:lang w:val="en-US"/>
        </w:rPr>
      </w:pPr>
      <w:r w:rsidRPr="00F7729C">
        <w:rPr>
          <w:bCs/>
          <w:lang w:val="en-US"/>
        </w:rPr>
        <w:t>Option B is a viable investment. Its NPV is positive (£73.952k) and therefore it is expected to give higher returns than the cost of capital of 5% (Appendix D2). It also might have a better strategic case than the base-case NPV indicates, since online sales have the potential to expand geographic coverage, generate customer data, increase marketing effectiveness and lessen reliance on physical retail stores. The drawback is that e-commerce may be skills- and infrastructure-intensive, which is not captured in the cash-flow table: the creation of a website, delivery, customer service, payment security, online advertising and customer-service facilities.</w:t>
      </w:r>
    </w:p>
    <w:p w14:paraId="442DB986" w14:textId="77777777" w:rsidR="00D94973" w:rsidRPr="00F7729C" w:rsidRDefault="00A77462" w:rsidP="00D94973">
      <w:pPr>
        <w:rPr>
          <w:bCs/>
          <w:lang w:val="en-US"/>
        </w:rPr>
      </w:pPr>
      <w:r w:rsidRPr="00F7729C">
        <w:rPr>
          <w:bCs/>
          <w:lang w:val="en-US"/>
        </w:rPr>
        <w:t xml:space="preserve">The best single project is Option C. It gives the highest NPV of the three alternatives at £91.226k (Appendix D3). It also seems to be a strategic move since purses and wallets are complementary accessories and can be integrated into the existing handbag brand of Beard Plc. This is important since customers who already buy handbags will be more inclined to buy similar smaller leather products. </w:t>
      </w:r>
      <w:r w:rsidR="00D94973" w:rsidRPr="00F7729C">
        <w:rPr>
          <w:bCs/>
          <w:lang w:val="en-US"/>
        </w:rPr>
        <w:t>The Board should however exercise caution; a related product is not necessarily a profitable product. Purses and wallets can vary in terms of margins, manufacturing processes, inventory and competitive forces. If the market is saturated, the NPV could drop quickly, especially if the cost of quality control is underestimated.</w:t>
      </w:r>
    </w:p>
    <w:p w14:paraId="29332D43" w14:textId="77777777" w:rsidR="00573CE3" w:rsidRPr="00F7729C" w:rsidRDefault="00D94973" w:rsidP="00D94973">
      <w:pPr>
        <w:rPr>
          <w:bCs/>
          <w:lang w:val="en-US"/>
        </w:rPr>
      </w:pPr>
      <w:r w:rsidRPr="00F7729C">
        <w:rPr>
          <w:bCs/>
          <w:lang w:val="en-US"/>
        </w:rPr>
        <w:t xml:space="preserve">The evidence should therefore be considered a conditional recommendation: Option C is the preferred individual investment as it has the highest NPV and Option B is a strategically viable second option. </w:t>
      </w:r>
      <w:r w:rsidR="00573CE3" w:rsidRPr="00F7729C">
        <w:rPr>
          <w:bCs/>
          <w:lang w:val="en-US"/>
        </w:rPr>
        <w:t>This puts more emphasis on absolute value creation rather than on percentage return, as stated by Sokolov (2024) in the NPV rationale. Option A is not to be accepted as it has a negative NPV.</w:t>
      </w:r>
    </w:p>
    <w:p w14:paraId="2B5C262D" w14:textId="77777777" w:rsidR="00A77462" w:rsidRDefault="00A77462" w:rsidP="001C195C">
      <w:pPr>
        <w:pStyle w:val="Heading2"/>
        <w:numPr>
          <w:ilvl w:val="1"/>
          <w:numId w:val="9"/>
        </w:numPr>
        <w:rPr>
          <w:lang w:val="en-AU"/>
        </w:rPr>
      </w:pPr>
      <w:bookmarkStart w:id="13" w:name="_Toc236249782"/>
      <w:r>
        <w:rPr>
          <w:lang w:val="en-AU"/>
        </w:rPr>
        <w:t>Approximate IRR of the recommended option</w:t>
      </w:r>
      <w:bookmarkEnd w:id="13"/>
    </w:p>
    <w:p w14:paraId="09316717" w14:textId="77777777" w:rsidR="00A77462" w:rsidRPr="00F7729C" w:rsidRDefault="00A77462" w:rsidP="001C195C">
      <w:pPr>
        <w:rPr>
          <w:lang w:val="en-AU"/>
        </w:rPr>
      </w:pPr>
      <w:r w:rsidRPr="001C195C">
        <w:rPr>
          <w:lang w:val="en-AU"/>
        </w:rPr>
        <w:t xml:space="preserve">The IRR </w:t>
      </w:r>
      <w:r w:rsidRPr="00F7729C">
        <w:rPr>
          <w:lang w:val="en-AU"/>
        </w:rPr>
        <w:t>of Option C is calculated in Appendix E. Option C has a positive NPV of £13.746k at 8% and a negative NPV of -£10.183k at 9%. Interpolating between the two rates gives an approximate IRR of:</w:t>
      </w:r>
    </w:p>
    <w:p w14:paraId="474C8F8F" w14:textId="77777777" w:rsidR="00A77462" w:rsidRPr="00F7729C" w:rsidRDefault="00A77462" w:rsidP="001C195C">
      <w:pPr>
        <w:pStyle w:val="ListParagraph"/>
        <w:numPr>
          <w:ilvl w:val="0"/>
          <w:numId w:val="15"/>
        </w:numPr>
        <w:spacing w:line="256" w:lineRule="auto"/>
        <w:rPr>
          <w:lang w:val="en-AU"/>
        </w:rPr>
      </w:pPr>
      <w:r w:rsidRPr="00F7729C">
        <w:rPr>
          <w:lang w:val="en-AU"/>
        </w:rPr>
        <w:lastRenderedPageBreak/>
        <w:t>8% + [13.746 / (13.746 + 10.183)] × 1% = 8.57% (Appendix E)</w:t>
      </w:r>
    </w:p>
    <w:p w14:paraId="5F2C2F3F" w14:textId="77777777" w:rsidR="008B14B8" w:rsidRPr="00F7729C" w:rsidRDefault="00A77462" w:rsidP="008B14B8">
      <w:pPr>
        <w:rPr>
          <w:lang w:val="en-AU"/>
        </w:rPr>
      </w:pPr>
      <w:r w:rsidRPr="00F7729C">
        <w:rPr>
          <w:lang w:val="en-AU"/>
        </w:rPr>
        <w:t xml:space="preserve">The IRR is above the 5% cost of capital, so Option C is acceptable. </w:t>
      </w:r>
      <w:r w:rsidR="008B14B8" w:rsidRPr="00F7729C">
        <w:rPr>
          <w:lang w:val="en-AU"/>
        </w:rPr>
        <w:t xml:space="preserve">But, IRR should not be the primary decision rule for the Board. IRR is useful because managers can easily understand a percentage return, but it can be misleading when projects are different sizes, or have different timing or </w:t>
      </w:r>
      <w:r w:rsidRPr="00F7729C">
        <w:rPr>
          <w:lang w:val="en-AU"/>
        </w:rPr>
        <w:t xml:space="preserve">cash-flow patterns. </w:t>
      </w:r>
      <w:r w:rsidR="008B14B8" w:rsidRPr="00F7729C">
        <w:rPr>
          <w:lang w:val="en-AU"/>
        </w:rPr>
        <w:t xml:space="preserve">Sokolov's recent analysis considers NPV, IRR, profitability index, payback and discounted payback as related measures of investment, but also </w:t>
      </w:r>
      <w:r w:rsidRPr="00F7729C">
        <w:rPr>
          <w:lang w:val="en-AU"/>
        </w:rPr>
        <w:t>recognises that NPV is the measure that is generally considered superior in capital-budgeting theory (</w:t>
      </w:r>
      <w:r w:rsidR="008B14B8" w:rsidRPr="00F7729C">
        <w:rPr>
          <w:lang w:val="en-AU"/>
        </w:rPr>
        <w:t xml:space="preserve">Sokolov, 2024). </w:t>
      </w:r>
    </w:p>
    <w:p w14:paraId="3D1D7CF9" w14:textId="77777777" w:rsidR="008B14B8" w:rsidRDefault="008B14B8" w:rsidP="008B14B8">
      <w:pPr>
        <w:rPr>
          <w:lang w:val="en-AU"/>
        </w:rPr>
      </w:pPr>
      <w:r w:rsidRPr="00F7729C">
        <w:rPr>
          <w:lang w:val="en-AU"/>
        </w:rPr>
        <w:t>This is important for Beard Plc as more investment is needed in Option C than in Option B. Using a percentage approach might overstate relative returns and understate absolute value creation. NPV is more suitable because the Board is not just looking for a high percentage return</w:t>
      </w:r>
      <w:r w:rsidRPr="008B14B8">
        <w:rPr>
          <w:lang w:val="en-AU"/>
        </w:rPr>
        <w:t>, it's looking to add value to the company.</w:t>
      </w:r>
    </w:p>
    <w:p w14:paraId="2F502451" w14:textId="77777777" w:rsidR="00A77462" w:rsidRDefault="00A77462" w:rsidP="001C195C">
      <w:pPr>
        <w:pStyle w:val="Heading2"/>
        <w:numPr>
          <w:ilvl w:val="1"/>
          <w:numId w:val="9"/>
        </w:numPr>
        <w:rPr>
          <w:lang w:val="en-US"/>
        </w:rPr>
      </w:pPr>
      <w:bookmarkStart w:id="14" w:name="_Toc236249783"/>
      <w:r>
        <w:rPr>
          <w:lang w:val="en-US"/>
        </w:rPr>
        <w:t>Theoretical case for NPV</w:t>
      </w:r>
      <w:bookmarkEnd w:id="14"/>
    </w:p>
    <w:p w14:paraId="308DF252" w14:textId="77777777" w:rsidR="00573CE3" w:rsidRPr="00F7729C" w:rsidRDefault="008B14B8" w:rsidP="001C195C">
      <w:pPr>
        <w:rPr>
          <w:bCs/>
        </w:rPr>
      </w:pPr>
      <w:r w:rsidRPr="00F7729C">
        <w:rPr>
          <w:bCs/>
        </w:rPr>
        <w:t xml:space="preserve">Sokolov (2024) states that NPV is theoretically superior because it is based on cash flows, it takes into account the time value of money, it uses the required return of investors and it measures absolute value creation. </w:t>
      </w:r>
      <w:r w:rsidR="00573CE3" w:rsidRPr="00F7729C">
        <w:rPr>
          <w:bCs/>
        </w:rPr>
        <w:t>If the NPV is positive, then the project is likely to produce cash flows in excess of the rate of return demanded by those who provide the capital. In this instance, Option C has a value after discounting at 5% of £91.226k.</w:t>
      </w:r>
    </w:p>
    <w:p w14:paraId="509604C9" w14:textId="77777777" w:rsidR="00A77462" w:rsidRPr="00F7729C" w:rsidRDefault="00A77462" w:rsidP="001C195C">
      <w:pPr>
        <w:rPr>
          <w:bCs/>
          <w:lang w:val="en-AU"/>
        </w:rPr>
      </w:pPr>
      <w:r w:rsidRPr="00F7729C">
        <w:rPr>
          <w:bCs/>
          <w:lang w:val="en-AU"/>
        </w:rPr>
        <w:t>NPV also considers the whole project life. This is important because some methods, especially payback, focus only on how quickly the original investment is recovered. A project may pay back quickly but produce poor long-term value. Conversely, a project with a slower payback may produce larger long-term gains. NPV avoids this weakness by discounting all expected cash flows.</w:t>
      </w:r>
    </w:p>
    <w:p w14:paraId="26427A6C" w14:textId="77777777" w:rsidR="00A77462" w:rsidRPr="001C195C" w:rsidRDefault="00A77462" w:rsidP="001C195C">
      <w:pPr>
        <w:rPr>
          <w:lang w:val="en-AU"/>
        </w:rPr>
      </w:pPr>
      <w:r w:rsidRPr="00F7729C">
        <w:rPr>
          <w:bCs/>
          <w:lang w:val="en-AU"/>
        </w:rPr>
        <w:t xml:space="preserve">NPV is also better for comparing projects of different sizes. Option B costs £900k, while Option C costs £1,000k. The Board needs to know not only which project gives a good return, but which project creates the most value. Research on capital budgeting continues to distinguish more </w:t>
      </w:r>
      <w:r w:rsidRPr="00F7729C">
        <w:rPr>
          <w:bCs/>
        </w:rPr>
        <w:t>sophisticated</w:t>
      </w:r>
      <w:r w:rsidRPr="001C195C">
        <w:t xml:space="preserve"> techniques such as NPV, IRR and profitability index from simpler conventional methods such as payback and accounting rate of return; recent evidence suggests that </w:t>
      </w:r>
      <w:r w:rsidRPr="001C195C">
        <w:lastRenderedPageBreak/>
        <w:t>sophisticated capital-budgeting techniques are important in evaluating financial performance</w:t>
      </w:r>
      <w:r w:rsidR="001C195C">
        <w:t xml:space="preserve"> </w:t>
      </w:r>
      <w:r w:rsidRPr="001C195C">
        <w:rPr>
          <w:rFonts w:hint="eastAsia"/>
        </w:rPr>
        <w:t>(Purnamasari and Adriza, 2024; Mollah et al., 2023</w:t>
      </w:r>
      <w:r w:rsidR="001C195C" w:rsidRPr="001C195C">
        <w:t>).</w:t>
      </w:r>
    </w:p>
    <w:p w14:paraId="5F5F4E2F" w14:textId="77777777" w:rsidR="00A77462" w:rsidRPr="001C195C" w:rsidRDefault="00A77462" w:rsidP="001C195C">
      <w:pPr>
        <w:rPr>
          <w:lang w:val="en-AU"/>
        </w:rPr>
      </w:pPr>
      <w:r w:rsidRPr="001C195C">
        <w:rPr>
          <w:lang w:val="en-AU"/>
        </w:rPr>
        <w:t>Another strength is that NPV is additive. If Beard Plc undertakes more than one project, the combined NPV is simply the sum of the NPVs. This is useful in the capital-rationing section, where Option C and a fraction of Option B are combined. Profitability index is used to rank divisible projects, but the final objective remains total NPV maximisation.</w:t>
      </w:r>
    </w:p>
    <w:p w14:paraId="66474FD1" w14:textId="77777777" w:rsidR="000E3A8C" w:rsidRPr="001C195C" w:rsidRDefault="00A77462" w:rsidP="001C195C">
      <w:pPr>
        <w:rPr>
          <w:lang w:val="en-US"/>
        </w:rPr>
      </w:pPr>
      <w:r w:rsidRPr="001C195C">
        <w:rPr>
          <w:lang w:val="en-AU"/>
        </w:rPr>
        <w:t xml:space="preserve">The weakness of NPV is not the method itself, but the quality of the inputs. </w:t>
      </w:r>
      <w:r w:rsidR="000E3A8C" w:rsidRPr="000E3A8C">
        <w:rPr>
          <w:lang w:val="en-AU"/>
        </w:rPr>
        <w:t>The forecast cash flows, tax timing, capital allowances, working capital and discount rates could all be incorrect. Magni and Marchioni (2020) demonstrate that working-capital uncertainty can impact project ranking and the consistency of appraisal measures, which is directly relevant in this case since Beard Plc might require extra inventory and receivables investment in new products or online sales.</w:t>
      </w:r>
    </w:p>
    <w:p w14:paraId="58CDF099" w14:textId="77777777" w:rsidR="00A77462" w:rsidRPr="00DF0A49" w:rsidRDefault="00A77462" w:rsidP="001C195C">
      <w:pPr>
        <w:pStyle w:val="Heading2"/>
        <w:numPr>
          <w:ilvl w:val="1"/>
          <w:numId w:val="9"/>
        </w:numPr>
        <w:rPr>
          <w:lang w:val="en-US"/>
        </w:rPr>
      </w:pPr>
      <w:bookmarkStart w:id="15" w:name="_Toc236249784"/>
      <w:r w:rsidRPr="00DF0A49">
        <w:rPr>
          <w:lang w:val="en-US"/>
        </w:rPr>
        <w:t>Reasons why non-discounting techniques are still popular</w:t>
      </w:r>
      <w:bookmarkEnd w:id="15"/>
    </w:p>
    <w:p w14:paraId="6F93F818" w14:textId="77777777" w:rsidR="00573CE3" w:rsidRPr="00F7729C" w:rsidRDefault="00573CE3" w:rsidP="00573CE3">
      <w:pPr>
        <w:rPr>
          <w:bCs/>
        </w:rPr>
      </w:pPr>
      <w:r w:rsidRPr="00F7729C">
        <w:rPr>
          <w:bCs/>
        </w:rPr>
        <w:t>Siziba and Hall (2021) state that non-discounting methods are often used in conjunction with NPV as they are easy to calculate and explain. The payback period is especially applicable in situations where the directors are worried about liquidity, as it shows how long it will take each alternative to pay for itself.</w:t>
      </w:r>
    </w:p>
    <w:p w14:paraId="1AA19ABF" w14:textId="77777777" w:rsidR="00573CE3" w:rsidRPr="00F7729C" w:rsidRDefault="00573CE3" w:rsidP="00573CE3">
      <w:pPr>
        <w:rPr>
          <w:bCs/>
        </w:rPr>
      </w:pPr>
      <w:r w:rsidRPr="00F7729C">
        <w:rPr>
          <w:bCs/>
        </w:rPr>
        <w:t>The payback period is an additional liquidity-risk measure, as a longer payback means that cash is exposed for longer. It is not a value-creation measure as it does not consider the time value of money and cash flows after the payback period and should complement the NPV decision (Siziba and Hall, 2021; Sokolov, 2024).</w:t>
      </w:r>
    </w:p>
    <w:p w14:paraId="44BA45C3" w14:textId="77777777" w:rsidR="00573CE3" w:rsidRPr="00F7729C" w:rsidRDefault="00573CE3" w:rsidP="00573CE3">
      <w:pPr>
        <w:rPr>
          <w:bCs/>
        </w:rPr>
      </w:pPr>
      <w:r w:rsidRPr="00F7729C">
        <w:rPr>
          <w:bCs/>
        </w:rPr>
        <w:t>Payback-period comparison. The undiscounted after-tax cash flows in Appendix D show that Option A will recoup its £600k investment in approximately 3.63 years, Option B will recoup its £900k investment in approximately 3.39 years and Option C will recoup its £1.0m investment in approximately 3.35 years. This corroborates, but does not supplant, the NPV result: Option C recovers cash most quickly and has the highest NPV.</w:t>
      </w:r>
    </w:p>
    <w:p w14:paraId="39132268" w14:textId="77777777" w:rsidR="00A77462" w:rsidRPr="00F7729C" w:rsidRDefault="00573CE3" w:rsidP="00573CE3">
      <w:pPr>
        <w:rPr>
          <w:bCs/>
          <w:lang w:val="en-US"/>
        </w:rPr>
      </w:pPr>
      <w:r w:rsidRPr="00F7729C">
        <w:rPr>
          <w:bCs/>
        </w:rPr>
        <w:lastRenderedPageBreak/>
        <w:t xml:space="preserve">Siziba and Hall (2021) also note that another measure that is often used in addition to the accounting rate of return is the accounting-profit data itself. </w:t>
      </w:r>
      <w:r w:rsidR="00A77462" w:rsidRPr="00F7729C">
        <w:rPr>
          <w:bCs/>
        </w:rPr>
        <w:t xml:space="preserve"> It remains inferior to NPV in this appraisal because depreciation, accruals and accounting-policy choices can obscure cash generation.</w:t>
      </w:r>
    </w:p>
    <w:p w14:paraId="2E1BBE15" w14:textId="77777777" w:rsidR="00C04A0D" w:rsidRPr="001C195C" w:rsidRDefault="000D36DE" w:rsidP="001C195C">
      <w:pPr>
        <w:rPr>
          <w:lang w:val="en-US"/>
        </w:rPr>
      </w:pPr>
      <w:r w:rsidRPr="00F7729C">
        <w:rPr>
          <w:bCs/>
          <w:lang w:val="en-US"/>
        </w:rPr>
        <w:t>A longitudinal review conducted by Siziba and Hall (2021) concluded that NPV, IRR, payback, accounting</w:t>
      </w:r>
      <w:r w:rsidRPr="000D36DE">
        <w:rPr>
          <w:lang w:val="en-US"/>
        </w:rPr>
        <w:t xml:space="preserve"> rate of return, return on investment and real options valuation are still among the most frequently used capital-budgeting methods, with payback still being used as a supplementary method. </w:t>
      </w:r>
    </w:p>
    <w:p w14:paraId="7957FE59" w14:textId="77777777" w:rsidR="00A77462" w:rsidRPr="00DF0A49" w:rsidRDefault="00A77462" w:rsidP="001C195C">
      <w:pPr>
        <w:pStyle w:val="Heading2"/>
        <w:numPr>
          <w:ilvl w:val="1"/>
          <w:numId w:val="9"/>
        </w:numPr>
        <w:rPr>
          <w:lang w:val="en-US"/>
        </w:rPr>
      </w:pPr>
      <w:bookmarkStart w:id="16" w:name="_Toc236249785"/>
      <w:r w:rsidRPr="00DF0A49">
        <w:rPr>
          <w:lang w:val="en-US"/>
        </w:rPr>
        <w:t>Pre-final investment decision factors</w:t>
      </w:r>
      <w:bookmarkEnd w:id="16"/>
    </w:p>
    <w:p w14:paraId="3FC58A8D" w14:textId="77777777" w:rsidR="00A77462" w:rsidRPr="00F7729C" w:rsidRDefault="00A77462" w:rsidP="001C195C">
      <w:pPr>
        <w:rPr>
          <w:bCs/>
          <w:lang w:val="en-US"/>
        </w:rPr>
      </w:pPr>
      <w:r w:rsidRPr="00F7729C">
        <w:rPr>
          <w:bCs/>
          <w:lang w:val="en-US"/>
        </w:rPr>
        <w:t>The Board should not automatically accept Option C simply because it has the highest NPV. Capital budgeting is not only an arithmetic exercise, but also a strategic decision that entails uncertainty, quality of information and managerial judgement. Hartmann and Weißenberger (2024) demonstrate that capital-budgeting decisions are influenced by information load and decision aids, and this is applicable since the Board must have a rigorous review process as opposed to an uncritical acceptance of the spreadsheet outcome.</w:t>
      </w:r>
    </w:p>
    <w:p w14:paraId="1861248F" w14:textId="77777777" w:rsidR="00A77462" w:rsidRPr="00F7729C" w:rsidRDefault="00A77462" w:rsidP="001C195C">
      <w:pPr>
        <w:rPr>
          <w:bCs/>
          <w:lang w:val="en-US"/>
        </w:rPr>
      </w:pPr>
      <w:r w:rsidRPr="00F7729C">
        <w:rPr>
          <w:bCs/>
        </w:rPr>
        <w:t>Before approval, Beard Plc should test market demand. Capital-budgeting decisions depend on the reliability of their forecasts and information inputs (Hartmann and Weißenberger, 2024); management should therefore undertake competitor analysis, customer surveys, price testing and margin analysis.</w:t>
      </w:r>
    </w:p>
    <w:p w14:paraId="61C4338D" w14:textId="77777777" w:rsidR="00A77462" w:rsidRPr="00F7729C" w:rsidRDefault="00A77462" w:rsidP="001C195C">
      <w:pPr>
        <w:rPr>
          <w:bCs/>
          <w:lang w:val="en-US"/>
        </w:rPr>
      </w:pPr>
      <w:r w:rsidRPr="00F7729C">
        <w:rPr>
          <w:bCs/>
          <w:lang w:val="en-US"/>
        </w:rPr>
        <w:t>Second, production capacity ought to be evaluated. Purses and wallets might demand different design skills, materials, machinery, quality control, and supplier relationships. Nunden et al. (2022) emphasise the importance of management skills in capital-budgeting planning and practices, especially for SMEs.</w:t>
      </w:r>
    </w:p>
    <w:p w14:paraId="3EFA8B81" w14:textId="77777777" w:rsidR="00A77462" w:rsidRPr="00F7729C" w:rsidRDefault="00A77462" w:rsidP="001C195C">
      <w:pPr>
        <w:rPr>
          <w:bCs/>
          <w:lang w:val="en-US"/>
        </w:rPr>
      </w:pPr>
      <w:r w:rsidRPr="00F7729C">
        <w:rPr>
          <w:bCs/>
          <w:lang w:val="en-US"/>
        </w:rPr>
        <w:t>Third, working capital should be estimated. New products may increase inventories, trade receivables and storage costs. Fulfilment systems and returns management may be needed for internet sales. Without these, the NPV can be overstated.</w:t>
      </w:r>
    </w:p>
    <w:p w14:paraId="2CC6A131" w14:textId="77777777" w:rsidR="00A77462" w:rsidRPr="00F7729C" w:rsidRDefault="00A77462" w:rsidP="001C195C">
      <w:pPr>
        <w:rPr>
          <w:bCs/>
          <w:lang w:val="en-US"/>
        </w:rPr>
      </w:pPr>
      <w:r w:rsidRPr="00F7729C">
        <w:rPr>
          <w:bCs/>
          <w:lang w:val="en-US"/>
        </w:rPr>
        <w:t xml:space="preserve">Fourth, the Board ought to take into consideration ESG and reputational risk. For a high-quality producer of handbags, sourcing, labour, environmental impact and packaging can influence </w:t>
      </w:r>
      <w:r w:rsidRPr="00F7729C">
        <w:rPr>
          <w:bCs/>
          <w:lang w:val="en-US"/>
        </w:rPr>
        <w:lastRenderedPageBreak/>
        <w:t>brand reputation. The systematic review by Shaheen et al. (2024) suggests sustainability, ESG factors, government policy and KPIs as factors that are relevant to contemporary capital-budgeting decisions.</w:t>
      </w:r>
    </w:p>
    <w:p w14:paraId="5B2299A9" w14:textId="77777777" w:rsidR="00A77462" w:rsidRPr="001C195C" w:rsidRDefault="00A77462" w:rsidP="001C195C">
      <w:pPr>
        <w:rPr>
          <w:lang w:val="en-US"/>
        </w:rPr>
      </w:pPr>
      <w:r w:rsidRPr="00F7729C">
        <w:rPr>
          <w:bCs/>
          <w:lang w:val="en-US"/>
        </w:rPr>
        <w:t>Lastly, strategic fit should be assessed by the Board. The NPV of Option B is less than that of Option C, but it could result in long-term digital capabilities that are not entirely reflected in the four-year cash flows. Thus, a combination of NPV and strategic analysis, risk assessment and operational</w:t>
      </w:r>
      <w:r w:rsidRPr="001C195C">
        <w:rPr>
          <w:lang w:val="en-US"/>
        </w:rPr>
        <w:t xml:space="preserve"> readiness should </w:t>
      </w:r>
      <w:r w:rsidRPr="001C195C">
        <w:rPr>
          <w:bCs/>
          <w:lang w:val="en-US"/>
        </w:rPr>
        <w:t>inform</w:t>
      </w:r>
      <w:r w:rsidRPr="001C195C">
        <w:rPr>
          <w:lang w:val="en-US"/>
        </w:rPr>
        <w:t xml:space="preserve"> the final decision.</w:t>
      </w:r>
    </w:p>
    <w:p w14:paraId="596DBF76" w14:textId="77777777" w:rsidR="00A77462" w:rsidRDefault="00A77462" w:rsidP="001C195C">
      <w:pPr>
        <w:pStyle w:val="Heading2"/>
        <w:numPr>
          <w:ilvl w:val="1"/>
          <w:numId w:val="9"/>
        </w:numPr>
        <w:rPr>
          <w:lang w:val="en-AU"/>
        </w:rPr>
      </w:pPr>
      <w:bookmarkStart w:id="17" w:name="_Toc236249786"/>
      <w:r>
        <w:rPr>
          <w:lang w:val="en-AU"/>
        </w:rPr>
        <w:t>Capital rationing decision</w:t>
      </w:r>
      <w:bookmarkEnd w:id="17"/>
    </w:p>
    <w:p w14:paraId="6256EE41" w14:textId="77777777" w:rsidR="00A77462" w:rsidRDefault="00A77462" w:rsidP="00A77462">
      <w:pPr>
        <w:spacing w:line="256" w:lineRule="auto"/>
        <w:rPr>
          <w:lang w:val="en-AU"/>
        </w:rPr>
      </w:pPr>
      <w:r>
        <w:rPr>
          <w:lang w:val="en-AU"/>
        </w:rPr>
        <w:t>If Beard Plc has only £1.5m available and projects are divisible, the correct approach is to use the profitability index. This is because capital must be allocated to the projects producing the highest present value per £1 invested.</w:t>
      </w:r>
    </w:p>
    <w:p w14:paraId="3BFF0C07" w14:textId="77777777" w:rsidR="00A77462" w:rsidRDefault="00A77462" w:rsidP="00A77462">
      <w:pPr>
        <w:spacing w:line="256" w:lineRule="auto"/>
        <w:rPr>
          <w:lang w:val="en-AU"/>
        </w:rPr>
      </w:pPr>
      <w:r>
        <w:rPr>
          <w:lang w:val="en-AU"/>
        </w:rPr>
        <w:t xml:space="preserve">The profitability index results are </w:t>
      </w:r>
      <w:r w:rsidRPr="00F7729C">
        <w:rPr>
          <w:lang w:val="en-AU"/>
        </w:rPr>
        <w:t>shown in Appendix F:</w:t>
      </w:r>
    </w:p>
    <w:tbl>
      <w:tblPr>
        <w:tblStyle w:val="GridTable4-Accent11"/>
        <w:tblW w:w="9960" w:type="dxa"/>
        <w:tblLook w:val="04A0" w:firstRow="1" w:lastRow="0" w:firstColumn="1" w:lastColumn="0" w:noHBand="0" w:noVBand="1"/>
      </w:tblPr>
      <w:tblGrid>
        <w:gridCol w:w="2265"/>
        <w:gridCol w:w="5053"/>
        <w:gridCol w:w="2642"/>
      </w:tblGrid>
      <w:tr w:rsidR="00A77462" w14:paraId="0487FA65" w14:textId="77777777" w:rsidTr="001C195C">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427D4F45" w14:textId="77777777" w:rsidR="00A77462" w:rsidRDefault="00A77462" w:rsidP="000C685B">
            <w:pPr>
              <w:spacing w:line="256" w:lineRule="auto"/>
              <w:rPr>
                <w:b w:val="0"/>
                <w:bCs w:val="0"/>
                <w:lang w:val="en-AU" w:eastAsia="en-AU"/>
              </w:rPr>
            </w:pPr>
            <w:r>
              <w:rPr>
                <w:b w:val="0"/>
                <w:bCs w:val="0"/>
                <w:lang w:val="en-AU" w:eastAsia="en-AU"/>
              </w:rPr>
              <w:t>Option</w:t>
            </w:r>
          </w:p>
        </w:tc>
        <w:tc>
          <w:tcPr>
            <w:tcW w:w="0" w:type="auto"/>
            <w:hideMark/>
          </w:tcPr>
          <w:p w14:paraId="5C56E507"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Profitability index</w:t>
            </w:r>
          </w:p>
        </w:tc>
        <w:tc>
          <w:tcPr>
            <w:tcW w:w="0" w:type="auto"/>
            <w:hideMark/>
          </w:tcPr>
          <w:p w14:paraId="0C9D2B04"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Ranking</w:t>
            </w:r>
          </w:p>
        </w:tc>
      </w:tr>
      <w:tr w:rsidR="00A77462" w14:paraId="4740CBF6" w14:textId="77777777" w:rsidTr="001C195C">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0" w:type="auto"/>
            <w:hideMark/>
          </w:tcPr>
          <w:p w14:paraId="6F9DA22C" w14:textId="77777777" w:rsidR="00A77462" w:rsidRDefault="00A77462" w:rsidP="000C685B">
            <w:pPr>
              <w:spacing w:line="256" w:lineRule="auto"/>
              <w:rPr>
                <w:lang w:val="en-AU" w:eastAsia="en-AU"/>
              </w:rPr>
            </w:pPr>
            <w:r>
              <w:rPr>
                <w:lang w:val="en-AU" w:eastAsia="en-AU"/>
              </w:rPr>
              <w:t>C</w:t>
            </w:r>
          </w:p>
        </w:tc>
        <w:tc>
          <w:tcPr>
            <w:tcW w:w="0" w:type="auto"/>
            <w:hideMark/>
          </w:tcPr>
          <w:p w14:paraId="0D6355A4"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bCs/>
                <w:lang w:val="en-AU" w:eastAsia="en-AU"/>
              </w:rPr>
              <w:t>1.091</w:t>
            </w:r>
          </w:p>
        </w:tc>
        <w:tc>
          <w:tcPr>
            <w:tcW w:w="0" w:type="auto"/>
            <w:hideMark/>
          </w:tcPr>
          <w:p w14:paraId="36D93E89"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1st</w:t>
            </w:r>
          </w:p>
        </w:tc>
      </w:tr>
      <w:tr w:rsidR="00A77462" w14:paraId="3D2AB9E6" w14:textId="77777777" w:rsidTr="001C195C">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1BDD6D11" w14:textId="77777777" w:rsidR="00A77462" w:rsidRDefault="00A77462" w:rsidP="000C685B">
            <w:pPr>
              <w:spacing w:line="256" w:lineRule="auto"/>
              <w:rPr>
                <w:lang w:val="en-AU" w:eastAsia="en-AU"/>
              </w:rPr>
            </w:pPr>
            <w:r>
              <w:rPr>
                <w:lang w:val="en-AU" w:eastAsia="en-AU"/>
              </w:rPr>
              <w:t>B</w:t>
            </w:r>
          </w:p>
        </w:tc>
        <w:tc>
          <w:tcPr>
            <w:tcW w:w="0" w:type="auto"/>
            <w:hideMark/>
          </w:tcPr>
          <w:p w14:paraId="18ADF0B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b/>
                <w:bCs/>
                <w:lang w:val="en-AU" w:eastAsia="en-AU"/>
              </w:rPr>
              <w:t>1.082</w:t>
            </w:r>
          </w:p>
        </w:tc>
        <w:tc>
          <w:tcPr>
            <w:tcW w:w="0" w:type="auto"/>
            <w:hideMark/>
          </w:tcPr>
          <w:p w14:paraId="63F806D3"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2nd</w:t>
            </w:r>
          </w:p>
        </w:tc>
      </w:tr>
      <w:tr w:rsidR="00A77462" w14:paraId="4C9CD222" w14:textId="77777777" w:rsidTr="001C195C">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2B2A7FF4" w14:textId="77777777" w:rsidR="00A77462" w:rsidRDefault="00A77462" w:rsidP="000C685B">
            <w:pPr>
              <w:spacing w:line="256" w:lineRule="auto"/>
              <w:rPr>
                <w:lang w:val="en-AU" w:eastAsia="en-AU"/>
              </w:rPr>
            </w:pPr>
            <w:r>
              <w:rPr>
                <w:lang w:val="en-AU" w:eastAsia="en-AU"/>
              </w:rPr>
              <w:t>A</w:t>
            </w:r>
          </w:p>
        </w:tc>
        <w:tc>
          <w:tcPr>
            <w:tcW w:w="0" w:type="auto"/>
            <w:hideMark/>
          </w:tcPr>
          <w:p w14:paraId="187B6D7D"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bCs/>
                <w:lang w:val="en-AU" w:eastAsia="en-AU"/>
              </w:rPr>
              <w:t>0.995</w:t>
            </w:r>
          </w:p>
        </w:tc>
        <w:tc>
          <w:tcPr>
            <w:tcW w:w="0" w:type="auto"/>
            <w:hideMark/>
          </w:tcPr>
          <w:p w14:paraId="52241094"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Reject</w:t>
            </w:r>
          </w:p>
        </w:tc>
      </w:tr>
    </w:tbl>
    <w:p w14:paraId="3736506C" w14:textId="77777777" w:rsidR="00A77462" w:rsidRDefault="00A77462" w:rsidP="00A77462">
      <w:pPr>
        <w:spacing w:line="256" w:lineRule="auto"/>
        <w:rPr>
          <w:lang w:val="en-AU"/>
        </w:rPr>
      </w:pPr>
      <w:r>
        <w:rPr>
          <w:lang w:val="en-AU"/>
        </w:rPr>
        <w:t>The optimal investment policy is therefore:</w:t>
      </w:r>
    </w:p>
    <w:p w14:paraId="39B8128E" w14:textId="77777777" w:rsidR="00A77462" w:rsidRPr="001C195C" w:rsidRDefault="00A77462" w:rsidP="001C195C">
      <w:pPr>
        <w:pStyle w:val="ListParagraph"/>
        <w:numPr>
          <w:ilvl w:val="0"/>
          <w:numId w:val="15"/>
        </w:numPr>
        <w:spacing w:line="256" w:lineRule="auto"/>
        <w:rPr>
          <w:lang w:val="en-AU"/>
        </w:rPr>
      </w:pPr>
      <w:r w:rsidRPr="001C195C">
        <w:rPr>
          <w:bCs/>
          <w:lang w:val="en-AU"/>
        </w:rPr>
        <w:t>Invest 100% in Option C = £1,000k</w:t>
      </w:r>
    </w:p>
    <w:p w14:paraId="65ACAAD3" w14:textId="77777777" w:rsidR="00A77462" w:rsidRPr="001C195C" w:rsidRDefault="00A77462" w:rsidP="00A77462">
      <w:pPr>
        <w:spacing w:line="256" w:lineRule="auto"/>
        <w:rPr>
          <w:lang w:val="en-AU"/>
        </w:rPr>
      </w:pPr>
      <w:r w:rsidRPr="001C195C">
        <w:rPr>
          <w:lang w:val="en-AU"/>
        </w:rPr>
        <w:t>Remaining funds:</w:t>
      </w:r>
    </w:p>
    <w:p w14:paraId="2C22474E" w14:textId="77777777" w:rsidR="00A77462" w:rsidRPr="001C195C" w:rsidRDefault="00A77462" w:rsidP="001C195C">
      <w:pPr>
        <w:pStyle w:val="ListParagraph"/>
        <w:numPr>
          <w:ilvl w:val="0"/>
          <w:numId w:val="15"/>
        </w:numPr>
        <w:spacing w:line="256" w:lineRule="auto"/>
        <w:rPr>
          <w:lang w:val="en-AU"/>
        </w:rPr>
      </w:pPr>
      <w:r w:rsidRPr="001C195C">
        <w:rPr>
          <w:bCs/>
          <w:lang w:val="en-AU"/>
        </w:rPr>
        <w:t>£1,500k – £1,000k = £500k</w:t>
      </w:r>
    </w:p>
    <w:p w14:paraId="3A164F55" w14:textId="77777777" w:rsidR="00A77462" w:rsidRPr="001C195C" w:rsidRDefault="00A77462" w:rsidP="00A77462">
      <w:pPr>
        <w:spacing w:line="256" w:lineRule="auto"/>
        <w:rPr>
          <w:lang w:val="en-AU"/>
        </w:rPr>
      </w:pPr>
      <w:r w:rsidRPr="001C195C">
        <w:rPr>
          <w:lang w:val="en-AU"/>
        </w:rPr>
        <w:t xml:space="preserve">Use the remaining £500k to invest in </w:t>
      </w:r>
      <w:r w:rsidRPr="001C195C">
        <w:rPr>
          <w:bCs/>
          <w:lang w:val="en-AU"/>
        </w:rPr>
        <w:t>55.56% of Option B</w:t>
      </w:r>
      <w:r w:rsidRPr="001C195C">
        <w:rPr>
          <w:lang w:val="en-AU"/>
        </w:rPr>
        <w:t>:</w:t>
      </w:r>
    </w:p>
    <w:p w14:paraId="04EE3B1C" w14:textId="77777777" w:rsidR="00A77462" w:rsidRPr="001C195C" w:rsidRDefault="00A77462" w:rsidP="001C195C">
      <w:pPr>
        <w:pStyle w:val="ListParagraph"/>
        <w:numPr>
          <w:ilvl w:val="0"/>
          <w:numId w:val="15"/>
        </w:numPr>
        <w:spacing w:line="256" w:lineRule="auto"/>
        <w:rPr>
          <w:lang w:val="en-AU"/>
        </w:rPr>
      </w:pPr>
      <w:r w:rsidRPr="001C195C">
        <w:rPr>
          <w:bCs/>
          <w:lang w:val="en-AU"/>
        </w:rPr>
        <w:t>£500k / £900k = 55.56%</w:t>
      </w:r>
    </w:p>
    <w:p w14:paraId="425E62BC" w14:textId="77777777" w:rsidR="00A77462" w:rsidRPr="001C195C" w:rsidRDefault="00A77462" w:rsidP="00A77462">
      <w:pPr>
        <w:spacing w:line="256" w:lineRule="auto"/>
        <w:rPr>
          <w:lang w:val="en-AU"/>
        </w:rPr>
      </w:pPr>
      <w:r w:rsidRPr="001C195C">
        <w:rPr>
          <w:lang w:val="en-AU"/>
        </w:rPr>
        <w:t>This produces a total NPV of:</w:t>
      </w:r>
    </w:p>
    <w:p w14:paraId="39FE9DAA" w14:textId="77777777" w:rsidR="00A77462" w:rsidRPr="001C195C" w:rsidRDefault="00A77462" w:rsidP="001C195C">
      <w:pPr>
        <w:pStyle w:val="ListParagraph"/>
        <w:numPr>
          <w:ilvl w:val="0"/>
          <w:numId w:val="15"/>
        </w:numPr>
        <w:spacing w:line="256" w:lineRule="auto"/>
        <w:rPr>
          <w:lang w:val="en-AU"/>
        </w:rPr>
      </w:pPr>
      <w:r w:rsidRPr="001C195C">
        <w:rPr>
          <w:bCs/>
          <w:lang w:val="en-AU"/>
        </w:rPr>
        <w:t>£91.226k + £41.084k = £132.310k</w:t>
      </w:r>
    </w:p>
    <w:p w14:paraId="77F354A7" w14:textId="77777777" w:rsidR="00A77462" w:rsidRDefault="00A77462" w:rsidP="00A77462">
      <w:pPr>
        <w:spacing w:line="256" w:lineRule="auto"/>
        <w:rPr>
          <w:lang w:val="en-AU"/>
        </w:rPr>
      </w:pPr>
      <w:r>
        <w:rPr>
          <w:lang w:val="en-AU"/>
        </w:rPr>
        <w:t>Therefore, under capital rationing, Beard Plc should invest in Option C fully and Option B partially. Option A should not be included because it has a negative NPV and a profitability index below 1.</w:t>
      </w:r>
    </w:p>
    <w:p w14:paraId="4D0378F6" w14:textId="77777777" w:rsidR="00A77462" w:rsidRDefault="00A77462" w:rsidP="001C195C">
      <w:pPr>
        <w:pStyle w:val="Heading2"/>
        <w:numPr>
          <w:ilvl w:val="1"/>
          <w:numId w:val="9"/>
        </w:numPr>
        <w:rPr>
          <w:lang w:val="en-AU"/>
        </w:rPr>
      </w:pPr>
      <w:bookmarkStart w:id="18" w:name="_Toc236249787"/>
      <w:r>
        <w:rPr>
          <w:lang w:val="en-AU"/>
        </w:rPr>
        <w:lastRenderedPageBreak/>
        <w:t>Financing the investment programme</w:t>
      </w:r>
      <w:bookmarkEnd w:id="18"/>
    </w:p>
    <w:p w14:paraId="19445D98" w14:textId="77777777" w:rsidR="00A77462" w:rsidRPr="00F7729C" w:rsidRDefault="00A77462" w:rsidP="001C195C">
      <w:pPr>
        <w:rPr>
          <w:lang w:val="en-AU"/>
        </w:rPr>
      </w:pPr>
      <w:r w:rsidRPr="001C195C">
        <w:rPr>
          <w:lang w:val="en-AU"/>
        </w:rPr>
        <w:t xml:space="preserve">If Beard Plc </w:t>
      </w:r>
      <w:r w:rsidRPr="00F7729C">
        <w:rPr>
          <w:lang w:val="en-AU"/>
        </w:rPr>
        <w:t>chooses only Option C, it needs £1.0m. If it follows the capital-rationing policy, it needs £1.5m. The Board should consider a mixture of internal funds, debt, equity and asset finance.</w:t>
      </w:r>
    </w:p>
    <w:p w14:paraId="6EC75D18" w14:textId="77777777" w:rsidR="00A77462" w:rsidRPr="00F7729C" w:rsidRDefault="00A77462" w:rsidP="001C195C">
      <w:pPr>
        <w:rPr>
          <w:rFonts w:eastAsia="Times New Roman" w:cs="Times New Roman"/>
          <w:szCs w:val="24"/>
          <w:lang w:val="en-US"/>
        </w:rPr>
      </w:pPr>
      <w:r w:rsidRPr="00F7729C">
        <w:rPr>
          <w:rFonts w:eastAsia="Times New Roman" w:cs="Times New Roman"/>
          <w:szCs w:val="24"/>
          <w:lang w:val="en-US"/>
        </w:rPr>
        <w:t>The first is retained earnings. This is normally appealing since it does not require any interest payments and does not dilute ownership. The study by Djabang et al. (2025) of UK SMEs revealed that the pecking-order theory is still applicable, and most companies tend to prefer internally generated funds to external debt or equity. Retained earnings are, however, not free. Excessive cash usage can undermine liquidity and limit financial flexibility.</w:t>
      </w:r>
    </w:p>
    <w:p w14:paraId="714B497E" w14:textId="77777777" w:rsidR="00A77462" w:rsidRPr="00F7729C" w:rsidRDefault="00A77462" w:rsidP="001C195C">
      <w:pPr>
        <w:rPr>
          <w:rFonts w:eastAsia="Times New Roman" w:cs="Times New Roman"/>
          <w:szCs w:val="24"/>
          <w:lang w:val="en-US"/>
        </w:rPr>
      </w:pPr>
      <w:r w:rsidRPr="00F7729C">
        <w:rPr>
          <w:rFonts w:eastAsia="Times New Roman" w:cs="Times New Roman"/>
          <w:szCs w:val="24"/>
          <w:lang w:val="en-US"/>
        </w:rPr>
        <w:t>The second source is bank debt or a medium-term loan. Debt can be appropriate since the projects will have annual cash inflows. Interest can also generate a tax benefit, but Ricca et al. (2021) point out that tax benefits and the costs of bankruptcy or financial distress are trade-offs. Debt is to be used sparingly. An overdraft would not be appropriate, as a four-year or five-year loan would be more suitable depending on the life of the project.</w:t>
      </w:r>
    </w:p>
    <w:p w14:paraId="704F56A4" w14:textId="77777777" w:rsidR="00A77462" w:rsidRPr="00F7729C" w:rsidRDefault="00A77462" w:rsidP="001C195C">
      <w:pPr>
        <w:rPr>
          <w:rFonts w:eastAsia="Times New Roman" w:cs="Times New Roman"/>
          <w:szCs w:val="24"/>
          <w:lang w:val="en-US"/>
        </w:rPr>
      </w:pPr>
      <w:r w:rsidRPr="00F7729C">
        <w:t>Asset finance or leasing can be suitable if Option C requires machinery or production equipment. It can reduce the initial cash commitment by aligning payments with asset use, but management should compare total contractual cost, restrictions and residual-value exposure before approval (OECD, 2025).</w:t>
      </w:r>
    </w:p>
    <w:p w14:paraId="2EBBB2C3" w14:textId="77777777" w:rsidR="00A77462" w:rsidRPr="00F7729C" w:rsidRDefault="00A77462" w:rsidP="001C195C">
      <w:pPr>
        <w:rPr>
          <w:rFonts w:eastAsia="Times New Roman" w:cs="Times New Roman"/>
          <w:szCs w:val="24"/>
          <w:lang w:val="en-US"/>
        </w:rPr>
      </w:pPr>
      <w:r w:rsidRPr="00F7729C">
        <w:rPr>
          <w:rFonts w:eastAsia="Times New Roman" w:cs="Times New Roman"/>
          <w:szCs w:val="24"/>
          <w:lang w:val="en-US"/>
        </w:rPr>
        <w:t>Fourth is equity finance. Equity does not involve any fixed repayments and enhances the balance sheet, but existing shareholders are diluted and it can be costlier than debt. According to the Equity Tracker published by the British Business Bank (2025b), the amount of equity invested in smaller businesses in the UK decreased slightly, to £10.8bn in 2024, but the number of deals decreased more dramatically, indicating that equity markets are available, but are selective.</w:t>
      </w:r>
    </w:p>
    <w:p w14:paraId="71C5ACF1" w14:textId="77777777" w:rsidR="00A77462" w:rsidRPr="00F7729C" w:rsidRDefault="00A77462" w:rsidP="001C195C">
      <w:pPr>
        <w:rPr>
          <w:rFonts w:eastAsia="Times New Roman" w:cs="Times New Roman"/>
          <w:szCs w:val="24"/>
          <w:lang w:val="en-US"/>
        </w:rPr>
      </w:pPr>
      <w:r w:rsidRPr="00F7729C">
        <w:rPr>
          <w:rFonts w:eastAsia="Times New Roman" w:cs="Times New Roman"/>
          <w:szCs w:val="24"/>
          <w:lang w:val="en-US"/>
        </w:rPr>
        <w:t xml:space="preserve">The decision should also be influenced by current financing conditions. According to the evidence provided by the OECD (2025), SMEs are still operating under restrictive financing conditions, such as high interest rates and economic uncertainty. The British Business Bank also indicates that smaller businesses are not investing partly because of high credit costs and risk aversion (Bank of England, 2024; British Business Bank, 2025a). According to UK Finance </w:t>
      </w:r>
      <w:r w:rsidRPr="00F7729C">
        <w:rPr>
          <w:rFonts w:eastAsia="Times New Roman" w:cs="Times New Roman"/>
          <w:szCs w:val="24"/>
          <w:lang w:val="en-US"/>
        </w:rPr>
        <w:lastRenderedPageBreak/>
        <w:t>(2025), gross lending to SMEs by the main retail banks increased to almost £4.6bn in Q1 2025, although lending was not as high as it was before COVID-19.</w:t>
      </w:r>
    </w:p>
    <w:p w14:paraId="47888C0B" w14:textId="77777777" w:rsidR="00A77462" w:rsidRPr="001C195C" w:rsidRDefault="00A77462" w:rsidP="001C195C">
      <w:pPr>
        <w:rPr>
          <w:rFonts w:eastAsia="Times New Roman" w:cs="Times New Roman"/>
          <w:szCs w:val="24"/>
          <w:lang w:val="en-US"/>
        </w:rPr>
      </w:pPr>
      <w:r w:rsidRPr="00F7729C">
        <w:rPr>
          <w:rFonts w:eastAsia="Times New Roman" w:cs="Times New Roman"/>
          <w:szCs w:val="24"/>
          <w:lang w:val="en-US"/>
        </w:rPr>
        <w:t>The most suitable financing option would then be a combination of the above, such as utilising some retained earnings, financing equipment where feasible and using a medium-term loan to cover the remaining funding requirement. Equity should be used if Beard Plc is already highly geared or does not</w:t>
      </w:r>
      <w:r w:rsidRPr="001C195C">
        <w:rPr>
          <w:rFonts w:eastAsia="Times New Roman" w:cs="Times New Roman"/>
          <w:szCs w:val="24"/>
          <w:lang w:val="en-US"/>
        </w:rPr>
        <w:t xml:space="preserve"> want to incur </w:t>
      </w:r>
      <w:r w:rsidRPr="001C195C">
        <w:rPr>
          <w:rFonts w:eastAsia="Times New Roman" w:cs="Times New Roman"/>
          <w:bCs/>
          <w:szCs w:val="24"/>
          <w:lang w:val="en-US"/>
        </w:rPr>
        <w:t>further fixed repayment obligations</w:t>
      </w:r>
      <w:r w:rsidRPr="001C195C">
        <w:rPr>
          <w:rFonts w:eastAsia="Times New Roman" w:cs="Times New Roman"/>
          <w:szCs w:val="24"/>
          <w:lang w:val="en-US"/>
        </w:rPr>
        <w:t>.</w:t>
      </w:r>
    </w:p>
    <w:p w14:paraId="5C714A73" w14:textId="77777777" w:rsidR="00A77462" w:rsidRPr="00DF0A49" w:rsidRDefault="00A77462" w:rsidP="001C195C">
      <w:pPr>
        <w:pStyle w:val="Heading2"/>
        <w:numPr>
          <w:ilvl w:val="1"/>
          <w:numId w:val="9"/>
        </w:numPr>
        <w:rPr>
          <w:lang w:val="en-US"/>
        </w:rPr>
      </w:pPr>
      <w:bookmarkStart w:id="19" w:name="_Toc236249788"/>
      <w:r w:rsidRPr="00DF0A49">
        <w:rPr>
          <w:lang w:val="en-US"/>
        </w:rPr>
        <w:t>Conclusion</w:t>
      </w:r>
      <w:bookmarkEnd w:id="19"/>
    </w:p>
    <w:p w14:paraId="0142106C" w14:textId="77777777" w:rsidR="00A77462" w:rsidRPr="00F7729C" w:rsidRDefault="00A77462" w:rsidP="001C195C">
      <w:pPr>
        <w:rPr>
          <w:lang w:val="en-US"/>
        </w:rPr>
      </w:pPr>
      <w:r w:rsidRPr="001C195C">
        <w:rPr>
          <w:lang w:val="en-US"/>
        </w:rPr>
        <w:t xml:space="preserve">The option that Beard Plc </w:t>
      </w:r>
      <w:r w:rsidRPr="00F7729C">
        <w:rPr>
          <w:lang w:val="en-US"/>
        </w:rPr>
        <w:t>should choose is to produce purses and wallets since it generates the largest NPV of £91.226k and an approximate IRR of 8.57%, which is greater than the 5% cost of capital. Option B is also financially viable and could have strategic digital advantages, but is weaker than Option C on the base-case NPV. Option A is not to be accepted as it has a negative NPV.</w:t>
      </w:r>
    </w:p>
    <w:p w14:paraId="5E7CAF43" w14:textId="77777777" w:rsidR="00A77462" w:rsidRPr="00F7729C" w:rsidRDefault="00A77462" w:rsidP="001C195C">
      <w:pPr>
        <w:rPr>
          <w:lang w:val="en-US"/>
        </w:rPr>
      </w:pPr>
      <w:r w:rsidRPr="00F7729C">
        <w:rPr>
          <w:lang w:val="en-US"/>
        </w:rPr>
        <w:t>Given that there is a funding limit of £1.5m and that the projects are divisible, the best policy is to invest in 100 percent of Option C and 55.56 percent of Option B, which will give a total NPV of £132.310k.</w:t>
      </w:r>
    </w:p>
    <w:p w14:paraId="705C87BD" w14:textId="77777777" w:rsidR="00A77462" w:rsidRPr="00F7729C" w:rsidRDefault="00A77462" w:rsidP="001C195C">
      <w:pPr>
        <w:rPr>
          <w:lang w:val="en-US"/>
        </w:rPr>
      </w:pPr>
      <w:r w:rsidRPr="00F7729C">
        <w:rPr>
          <w:lang w:val="en-US"/>
        </w:rPr>
        <w:t>The investment should be approved by the Board only after analysing the market demand, operational capacity, working-capital requirements, supplier risk and financing capacity. Option C is financially favourable, yet the difference between Options B and C is not large enough to warrant careless implementation.</w:t>
      </w:r>
    </w:p>
    <w:p w14:paraId="28D04044" w14:textId="77777777" w:rsidR="009E223F" w:rsidRPr="00F7729C" w:rsidRDefault="009E223F" w:rsidP="00F7729C">
      <w:r w:rsidRPr="00F7729C">
        <w:t>The calculation-based recommendation should not be considered a mandate. Option C has the highest NPV, and the shortest payback period, while Option B is a potential digital option with a lower NPV. The £1.5m capital-rationing solution will only be valid if the projects are divisible in practice, capital can be invested in stages and the incremental part of Option B is likely to provide the same cash flows as the project as a whole.</w:t>
      </w:r>
    </w:p>
    <w:p w14:paraId="583E4C0A" w14:textId="77777777" w:rsidR="001C195C" w:rsidRPr="00F7729C" w:rsidRDefault="009E223F" w:rsidP="00F7729C">
      <w:pPr>
        <w:rPr>
          <w:lang w:val="en-AU"/>
        </w:rPr>
      </w:pPr>
      <w:r w:rsidRPr="00F7729C">
        <w:t xml:space="preserve">Before investing money, management should verify the market demand, pricing, production capacity, working-capital requirements, supplier availability, tax implications and financing availability. These checks are important as the numerical advantage of Option C over Option B is not large enough to disregard forecasting, operational or liquidity risk. The approval should thus </w:t>
      </w:r>
      <w:r w:rsidRPr="00F7729C">
        <w:lastRenderedPageBreak/>
        <w:t>be based on documented assumptions, post-investment milestones and a comparison of the actual cash flows with the original NPV case.</w:t>
      </w:r>
      <w:r w:rsidR="001C195C" w:rsidRPr="00F7729C">
        <w:rPr>
          <w:lang w:val="en-AU"/>
        </w:rPr>
        <w:br w:type="page"/>
      </w:r>
    </w:p>
    <w:p w14:paraId="68F80594" w14:textId="77777777" w:rsidR="009E223F" w:rsidRDefault="009E223F">
      <w:pPr>
        <w:spacing w:after="0" w:line="240" w:lineRule="auto"/>
        <w:jc w:val="left"/>
        <w:rPr>
          <w:lang w:val="en-AU"/>
        </w:rPr>
      </w:pPr>
    </w:p>
    <w:p w14:paraId="0DFAF8D4" w14:textId="77777777" w:rsidR="009E223F" w:rsidRDefault="009E223F">
      <w:pPr>
        <w:spacing w:after="0" w:line="240" w:lineRule="auto"/>
        <w:jc w:val="left"/>
        <w:rPr>
          <w:lang w:val="en-AU"/>
        </w:rPr>
      </w:pPr>
    </w:p>
    <w:p w14:paraId="70288C5E" w14:textId="77777777" w:rsidR="009E223F" w:rsidRDefault="009E223F">
      <w:pPr>
        <w:spacing w:after="0" w:line="240" w:lineRule="auto"/>
        <w:jc w:val="left"/>
        <w:rPr>
          <w:rFonts w:eastAsiaTheme="majorEastAsia" w:cstheme="majorBidi"/>
          <w:b/>
          <w:color w:val="0F4761" w:themeColor="accent1" w:themeShade="BF"/>
          <w:sz w:val="40"/>
          <w:szCs w:val="40"/>
          <w:u w:val="single"/>
          <w:lang w:val="en-AU"/>
        </w:rPr>
      </w:pPr>
    </w:p>
    <w:p w14:paraId="5E9DEA8F" w14:textId="77777777" w:rsidR="00A77462" w:rsidRDefault="00A77462" w:rsidP="001C195C">
      <w:pPr>
        <w:pStyle w:val="Heading1"/>
        <w:numPr>
          <w:ilvl w:val="0"/>
          <w:numId w:val="9"/>
        </w:numPr>
        <w:rPr>
          <w:lang w:val="en-AU"/>
        </w:rPr>
      </w:pPr>
      <w:bookmarkStart w:id="20" w:name="_Toc236249789"/>
      <w:r>
        <w:rPr>
          <w:lang w:val="en-AU"/>
        </w:rPr>
        <w:t>Reference list</w:t>
      </w:r>
      <w:bookmarkEnd w:id="20"/>
    </w:p>
    <w:p w14:paraId="6B3C45E4" w14:textId="0991CFF3" w:rsidR="00A77462" w:rsidRPr="006E3055" w:rsidRDefault="00E917AD" w:rsidP="00A77462">
      <w:pPr>
        <w:rPr>
          <w:lang w:val="en-AU"/>
        </w:rPr>
      </w:pPr>
      <w:r>
        <w:t>Ali Abebe, A. (</w:t>
      </w:r>
      <w:r w:rsidR="00A77462">
        <w:t>2022</w:t>
      </w:r>
      <w:r>
        <w:t>)</w:t>
      </w:r>
      <w:r w:rsidR="00A77462">
        <w:t xml:space="preserve">. The </w:t>
      </w:r>
      <w:r w:rsidR="00A77462" w:rsidRPr="006E3055">
        <w:t>effect of IFRS on the financial ratios: Evidence from banking sector in the emerging economy. </w:t>
      </w:r>
      <w:r w:rsidR="00A77462" w:rsidRPr="006E3055">
        <w:rPr>
          <w:i/>
          <w:iCs/>
        </w:rPr>
        <w:t>Cogent Economics &amp; Finance</w:t>
      </w:r>
      <w:r w:rsidR="00A77462" w:rsidRPr="006E3055">
        <w:t>, </w:t>
      </w:r>
      <w:r w:rsidR="00A77462" w:rsidRPr="006E3055">
        <w:rPr>
          <w:i/>
          <w:iCs/>
        </w:rPr>
        <w:t>10</w:t>
      </w:r>
      <w:r w:rsidR="00A77462" w:rsidRPr="006E3055">
        <w:t>(1), p.2113495.</w:t>
      </w:r>
    </w:p>
    <w:p w14:paraId="025222C9" w14:textId="77777777" w:rsidR="00A77462" w:rsidRPr="006E3055" w:rsidRDefault="00A77462" w:rsidP="00A77462">
      <w:pPr>
        <w:spacing w:line="256" w:lineRule="auto"/>
        <w:jc w:val="left"/>
        <w:rPr>
          <w:lang w:val="en-AU"/>
        </w:rPr>
      </w:pPr>
      <w:r w:rsidRPr="006E3055">
        <w:rPr>
          <w:lang w:val="en-AU"/>
        </w:rPr>
        <w:t xml:space="preserve">Bank of England (2024) </w:t>
      </w:r>
      <w:r w:rsidRPr="006E3055">
        <w:rPr>
          <w:i/>
          <w:iCs/>
          <w:lang w:val="en-AU"/>
        </w:rPr>
        <w:t>Identifying barriers to productive investment and external finance: a survey of UK SMEs</w:t>
      </w:r>
      <w:r w:rsidRPr="006E3055">
        <w:rPr>
          <w:lang w:val="en-AU"/>
        </w:rPr>
        <w:t>. Bank of England Quarterly Bulletin. https://www.bankofengland.co.uk/quarterly-bulletin/2024/2024/identifying-barriers-to-productive-investment-and-external-finance-a-survey-of-uk-smes</w:t>
      </w:r>
      <w:r w:rsidRPr="006E3055">
        <w:t xml:space="preserve"> (Accessed: 11 July 2026).</w:t>
      </w:r>
    </w:p>
    <w:p w14:paraId="240D1C50" w14:textId="77777777" w:rsidR="00A77462" w:rsidRPr="006E3055" w:rsidRDefault="00A77462" w:rsidP="00A77462">
      <w:pPr>
        <w:spacing w:line="256" w:lineRule="auto"/>
        <w:jc w:val="left"/>
        <w:rPr>
          <w:lang w:val="en-AU"/>
        </w:rPr>
      </w:pPr>
      <w:r w:rsidRPr="006E3055">
        <w:rPr>
          <w:lang w:val="en-AU"/>
        </w:rPr>
        <w:t xml:space="preserve">British Business Bank (2025a) </w:t>
      </w:r>
      <w:r w:rsidRPr="006E3055">
        <w:rPr>
          <w:i/>
          <w:iCs/>
          <w:lang w:val="en-AU"/>
        </w:rPr>
        <w:t>Small Business Finance Markets Report 2025</w:t>
      </w:r>
      <w:r w:rsidRPr="006E3055">
        <w:rPr>
          <w:lang w:val="en-AU"/>
        </w:rPr>
        <w:t>. British Business Bank. https://www.british-business-bank.co.uk/about/research-and-publications/small-business-finance-markets-report-2025</w:t>
      </w:r>
      <w:r w:rsidRPr="006E3055">
        <w:t xml:space="preserve"> (Accessed: 11 July 2026).</w:t>
      </w:r>
    </w:p>
    <w:p w14:paraId="2603F1BF" w14:textId="77777777" w:rsidR="00A77462" w:rsidRPr="006E3055" w:rsidRDefault="00A77462" w:rsidP="00A77462">
      <w:pPr>
        <w:spacing w:line="256" w:lineRule="auto"/>
        <w:jc w:val="left"/>
        <w:rPr>
          <w:lang w:val="en-AU"/>
        </w:rPr>
      </w:pPr>
      <w:r w:rsidRPr="006E3055">
        <w:rPr>
          <w:lang w:val="en-AU"/>
        </w:rPr>
        <w:t xml:space="preserve">British Business Bank (2025b) </w:t>
      </w:r>
      <w:r w:rsidRPr="006E3055">
        <w:rPr>
          <w:i/>
          <w:iCs/>
          <w:lang w:val="en-AU"/>
        </w:rPr>
        <w:t>Small Business Equity Tracker 2025</w:t>
      </w:r>
      <w:r w:rsidRPr="006E3055">
        <w:rPr>
          <w:lang w:val="en-AU"/>
        </w:rPr>
        <w:t>. British Business Bank.  https://www.british-business-bank.co.uk/about/research-and-publications/small-business-equity-tracker-2025</w:t>
      </w:r>
      <w:r w:rsidRPr="006E3055">
        <w:t xml:space="preserve"> (Accessed: 11 July 2026).</w:t>
      </w:r>
    </w:p>
    <w:p w14:paraId="005DFE36" w14:textId="77777777" w:rsidR="00A77462" w:rsidRPr="006E3055" w:rsidRDefault="00A77462" w:rsidP="00A77462">
      <w:pPr>
        <w:spacing w:line="256" w:lineRule="auto"/>
        <w:jc w:val="left"/>
        <w:rPr>
          <w:lang w:val="en-AU"/>
        </w:rPr>
      </w:pPr>
      <w:r w:rsidRPr="006E3055">
        <w:rPr>
          <w:lang w:val="en-AU"/>
        </w:rPr>
        <w:t xml:space="preserve">Connect Europe (2025) </w:t>
      </w:r>
      <w:r w:rsidRPr="006E3055">
        <w:rPr>
          <w:i/>
          <w:iCs/>
          <w:lang w:val="en-AU"/>
        </w:rPr>
        <w:t>State of Digital Communications 2025</w:t>
      </w:r>
      <w:r w:rsidRPr="006E3055">
        <w:rPr>
          <w:lang w:val="en-AU"/>
        </w:rPr>
        <w:t>. https://connecteurope.org/insights/reports/state-digital-communications-2025</w:t>
      </w:r>
      <w:r w:rsidRPr="006E3055">
        <w:t xml:space="preserve"> (Accessed: 11 July 2026).</w:t>
      </w:r>
    </w:p>
    <w:p w14:paraId="30EE1E95" w14:textId="613262B6" w:rsidR="00A77462" w:rsidRPr="006E3055" w:rsidRDefault="00A77462" w:rsidP="00A77462">
      <w:pPr>
        <w:spacing w:line="256" w:lineRule="auto"/>
      </w:pPr>
      <w:r w:rsidRPr="006E3055">
        <w:t>Djabang, P., Shubi</w:t>
      </w:r>
      <w:r w:rsidR="00877B35">
        <w:t>ta, M. and Konstantopoulou, A. (</w:t>
      </w:r>
      <w:r w:rsidRPr="006E3055">
        <w:t>2025</w:t>
      </w:r>
      <w:r w:rsidR="00877B35">
        <w:t>)</w:t>
      </w:r>
      <w:r w:rsidRPr="006E3055">
        <w:t>. Pecking order theory’s impact on the financing of small- and medium-sized enterprises (SMEs) in the UK. </w:t>
      </w:r>
      <w:r w:rsidRPr="006E3055">
        <w:rPr>
          <w:i/>
          <w:iCs/>
        </w:rPr>
        <w:t>International Journal of Organizational Analysis</w:t>
      </w:r>
      <w:r w:rsidRPr="006E3055">
        <w:t>, </w:t>
      </w:r>
      <w:r w:rsidRPr="006E3055">
        <w:rPr>
          <w:i/>
          <w:iCs/>
        </w:rPr>
        <w:t>33</w:t>
      </w:r>
      <w:r w:rsidRPr="006E3055">
        <w:t>(11), pp.4163-4182.</w:t>
      </w:r>
    </w:p>
    <w:p w14:paraId="3A18001D" w14:textId="77777777" w:rsidR="00A77462" w:rsidRPr="006E3055" w:rsidRDefault="00A77462" w:rsidP="00A77462">
      <w:pPr>
        <w:spacing w:line="256" w:lineRule="auto"/>
        <w:jc w:val="left"/>
        <w:rPr>
          <w:lang w:val="en-AU"/>
        </w:rPr>
      </w:pPr>
      <w:r w:rsidRPr="006E3055">
        <w:rPr>
          <w:lang w:val="en-AU"/>
        </w:rPr>
        <w:t xml:space="preserve">GSMA Intelligence (2025) </w:t>
      </w:r>
      <w:r w:rsidRPr="006E3055">
        <w:rPr>
          <w:i/>
          <w:iCs/>
          <w:lang w:val="en-AU"/>
        </w:rPr>
        <w:t>The Mobile Economy Europe 2025</w:t>
      </w:r>
      <w:r w:rsidRPr="006E3055">
        <w:rPr>
          <w:lang w:val="en-AU"/>
        </w:rPr>
        <w:t>. https://www.gsma.com/solutions-and-impact/connectivity-for-good/mobile-economy/europe/</w:t>
      </w:r>
      <w:r w:rsidRPr="006E3055">
        <w:t xml:space="preserve"> (Accessed: 11 July 2026).</w:t>
      </w:r>
    </w:p>
    <w:p w14:paraId="45C9336C" w14:textId="2B302E05" w:rsidR="00A77462" w:rsidRPr="006E3055" w:rsidRDefault="00A77462" w:rsidP="00A77462">
      <w:pPr>
        <w:spacing w:line="256" w:lineRule="auto"/>
      </w:pPr>
      <w:r w:rsidRPr="006E3055">
        <w:t>Hartm</w:t>
      </w:r>
      <w:r w:rsidR="00877B35">
        <w:t>ann, M. and Weißenberger, B.E. (</w:t>
      </w:r>
      <w:r w:rsidRPr="006E3055">
        <w:t>2024</w:t>
      </w:r>
      <w:r w:rsidR="00877B35">
        <w:t>)</w:t>
      </w:r>
      <w:r w:rsidRPr="006E3055">
        <w:t>. Decision-making in the capital budgeting context: effects of type of decision aid and increases in information load. </w:t>
      </w:r>
      <w:r w:rsidRPr="006E3055">
        <w:rPr>
          <w:i/>
          <w:iCs/>
        </w:rPr>
        <w:t>Journal of Business Economics</w:t>
      </w:r>
      <w:r w:rsidRPr="006E3055">
        <w:t>, </w:t>
      </w:r>
      <w:r w:rsidRPr="006E3055">
        <w:rPr>
          <w:i/>
          <w:iCs/>
        </w:rPr>
        <w:t>94</w:t>
      </w:r>
      <w:r w:rsidRPr="006E3055">
        <w:t>(2), pp.379-411.</w:t>
      </w:r>
    </w:p>
    <w:p w14:paraId="52C69CBC" w14:textId="5E9CBF5F" w:rsidR="00A77462" w:rsidRPr="006E3055" w:rsidRDefault="00877B35" w:rsidP="00A77462">
      <w:pPr>
        <w:spacing w:line="256" w:lineRule="auto"/>
      </w:pPr>
      <w:r>
        <w:t>Khoza, F. (</w:t>
      </w:r>
      <w:r w:rsidR="00A77462" w:rsidRPr="006E3055">
        <w:t>2025</w:t>
      </w:r>
      <w:r>
        <w:t>)</w:t>
      </w:r>
      <w:r w:rsidR="00A77462" w:rsidRPr="006E3055">
        <w:t>. The impact of liquidity and leverage on the financial performance of the Johannesburg Stock Exchange-listed consumer goods firms. </w:t>
      </w:r>
      <w:r w:rsidR="00A77462" w:rsidRPr="006E3055">
        <w:rPr>
          <w:i/>
          <w:iCs/>
        </w:rPr>
        <w:t>Journal of Risk and Financial Management</w:t>
      </w:r>
      <w:r w:rsidR="00A77462" w:rsidRPr="006E3055">
        <w:t>, </w:t>
      </w:r>
      <w:r w:rsidR="00A77462" w:rsidRPr="006E3055">
        <w:rPr>
          <w:i/>
          <w:iCs/>
        </w:rPr>
        <w:t>18</w:t>
      </w:r>
      <w:r w:rsidR="00A77462" w:rsidRPr="006E3055">
        <w:t>(9), p.510.</w:t>
      </w:r>
    </w:p>
    <w:p w14:paraId="2877C4B8" w14:textId="45604634" w:rsidR="00A77462" w:rsidRPr="006E3055" w:rsidRDefault="00877B35" w:rsidP="00A77462">
      <w:pPr>
        <w:spacing w:line="256" w:lineRule="auto"/>
      </w:pPr>
      <w:r>
        <w:t>Magni, C.A. and Marchioni, A. (</w:t>
      </w:r>
      <w:r w:rsidR="00A77462" w:rsidRPr="006E3055">
        <w:t>2020</w:t>
      </w:r>
      <w:r>
        <w:t>)</w:t>
      </w:r>
      <w:r w:rsidR="00A77462" w:rsidRPr="006E3055">
        <w:t>. Average rates of return, working capital, and NPV-consistency in project appraisal: A sensitivity analysis approach. </w:t>
      </w:r>
      <w:r w:rsidR="00A77462" w:rsidRPr="006E3055">
        <w:rPr>
          <w:i/>
          <w:iCs/>
        </w:rPr>
        <w:t>International Journal of Production Economics</w:t>
      </w:r>
      <w:r w:rsidR="00A77462" w:rsidRPr="006E3055">
        <w:t>, </w:t>
      </w:r>
      <w:r w:rsidR="00A77462" w:rsidRPr="006E3055">
        <w:rPr>
          <w:i/>
          <w:iCs/>
        </w:rPr>
        <w:t>229</w:t>
      </w:r>
      <w:r w:rsidR="00A77462" w:rsidRPr="006E3055">
        <w:t>, p.107769.</w:t>
      </w:r>
    </w:p>
    <w:p w14:paraId="15C29A51" w14:textId="553586AF" w:rsidR="00A77462" w:rsidRPr="006E3055" w:rsidRDefault="00A77462" w:rsidP="00A77462">
      <w:pPr>
        <w:spacing w:line="256" w:lineRule="auto"/>
      </w:pPr>
      <w:r w:rsidRPr="006E3055">
        <w:lastRenderedPageBreak/>
        <w:t>Mollah, M.A</w:t>
      </w:r>
      <w:r w:rsidR="00E917AD">
        <w:t>.S., Rouf, M.A. and Rana, S.S. (</w:t>
      </w:r>
      <w:r w:rsidRPr="006E3055">
        <w:t>2023</w:t>
      </w:r>
      <w:r w:rsidR="00E917AD">
        <w:t>)</w:t>
      </w:r>
      <w:r w:rsidRPr="006E3055">
        <w:t>. A study on capital budgeting practices of some selected companies in Bangladesh. </w:t>
      </w:r>
      <w:r w:rsidRPr="006E3055">
        <w:rPr>
          <w:i/>
          <w:iCs/>
        </w:rPr>
        <w:t>PSU Research Review</w:t>
      </w:r>
      <w:r w:rsidRPr="006E3055">
        <w:t>, </w:t>
      </w:r>
      <w:r w:rsidRPr="006E3055">
        <w:rPr>
          <w:i/>
          <w:iCs/>
        </w:rPr>
        <w:t>7</w:t>
      </w:r>
      <w:r w:rsidRPr="006E3055">
        <w:t>(2), pp.137-151.</w:t>
      </w:r>
    </w:p>
    <w:p w14:paraId="65A6D63D" w14:textId="7C51D494" w:rsidR="00A77462" w:rsidRPr="006E3055" w:rsidRDefault="00A77462" w:rsidP="00A77462">
      <w:pPr>
        <w:spacing w:line="256" w:lineRule="auto"/>
      </w:pPr>
      <w:r w:rsidRPr="006E3055">
        <w:t>Nunden, N., Abbana, S.</w:t>
      </w:r>
      <w:r w:rsidR="00E917AD">
        <w:t>, Marimuthu, F. and Sentoo, N. (</w:t>
      </w:r>
      <w:r w:rsidRPr="006E3055">
        <w:t>2022</w:t>
      </w:r>
      <w:r w:rsidR="00E917AD">
        <w:t>)</w:t>
      </w:r>
      <w:r w:rsidRPr="006E3055">
        <w:t>. An assessment of management skills on capital budgeting planning and practices: evidence from the small and medium enterprise sector. </w:t>
      </w:r>
      <w:r w:rsidRPr="006E3055">
        <w:rPr>
          <w:i/>
          <w:iCs/>
        </w:rPr>
        <w:t>Cogent Business &amp; Management</w:t>
      </w:r>
      <w:r w:rsidRPr="006E3055">
        <w:t>, </w:t>
      </w:r>
      <w:r w:rsidRPr="006E3055">
        <w:rPr>
          <w:i/>
          <w:iCs/>
        </w:rPr>
        <w:t>9</w:t>
      </w:r>
      <w:r w:rsidRPr="006E3055">
        <w:t>(1), p.2136481.</w:t>
      </w:r>
    </w:p>
    <w:p w14:paraId="4C75C092" w14:textId="77777777" w:rsidR="00A77462" w:rsidRPr="006E3055" w:rsidRDefault="00A77462" w:rsidP="00A77462">
      <w:pPr>
        <w:spacing w:line="256" w:lineRule="auto"/>
        <w:jc w:val="left"/>
        <w:rPr>
          <w:lang w:val="en-AU"/>
        </w:rPr>
      </w:pPr>
      <w:r w:rsidRPr="006E3055">
        <w:rPr>
          <w:lang w:val="en-AU"/>
        </w:rPr>
        <w:t xml:space="preserve">OECD (2025) </w:t>
      </w:r>
      <w:r w:rsidRPr="006E3055">
        <w:rPr>
          <w:i/>
          <w:iCs/>
          <w:lang w:val="en-AU"/>
        </w:rPr>
        <w:t>Financing SMEs and Entrepreneurs Scoreboard: 2025 Highlights</w:t>
      </w:r>
      <w:r w:rsidRPr="006E3055">
        <w:rPr>
          <w:lang w:val="en-AU"/>
        </w:rPr>
        <w:t>. OECD SME and Entrepreneurship Papers. https://www.oecd.org/en/publications/oecd-financing-smes-and-entrepreneurs-scoreboard-2025-highlights_64c9063c-en.html</w:t>
      </w:r>
      <w:r w:rsidRPr="006E3055">
        <w:t xml:space="preserve"> (Accessed: 11 July 2026).</w:t>
      </w:r>
    </w:p>
    <w:p w14:paraId="5C6975C8" w14:textId="07AE2ED1" w:rsidR="00A77462" w:rsidRPr="006E3055" w:rsidRDefault="00E917AD" w:rsidP="00A77462">
      <w:pPr>
        <w:spacing w:line="256" w:lineRule="auto"/>
      </w:pPr>
      <w:r>
        <w:t>Purnamasari, P. and Adriza (</w:t>
      </w:r>
      <w:r w:rsidR="00A77462" w:rsidRPr="006E3055">
        <w:t>2024</w:t>
      </w:r>
      <w:r>
        <w:t>)</w:t>
      </w:r>
      <w:r w:rsidR="00A77462" w:rsidRPr="006E3055">
        <w:t>. Capital budgeting techniques and financial performance: a comparison between SMEs and large listed firms. </w:t>
      </w:r>
      <w:r w:rsidR="00A77462" w:rsidRPr="006E3055">
        <w:rPr>
          <w:i/>
          <w:iCs/>
        </w:rPr>
        <w:t>Cogent Economics &amp; Finance</w:t>
      </w:r>
      <w:r w:rsidR="00A77462" w:rsidRPr="006E3055">
        <w:t>, </w:t>
      </w:r>
      <w:r w:rsidR="00A77462" w:rsidRPr="006E3055">
        <w:rPr>
          <w:i/>
          <w:iCs/>
        </w:rPr>
        <w:t>12</w:t>
      </w:r>
      <w:r w:rsidR="00A77462" w:rsidRPr="006E3055">
        <w:t>(1), p.2404707.</w:t>
      </w:r>
    </w:p>
    <w:p w14:paraId="54D86434" w14:textId="69C95D1E" w:rsidR="00A77462" w:rsidRPr="006E3055" w:rsidRDefault="00A77462" w:rsidP="00A77462">
      <w:pPr>
        <w:spacing w:line="256" w:lineRule="auto"/>
      </w:pPr>
      <w:r w:rsidRPr="006E3055">
        <w:t>Ricca, L.T</w:t>
      </w:r>
      <w:r w:rsidR="00E917AD">
        <w:t>., Jucá, M.N. and Junior, E.H. (</w:t>
      </w:r>
      <w:r w:rsidRPr="006E3055">
        <w:t>2021</w:t>
      </w:r>
      <w:r w:rsidR="00E917AD">
        <w:t>)</w:t>
      </w:r>
      <w:r w:rsidRPr="006E3055">
        <w:t>. Tax benefit and bankruptcy cost of debt. </w:t>
      </w:r>
      <w:r w:rsidRPr="006E3055">
        <w:rPr>
          <w:i/>
          <w:iCs/>
        </w:rPr>
        <w:t>The Quarterly Review of Economics and Finance</w:t>
      </w:r>
      <w:r w:rsidRPr="006E3055">
        <w:t>, </w:t>
      </w:r>
      <w:r w:rsidRPr="006E3055">
        <w:rPr>
          <w:i/>
          <w:iCs/>
        </w:rPr>
        <w:t>81</w:t>
      </w:r>
      <w:r w:rsidRPr="006E3055">
        <w:t>, pp.82-92.</w:t>
      </w:r>
    </w:p>
    <w:p w14:paraId="0C8903F9" w14:textId="77777777" w:rsidR="00A77462" w:rsidRPr="006E3055" w:rsidRDefault="00A77462" w:rsidP="00A77462">
      <w:pPr>
        <w:spacing w:line="256" w:lineRule="auto"/>
        <w:jc w:val="left"/>
        <w:rPr>
          <w:lang w:val="en-AU"/>
        </w:rPr>
      </w:pPr>
      <w:r w:rsidRPr="006E3055">
        <w:rPr>
          <w:lang w:val="en-AU"/>
        </w:rPr>
        <w:t xml:space="preserve">Ofcom (2025) </w:t>
      </w:r>
      <w:r w:rsidRPr="006E3055">
        <w:rPr>
          <w:i/>
          <w:iCs/>
          <w:lang w:val="en-AU"/>
        </w:rPr>
        <w:t>The Communications Market 2025</w:t>
      </w:r>
      <w:r w:rsidRPr="006E3055">
        <w:rPr>
          <w:lang w:val="en-AU"/>
        </w:rPr>
        <w:t xml:space="preserve">. </w:t>
      </w:r>
      <w:hyperlink r:id="rId9" w:history="1">
        <w:r w:rsidRPr="006E3055">
          <w:rPr>
            <w:rStyle w:val="Hyperlink"/>
            <w:lang w:val="en-AU"/>
          </w:rPr>
          <w:t>https://www.ofcom.org.uk/phones-and-broadband/service-quality/the-communications-market-2025</w:t>
        </w:r>
      </w:hyperlink>
      <w:r w:rsidRPr="006E3055">
        <w:t xml:space="preserve"> (Accessed: 11 July 2026).</w:t>
      </w:r>
    </w:p>
    <w:p w14:paraId="7F6A1C34" w14:textId="79C9F193" w:rsidR="00A77462" w:rsidRPr="006E3055" w:rsidRDefault="00A77462" w:rsidP="00A77462">
      <w:pPr>
        <w:spacing w:line="256" w:lineRule="auto"/>
        <w:rPr>
          <w:lang w:val="en-AU"/>
        </w:rPr>
      </w:pPr>
      <w:r w:rsidRPr="006E3055">
        <w:t>Seretidou, D., Bi</w:t>
      </w:r>
      <w:r w:rsidR="00877B35">
        <w:t>llios, D. and Stavropoulos, A. (</w:t>
      </w:r>
      <w:r w:rsidRPr="006E3055">
        <w:t>2025</w:t>
      </w:r>
      <w:r w:rsidR="00877B35">
        <w:t>)</w:t>
      </w:r>
      <w:r w:rsidRPr="006E3055">
        <w:t>. Integrative analysis of traditional and cash flow financial ratios: Insights from a systematic comparative review. </w:t>
      </w:r>
      <w:r w:rsidRPr="006E3055">
        <w:rPr>
          <w:i/>
          <w:iCs/>
        </w:rPr>
        <w:t>Risks</w:t>
      </w:r>
      <w:r w:rsidRPr="006E3055">
        <w:t>, </w:t>
      </w:r>
      <w:r w:rsidRPr="006E3055">
        <w:rPr>
          <w:i/>
          <w:iCs/>
        </w:rPr>
        <w:t>13</w:t>
      </w:r>
      <w:r w:rsidRPr="006E3055">
        <w:t>(4), p.62.</w:t>
      </w:r>
    </w:p>
    <w:p w14:paraId="24C8F24D" w14:textId="63EC8DF3" w:rsidR="00A77462" w:rsidRPr="006E3055" w:rsidRDefault="00A77462" w:rsidP="00A77462">
      <w:pPr>
        <w:spacing w:line="256" w:lineRule="auto"/>
      </w:pPr>
      <w:r w:rsidRPr="006E3055">
        <w:t>Shaheen, W.A., Salee</w:t>
      </w:r>
      <w:r w:rsidR="00877B35">
        <w:t>m, T., Shafi, N. and Ullah, U. (</w:t>
      </w:r>
      <w:bookmarkStart w:id="21" w:name="_GoBack"/>
      <w:bookmarkEnd w:id="21"/>
      <w:r w:rsidRPr="006E3055">
        <w:t>2024</w:t>
      </w:r>
      <w:r w:rsidR="00877B35">
        <w:t>)</w:t>
      </w:r>
      <w:r w:rsidRPr="006E3055">
        <w:t>. Systematic Literature Review on Capital Budgeting Techniques. </w:t>
      </w:r>
      <w:r w:rsidRPr="006E3055">
        <w:rPr>
          <w:i/>
          <w:iCs/>
        </w:rPr>
        <w:t>UCP Journal of Business Perspectives</w:t>
      </w:r>
      <w:r w:rsidRPr="006E3055">
        <w:t>, </w:t>
      </w:r>
      <w:r w:rsidRPr="006E3055">
        <w:rPr>
          <w:i/>
          <w:iCs/>
        </w:rPr>
        <w:t>2</w:t>
      </w:r>
      <w:r w:rsidRPr="006E3055">
        <w:t>(2), pp.17-29.</w:t>
      </w:r>
    </w:p>
    <w:p w14:paraId="4C042DBE" w14:textId="2009B212" w:rsidR="00A77462" w:rsidRPr="006E3055" w:rsidRDefault="00E917AD" w:rsidP="00A77462">
      <w:pPr>
        <w:spacing w:line="256" w:lineRule="auto"/>
      </w:pPr>
      <w:r>
        <w:t>Siziba, S. and Hall, J.H. (</w:t>
      </w:r>
      <w:r w:rsidR="00A77462" w:rsidRPr="006E3055">
        <w:t>2021</w:t>
      </w:r>
      <w:r>
        <w:t>)</w:t>
      </w:r>
      <w:r w:rsidR="00A77462" w:rsidRPr="006E3055">
        <w:t>. The evolution of the application of capital budgeting techniques in enterprises. </w:t>
      </w:r>
      <w:r w:rsidR="00A77462" w:rsidRPr="006E3055">
        <w:rPr>
          <w:i/>
          <w:iCs/>
        </w:rPr>
        <w:t>Global Finance Journal</w:t>
      </w:r>
      <w:r w:rsidR="00A77462" w:rsidRPr="006E3055">
        <w:t>, </w:t>
      </w:r>
      <w:r w:rsidR="00A77462" w:rsidRPr="006E3055">
        <w:rPr>
          <w:i/>
          <w:iCs/>
        </w:rPr>
        <w:t>47</w:t>
      </w:r>
      <w:r w:rsidR="00A77462" w:rsidRPr="006E3055">
        <w:t>, p.100504.</w:t>
      </w:r>
    </w:p>
    <w:p w14:paraId="575BAD96" w14:textId="4E9CA34B" w:rsidR="00A77462" w:rsidRPr="006E3055" w:rsidRDefault="00E917AD" w:rsidP="00A77462">
      <w:pPr>
        <w:spacing w:line="256" w:lineRule="auto"/>
      </w:pPr>
      <w:r>
        <w:t>Sokolov, M.V. (</w:t>
      </w:r>
      <w:r w:rsidR="00A77462" w:rsidRPr="006E3055">
        <w:t>2024</w:t>
      </w:r>
      <w:r>
        <w:t>)</w:t>
      </w:r>
      <w:r w:rsidR="00A77462" w:rsidRPr="006E3055">
        <w:t>. NPV, IRR, PI, PP, and DPP: a unified view. </w:t>
      </w:r>
      <w:r w:rsidR="00A77462" w:rsidRPr="006E3055">
        <w:rPr>
          <w:i/>
          <w:iCs/>
        </w:rPr>
        <w:t>Journal of Mathematical Economics</w:t>
      </w:r>
      <w:r w:rsidR="00A77462" w:rsidRPr="006E3055">
        <w:t>, </w:t>
      </w:r>
      <w:r w:rsidR="00A77462" w:rsidRPr="006E3055">
        <w:rPr>
          <w:i/>
          <w:iCs/>
        </w:rPr>
        <w:t>114</w:t>
      </w:r>
      <w:r w:rsidR="00A77462" w:rsidRPr="006E3055">
        <w:t>, p.102992.</w:t>
      </w:r>
    </w:p>
    <w:p w14:paraId="731F2BFB" w14:textId="77777777" w:rsidR="00A77462" w:rsidRPr="006E3055" w:rsidRDefault="00A77462" w:rsidP="00A77462">
      <w:pPr>
        <w:spacing w:line="256" w:lineRule="auto"/>
        <w:jc w:val="left"/>
        <w:rPr>
          <w:lang w:val="en-AU"/>
        </w:rPr>
      </w:pPr>
      <w:r w:rsidRPr="006E3055">
        <w:rPr>
          <w:lang w:val="en-AU"/>
        </w:rPr>
        <w:t xml:space="preserve">UK Finance (2025) </w:t>
      </w:r>
      <w:r w:rsidRPr="006E3055">
        <w:rPr>
          <w:i/>
          <w:iCs/>
          <w:lang w:val="en-AU"/>
        </w:rPr>
        <w:t>Business Finance Review 2025 Q1</w:t>
      </w:r>
      <w:r w:rsidRPr="006E3055">
        <w:rPr>
          <w:lang w:val="en-AU"/>
        </w:rPr>
        <w:t>. UK Finance. https://www.ukfinance.org.uk/system/files/2025-06/Business%20Finance%20Review%202025%20Q1.pdf</w:t>
      </w:r>
      <w:r w:rsidRPr="006E3055">
        <w:t xml:space="preserve"> (Accessed: 11 July 2026).</w:t>
      </w:r>
    </w:p>
    <w:p w14:paraId="0DE729E2" w14:textId="77777777" w:rsidR="00A77462" w:rsidRDefault="00A77462" w:rsidP="00A77462">
      <w:pPr>
        <w:spacing w:line="256" w:lineRule="auto"/>
        <w:jc w:val="left"/>
        <w:rPr>
          <w:lang w:val="en-AU"/>
        </w:rPr>
      </w:pPr>
      <w:r w:rsidRPr="006E3055">
        <w:rPr>
          <w:lang w:val="en-AU"/>
        </w:rPr>
        <w:t xml:space="preserve">Vodafone Group plc (2025) </w:t>
      </w:r>
      <w:r w:rsidRPr="006E3055">
        <w:rPr>
          <w:i/>
          <w:iCs/>
          <w:lang w:val="en-AU"/>
        </w:rPr>
        <w:t>Annual Report 2025</w:t>
      </w:r>
      <w:r w:rsidRPr="006E3055">
        <w:rPr>
          <w:lang w:val="en-AU"/>
        </w:rPr>
        <w:t>. https://reports.investors.vodafone</w:t>
      </w:r>
      <w:r>
        <w:rPr>
          <w:lang w:val="en-AU"/>
        </w:rPr>
        <w:t>.com/</w:t>
      </w:r>
      <w:r w:rsidRPr="006E3055">
        <w:rPr>
          <w:lang w:val="en-AU"/>
        </w:rPr>
        <w:t>view/897876789/</w:t>
      </w:r>
      <w:r w:rsidRPr="006E3055">
        <w:t xml:space="preserve"> (Accessed: 11 July 2026).</w:t>
      </w:r>
    </w:p>
    <w:p w14:paraId="783E7394" w14:textId="77777777" w:rsidR="001C195C" w:rsidRDefault="001C195C">
      <w:pPr>
        <w:spacing w:after="0" w:line="240" w:lineRule="auto"/>
        <w:jc w:val="left"/>
        <w:rPr>
          <w:rFonts w:eastAsiaTheme="majorEastAsia" w:cstheme="majorBidi"/>
          <w:b/>
          <w:color w:val="0F4761" w:themeColor="accent1" w:themeShade="BF"/>
          <w:sz w:val="40"/>
          <w:szCs w:val="40"/>
          <w:u w:val="single"/>
          <w:lang w:val="en-AU"/>
        </w:rPr>
      </w:pPr>
      <w:r>
        <w:rPr>
          <w:lang w:val="en-AU"/>
        </w:rPr>
        <w:br w:type="page"/>
      </w:r>
    </w:p>
    <w:p w14:paraId="0EE4E29D" w14:textId="77777777" w:rsidR="00A77462" w:rsidRDefault="00A77462" w:rsidP="001C195C">
      <w:pPr>
        <w:pStyle w:val="Heading1"/>
        <w:numPr>
          <w:ilvl w:val="0"/>
          <w:numId w:val="9"/>
        </w:numPr>
        <w:rPr>
          <w:lang w:val="en-AU"/>
        </w:rPr>
      </w:pPr>
      <w:bookmarkStart w:id="22" w:name="_Toc236249790"/>
      <w:r>
        <w:rPr>
          <w:lang w:val="en-AU"/>
        </w:rPr>
        <w:lastRenderedPageBreak/>
        <w:t>Appendices</w:t>
      </w:r>
      <w:bookmarkEnd w:id="22"/>
    </w:p>
    <w:p w14:paraId="7DD65F99" w14:textId="77777777" w:rsidR="00A77462" w:rsidRPr="001C195C" w:rsidRDefault="001C195C" w:rsidP="001C195C">
      <w:pPr>
        <w:pStyle w:val="Heading2"/>
        <w:numPr>
          <w:ilvl w:val="1"/>
          <w:numId w:val="9"/>
        </w:numPr>
      </w:pPr>
      <w:bookmarkStart w:id="23" w:name="_Toc236249791"/>
      <w:r>
        <w:t>Appendix A</w:t>
      </w:r>
      <w:bookmarkEnd w:id="23"/>
    </w:p>
    <w:p w14:paraId="241E6420" w14:textId="77777777" w:rsidR="000F16A6" w:rsidRDefault="00FA2970">
      <w:pPr>
        <w:jc w:val="left"/>
      </w:pPr>
      <w:r>
        <w:rPr>
          <w:b/>
        </w:rPr>
        <w:t>Vodafone Group plc (2025) Annual Report 2025: https://reports.investors.vodafone.com/view/897876789/ (Accessed: 11 July 2026).</w:t>
      </w:r>
    </w:p>
    <w:p w14:paraId="3CF3D6B3" w14:textId="77777777" w:rsidR="00A77462" w:rsidRPr="001C195C" w:rsidRDefault="00A77462" w:rsidP="001C195C">
      <w:pPr>
        <w:pStyle w:val="Heading2"/>
        <w:numPr>
          <w:ilvl w:val="1"/>
          <w:numId w:val="9"/>
        </w:numPr>
      </w:pPr>
      <w:bookmarkStart w:id="24" w:name="_Toc236249792"/>
      <w:r w:rsidRPr="001C195C">
        <w:t>Appendix B: full ratio calculations</w:t>
      </w:r>
      <w:bookmarkEnd w:id="24"/>
    </w:p>
    <w:p w14:paraId="718057E8" w14:textId="77777777" w:rsidR="00A77462" w:rsidRDefault="00A77462" w:rsidP="001C195C">
      <w:pPr>
        <w:pStyle w:val="Heading3"/>
        <w:numPr>
          <w:ilvl w:val="2"/>
          <w:numId w:val="9"/>
        </w:numPr>
        <w:spacing w:before="200" w:after="0" w:line="259" w:lineRule="auto"/>
        <w:ind w:left="0" w:firstLine="0"/>
        <w:jc w:val="left"/>
        <w:rPr>
          <w:lang w:val="en-AU"/>
        </w:rPr>
      </w:pPr>
      <w:bookmarkStart w:id="25" w:name="_Toc236249793"/>
      <w:r>
        <w:rPr>
          <w:lang w:val="en-AU"/>
        </w:rPr>
        <w:t>Appendix B1: Source figures used</w:t>
      </w:r>
      <w:bookmarkEnd w:id="25"/>
    </w:p>
    <w:tbl>
      <w:tblPr>
        <w:tblStyle w:val="GridTable4-Accent11"/>
        <w:tblW w:w="9442" w:type="dxa"/>
        <w:tblLook w:val="04A0" w:firstRow="1" w:lastRow="0" w:firstColumn="1" w:lastColumn="0" w:noHBand="0" w:noVBand="1"/>
      </w:tblPr>
      <w:tblGrid>
        <w:gridCol w:w="6582"/>
        <w:gridCol w:w="1430"/>
        <w:gridCol w:w="1430"/>
      </w:tblGrid>
      <w:tr w:rsidR="00A77462" w14:paraId="713C7179" w14:textId="77777777" w:rsidTr="001C195C">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63B9590A" w14:textId="77777777" w:rsidR="00A77462" w:rsidRDefault="00A77462" w:rsidP="000C685B">
            <w:pPr>
              <w:spacing w:line="256" w:lineRule="auto"/>
              <w:jc w:val="left"/>
              <w:rPr>
                <w:lang w:val="en-AU" w:eastAsia="en-AU"/>
              </w:rPr>
            </w:pPr>
            <w:r>
              <w:rPr>
                <w:lang w:val="en-AU" w:eastAsia="en-AU"/>
              </w:rPr>
              <w:t>Figure</w:t>
            </w:r>
          </w:p>
        </w:tc>
        <w:tc>
          <w:tcPr>
            <w:tcW w:w="0" w:type="auto"/>
            <w:hideMark/>
          </w:tcPr>
          <w:p w14:paraId="5899B4EA"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lang w:val="en-AU" w:eastAsia="en-AU"/>
              </w:rPr>
            </w:pPr>
            <w:r>
              <w:rPr>
                <w:lang w:val="en-AU" w:eastAsia="en-AU"/>
              </w:rPr>
              <w:t>FY2025</w:t>
            </w:r>
          </w:p>
        </w:tc>
        <w:tc>
          <w:tcPr>
            <w:tcW w:w="0" w:type="auto"/>
            <w:hideMark/>
          </w:tcPr>
          <w:p w14:paraId="1BBE5E82"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lang w:val="en-AU" w:eastAsia="en-AU"/>
              </w:rPr>
            </w:pPr>
            <w:r>
              <w:rPr>
                <w:lang w:val="en-AU" w:eastAsia="en-AU"/>
              </w:rPr>
              <w:t>FY2024</w:t>
            </w:r>
          </w:p>
        </w:tc>
      </w:tr>
      <w:tr w:rsidR="00A77462" w14:paraId="76F9C320" w14:textId="77777777" w:rsidTr="001C195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6DA1D67" w14:textId="77777777" w:rsidR="00A77462" w:rsidRDefault="00A77462" w:rsidP="000C685B">
            <w:pPr>
              <w:spacing w:line="256" w:lineRule="auto"/>
              <w:rPr>
                <w:lang w:val="en-AU" w:eastAsia="en-AU"/>
              </w:rPr>
            </w:pPr>
            <w:r>
              <w:rPr>
                <w:lang w:val="en-AU" w:eastAsia="en-AU"/>
              </w:rPr>
              <w:t>Sales / revenue</w:t>
            </w:r>
          </w:p>
        </w:tc>
        <w:tc>
          <w:tcPr>
            <w:tcW w:w="0" w:type="auto"/>
            <w:hideMark/>
          </w:tcPr>
          <w:p w14:paraId="68A6C85D"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37,448</w:t>
            </w:r>
          </w:p>
        </w:tc>
        <w:tc>
          <w:tcPr>
            <w:tcW w:w="0" w:type="auto"/>
            <w:hideMark/>
          </w:tcPr>
          <w:p w14:paraId="616190B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36,717</w:t>
            </w:r>
          </w:p>
        </w:tc>
      </w:tr>
      <w:tr w:rsidR="00A77462" w14:paraId="4C8A1C4D"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66BF8C1F" w14:textId="77777777" w:rsidR="00A77462" w:rsidRDefault="00A77462" w:rsidP="000C685B">
            <w:pPr>
              <w:spacing w:line="256" w:lineRule="auto"/>
              <w:rPr>
                <w:lang w:val="en-AU" w:eastAsia="en-AU"/>
              </w:rPr>
            </w:pPr>
            <w:r>
              <w:rPr>
                <w:lang w:val="en-AU" w:eastAsia="en-AU"/>
              </w:rPr>
              <w:t>Cost of sales / COGS</w:t>
            </w:r>
          </w:p>
        </w:tc>
        <w:tc>
          <w:tcPr>
            <w:tcW w:w="0" w:type="auto"/>
            <w:hideMark/>
          </w:tcPr>
          <w:p w14:paraId="5D6F77DF"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24,929</w:t>
            </w:r>
          </w:p>
        </w:tc>
        <w:tc>
          <w:tcPr>
            <w:tcW w:w="0" w:type="auto"/>
            <w:hideMark/>
          </w:tcPr>
          <w:p w14:paraId="1856947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24,459</w:t>
            </w:r>
          </w:p>
        </w:tc>
      </w:tr>
      <w:tr w:rsidR="00A77462" w14:paraId="715A4918" w14:textId="77777777" w:rsidTr="001C195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96CA0F8" w14:textId="77777777" w:rsidR="00A77462" w:rsidRDefault="00A77462" w:rsidP="000C685B">
            <w:pPr>
              <w:spacing w:line="256" w:lineRule="auto"/>
              <w:rPr>
                <w:lang w:val="en-AU" w:eastAsia="en-AU"/>
              </w:rPr>
            </w:pPr>
            <w:r>
              <w:rPr>
                <w:lang w:val="en-AU" w:eastAsia="en-AU"/>
              </w:rPr>
              <w:t>Gross profit</w:t>
            </w:r>
          </w:p>
        </w:tc>
        <w:tc>
          <w:tcPr>
            <w:tcW w:w="0" w:type="auto"/>
            <w:hideMark/>
          </w:tcPr>
          <w:p w14:paraId="0768329F"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12,519</w:t>
            </w:r>
          </w:p>
        </w:tc>
        <w:tc>
          <w:tcPr>
            <w:tcW w:w="0" w:type="auto"/>
            <w:hideMark/>
          </w:tcPr>
          <w:p w14:paraId="436AC026"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12,258</w:t>
            </w:r>
          </w:p>
        </w:tc>
      </w:tr>
      <w:tr w:rsidR="00A77462" w14:paraId="5D3ED8DC"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2FB30F03" w14:textId="77777777" w:rsidR="00A77462" w:rsidRDefault="00A77462" w:rsidP="000C685B">
            <w:pPr>
              <w:spacing w:line="256" w:lineRule="auto"/>
              <w:rPr>
                <w:lang w:val="en-AU" w:eastAsia="en-AU"/>
              </w:rPr>
            </w:pPr>
            <w:r>
              <w:rPr>
                <w:lang w:val="en-AU" w:eastAsia="en-AU"/>
              </w:rPr>
              <w:t>Operating profit / loss</w:t>
            </w:r>
          </w:p>
        </w:tc>
        <w:tc>
          <w:tcPr>
            <w:tcW w:w="0" w:type="auto"/>
            <w:hideMark/>
          </w:tcPr>
          <w:p w14:paraId="0353B22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-411</w:t>
            </w:r>
          </w:p>
        </w:tc>
        <w:tc>
          <w:tcPr>
            <w:tcW w:w="0" w:type="auto"/>
            <w:hideMark/>
          </w:tcPr>
          <w:p w14:paraId="3CE5F6EE"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3,665</w:t>
            </w:r>
          </w:p>
        </w:tc>
      </w:tr>
      <w:tr w:rsidR="00A77462" w14:paraId="67323851"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4F125CF1" w14:textId="77777777" w:rsidR="00A77462" w:rsidRDefault="00A77462" w:rsidP="000C685B">
            <w:pPr>
              <w:spacing w:line="256" w:lineRule="auto"/>
              <w:rPr>
                <w:lang w:val="en-AU" w:eastAsia="en-AU"/>
              </w:rPr>
            </w:pPr>
            <w:r>
              <w:rPr>
                <w:lang w:val="en-AU" w:eastAsia="en-AU"/>
              </w:rPr>
              <w:t>Finance costs / interest</w:t>
            </w:r>
          </w:p>
        </w:tc>
        <w:tc>
          <w:tcPr>
            <w:tcW w:w="0" w:type="auto"/>
            <w:hideMark/>
          </w:tcPr>
          <w:p w14:paraId="0E846E6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1,931</w:t>
            </w:r>
          </w:p>
        </w:tc>
        <w:tc>
          <w:tcPr>
            <w:tcW w:w="0" w:type="auto"/>
            <w:hideMark/>
          </w:tcPr>
          <w:p w14:paraId="098C51FE"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2,626</w:t>
            </w:r>
          </w:p>
        </w:tc>
      </w:tr>
      <w:tr w:rsidR="00A77462" w14:paraId="276053B8" w14:textId="77777777" w:rsidTr="001C195C">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CA75A5D" w14:textId="77777777" w:rsidR="00A77462" w:rsidRDefault="00A77462" w:rsidP="000C685B">
            <w:pPr>
              <w:spacing w:line="256" w:lineRule="auto"/>
              <w:rPr>
                <w:lang w:val="en-AU" w:eastAsia="en-AU"/>
              </w:rPr>
            </w:pPr>
            <w:r>
              <w:rPr>
                <w:lang w:val="en-AU" w:eastAsia="en-AU"/>
              </w:rPr>
              <w:t>Profit/loss attributable to owners</w:t>
            </w:r>
          </w:p>
        </w:tc>
        <w:tc>
          <w:tcPr>
            <w:tcW w:w="0" w:type="auto"/>
            <w:hideMark/>
          </w:tcPr>
          <w:p w14:paraId="0B425A96"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-4,169</w:t>
            </w:r>
          </w:p>
        </w:tc>
        <w:tc>
          <w:tcPr>
            <w:tcW w:w="0" w:type="auto"/>
            <w:hideMark/>
          </w:tcPr>
          <w:p w14:paraId="0B99D3D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1,140</w:t>
            </w:r>
          </w:p>
        </w:tc>
      </w:tr>
      <w:tr w:rsidR="00A77462" w14:paraId="7D2416C0"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35787C4E" w14:textId="77777777" w:rsidR="00A77462" w:rsidRDefault="00A77462" w:rsidP="000C685B">
            <w:pPr>
              <w:spacing w:line="256" w:lineRule="auto"/>
              <w:rPr>
                <w:lang w:val="en-AU" w:eastAsia="en-AU"/>
              </w:rPr>
            </w:pPr>
            <w:r>
              <w:rPr>
                <w:lang w:val="en-AU" w:eastAsia="en-AU"/>
              </w:rPr>
              <w:t>Weighted average ordinary shares, millions</w:t>
            </w:r>
          </w:p>
        </w:tc>
        <w:tc>
          <w:tcPr>
            <w:tcW w:w="0" w:type="auto"/>
            <w:hideMark/>
          </w:tcPr>
          <w:p w14:paraId="6A459A9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26,149</w:t>
            </w:r>
          </w:p>
        </w:tc>
        <w:tc>
          <w:tcPr>
            <w:tcW w:w="0" w:type="auto"/>
            <w:hideMark/>
          </w:tcPr>
          <w:p w14:paraId="0B48A665"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27,056</w:t>
            </w:r>
          </w:p>
        </w:tc>
      </w:tr>
      <w:tr w:rsidR="00A77462" w14:paraId="4415D597"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6C89CE71" w14:textId="77777777" w:rsidR="00A77462" w:rsidRDefault="00A77462" w:rsidP="000C685B">
            <w:pPr>
              <w:spacing w:line="256" w:lineRule="auto"/>
              <w:rPr>
                <w:lang w:val="en-AU" w:eastAsia="en-AU"/>
              </w:rPr>
            </w:pPr>
            <w:r>
              <w:rPr>
                <w:lang w:val="en-AU" w:eastAsia="en-AU"/>
              </w:rPr>
              <w:t>Dividends declared</w:t>
            </w:r>
          </w:p>
        </w:tc>
        <w:tc>
          <w:tcPr>
            <w:tcW w:w="0" w:type="auto"/>
            <w:hideMark/>
          </w:tcPr>
          <w:p w14:paraId="7DC1A747"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1,795</w:t>
            </w:r>
          </w:p>
        </w:tc>
        <w:tc>
          <w:tcPr>
            <w:tcW w:w="0" w:type="auto"/>
            <w:hideMark/>
          </w:tcPr>
          <w:p w14:paraId="093B5418"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2,433</w:t>
            </w:r>
          </w:p>
        </w:tc>
      </w:tr>
      <w:tr w:rsidR="00A77462" w14:paraId="2963F816"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14AFD687" w14:textId="77777777" w:rsidR="00A77462" w:rsidRDefault="00A77462" w:rsidP="000C685B">
            <w:pPr>
              <w:spacing w:line="256" w:lineRule="auto"/>
              <w:rPr>
                <w:lang w:val="en-AU" w:eastAsia="en-AU"/>
              </w:rPr>
            </w:pPr>
            <w:r>
              <w:rPr>
                <w:lang w:val="en-AU" w:eastAsia="en-AU"/>
              </w:rPr>
              <w:t>Current assets, continuing basis</w:t>
            </w:r>
          </w:p>
        </w:tc>
        <w:tc>
          <w:tcPr>
            <w:tcW w:w="0" w:type="auto"/>
            <w:hideMark/>
          </w:tcPr>
          <w:p w14:paraId="38C5B64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28,620</w:t>
            </w:r>
          </w:p>
        </w:tc>
        <w:tc>
          <w:tcPr>
            <w:tcW w:w="0" w:type="auto"/>
            <w:hideMark/>
          </w:tcPr>
          <w:p w14:paraId="13EDEB2E"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20,513</w:t>
            </w:r>
          </w:p>
        </w:tc>
      </w:tr>
      <w:tr w:rsidR="00A77462" w14:paraId="70F2652E" w14:textId="77777777" w:rsidTr="001C195C">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B313C8E" w14:textId="77777777" w:rsidR="00A77462" w:rsidRDefault="00A77462" w:rsidP="000C685B">
            <w:pPr>
              <w:spacing w:line="256" w:lineRule="auto"/>
              <w:rPr>
                <w:lang w:val="en-AU" w:eastAsia="en-AU"/>
              </w:rPr>
            </w:pPr>
            <w:r>
              <w:rPr>
                <w:lang w:val="en-AU" w:eastAsia="en-AU"/>
              </w:rPr>
              <w:t>Inventory / stock</w:t>
            </w:r>
          </w:p>
        </w:tc>
        <w:tc>
          <w:tcPr>
            <w:tcW w:w="0" w:type="auto"/>
            <w:hideMark/>
          </w:tcPr>
          <w:p w14:paraId="2AED0840"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617</w:t>
            </w:r>
          </w:p>
        </w:tc>
        <w:tc>
          <w:tcPr>
            <w:tcW w:w="0" w:type="auto"/>
            <w:hideMark/>
          </w:tcPr>
          <w:p w14:paraId="6262520B"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568</w:t>
            </w:r>
          </w:p>
        </w:tc>
      </w:tr>
      <w:tr w:rsidR="00A77462" w14:paraId="69312BFB"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1E209936" w14:textId="77777777" w:rsidR="00A77462" w:rsidRDefault="00A77462" w:rsidP="000C685B">
            <w:pPr>
              <w:spacing w:line="256" w:lineRule="auto"/>
              <w:rPr>
                <w:lang w:val="en-AU" w:eastAsia="en-AU"/>
              </w:rPr>
            </w:pPr>
            <w:r>
              <w:rPr>
                <w:lang w:val="en-AU" w:eastAsia="en-AU"/>
              </w:rPr>
              <w:t>Current liabilities, continuing basis</w:t>
            </w:r>
          </w:p>
        </w:tc>
        <w:tc>
          <w:tcPr>
            <w:tcW w:w="0" w:type="auto"/>
            <w:hideMark/>
          </w:tcPr>
          <w:p w14:paraId="63A27E10"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22,754</w:t>
            </w:r>
          </w:p>
        </w:tc>
        <w:tc>
          <w:tcPr>
            <w:tcW w:w="0" w:type="auto"/>
            <w:hideMark/>
          </w:tcPr>
          <w:p w14:paraId="6BCB16A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22,352</w:t>
            </w:r>
          </w:p>
        </w:tc>
      </w:tr>
      <w:tr w:rsidR="00A77462" w14:paraId="34F278A7"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1E712D41" w14:textId="77777777" w:rsidR="00A77462" w:rsidRDefault="00A77462" w:rsidP="000C685B">
            <w:pPr>
              <w:spacing w:line="256" w:lineRule="auto"/>
              <w:rPr>
                <w:lang w:val="en-AU" w:eastAsia="en-AU"/>
              </w:rPr>
            </w:pPr>
            <w:r>
              <w:rPr>
                <w:lang w:val="en-AU" w:eastAsia="en-AU"/>
              </w:rPr>
              <w:t>Total assets, continuing basis</w:t>
            </w:r>
          </w:p>
        </w:tc>
        <w:tc>
          <w:tcPr>
            <w:tcW w:w="0" w:type="auto"/>
            <w:hideMark/>
          </w:tcPr>
          <w:p w14:paraId="76E1CDC2"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128,521</w:t>
            </w:r>
          </w:p>
        </w:tc>
        <w:tc>
          <w:tcPr>
            <w:tcW w:w="0" w:type="auto"/>
            <w:hideMark/>
          </w:tcPr>
          <w:p w14:paraId="4F9F7FB1"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125,303</w:t>
            </w:r>
          </w:p>
        </w:tc>
      </w:tr>
      <w:tr w:rsidR="00A77462" w14:paraId="239F136E" w14:textId="77777777" w:rsidTr="001C195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50B5FDB" w14:textId="77777777" w:rsidR="00A77462" w:rsidRDefault="00A77462" w:rsidP="000C685B">
            <w:pPr>
              <w:spacing w:line="256" w:lineRule="auto"/>
              <w:rPr>
                <w:lang w:val="en-AU" w:eastAsia="en-AU"/>
              </w:rPr>
            </w:pPr>
            <w:r>
              <w:rPr>
                <w:lang w:val="en-AU" w:eastAsia="en-AU"/>
              </w:rPr>
              <w:t>Debtors</w:t>
            </w:r>
          </w:p>
        </w:tc>
        <w:tc>
          <w:tcPr>
            <w:tcW w:w="0" w:type="auto"/>
            <w:hideMark/>
          </w:tcPr>
          <w:p w14:paraId="30692F7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3,657</w:t>
            </w:r>
          </w:p>
        </w:tc>
        <w:tc>
          <w:tcPr>
            <w:tcW w:w="0" w:type="auto"/>
            <w:hideMark/>
          </w:tcPr>
          <w:p w14:paraId="4E4E0EEA"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3,282</w:t>
            </w:r>
          </w:p>
        </w:tc>
      </w:tr>
      <w:tr w:rsidR="00A77462" w14:paraId="79EBF25E" w14:textId="77777777" w:rsidTr="001C195C">
        <w:trPr>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28B9366F" w14:textId="77777777" w:rsidR="00A77462" w:rsidRDefault="00A77462" w:rsidP="000C685B">
            <w:pPr>
              <w:spacing w:line="256" w:lineRule="auto"/>
              <w:rPr>
                <w:lang w:val="en-AU" w:eastAsia="en-AU"/>
              </w:rPr>
            </w:pPr>
            <w:r>
              <w:rPr>
                <w:lang w:val="en-AU" w:eastAsia="en-AU"/>
              </w:rPr>
              <w:t>Creditors</w:t>
            </w:r>
          </w:p>
        </w:tc>
        <w:tc>
          <w:tcPr>
            <w:tcW w:w="0" w:type="auto"/>
            <w:hideMark/>
          </w:tcPr>
          <w:p w14:paraId="646A0123"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6,157</w:t>
            </w:r>
          </w:p>
        </w:tc>
        <w:tc>
          <w:tcPr>
            <w:tcW w:w="0" w:type="auto"/>
            <w:hideMark/>
          </w:tcPr>
          <w:p w14:paraId="51BA7A20"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5,613</w:t>
            </w:r>
          </w:p>
        </w:tc>
      </w:tr>
      <w:tr w:rsidR="00A77462" w14:paraId="06C0B67D" w14:textId="77777777" w:rsidTr="001C195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0" w:type="auto"/>
            <w:hideMark/>
          </w:tcPr>
          <w:p w14:paraId="6BBDEAB2" w14:textId="77777777" w:rsidR="00A77462" w:rsidRDefault="00A77462" w:rsidP="000C685B">
            <w:pPr>
              <w:spacing w:line="256" w:lineRule="auto"/>
              <w:rPr>
                <w:lang w:val="en-AU" w:eastAsia="en-AU"/>
              </w:rPr>
            </w:pPr>
            <w:r>
              <w:rPr>
                <w:lang w:val="en-AU" w:eastAsia="en-AU"/>
              </w:rPr>
              <w:t>Borrowings</w:t>
            </w:r>
          </w:p>
        </w:tc>
        <w:tc>
          <w:tcPr>
            <w:tcW w:w="0" w:type="auto"/>
            <w:hideMark/>
          </w:tcPr>
          <w:p w14:paraId="6FE193E4"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53,143</w:t>
            </w:r>
          </w:p>
        </w:tc>
        <w:tc>
          <w:tcPr>
            <w:tcW w:w="0" w:type="auto"/>
            <w:hideMark/>
          </w:tcPr>
          <w:p w14:paraId="3BF37AF4"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56,987</w:t>
            </w:r>
          </w:p>
        </w:tc>
      </w:tr>
      <w:tr w:rsidR="00A77462" w14:paraId="72205E98" w14:textId="77777777" w:rsidTr="001C195C">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A2596B4" w14:textId="77777777" w:rsidR="00A77462" w:rsidRDefault="00A77462" w:rsidP="000C685B">
            <w:pPr>
              <w:spacing w:line="256" w:lineRule="auto"/>
              <w:rPr>
                <w:lang w:val="en-AU" w:eastAsia="en-AU"/>
              </w:rPr>
            </w:pPr>
            <w:r>
              <w:rPr>
                <w:lang w:val="en-AU" w:eastAsia="en-AU"/>
              </w:rPr>
              <w:t>Net assets / total equity</w:t>
            </w:r>
          </w:p>
        </w:tc>
        <w:tc>
          <w:tcPr>
            <w:tcW w:w="0" w:type="auto"/>
            <w:hideMark/>
          </w:tcPr>
          <w:p w14:paraId="7F134131"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53,916</w:t>
            </w:r>
          </w:p>
        </w:tc>
        <w:tc>
          <w:tcPr>
            <w:tcW w:w="0" w:type="auto"/>
            <w:hideMark/>
          </w:tcPr>
          <w:p w14:paraId="20B8F1C9"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60,998</w:t>
            </w:r>
          </w:p>
        </w:tc>
      </w:tr>
    </w:tbl>
    <w:p w14:paraId="5ED9DE5C" w14:textId="77777777" w:rsidR="00A77462" w:rsidRDefault="00A77462" w:rsidP="00A77462">
      <w:pPr>
        <w:spacing w:line="256" w:lineRule="auto"/>
        <w:jc w:val="left"/>
        <w:rPr>
          <w:lang w:val="en-AU"/>
        </w:rPr>
      </w:pPr>
      <w:r>
        <w:rPr>
          <w:lang w:val="en-AU"/>
        </w:rPr>
        <w:t xml:space="preserve"> </w:t>
      </w:r>
    </w:p>
    <w:p w14:paraId="6734540C" w14:textId="77777777" w:rsidR="00A77462" w:rsidRPr="001C195C" w:rsidRDefault="00A77462" w:rsidP="001C195C">
      <w:pPr>
        <w:pStyle w:val="ListParagraph"/>
        <w:numPr>
          <w:ilvl w:val="0"/>
          <w:numId w:val="15"/>
        </w:numPr>
        <w:spacing w:line="256" w:lineRule="auto"/>
        <w:jc w:val="left"/>
        <w:rPr>
          <w:lang w:val="en-AU"/>
        </w:rPr>
      </w:pPr>
      <w:r w:rsidRPr="001C195C">
        <w:rPr>
          <w:lang w:val="en-AU"/>
        </w:rPr>
        <w:t>FY2024 continuing total assets</w:t>
      </w:r>
      <w:r w:rsidRPr="001C195C">
        <w:rPr>
          <w:lang w:val="en-AU"/>
        </w:rPr>
        <w:br/>
        <w:t>= Reported total assets – assets held for sale</w:t>
      </w:r>
      <w:r w:rsidRPr="001C195C">
        <w:rPr>
          <w:lang w:val="en-AU"/>
        </w:rPr>
        <w:br/>
      </w:r>
      <w:r w:rsidRPr="001C195C">
        <w:rPr>
          <w:lang w:val="en-AU"/>
        </w:rPr>
        <w:lastRenderedPageBreak/>
        <w:t>= 144,350 – 19,047</w:t>
      </w:r>
      <w:r w:rsidRPr="001C195C">
        <w:rPr>
          <w:lang w:val="en-AU"/>
        </w:rPr>
        <w:br/>
        <w:t>= 125,303</w:t>
      </w:r>
    </w:p>
    <w:p w14:paraId="5D894E63" w14:textId="77777777" w:rsidR="00A77462" w:rsidRPr="001C195C" w:rsidRDefault="00A77462" w:rsidP="001C195C">
      <w:pPr>
        <w:pStyle w:val="ListParagraph"/>
        <w:numPr>
          <w:ilvl w:val="0"/>
          <w:numId w:val="15"/>
        </w:numPr>
        <w:spacing w:line="256" w:lineRule="auto"/>
        <w:jc w:val="left"/>
        <w:rPr>
          <w:lang w:val="en-AU"/>
        </w:rPr>
      </w:pPr>
      <w:r w:rsidRPr="001C195C">
        <w:rPr>
          <w:lang w:val="en-AU"/>
        </w:rPr>
        <w:t>FY2025 TALCL</w:t>
      </w:r>
      <w:r w:rsidRPr="001C195C">
        <w:rPr>
          <w:lang w:val="en-AU"/>
        </w:rPr>
        <w:br/>
        <w:t>= Total assets – current liabilities</w:t>
      </w:r>
      <w:r w:rsidRPr="001C195C">
        <w:rPr>
          <w:lang w:val="en-AU"/>
        </w:rPr>
        <w:br/>
        <w:t>= 128,521 – 22,754</w:t>
      </w:r>
      <w:r w:rsidRPr="001C195C">
        <w:rPr>
          <w:lang w:val="en-AU"/>
        </w:rPr>
        <w:br/>
        <w:t>= 105,767</w:t>
      </w:r>
    </w:p>
    <w:p w14:paraId="779119BB" w14:textId="77777777" w:rsidR="00A77462" w:rsidRPr="001C195C" w:rsidRDefault="00A77462" w:rsidP="001C195C">
      <w:pPr>
        <w:pStyle w:val="ListParagraph"/>
        <w:numPr>
          <w:ilvl w:val="0"/>
          <w:numId w:val="15"/>
        </w:numPr>
        <w:spacing w:line="256" w:lineRule="auto"/>
        <w:jc w:val="left"/>
        <w:rPr>
          <w:lang w:val="en-AU"/>
        </w:rPr>
      </w:pPr>
      <w:r w:rsidRPr="001C195C">
        <w:rPr>
          <w:lang w:val="en-AU"/>
        </w:rPr>
        <w:t>FY2024 TALCL</w:t>
      </w:r>
      <w:r w:rsidRPr="001C195C">
        <w:rPr>
          <w:lang w:val="en-AU"/>
        </w:rPr>
        <w:br/>
        <w:t>= Continuing total assets – current liabilities</w:t>
      </w:r>
      <w:r w:rsidRPr="001C195C">
        <w:rPr>
          <w:lang w:val="en-AU"/>
        </w:rPr>
        <w:br/>
        <w:t>= 125,303 – 22,352</w:t>
      </w:r>
      <w:r w:rsidRPr="001C195C">
        <w:rPr>
          <w:lang w:val="en-AU"/>
        </w:rPr>
        <w:br/>
        <w:t>= 102,951</w:t>
      </w:r>
    </w:p>
    <w:p w14:paraId="14951F1C" w14:textId="77777777" w:rsidR="00A77462" w:rsidRPr="001C195C" w:rsidRDefault="00A77462" w:rsidP="001C195C">
      <w:pPr>
        <w:pStyle w:val="ListParagraph"/>
        <w:numPr>
          <w:ilvl w:val="0"/>
          <w:numId w:val="15"/>
        </w:numPr>
        <w:spacing w:line="256" w:lineRule="auto"/>
        <w:jc w:val="left"/>
        <w:rPr>
          <w:lang w:val="en-AU"/>
        </w:rPr>
      </w:pPr>
      <w:r w:rsidRPr="001C195C">
        <w:rPr>
          <w:lang w:val="en-AU"/>
        </w:rPr>
        <w:t>FY2025 debtors</w:t>
      </w:r>
      <w:r w:rsidRPr="001C195C">
        <w:rPr>
          <w:lang w:val="en-AU"/>
        </w:rPr>
        <w:br/>
        <w:t>= Current trade receivables + current trade receivables held at FVOCI</w:t>
      </w:r>
      <w:r w:rsidRPr="001C195C">
        <w:rPr>
          <w:lang w:val="en-AU"/>
        </w:rPr>
        <w:br/>
        <w:t>= 3,236 + 421</w:t>
      </w:r>
      <w:r w:rsidRPr="001C195C">
        <w:rPr>
          <w:lang w:val="en-AU"/>
        </w:rPr>
        <w:br/>
        <w:t>= 3,657</w:t>
      </w:r>
    </w:p>
    <w:p w14:paraId="37D73889" w14:textId="77777777" w:rsidR="00A77462" w:rsidRPr="001C195C" w:rsidRDefault="00A77462" w:rsidP="001C195C">
      <w:pPr>
        <w:pStyle w:val="ListParagraph"/>
        <w:numPr>
          <w:ilvl w:val="0"/>
          <w:numId w:val="15"/>
        </w:numPr>
        <w:spacing w:line="256" w:lineRule="auto"/>
        <w:jc w:val="left"/>
        <w:rPr>
          <w:lang w:val="en-AU"/>
        </w:rPr>
      </w:pPr>
      <w:r w:rsidRPr="001C195C">
        <w:rPr>
          <w:lang w:val="en-AU"/>
        </w:rPr>
        <w:t>FY2024 debtors</w:t>
      </w:r>
      <w:r w:rsidRPr="001C195C">
        <w:rPr>
          <w:lang w:val="en-AU"/>
        </w:rPr>
        <w:br/>
        <w:t>= 2,841 + 441</w:t>
      </w:r>
      <w:r w:rsidRPr="001C195C">
        <w:rPr>
          <w:lang w:val="en-AU"/>
        </w:rPr>
        <w:br/>
        <w:t>= 3,282</w:t>
      </w:r>
    </w:p>
    <w:p w14:paraId="56A09E8F" w14:textId="77777777" w:rsidR="00A77462" w:rsidRPr="001C195C" w:rsidRDefault="00A77462" w:rsidP="001C195C">
      <w:pPr>
        <w:pStyle w:val="Heading3"/>
        <w:numPr>
          <w:ilvl w:val="2"/>
          <w:numId w:val="9"/>
        </w:numPr>
      </w:pPr>
      <w:bookmarkStart w:id="26" w:name="_Toc236249794"/>
      <w:r w:rsidRPr="001C195C">
        <w:t>Appendix B2: profitability ratios</w:t>
      </w:r>
      <w:bookmarkEnd w:id="26"/>
    </w:p>
    <w:p w14:paraId="6AEFB607" w14:textId="77777777" w:rsidR="00A77462" w:rsidRDefault="00A77462" w:rsidP="00A77462">
      <w:pPr>
        <w:spacing w:line="256" w:lineRule="auto"/>
        <w:jc w:val="left"/>
        <w:rPr>
          <w:b/>
          <w:bCs/>
          <w:lang w:val="en-AU"/>
        </w:rPr>
      </w:pPr>
      <w:r>
        <w:rPr>
          <w:b/>
          <w:bCs/>
          <w:lang w:val="en-AU"/>
        </w:rPr>
        <w:t>1. Gross profit margin</w:t>
      </w:r>
    </w:p>
    <w:p w14:paraId="092721D5" w14:textId="77777777" w:rsidR="00A77462" w:rsidRDefault="00A77462" w:rsidP="00A77462">
      <w:pPr>
        <w:spacing w:line="256" w:lineRule="auto"/>
        <w:jc w:val="left"/>
        <w:rPr>
          <w:lang w:val="en-AU"/>
        </w:rPr>
      </w:pPr>
      <w:r>
        <w:rPr>
          <w:lang w:val="en-AU"/>
        </w:rPr>
        <w:t>Formula:</w:t>
      </w:r>
      <w:r>
        <w:rPr>
          <w:lang w:val="en-AU"/>
        </w:rPr>
        <w:br/>
        <w:t>Gross profit margin = Gross profit / Sales × 100</w:t>
      </w:r>
    </w:p>
    <w:p w14:paraId="3D49A273" w14:textId="77777777" w:rsidR="00A77462" w:rsidRPr="001C195C" w:rsidRDefault="00A77462" w:rsidP="001C195C">
      <w:pPr>
        <w:pStyle w:val="ListParagraph"/>
        <w:numPr>
          <w:ilvl w:val="0"/>
          <w:numId w:val="16"/>
        </w:numPr>
        <w:spacing w:line="256" w:lineRule="auto"/>
        <w:jc w:val="left"/>
        <w:rPr>
          <w:lang w:val="en-AU"/>
        </w:rPr>
      </w:pPr>
      <w:r w:rsidRPr="001C195C">
        <w:rPr>
          <w:lang w:val="en-AU"/>
        </w:rPr>
        <w:t>FY2025:</w:t>
      </w:r>
      <w:r w:rsidRPr="001C195C">
        <w:rPr>
          <w:lang w:val="en-AU"/>
        </w:rPr>
        <w:br/>
        <w:t>= 12,519 / 37,448 × 100</w:t>
      </w:r>
      <w:r w:rsidRPr="001C195C">
        <w:rPr>
          <w:lang w:val="en-AU"/>
        </w:rPr>
        <w:br/>
        <w:t>= 33.43%</w:t>
      </w:r>
    </w:p>
    <w:p w14:paraId="4CE9E6D9" w14:textId="77777777" w:rsidR="00A77462" w:rsidRPr="001C195C" w:rsidRDefault="00A77462" w:rsidP="001C195C">
      <w:pPr>
        <w:pStyle w:val="ListParagraph"/>
        <w:numPr>
          <w:ilvl w:val="0"/>
          <w:numId w:val="16"/>
        </w:numPr>
        <w:spacing w:line="256" w:lineRule="auto"/>
        <w:jc w:val="left"/>
        <w:rPr>
          <w:lang w:val="en-AU"/>
        </w:rPr>
      </w:pPr>
      <w:r w:rsidRPr="001C195C">
        <w:rPr>
          <w:lang w:val="en-AU"/>
        </w:rPr>
        <w:t>FY2024:</w:t>
      </w:r>
      <w:r w:rsidRPr="001C195C">
        <w:rPr>
          <w:lang w:val="en-AU"/>
        </w:rPr>
        <w:br/>
        <w:t>= 12,258 / 36,717 × 100</w:t>
      </w:r>
      <w:r w:rsidRPr="001C195C">
        <w:rPr>
          <w:lang w:val="en-AU"/>
        </w:rPr>
        <w:br/>
        <w:t>= 33.39%</w:t>
      </w:r>
    </w:p>
    <w:p w14:paraId="444A0134" w14:textId="77777777" w:rsidR="00A77462" w:rsidRDefault="00A77462" w:rsidP="00A77462">
      <w:pPr>
        <w:spacing w:line="256" w:lineRule="auto"/>
        <w:jc w:val="left"/>
        <w:rPr>
          <w:b/>
          <w:bCs/>
          <w:lang w:val="en-AU"/>
        </w:rPr>
      </w:pPr>
      <w:r>
        <w:rPr>
          <w:b/>
          <w:bCs/>
          <w:lang w:val="en-AU"/>
        </w:rPr>
        <w:t>2. Operating profit margin</w:t>
      </w:r>
    </w:p>
    <w:p w14:paraId="661CF0B8" w14:textId="77777777" w:rsidR="00A77462" w:rsidRDefault="00A77462" w:rsidP="00A77462">
      <w:pPr>
        <w:spacing w:line="256" w:lineRule="auto"/>
        <w:jc w:val="left"/>
        <w:rPr>
          <w:lang w:val="en-AU"/>
        </w:rPr>
      </w:pPr>
      <w:r>
        <w:rPr>
          <w:b/>
          <w:lang w:val="en-AU"/>
        </w:rPr>
        <w:t>Formula</w:t>
      </w:r>
      <w:r>
        <w:rPr>
          <w:lang w:val="en-AU"/>
        </w:rPr>
        <w:t>:</w:t>
      </w:r>
      <w:r>
        <w:rPr>
          <w:lang w:val="en-AU"/>
        </w:rPr>
        <w:br/>
        <w:t>Operating profit margin = Operating profit / Sales × 100</w:t>
      </w:r>
    </w:p>
    <w:p w14:paraId="7F4BB1F5" w14:textId="77777777" w:rsidR="00A77462" w:rsidRPr="001C195C" w:rsidRDefault="00A77462" w:rsidP="001C195C">
      <w:pPr>
        <w:pStyle w:val="ListParagraph"/>
        <w:numPr>
          <w:ilvl w:val="0"/>
          <w:numId w:val="17"/>
        </w:numPr>
        <w:spacing w:line="256" w:lineRule="auto"/>
        <w:jc w:val="left"/>
        <w:rPr>
          <w:lang w:val="en-AU"/>
        </w:rPr>
      </w:pPr>
      <w:r w:rsidRPr="001C195C">
        <w:rPr>
          <w:lang w:val="en-AU"/>
        </w:rPr>
        <w:t>FY2025:</w:t>
      </w:r>
      <w:r w:rsidRPr="001C195C">
        <w:rPr>
          <w:lang w:val="en-AU"/>
        </w:rPr>
        <w:br/>
        <w:t>= -411 / 37,448 × 100</w:t>
      </w:r>
      <w:r w:rsidRPr="001C195C">
        <w:rPr>
          <w:lang w:val="en-AU"/>
        </w:rPr>
        <w:br/>
        <w:t>= -1.10%</w:t>
      </w:r>
    </w:p>
    <w:p w14:paraId="15F71285" w14:textId="77777777" w:rsidR="00A77462" w:rsidRPr="001C195C" w:rsidRDefault="00A77462" w:rsidP="001C195C">
      <w:pPr>
        <w:pStyle w:val="ListParagraph"/>
        <w:numPr>
          <w:ilvl w:val="0"/>
          <w:numId w:val="17"/>
        </w:numPr>
        <w:spacing w:line="256" w:lineRule="auto"/>
        <w:jc w:val="left"/>
        <w:rPr>
          <w:lang w:val="en-AU"/>
        </w:rPr>
      </w:pPr>
      <w:r w:rsidRPr="001C195C">
        <w:rPr>
          <w:lang w:val="en-AU"/>
        </w:rPr>
        <w:t>FY2024:</w:t>
      </w:r>
      <w:r w:rsidRPr="001C195C">
        <w:rPr>
          <w:lang w:val="en-AU"/>
        </w:rPr>
        <w:br/>
        <w:t>= 3,665 / 36,717 × 100</w:t>
      </w:r>
      <w:r w:rsidRPr="001C195C">
        <w:rPr>
          <w:lang w:val="en-AU"/>
        </w:rPr>
        <w:br/>
        <w:t>= 9.98%</w:t>
      </w:r>
    </w:p>
    <w:p w14:paraId="428E3E60" w14:textId="77777777" w:rsidR="00A77462" w:rsidRDefault="00A77462" w:rsidP="00A77462">
      <w:pPr>
        <w:spacing w:line="256" w:lineRule="auto"/>
        <w:jc w:val="left"/>
        <w:rPr>
          <w:b/>
          <w:bCs/>
          <w:lang w:val="en-AU"/>
        </w:rPr>
      </w:pPr>
      <w:r>
        <w:rPr>
          <w:b/>
          <w:bCs/>
          <w:lang w:val="en-AU"/>
        </w:rPr>
        <w:t>3. Return on capital employed</w:t>
      </w:r>
    </w:p>
    <w:p w14:paraId="65FBBC58" w14:textId="77777777" w:rsidR="00A77462" w:rsidRPr="001C195C" w:rsidRDefault="00A77462" w:rsidP="001C195C">
      <w:pPr>
        <w:pStyle w:val="ListParagraph"/>
        <w:numPr>
          <w:ilvl w:val="0"/>
          <w:numId w:val="18"/>
        </w:numPr>
        <w:spacing w:line="256" w:lineRule="auto"/>
        <w:jc w:val="left"/>
        <w:rPr>
          <w:lang w:val="en-AU"/>
        </w:rPr>
      </w:pPr>
      <w:r w:rsidRPr="001C195C">
        <w:rPr>
          <w:lang w:val="en-AU"/>
        </w:rPr>
        <w:lastRenderedPageBreak/>
        <w:t>Formula:</w:t>
      </w:r>
      <w:r w:rsidRPr="001C195C">
        <w:rPr>
          <w:lang w:val="en-AU"/>
        </w:rPr>
        <w:br/>
        <w:t>ROCE = Operating profit / TALCL × 100</w:t>
      </w:r>
    </w:p>
    <w:p w14:paraId="05756326" w14:textId="77777777" w:rsidR="00A77462" w:rsidRPr="001C195C" w:rsidRDefault="00A77462" w:rsidP="001C195C">
      <w:pPr>
        <w:pStyle w:val="ListParagraph"/>
        <w:numPr>
          <w:ilvl w:val="0"/>
          <w:numId w:val="18"/>
        </w:numPr>
        <w:spacing w:line="256" w:lineRule="auto"/>
        <w:jc w:val="left"/>
        <w:rPr>
          <w:lang w:val="en-AU"/>
        </w:rPr>
      </w:pPr>
      <w:r w:rsidRPr="001C195C">
        <w:rPr>
          <w:lang w:val="en-AU"/>
        </w:rPr>
        <w:t>FY2025:</w:t>
      </w:r>
      <w:r w:rsidRPr="001C195C">
        <w:rPr>
          <w:lang w:val="en-AU"/>
        </w:rPr>
        <w:br/>
        <w:t>= -411 / 105,767 × 100</w:t>
      </w:r>
      <w:r w:rsidRPr="001C195C">
        <w:rPr>
          <w:lang w:val="en-AU"/>
        </w:rPr>
        <w:br/>
        <w:t>= -0.39%</w:t>
      </w:r>
    </w:p>
    <w:p w14:paraId="036960DB" w14:textId="77777777" w:rsidR="00A77462" w:rsidRPr="001C195C" w:rsidRDefault="00A77462" w:rsidP="001C195C">
      <w:pPr>
        <w:pStyle w:val="ListParagraph"/>
        <w:numPr>
          <w:ilvl w:val="0"/>
          <w:numId w:val="18"/>
        </w:numPr>
        <w:spacing w:line="256" w:lineRule="auto"/>
        <w:jc w:val="left"/>
        <w:rPr>
          <w:lang w:val="en-AU"/>
        </w:rPr>
      </w:pPr>
      <w:r w:rsidRPr="001C195C">
        <w:rPr>
          <w:lang w:val="en-AU"/>
        </w:rPr>
        <w:t>FY2024:</w:t>
      </w:r>
      <w:r w:rsidRPr="001C195C">
        <w:rPr>
          <w:lang w:val="en-AU"/>
        </w:rPr>
        <w:br/>
        <w:t>= 3,665 / 102,951 × 100</w:t>
      </w:r>
      <w:r w:rsidRPr="001C195C">
        <w:rPr>
          <w:lang w:val="en-AU"/>
        </w:rPr>
        <w:br/>
        <w:t>= 3.56%</w:t>
      </w:r>
    </w:p>
    <w:p w14:paraId="7CB55FF0" w14:textId="77777777" w:rsidR="00A77462" w:rsidRDefault="00A77462" w:rsidP="001C195C">
      <w:pPr>
        <w:pStyle w:val="Heading3"/>
        <w:numPr>
          <w:ilvl w:val="2"/>
          <w:numId w:val="9"/>
        </w:numPr>
        <w:spacing w:before="200" w:after="0" w:line="259" w:lineRule="auto"/>
        <w:ind w:left="0" w:firstLine="0"/>
        <w:jc w:val="left"/>
        <w:rPr>
          <w:lang w:val="en-AU"/>
        </w:rPr>
      </w:pPr>
      <w:bookmarkStart w:id="27" w:name="_Toc236249795"/>
      <w:r>
        <w:rPr>
          <w:lang w:val="en-AU"/>
        </w:rPr>
        <w:t>Appendix B3: efficiency ratios</w:t>
      </w:r>
      <w:bookmarkEnd w:id="27"/>
    </w:p>
    <w:p w14:paraId="552E64BC" w14:textId="77777777" w:rsidR="00A77462" w:rsidRDefault="00A77462" w:rsidP="001C195C">
      <w:pPr>
        <w:spacing w:line="256" w:lineRule="auto"/>
        <w:jc w:val="center"/>
        <w:rPr>
          <w:b/>
          <w:bCs/>
          <w:lang w:val="en-AU"/>
        </w:rPr>
      </w:pPr>
      <w:r>
        <w:rPr>
          <w:b/>
          <w:bCs/>
          <w:lang w:val="en-AU"/>
        </w:rPr>
        <w:t>Asset turnover</w:t>
      </w:r>
    </w:p>
    <w:p w14:paraId="6FDB6586" w14:textId="77777777" w:rsidR="00A77462" w:rsidRPr="001C195C" w:rsidRDefault="00A77462" w:rsidP="001C195C">
      <w:pPr>
        <w:pStyle w:val="ListParagraph"/>
        <w:numPr>
          <w:ilvl w:val="0"/>
          <w:numId w:val="19"/>
        </w:numPr>
        <w:spacing w:line="256" w:lineRule="auto"/>
        <w:jc w:val="left"/>
        <w:rPr>
          <w:lang w:val="en-AU"/>
        </w:rPr>
      </w:pPr>
      <w:r w:rsidRPr="001C195C">
        <w:rPr>
          <w:lang w:val="en-AU"/>
        </w:rPr>
        <w:t>Formula:</w:t>
      </w:r>
      <w:r w:rsidRPr="001C195C">
        <w:rPr>
          <w:lang w:val="en-AU"/>
        </w:rPr>
        <w:br/>
        <w:t>Asset turnover = Sales / TALCL</w:t>
      </w:r>
    </w:p>
    <w:p w14:paraId="4ED2AEBB" w14:textId="77777777" w:rsidR="00A77462" w:rsidRPr="001C195C" w:rsidRDefault="00A77462" w:rsidP="001C195C">
      <w:pPr>
        <w:pStyle w:val="ListParagraph"/>
        <w:numPr>
          <w:ilvl w:val="0"/>
          <w:numId w:val="19"/>
        </w:numPr>
        <w:spacing w:line="256" w:lineRule="auto"/>
        <w:jc w:val="left"/>
        <w:rPr>
          <w:lang w:val="en-AU"/>
        </w:rPr>
      </w:pPr>
      <w:r w:rsidRPr="001C195C">
        <w:rPr>
          <w:lang w:val="en-AU"/>
        </w:rPr>
        <w:t>FY2025:</w:t>
      </w:r>
      <w:r w:rsidRPr="001C195C">
        <w:rPr>
          <w:lang w:val="en-AU"/>
        </w:rPr>
        <w:br/>
        <w:t>= 37,448 / 105,767</w:t>
      </w:r>
      <w:r w:rsidRPr="001C195C">
        <w:rPr>
          <w:lang w:val="en-AU"/>
        </w:rPr>
        <w:br/>
        <w:t>= 0.35 times</w:t>
      </w:r>
    </w:p>
    <w:p w14:paraId="038608E4" w14:textId="77777777" w:rsidR="00A77462" w:rsidRPr="001C195C" w:rsidRDefault="00A77462" w:rsidP="001C195C">
      <w:pPr>
        <w:pStyle w:val="ListParagraph"/>
        <w:numPr>
          <w:ilvl w:val="0"/>
          <w:numId w:val="19"/>
        </w:numPr>
        <w:spacing w:line="256" w:lineRule="auto"/>
        <w:jc w:val="left"/>
        <w:rPr>
          <w:lang w:val="en-AU"/>
        </w:rPr>
      </w:pPr>
      <w:r w:rsidRPr="001C195C">
        <w:rPr>
          <w:lang w:val="en-AU"/>
        </w:rPr>
        <w:t>FY2024:</w:t>
      </w:r>
      <w:r w:rsidRPr="001C195C">
        <w:rPr>
          <w:lang w:val="en-AU"/>
        </w:rPr>
        <w:br/>
        <w:t>= 36,717 / 102,951</w:t>
      </w:r>
      <w:r w:rsidRPr="001C195C">
        <w:rPr>
          <w:lang w:val="en-AU"/>
        </w:rPr>
        <w:br/>
        <w:t>= 0.36 times</w:t>
      </w:r>
    </w:p>
    <w:p w14:paraId="480FB4D8" w14:textId="77777777" w:rsidR="00A77462" w:rsidRDefault="00A77462" w:rsidP="001C195C">
      <w:pPr>
        <w:spacing w:line="256" w:lineRule="auto"/>
        <w:jc w:val="center"/>
        <w:rPr>
          <w:b/>
          <w:bCs/>
          <w:lang w:val="en-AU"/>
        </w:rPr>
      </w:pPr>
      <w:r>
        <w:rPr>
          <w:b/>
          <w:bCs/>
          <w:lang w:val="en-AU"/>
        </w:rPr>
        <w:t>Debtor days</w:t>
      </w:r>
    </w:p>
    <w:p w14:paraId="1D99AE25" w14:textId="77777777" w:rsidR="00A77462" w:rsidRPr="001C195C" w:rsidRDefault="00A77462" w:rsidP="001C195C">
      <w:pPr>
        <w:pStyle w:val="ListParagraph"/>
        <w:numPr>
          <w:ilvl w:val="0"/>
          <w:numId w:val="20"/>
        </w:numPr>
        <w:spacing w:line="256" w:lineRule="auto"/>
        <w:jc w:val="left"/>
        <w:rPr>
          <w:lang w:val="en-AU"/>
        </w:rPr>
      </w:pPr>
      <w:r w:rsidRPr="001C195C">
        <w:rPr>
          <w:lang w:val="en-AU"/>
        </w:rPr>
        <w:t>Formula:</w:t>
      </w:r>
      <w:r w:rsidRPr="001C195C">
        <w:rPr>
          <w:lang w:val="en-AU"/>
        </w:rPr>
        <w:br/>
      </w:r>
      <w:r>
        <w:rPr>
          <w:b/>
          <w:lang w:val="en-AU"/>
        </w:rPr>
        <w:t>Debtor days =</w:t>
      </w:r>
      <w:r>
        <w:rPr>
          <w:lang w:val="en-AU"/>
        </w:rPr>
        <w:t xml:space="preserve"> Debtors / Sales × 365</w:t>
      </w:r>
    </w:p>
    <w:p w14:paraId="2BBA7598" w14:textId="77777777" w:rsidR="00A77462" w:rsidRPr="001C195C" w:rsidRDefault="00A77462" w:rsidP="001C195C">
      <w:pPr>
        <w:pStyle w:val="ListParagraph"/>
        <w:numPr>
          <w:ilvl w:val="0"/>
          <w:numId w:val="20"/>
        </w:numPr>
        <w:spacing w:line="256" w:lineRule="auto"/>
        <w:jc w:val="left"/>
        <w:rPr>
          <w:lang w:val="en-AU"/>
        </w:rPr>
      </w:pPr>
      <w:r w:rsidRPr="001C195C">
        <w:rPr>
          <w:lang w:val="en-AU"/>
        </w:rPr>
        <w:t>FY2025:</w:t>
      </w:r>
      <w:r w:rsidRPr="001C195C">
        <w:rPr>
          <w:lang w:val="en-AU"/>
        </w:rPr>
        <w:br/>
        <w:t>= 3,657 / 37,448 × 365</w:t>
      </w:r>
      <w:r w:rsidRPr="001C195C">
        <w:rPr>
          <w:lang w:val="en-AU"/>
        </w:rPr>
        <w:br/>
        <w:t>= 35.64 days</w:t>
      </w:r>
    </w:p>
    <w:p w14:paraId="2B3E0BE1" w14:textId="77777777" w:rsidR="00A77462" w:rsidRPr="001C195C" w:rsidRDefault="00A77462" w:rsidP="001C195C">
      <w:pPr>
        <w:pStyle w:val="ListParagraph"/>
        <w:numPr>
          <w:ilvl w:val="0"/>
          <w:numId w:val="20"/>
        </w:numPr>
        <w:spacing w:line="256" w:lineRule="auto"/>
        <w:jc w:val="left"/>
        <w:rPr>
          <w:lang w:val="en-AU"/>
        </w:rPr>
      </w:pPr>
      <w:r w:rsidRPr="001C195C">
        <w:rPr>
          <w:lang w:val="en-AU"/>
        </w:rPr>
        <w:t>FY2024:</w:t>
      </w:r>
      <w:r w:rsidRPr="001C195C">
        <w:rPr>
          <w:lang w:val="en-AU"/>
        </w:rPr>
        <w:br/>
        <w:t>= 3,282 / 36,717 × 365</w:t>
      </w:r>
      <w:r w:rsidRPr="001C195C">
        <w:rPr>
          <w:lang w:val="en-AU"/>
        </w:rPr>
        <w:br/>
        <w:t>= 32.63 days</w:t>
      </w:r>
    </w:p>
    <w:p w14:paraId="065A9168" w14:textId="77777777" w:rsidR="00A77462" w:rsidRDefault="00A77462" w:rsidP="001C195C">
      <w:pPr>
        <w:spacing w:line="256" w:lineRule="auto"/>
        <w:jc w:val="center"/>
        <w:rPr>
          <w:b/>
          <w:bCs/>
          <w:lang w:val="en-AU"/>
        </w:rPr>
      </w:pPr>
      <w:r>
        <w:rPr>
          <w:b/>
          <w:bCs/>
          <w:lang w:val="en-AU"/>
        </w:rPr>
        <w:t>Creditor days</w:t>
      </w:r>
    </w:p>
    <w:p w14:paraId="5B88EE03" w14:textId="77777777" w:rsidR="00A77462" w:rsidRPr="001C195C" w:rsidRDefault="00A77462" w:rsidP="001C195C">
      <w:pPr>
        <w:pStyle w:val="ListParagraph"/>
        <w:numPr>
          <w:ilvl w:val="0"/>
          <w:numId w:val="21"/>
        </w:numPr>
        <w:spacing w:line="256" w:lineRule="auto"/>
        <w:jc w:val="left"/>
        <w:rPr>
          <w:lang w:val="en-AU"/>
        </w:rPr>
      </w:pPr>
      <w:r w:rsidRPr="001C195C">
        <w:rPr>
          <w:lang w:val="en-AU"/>
        </w:rPr>
        <w:t>Formula:</w:t>
      </w:r>
      <w:r w:rsidRPr="001C195C">
        <w:rPr>
          <w:lang w:val="en-AU"/>
        </w:rPr>
        <w:br/>
        <w:t>Creditor days = Creditors / COGS × 365</w:t>
      </w:r>
    </w:p>
    <w:p w14:paraId="2F1FE1E0" w14:textId="77777777" w:rsidR="00A77462" w:rsidRPr="001C195C" w:rsidRDefault="00A77462" w:rsidP="001C195C">
      <w:pPr>
        <w:pStyle w:val="ListParagraph"/>
        <w:numPr>
          <w:ilvl w:val="0"/>
          <w:numId w:val="21"/>
        </w:numPr>
        <w:spacing w:line="256" w:lineRule="auto"/>
        <w:jc w:val="left"/>
        <w:rPr>
          <w:lang w:val="en-AU"/>
        </w:rPr>
      </w:pPr>
      <w:r w:rsidRPr="001C195C">
        <w:rPr>
          <w:lang w:val="en-AU"/>
        </w:rPr>
        <w:t>FY2025:</w:t>
      </w:r>
      <w:r w:rsidRPr="001C195C">
        <w:rPr>
          <w:lang w:val="en-AU"/>
        </w:rPr>
        <w:br/>
        <w:t>= 6,157 / 24,929 × 365</w:t>
      </w:r>
      <w:r w:rsidRPr="001C195C">
        <w:rPr>
          <w:lang w:val="en-AU"/>
        </w:rPr>
        <w:br/>
        <w:t>= 90.15 days</w:t>
      </w:r>
    </w:p>
    <w:p w14:paraId="752920B8" w14:textId="77777777" w:rsidR="00A77462" w:rsidRPr="001C195C" w:rsidRDefault="00A77462" w:rsidP="001C195C">
      <w:pPr>
        <w:pStyle w:val="ListParagraph"/>
        <w:numPr>
          <w:ilvl w:val="0"/>
          <w:numId w:val="21"/>
        </w:numPr>
        <w:spacing w:line="256" w:lineRule="auto"/>
        <w:jc w:val="left"/>
        <w:rPr>
          <w:lang w:val="en-AU"/>
        </w:rPr>
      </w:pPr>
      <w:r w:rsidRPr="001C195C">
        <w:rPr>
          <w:lang w:val="en-AU"/>
        </w:rPr>
        <w:t>FY2024:</w:t>
      </w:r>
      <w:r w:rsidRPr="001C195C">
        <w:rPr>
          <w:lang w:val="en-AU"/>
        </w:rPr>
        <w:br/>
        <w:t>= 5,613 / 24,459 × 365</w:t>
      </w:r>
      <w:r w:rsidRPr="001C195C">
        <w:rPr>
          <w:lang w:val="en-AU"/>
        </w:rPr>
        <w:br/>
        <w:t>= 83.76 days</w:t>
      </w:r>
    </w:p>
    <w:p w14:paraId="45D92496" w14:textId="77777777" w:rsidR="00A77462" w:rsidRDefault="00A77462" w:rsidP="001C195C">
      <w:pPr>
        <w:spacing w:line="256" w:lineRule="auto"/>
        <w:jc w:val="center"/>
        <w:rPr>
          <w:b/>
          <w:bCs/>
          <w:lang w:val="en-AU"/>
        </w:rPr>
      </w:pPr>
      <w:r>
        <w:rPr>
          <w:b/>
          <w:bCs/>
          <w:lang w:val="en-AU"/>
        </w:rPr>
        <w:t>Stock days</w:t>
      </w:r>
    </w:p>
    <w:p w14:paraId="365D5E24" w14:textId="77777777" w:rsidR="00A77462" w:rsidRPr="001C195C" w:rsidRDefault="00A77462" w:rsidP="001C195C">
      <w:pPr>
        <w:pStyle w:val="ListParagraph"/>
        <w:numPr>
          <w:ilvl w:val="0"/>
          <w:numId w:val="22"/>
        </w:numPr>
        <w:spacing w:line="256" w:lineRule="auto"/>
        <w:jc w:val="left"/>
        <w:rPr>
          <w:lang w:val="en-AU"/>
        </w:rPr>
      </w:pPr>
      <w:r w:rsidRPr="001C195C">
        <w:rPr>
          <w:lang w:val="en-AU"/>
        </w:rPr>
        <w:lastRenderedPageBreak/>
        <w:t>Formula:</w:t>
      </w:r>
      <w:r w:rsidRPr="001C195C">
        <w:rPr>
          <w:lang w:val="en-AU"/>
        </w:rPr>
        <w:br/>
        <w:t>Stock days = Stock / COGS × 365</w:t>
      </w:r>
    </w:p>
    <w:p w14:paraId="36F16824" w14:textId="77777777" w:rsidR="00A77462" w:rsidRPr="001C195C" w:rsidRDefault="00A77462" w:rsidP="001C195C">
      <w:pPr>
        <w:pStyle w:val="ListParagraph"/>
        <w:numPr>
          <w:ilvl w:val="0"/>
          <w:numId w:val="22"/>
        </w:numPr>
        <w:spacing w:line="256" w:lineRule="auto"/>
        <w:jc w:val="left"/>
        <w:rPr>
          <w:lang w:val="en-AU"/>
        </w:rPr>
      </w:pPr>
      <w:r w:rsidRPr="001C195C">
        <w:rPr>
          <w:lang w:val="en-AU"/>
        </w:rPr>
        <w:t>FY2025:</w:t>
      </w:r>
      <w:r w:rsidRPr="001C195C">
        <w:rPr>
          <w:lang w:val="en-AU"/>
        </w:rPr>
        <w:br/>
        <w:t>= 617 / 24,929 × 365</w:t>
      </w:r>
      <w:r w:rsidRPr="001C195C">
        <w:rPr>
          <w:lang w:val="en-AU"/>
        </w:rPr>
        <w:br/>
        <w:t>= 9.03 days</w:t>
      </w:r>
    </w:p>
    <w:p w14:paraId="6634F77B" w14:textId="77777777" w:rsidR="00A77462" w:rsidRPr="001C195C" w:rsidRDefault="00A77462" w:rsidP="001C195C">
      <w:pPr>
        <w:pStyle w:val="ListParagraph"/>
        <w:numPr>
          <w:ilvl w:val="0"/>
          <w:numId w:val="22"/>
        </w:numPr>
        <w:spacing w:line="256" w:lineRule="auto"/>
        <w:jc w:val="left"/>
        <w:rPr>
          <w:lang w:val="en-AU"/>
        </w:rPr>
      </w:pPr>
      <w:r w:rsidRPr="001C195C">
        <w:rPr>
          <w:lang w:val="en-AU"/>
        </w:rPr>
        <w:t>FY2024:</w:t>
      </w:r>
      <w:r w:rsidRPr="001C195C">
        <w:rPr>
          <w:lang w:val="en-AU"/>
        </w:rPr>
        <w:br/>
        <w:t>= 568 / 24,459 × 365</w:t>
      </w:r>
      <w:r w:rsidRPr="001C195C">
        <w:rPr>
          <w:lang w:val="en-AU"/>
        </w:rPr>
        <w:br/>
        <w:t>= 8.48 days</w:t>
      </w:r>
    </w:p>
    <w:p w14:paraId="190711B0" w14:textId="77777777" w:rsidR="00A77462" w:rsidRDefault="00A77462" w:rsidP="001C195C">
      <w:pPr>
        <w:spacing w:line="256" w:lineRule="auto"/>
        <w:jc w:val="center"/>
        <w:rPr>
          <w:b/>
          <w:bCs/>
          <w:lang w:val="en-AU"/>
        </w:rPr>
      </w:pPr>
      <w:r>
        <w:rPr>
          <w:b/>
          <w:bCs/>
          <w:lang w:val="en-AU"/>
        </w:rPr>
        <w:t>Stock turnover</w:t>
      </w:r>
    </w:p>
    <w:p w14:paraId="3F3E44E9" w14:textId="77777777" w:rsidR="00A77462" w:rsidRPr="001C195C" w:rsidRDefault="00A77462" w:rsidP="001C195C">
      <w:pPr>
        <w:pStyle w:val="ListParagraph"/>
        <w:numPr>
          <w:ilvl w:val="0"/>
          <w:numId w:val="23"/>
        </w:numPr>
        <w:spacing w:line="256" w:lineRule="auto"/>
        <w:jc w:val="left"/>
        <w:rPr>
          <w:lang w:val="en-AU"/>
        </w:rPr>
      </w:pPr>
      <w:r w:rsidRPr="001C195C">
        <w:rPr>
          <w:lang w:val="en-AU"/>
        </w:rPr>
        <w:t>Formula:</w:t>
      </w:r>
      <w:r w:rsidRPr="001C195C">
        <w:rPr>
          <w:lang w:val="en-AU"/>
        </w:rPr>
        <w:br/>
        <w:t>Stock turnover = COGS / Stock</w:t>
      </w:r>
    </w:p>
    <w:p w14:paraId="52E66C6B" w14:textId="77777777" w:rsidR="00A77462" w:rsidRPr="001C195C" w:rsidRDefault="00A77462" w:rsidP="001C195C">
      <w:pPr>
        <w:pStyle w:val="ListParagraph"/>
        <w:numPr>
          <w:ilvl w:val="0"/>
          <w:numId w:val="23"/>
        </w:numPr>
        <w:spacing w:line="256" w:lineRule="auto"/>
        <w:jc w:val="left"/>
        <w:rPr>
          <w:lang w:val="en-AU"/>
        </w:rPr>
      </w:pPr>
      <w:r w:rsidRPr="001C195C">
        <w:rPr>
          <w:lang w:val="en-AU"/>
        </w:rPr>
        <w:t>FY2025:</w:t>
      </w:r>
      <w:r w:rsidRPr="001C195C">
        <w:rPr>
          <w:lang w:val="en-AU"/>
        </w:rPr>
        <w:br/>
        <w:t>= 24,929 / 617</w:t>
      </w:r>
      <w:r w:rsidRPr="001C195C">
        <w:rPr>
          <w:lang w:val="en-AU"/>
        </w:rPr>
        <w:br/>
        <w:t>= 40.40 times</w:t>
      </w:r>
    </w:p>
    <w:p w14:paraId="6CDA338A" w14:textId="77777777" w:rsidR="00A77462" w:rsidRPr="001C195C" w:rsidRDefault="00A77462" w:rsidP="001C195C">
      <w:pPr>
        <w:pStyle w:val="ListParagraph"/>
        <w:numPr>
          <w:ilvl w:val="0"/>
          <w:numId w:val="23"/>
        </w:numPr>
        <w:spacing w:line="256" w:lineRule="auto"/>
        <w:jc w:val="left"/>
        <w:rPr>
          <w:lang w:val="en-AU"/>
        </w:rPr>
      </w:pPr>
      <w:r w:rsidRPr="001C195C">
        <w:rPr>
          <w:lang w:val="en-AU"/>
        </w:rPr>
        <w:t>FY2024:</w:t>
      </w:r>
      <w:r w:rsidRPr="001C195C">
        <w:rPr>
          <w:lang w:val="en-AU"/>
        </w:rPr>
        <w:br/>
        <w:t>= 24,459 / 568</w:t>
      </w:r>
      <w:r w:rsidRPr="001C195C">
        <w:rPr>
          <w:lang w:val="en-AU"/>
        </w:rPr>
        <w:br/>
        <w:t>= 43.06 times</w:t>
      </w:r>
    </w:p>
    <w:p w14:paraId="09F819D7" w14:textId="77777777" w:rsidR="00A77462" w:rsidRDefault="00A77462" w:rsidP="001C195C">
      <w:pPr>
        <w:pStyle w:val="Heading3"/>
        <w:numPr>
          <w:ilvl w:val="2"/>
          <w:numId w:val="9"/>
        </w:numPr>
        <w:spacing w:before="200" w:after="0" w:line="259" w:lineRule="auto"/>
        <w:ind w:left="0" w:firstLine="0"/>
        <w:jc w:val="left"/>
        <w:rPr>
          <w:lang w:val="en-AU"/>
        </w:rPr>
      </w:pPr>
      <w:bookmarkStart w:id="28" w:name="_Toc236249796"/>
      <w:r>
        <w:rPr>
          <w:lang w:val="en-AU"/>
        </w:rPr>
        <w:t>Appendix B4: liquidity ratios</w:t>
      </w:r>
      <w:bookmarkEnd w:id="28"/>
    </w:p>
    <w:p w14:paraId="0E040561" w14:textId="77777777" w:rsidR="00A77462" w:rsidRDefault="00A77462" w:rsidP="001C195C">
      <w:pPr>
        <w:spacing w:line="256" w:lineRule="auto"/>
        <w:jc w:val="center"/>
        <w:rPr>
          <w:b/>
          <w:bCs/>
          <w:lang w:val="en-AU"/>
        </w:rPr>
      </w:pPr>
      <w:r>
        <w:rPr>
          <w:b/>
          <w:bCs/>
          <w:lang w:val="en-AU"/>
        </w:rPr>
        <w:t>Current ratio</w:t>
      </w:r>
    </w:p>
    <w:p w14:paraId="4B4F1D86" w14:textId="77777777" w:rsidR="00A77462" w:rsidRPr="001C195C" w:rsidRDefault="00A77462" w:rsidP="001C195C">
      <w:pPr>
        <w:pStyle w:val="ListParagraph"/>
        <w:numPr>
          <w:ilvl w:val="0"/>
          <w:numId w:val="24"/>
        </w:numPr>
        <w:spacing w:line="256" w:lineRule="auto"/>
        <w:jc w:val="left"/>
        <w:rPr>
          <w:lang w:val="en-AU"/>
        </w:rPr>
      </w:pPr>
      <w:r w:rsidRPr="001C195C">
        <w:rPr>
          <w:lang w:val="en-AU"/>
        </w:rPr>
        <w:t>Formula:</w:t>
      </w:r>
      <w:r w:rsidRPr="001C195C">
        <w:rPr>
          <w:lang w:val="en-AU"/>
        </w:rPr>
        <w:br/>
        <w:t>Current ratio = Current assets / Current liabilities</w:t>
      </w:r>
    </w:p>
    <w:p w14:paraId="352C7BDE" w14:textId="77777777" w:rsidR="00A77462" w:rsidRPr="001C195C" w:rsidRDefault="00A77462" w:rsidP="001C195C">
      <w:pPr>
        <w:pStyle w:val="ListParagraph"/>
        <w:numPr>
          <w:ilvl w:val="0"/>
          <w:numId w:val="24"/>
        </w:numPr>
        <w:spacing w:line="256" w:lineRule="auto"/>
        <w:jc w:val="left"/>
        <w:rPr>
          <w:lang w:val="en-AU"/>
        </w:rPr>
      </w:pPr>
      <w:r w:rsidRPr="001C195C">
        <w:rPr>
          <w:lang w:val="en-AU"/>
        </w:rPr>
        <w:t>FY2025:</w:t>
      </w:r>
      <w:r w:rsidRPr="001C195C">
        <w:rPr>
          <w:lang w:val="en-AU"/>
        </w:rPr>
        <w:br/>
        <w:t>= 28,620 / 22,754</w:t>
      </w:r>
      <w:r w:rsidRPr="001C195C">
        <w:rPr>
          <w:lang w:val="en-AU"/>
        </w:rPr>
        <w:br/>
        <w:t>= 1.26 times</w:t>
      </w:r>
    </w:p>
    <w:p w14:paraId="0698B37E" w14:textId="77777777" w:rsidR="00A77462" w:rsidRPr="001C195C" w:rsidRDefault="00A77462" w:rsidP="001C195C">
      <w:pPr>
        <w:pStyle w:val="ListParagraph"/>
        <w:numPr>
          <w:ilvl w:val="0"/>
          <w:numId w:val="24"/>
        </w:numPr>
        <w:spacing w:line="256" w:lineRule="auto"/>
        <w:jc w:val="left"/>
        <w:rPr>
          <w:lang w:val="en-AU"/>
        </w:rPr>
      </w:pPr>
      <w:r w:rsidRPr="001C195C">
        <w:rPr>
          <w:lang w:val="en-AU"/>
        </w:rPr>
        <w:t>FY2024:</w:t>
      </w:r>
      <w:r w:rsidRPr="001C195C">
        <w:rPr>
          <w:lang w:val="en-AU"/>
        </w:rPr>
        <w:br/>
        <w:t>= 20,513 / 22,352</w:t>
      </w:r>
      <w:r w:rsidRPr="001C195C">
        <w:rPr>
          <w:lang w:val="en-AU"/>
        </w:rPr>
        <w:br/>
        <w:t>= 0.92 times</w:t>
      </w:r>
    </w:p>
    <w:p w14:paraId="2B2A92F6" w14:textId="77777777" w:rsidR="00A77462" w:rsidRDefault="00A77462" w:rsidP="001C195C">
      <w:pPr>
        <w:spacing w:line="256" w:lineRule="auto"/>
        <w:jc w:val="center"/>
        <w:rPr>
          <w:b/>
          <w:bCs/>
          <w:lang w:val="en-AU"/>
        </w:rPr>
      </w:pPr>
      <w:r>
        <w:rPr>
          <w:b/>
          <w:bCs/>
          <w:lang w:val="en-AU"/>
        </w:rPr>
        <w:t>Quick ratio</w:t>
      </w:r>
    </w:p>
    <w:p w14:paraId="1B54A4F6" w14:textId="77777777" w:rsidR="00A77462" w:rsidRPr="001C195C" w:rsidRDefault="00A77462" w:rsidP="001C195C">
      <w:pPr>
        <w:pStyle w:val="ListParagraph"/>
        <w:numPr>
          <w:ilvl w:val="0"/>
          <w:numId w:val="25"/>
        </w:numPr>
        <w:spacing w:line="256" w:lineRule="auto"/>
        <w:jc w:val="left"/>
        <w:rPr>
          <w:lang w:val="en-AU"/>
        </w:rPr>
      </w:pPr>
      <w:r w:rsidRPr="001C195C">
        <w:rPr>
          <w:lang w:val="en-AU"/>
        </w:rPr>
        <w:t>Formula:</w:t>
      </w:r>
      <w:r w:rsidRPr="001C195C">
        <w:rPr>
          <w:lang w:val="en-AU"/>
        </w:rPr>
        <w:br/>
        <w:t>Quick ratio = Current assets – Stock / Current liabilities</w:t>
      </w:r>
    </w:p>
    <w:p w14:paraId="194930AF" w14:textId="77777777" w:rsidR="00A77462" w:rsidRPr="001C195C" w:rsidRDefault="00A77462" w:rsidP="001C195C">
      <w:pPr>
        <w:pStyle w:val="ListParagraph"/>
        <w:numPr>
          <w:ilvl w:val="0"/>
          <w:numId w:val="25"/>
        </w:numPr>
        <w:spacing w:line="256" w:lineRule="auto"/>
        <w:jc w:val="left"/>
        <w:rPr>
          <w:lang w:val="en-AU"/>
        </w:rPr>
      </w:pPr>
      <w:r w:rsidRPr="001C195C">
        <w:rPr>
          <w:lang w:val="en-AU"/>
        </w:rPr>
        <w:t>FY2025:</w:t>
      </w:r>
      <w:r w:rsidRPr="001C195C">
        <w:rPr>
          <w:lang w:val="en-AU"/>
        </w:rPr>
        <w:br/>
        <w:t>= (28,620 – 617) / 22,754</w:t>
      </w:r>
      <w:r w:rsidRPr="001C195C">
        <w:rPr>
          <w:lang w:val="en-AU"/>
        </w:rPr>
        <w:br/>
        <w:t>= 28,003 / 22,754</w:t>
      </w:r>
      <w:r w:rsidRPr="001C195C">
        <w:rPr>
          <w:lang w:val="en-AU"/>
        </w:rPr>
        <w:br/>
        <w:t>= 1.23 times</w:t>
      </w:r>
    </w:p>
    <w:p w14:paraId="27DD6FB5" w14:textId="77777777" w:rsidR="00A77462" w:rsidRPr="001C195C" w:rsidRDefault="00A77462" w:rsidP="001C195C">
      <w:pPr>
        <w:pStyle w:val="ListParagraph"/>
        <w:numPr>
          <w:ilvl w:val="0"/>
          <w:numId w:val="25"/>
        </w:numPr>
        <w:spacing w:line="256" w:lineRule="auto"/>
        <w:jc w:val="left"/>
        <w:rPr>
          <w:lang w:val="en-AU"/>
        </w:rPr>
      </w:pPr>
      <w:r w:rsidRPr="001C195C">
        <w:rPr>
          <w:lang w:val="en-AU"/>
        </w:rPr>
        <w:t>FY2024:</w:t>
      </w:r>
      <w:r w:rsidRPr="001C195C">
        <w:rPr>
          <w:lang w:val="en-AU"/>
        </w:rPr>
        <w:br/>
        <w:t>= (20,513 – 568) / 22,352</w:t>
      </w:r>
      <w:r w:rsidRPr="001C195C">
        <w:rPr>
          <w:lang w:val="en-AU"/>
        </w:rPr>
        <w:br/>
        <w:t>= 19,945 / 22,352</w:t>
      </w:r>
      <w:r w:rsidRPr="001C195C">
        <w:rPr>
          <w:lang w:val="en-AU"/>
        </w:rPr>
        <w:br/>
        <w:t>= 0.89 times</w:t>
      </w:r>
    </w:p>
    <w:p w14:paraId="75134D30" w14:textId="77777777" w:rsidR="00A77462" w:rsidRPr="001C195C" w:rsidRDefault="00A77462" w:rsidP="001C195C">
      <w:pPr>
        <w:pStyle w:val="ListParagraph"/>
        <w:numPr>
          <w:ilvl w:val="0"/>
          <w:numId w:val="25"/>
        </w:numPr>
        <w:spacing w:line="256" w:lineRule="auto"/>
        <w:jc w:val="left"/>
        <w:rPr>
          <w:lang w:val="en-AU"/>
        </w:rPr>
      </w:pPr>
      <w:r w:rsidRPr="001C195C">
        <w:rPr>
          <w:lang w:val="en-AU"/>
        </w:rPr>
        <w:lastRenderedPageBreak/>
        <w:t>FY2024 current ratio including held-for-sale items:</w:t>
      </w:r>
      <w:r w:rsidRPr="001C195C">
        <w:rPr>
          <w:lang w:val="en-AU"/>
        </w:rPr>
        <w:br/>
        <w:t>= (20,513 + 19,047) / (22,352 + 6,918)</w:t>
      </w:r>
      <w:r w:rsidRPr="001C195C">
        <w:rPr>
          <w:lang w:val="en-AU"/>
        </w:rPr>
        <w:br/>
        <w:t>= 39,560 / 29,270</w:t>
      </w:r>
      <w:r w:rsidRPr="001C195C">
        <w:rPr>
          <w:lang w:val="en-AU"/>
        </w:rPr>
        <w:br/>
        <w:t>= 1.35 times</w:t>
      </w:r>
    </w:p>
    <w:p w14:paraId="008533DC" w14:textId="77777777" w:rsidR="00A77462" w:rsidRDefault="00A77462" w:rsidP="001C195C">
      <w:pPr>
        <w:pStyle w:val="Heading3"/>
        <w:numPr>
          <w:ilvl w:val="2"/>
          <w:numId w:val="9"/>
        </w:numPr>
        <w:spacing w:before="200" w:after="0" w:line="259" w:lineRule="auto"/>
        <w:ind w:left="0" w:firstLine="0"/>
        <w:jc w:val="left"/>
        <w:rPr>
          <w:lang w:val="en-AU"/>
        </w:rPr>
      </w:pPr>
      <w:bookmarkStart w:id="29" w:name="_Toc236249797"/>
      <w:r>
        <w:rPr>
          <w:lang w:val="en-AU"/>
        </w:rPr>
        <w:t>Appendix B5: investment ratios</w:t>
      </w:r>
      <w:bookmarkEnd w:id="29"/>
    </w:p>
    <w:p w14:paraId="1123377F" w14:textId="77777777" w:rsidR="00A77462" w:rsidRDefault="00A77462" w:rsidP="001C195C">
      <w:pPr>
        <w:spacing w:line="256" w:lineRule="auto"/>
        <w:jc w:val="center"/>
        <w:rPr>
          <w:b/>
          <w:bCs/>
          <w:lang w:val="en-AU"/>
        </w:rPr>
      </w:pPr>
      <w:r>
        <w:rPr>
          <w:b/>
          <w:bCs/>
          <w:lang w:val="en-AU"/>
        </w:rPr>
        <w:t>Earnings per share</w:t>
      </w:r>
    </w:p>
    <w:p w14:paraId="0F14BBF0" w14:textId="77777777" w:rsidR="00A77462" w:rsidRPr="001C195C" w:rsidRDefault="00A77462" w:rsidP="001C195C">
      <w:pPr>
        <w:pStyle w:val="ListParagraph"/>
        <w:numPr>
          <w:ilvl w:val="0"/>
          <w:numId w:val="26"/>
        </w:numPr>
        <w:spacing w:line="256" w:lineRule="auto"/>
        <w:jc w:val="left"/>
        <w:rPr>
          <w:lang w:val="en-AU"/>
        </w:rPr>
      </w:pPr>
      <w:r w:rsidRPr="001C195C">
        <w:rPr>
          <w:lang w:val="en-AU"/>
        </w:rPr>
        <w:t>Formula:</w:t>
      </w:r>
      <w:r w:rsidRPr="001C195C">
        <w:rPr>
          <w:lang w:val="en-AU"/>
        </w:rPr>
        <w:br/>
        <w:t>EPS = Profit after tax attributable to owners / weighted average ordinary shares</w:t>
      </w:r>
    </w:p>
    <w:p w14:paraId="297A9907" w14:textId="77777777" w:rsidR="00A77462" w:rsidRPr="001C195C" w:rsidRDefault="00A77462" w:rsidP="001C195C">
      <w:pPr>
        <w:pStyle w:val="ListParagraph"/>
        <w:numPr>
          <w:ilvl w:val="0"/>
          <w:numId w:val="26"/>
        </w:numPr>
        <w:spacing w:line="256" w:lineRule="auto"/>
        <w:jc w:val="left"/>
        <w:rPr>
          <w:lang w:val="en-AU"/>
        </w:rPr>
      </w:pPr>
      <w:r w:rsidRPr="001C195C">
        <w:rPr>
          <w:lang w:val="en-AU"/>
        </w:rPr>
        <w:t>FY2025:</w:t>
      </w:r>
      <w:r w:rsidRPr="001C195C">
        <w:rPr>
          <w:lang w:val="en-AU"/>
        </w:rPr>
        <w:br/>
        <w:t>= -4,169 / 26,149</w:t>
      </w:r>
      <w:r w:rsidRPr="001C195C">
        <w:rPr>
          <w:lang w:val="en-AU"/>
        </w:rPr>
        <w:br/>
        <w:t>= -€0.1594 per share</w:t>
      </w:r>
      <w:r w:rsidRPr="001C195C">
        <w:rPr>
          <w:lang w:val="en-AU"/>
        </w:rPr>
        <w:br/>
        <w:t>= -15.94 eurocents</w:t>
      </w:r>
    </w:p>
    <w:p w14:paraId="5F4D7187" w14:textId="77777777" w:rsidR="00A77462" w:rsidRPr="001C195C" w:rsidRDefault="00A77462" w:rsidP="001C195C">
      <w:pPr>
        <w:pStyle w:val="ListParagraph"/>
        <w:numPr>
          <w:ilvl w:val="0"/>
          <w:numId w:val="26"/>
        </w:numPr>
        <w:spacing w:line="256" w:lineRule="auto"/>
        <w:jc w:val="left"/>
        <w:rPr>
          <w:lang w:val="en-AU"/>
        </w:rPr>
      </w:pPr>
      <w:r w:rsidRPr="001C195C">
        <w:rPr>
          <w:lang w:val="en-AU"/>
        </w:rPr>
        <w:t>FY2024:</w:t>
      </w:r>
      <w:r w:rsidRPr="001C195C">
        <w:rPr>
          <w:lang w:val="en-AU"/>
        </w:rPr>
        <w:br/>
        <w:t>= 1,140 / 27,056</w:t>
      </w:r>
      <w:r w:rsidRPr="001C195C">
        <w:rPr>
          <w:lang w:val="en-AU"/>
        </w:rPr>
        <w:br/>
        <w:t>= €0.0421 per share</w:t>
      </w:r>
      <w:r w:rsidRPr="001C195C">
        <w:rPr>
          <w:lang w:val="en-AU"/>
        </w:rPr>
        <w:br/>
        <w:t>= 4.21 eurocents</w:t>
      </w:r>
    </w:p>
    <w:p w14:paraId="39093148" w14:textId="77777777" w:rsidR="00A77462" w:rsidRDefault="00A77462" w:rsidP="001C195C">
      <w:pPr>
        <w:spacing w:line="256" w:lineRule="auto"/>
        <w:jc w:val="center"/>
        <w:rPr>
          <w:b/>
          <w:bCs/>
          <w:lang w:val="en-AU"/>
        </w:rPr>
      </w:pPr>
      <w:r>
        <w:rPr>
          <w:b/>
          <w:bCs/>
          <w:lang w:val="en-AU"/>
        </w:rPr>
        <w:t>Dividend cover</w:t>
      </w:r>
    </w:p>
    <w:p w14:paraId="30B4623C" w14:textId="77777777" w:rsidR="00A77462" w:rsidRPr="001C195C" w:rsidRDefault="00A77462" w:rsidP="001C195C">
      <w:pPr>
        <w:pStyle w:val="ListParagraph"/>
        <w:numPr>
          <w:ilvl w:val="0"/>
          <w:numId w:val="27"/>
        </w:numPr>
        <w:spacing w:line="256" w:lineRule="auto"/>
        <w:jc w:val="left"/>
        <w:rPr>
          <w:lang w:val="en-AU"/>
        </w:rPr>
      </w:pPr>
      <w:r w:rsidRPr="001C195C">
        <w:rPr>
          <w:lang w:val="en-AU"/>
        </w:rPr>
        <w:t>Formula:</w:t>
      </w:r>
      <w:r w:rsidRPr="001C195C">
        <w:rPr>
          <w:lang w:val="en-AU"/>
        </w:rPr>
        <w:br/>
        <w:t>Dividend cover = Profit after tax attributable to owners / ordinary dividend</w:t>
      </w:r>
    </w:p>
    <w:p w14:paraId="132971CA" w14:textId="77777777" w:rsidR="00A77462" w:rsidRPr="001C195C" w:rsidRDefault="00A77462" w:rsidP="001C195C">
      <w:pPr>
        <w:pStyle w:val="ListParagraph"/>
        <w:numPr>
          <w:ilvl w:val="0"/>
          <w:numId w:val="27"/>
        </w:numPr>
        <w:spacing w:line="256" w:lineRule="auto"/>
        <w:jc w:val="left"/>
        <w:rPr>
          <w:lang w:val="en-AU"/>
        </w:rPr>
      </w:pPr>
      <w:r w:rsidRPr="001C195C">
        <w:rPr>
          <w:lang w:val="en-AU"/>
        </w:rPr>
        <w:t>FY2025:</w:t>
      </w:r>
      <w:r w:rsidRPr="001C195C">
        <w:rPr>
          <w:lang w:val="en-AU"/>
        </w:rPr>
        <w:br/>
        <w:t>= -4,169 / 1,795</w:t>
      </w:r>
      <w:r w:rsidRPr="001C195C">
        <w:rPr>
          <w:lang w:val="en-AU"/>
        </w:rPr>
        <w:br/>
        <w:t>= -2.32 times</w:t>
      </w:r>
    </w:p>
    <w:p w14:paraId="37FF0BA1" w14:textId="77777777" w:rsidR="00A77462" w:rsidRPr="001C195C" w:rsidRDefault="00A77462" w:rsidP="001C195C">
      <w:pPr>
        <w:pStyle w:val="ListParagraph"/>
        <w:numPr>
          <w:ilvl w:val="0"/>
          <w:numId w:val="27"/>
        </w:numPr>
        <w:spacing w:line="256" w:lineRule="auto"/>
        <w:jc w:val="left"/>
        <w:rPr>
          <w:lang w:val="en-AU"/>
        </w:rPr>
      </w:pPr>
      <w:r w:rsidRPr="001C195C">
        <w:rPr>
          <w:lang w:val="en-AU"/>
        </w:rPr>
        <w:t>FY2024:</w:t>
      </w:r>
      <w:r w:rsidRPr="001C195C">
        <w:rPr>
          <w:lang w:val="en-AU"/>
        </w:rPr>
        <w:br/>
        <w:t>= 1,140 / 2,433</w:t>
      </w:r>
      <w:r w:rsidRPr="001C195C">
        <w:rPr>
          <w:lang w:val="en-AU"/>
        </w:rPr>
        <w:br/>
        <w:t>= 0.47 times</w:t>
      </w:r>
    </w:p>
    <w:p w14:paraId="4E6DF0A3" w14:textId="77777777" w:rsidR="00A77462" w:rsidRDefault="00A77462" w:rsidP="001C195C">
      <w:pPr>
        <w:pStyle w:val="Heading3"/>
        <w:numPr>
          <w:ilvl w:val="2"/>
          <w:numId w:val="9"/>
        </w:numPr>
        <w:spacing w:before="200" w:after="0" w:line="259" w:lineRule="auto"/>
        <w:ind w:left="0" w:firstLine="0"/>
        <w:jc w:val="left"/>
        <w:rPr>
          <w:lang w:val="en-AU"/>
        </w:rPr>
      </w:pPr>
      <w:bookmarkStart w:id="30" w:name="_Toc236249798"/>
      <w:r>
        <w:rPr>
          <w:lang w:val="en-AU"/>
        </w:rPr>
        <w:t>Appendix B6: gearing ratios</w:t>
      </w:r>
      <w:bookmarkEnd w:id="30"/>
    </w:p>
    <w:p w14:paraId="6AB56C30" w14:textId="77777777" w:rsidR="00A77462" w:rsidRDefault="00A77462" w:rsidP="001C195C">
      <w:pPr>
        <w:spacing w:line="256" w:lineRule="auto"/>
        <w:jc w:val="center"/>
        <w:rPr>
          <w:b/>
          <w:bCs/>
          <w:lang w:val="en-AU"/>
        </w:rPr>
      </w:pPr>
      <w:r>
        <w:rPr>
          <w:b/>
          <w:bCs/>
          <w:lang w:val="en-AU"/>
        </w:rPr>
        <w:t>Gearing ratio 1</w:t>
      </w:r>
    </w:p>
    <w:p w14:paraId="4D045882" w14:textId="77777777" w:rsidR="00A77462" w:rsidRPr="001C195C" w:rsidRDefault="00A77462" w:rsidP="001C195C">
      <w:pPr>
        <w:pStyle w:val="ListParagraph"/>
        <w:numPr>
          <w:ilvl w:val="0"/>
          <w:numId w:val="29"/>
        </w:numPr>
        <w:spacing w:line="256" w:lineRule="auto"/>
        <w:jc w:val="left"/>
        <w:rPr>
          <w:lang w:val="en-AU"/>
        </w:rPr>
      </w:pPr>
      <w:r w:rsidRPr="001C195C">
        <w:rPr>
          <w:lang w:val="en-AU"/>
        </w:rPr>
        <w:t>Formula:</w:t>
      </w:r>
      <w:r w:rsidRPr="001C195C">
        <w:rPr>
          <w:lang w:val="en-AU"/>
        </w:rPr>
        <w:br/>
        <w:t xml:space="preserve">Gearing ratio 1 = </w:t>
      </w:r>
      <w:r>
        <w:rPr>
          <w:b/>
          <w:lang w:val="en-AU"/>
        </w:rPr>
        <w:t>Borrowings / TALCL</w:t>
      </w:r>
      <w:r>
        <w:rPr>
          <w:lang w:val="en-AU"/>
        </w:rPr>
        <w:t xml:space="preserve"> × 100</w:t>
      </w:r>
    </w:p>
    <w:p w14:paraId="3AC462B8" w14:textId="77777777" w:rsidR="00A77462" w:rsidRPr="001C195C" w:rsidRDefault="00A77462" w:rsidP="001C195C">
      <w:pPr>
        <w:pStyle w:val="ListParagraph"/>
        <w:numPr>
          <w:ilvl w:val="0"/>
          <w:numId w:val="29"/>
        </w:numPr>
        <w:spacing w:line="256" w:lineRule="auto"/>
        <w:jc w:val="left"/>
        <w:rPr>
          <w:lang w:val="en-AU"/>
        </w:rPr>
      </w:pPr>
      <w:r w:rsidRPr="001C195C">
        <w:rPr>
          <w:lang w:val="en-AU"/>
        </w:rPr>
        <w:t>FY2025:</w:t>
      </w:r>
      <w:r w:rsidRPr="001C195C">
        <w:rPr>
          <w:lang w:val="en-AU"/>
        </w:rPr>
        <w:br/>
        <w:t>= 53,143 / 105,767 × 100</w:t>
      </w:r>
      <w:r w:rsidRPr="001C195C">
        <w:rPr>
          <w:lang w:val="en-AU"/>
        </w:rPr>
        <w:br/>
        <w:t>= 50.25%</w:t>
      </w:r>
    </w:p>
    <w:p w14:paraId="1B0C117A" w14:textId="77777777" w:rsidR="00A77462" w:rsidRPr="001C195C" w:rsidRDefault="00A77462" w:rsidP="001C195C">
      <w:pPr>
        <w:pStyle w:val="ListParagraph"/>
        <w:numPr>
          <w:ilvl w:val="0"/>
          <w:numId w:val="29"/>
        </w:numPr>
        <w:spacing w:line="256" w:lineRule="auto"/>
        <w:jc w:val="left"/>
        <w:rPr>
          <w:lang w:val="en-AU"/>
        </w:rPr>
      </w:pPr>
      <w:r w:rsidRPr="001C195C">
        <w:rPr>
          <w:lang w:val="en-AU"/>
        </w:rPr>
        <w:t>FY2024:</w:t>
      </w:r>
      <w:r w:rsidRPr="001C195C">
        <w:rPr>
          <w:lang w:val="en-AU"/>
        </w:rPr>
        <w:br/>
        <w:t>= 56,987 / 102,951 × 100</w:t>
      </w:r>
      <w:r w:rsidRPr="001C195C">
        <w:rPr>
          <w:lang w:val="en-AU"/>
        </w:rPr>
        <w:br/>
        <w:t>= 55.35%</w:t>
      </w:r>
    </w:p>
    <w:p w14:paraId="390726A0" w14:textId="77777777" w:rsidR="00A77462" w:rsidRDefault="00A77462" w:rsidP="001C195C">
      <w:pPr>
        <w:spacing w:line="256" w:lineRule="auto"/>
        <w:jc w:val="center"/>
        <w:rPr>
          <w:b/>
          <w:bCs/>
          <w:lang w:val="en-AU"/>
        </w:rPr>
      </w:pPr>
      <w:r>
        <w:rPr>
          <w:b/>
          <w:bCs/>
          <w:lang w:val="en-AU"/>
        </w:rPr>
        <w:t>Gearing ratio 2</w:t>
      </w:r>
    </w:p>
    <w:p w14:paraId="62618F88" w14:textId="77777777" w:rsidR="00A77462" w:rsidRPr="001C195C" w:rsidRDefault="00A77462" w:rsidP="001C195C">
      <w:pPr>
        <w:pStyle w:val="ListParagraph"/>
        <w:numPr>
          <w:ilvl w:val="0"/>
          <w:numId w:val="28"/>
        </w:numPr>
        <w:spacing w:line="256" w:lineRule="auto"/>
        <w:jc w:val="left"/>
        <w:rPr>
          <w:lang w:val="en-AU"/>
        </w:rPr>
      </w:pPr>
      <w:r w:rsidRPr="001C195C">
        <w:rPr>
          <w:lang w:val="en-AU"/>
        </w:rPr>
        <w:t>Formula:</w:t>
      </w:r>
      <w:r w:rsidRPr="001C195C">
        <w:rPr>
          <w:lang w:val="en-AU"/>
        </w:rPr>
        <w:br/>
        <w:t xml:space="preserve">Gearing ratio 2 = </w:t>
      </w:r>
      <w:r>
        <w:rPr>
          <w:b/>
          <w:lang w:val="en-AU"/>
        </w:rPr>
        <w:t>Borrowings / Net assets</w:t>
      </w:r>
      <w:r>
        <w:rPr>
          <w:lang w:val="en-AU"/>
        </w:rPr>
        <w:t xml:space="preserve"> × 100</w:t>
      </w:r>
    </w:p>
    <w:p w14:paraId="53CC3237" w14:textId="77777777" w:rsidR="00A77462" w:rsidRPr="001C195C" w:rsidRDefault="00A77462" w:rsidP="001C195C">
      <w:pPr>
        <w:pStyle w:val="ListParagraph"/>
        <w:numPr>
          <w:ilvl w:val="0"/>
          <w:numId w:val="28"/>
        </w:numPr>
        <w:spacing w:line="256" w:lineRule="auto"/>
        <w:jc w:val="left"/>
        <w:rPr>
          <w:lang w:val="en-AU"/>
        </w:rPr>
      </w:pPr>
      <w:r w:rsidRPr="001C195C">
        <w:rPr>
          <w:lang w:val="en-AU"/>
        </w:rPr>
        <w:lastRenderedPageBreak/>
        <w:t>FY2025:</w:t>
      </w:r>
      <w:r w:rsidRPr="001C195C">
        <w:rPr>
          <w:lang w:val="en-AU"/>
        </w:rPr>
        <w:br/>
        <w:t>= 53,143 / 53,916 × 100</w:t>
      </w:r>
      <w:r w:rsidRPr="001C195C">
        <w:rPr>
          <w:lang w:val="en-AU"/>
        </w:rPr>
        <w:br/>
        <w:t>= 98.57%</w:t>
      </w:r>
    </w:p>
    <w:p w14:paraId="5BAF51B4" w14:textId="77777777" w:rsidR="00A77462" w:rsidRPr="001C195C" w:rsidRDefault="00A77462" w:rsidP="001C195C">
      <w:pPr>
        <w:pStyle w:val="ListParagraph"/>
        <w:numPr>
          <w:ilvl w:val="0"/>
          <w:numId w:val="28"/>
        </w:numPr>
        <w:spacing w:line="256" w:lineRule="auto"/>
        <w:jc w:val="left"/>
        <w:rPr>
          <w:lang w:val="en-AU"/>
        </w:rPr>
      </w:pPr>
      <w:r w:rsidRPr="001C195C">
        <w:rPr>
          <w:lang w:val="en-AU"/>
        </w:rPr>
        <w:t>FY2024:</w:t>
      </w:r>
      <w:r w:rsidRPr="001C195C">
        <w:rPr>
          <w:lang w:val="en-AU"/>
        </w:rPr>
        <w:br/>
        <w:t>= 56,987 / 60,998 × 100</w:t>
      </w:r>
      <w:r w:rsidRPr="001C195C">
        <w:rPr>
          <w:lang w:val="en-AU"/>
        </w:rPr>
        <w:br/>
        <w:t>= 93.42%</w:t>
      </w:r>
    </w:p>
    <w:p w14:paraId="6FDE4B8B" w14:textId="77777777" w:rsidR="00A77462" w:rsidRDefault="00A77462" w:rsidP="001C195C">
      <w:pPr>
        <w:spacing w:line="256" w:lineRule="auto"/>
        <w:jc w:val="center"/>
        <w:rPr>
          <w:b/>
          <w:bCs/>
          <w:lang w:val="en-AU"/>
        </w:rPr>
      </w:pPr>
      <w:r>
        <w:rPr>
          <w:b/>
          <w:bCs/>
          <w:lang w:val="en-AU"/>
        </w:rPr>
        <w:t>Interest cover</w:t>
      </w:r>
    </w:p>
    <w:p w14:paraId="3E04F594" w14:textId="77777777" w:rsidR="00A77462" w:rsidRPr="001C195C" w:rsidRDefault="00A77462" w:rsidP="001C195C">
      <w:pPr>
        <w:pStyle w:val="ListParagraph"/>
        <w:numPr>
          <w:ilvl w:val="0"/>
          <w:numId w:val="30"/>
        </w:numPr>
        <w:spacing w:line="256" w:lineRule="auto"/>
        <w:jc w:val="left"/>
        <w:rPr>
          <w:lang w:val="en-AU"/>
        </w:rPr>
      </w:pPr>
      <w:r w:rsidRPr="001C195C">
        <w:rPr>
          <w:lang w:val="en-AU"/>
        </w:rPr>
        <w:t>Formula:</w:t>
      </w:r>
      <w:r w:rsidRPr="001C195C">
        <w:rPr>
          <w:lang w:val="en-AU"/>
        </w:rPr>
        <w:br/>
        <w:t>Interest cover = Operating profit / Interest</w:t>
      </w:r>
    </w:p>
    <w:p w14:paraId="5F4DFFC3" w14:textId="77777777" w:rsidR="00A77462" w:rsidRPr="001C195C" w:rsidRDefault="00A77462" w:rsidP="001C195C">
      <w:pPr>
        <w:pStyle w:val="ListParagraph"/>
        <w:numPr>
          <w:ilvl w:val="0"/>
          <w:numId w:val="30"/>
        </w:numPr>
        <w:spacing w:line="256" w:lineRule="auto"/>
        <w:jc w:val="left"/>
        <w:rPr>
          <w:lang w:val="en-AU"/>
        </w:rPr>
      </w:pPr>
      <w:r w:rsidRPr="001C195C">
        <w:rPr>
          <w:lang w:val="en-AU"/>
        </w:rPr>
        <w:t>FY2025:</w:t>
      </w:r>
      <w:r w:rsidRPr="001C195C">
        <w:rPr>
          <w:lang w:val="en-AU"/>
        </w:rPr>
        <w:br/>
        <w:t>= -411 / 1,931</w:t>
      </w:r>
      <w:r w:rsidRPr="001C195C">
        <w:rPr>
          <w:lang w:val="en-AU"/>
        </w:rPr>
        <w:br/>
        <w:t>= -0.21 times</w:t>
      </w:r>
    </w:p>
    <w:p w14:paraId="4E59C33E" w14:textId="77777777" w:rsidR="00A77462" w:rsidRPr="001C195C" w:rsidRDefault="00A77462" w:rsidP="001C195C">
      <w:pPr>
        <w:pStyle w:val="ListParagraph"/>
        <w:numPr>
          <w:ilvl w:val="0"/>
          <w:numId w:val="30"/>
        </w:numPr>
        <w:spacing w:line="256" w:lineRule="auto"/>
        <w:jc w:val="left"/>
        <w:rPr>
          <w:lang w:val="en-AU"/>
        </w:rPr>
      </w:pPr>
      <w:r w:rsidRPr="001C195C">
        <w:rPr>
          <w:lang w:val="en-AU"/>
        </w:rPr>
        <w:t>FY2024:</w:t>
      </w:r>
      <w:r w:rsidRPr="001C195C">
        <w:rPr>
          <w:lang w:val="en-AU"/>
        </w:rPr>
        <w:br/>
        <w:t>= 3,665 / 2,626</w:t>
      </w:r>
      <w:r w:rsidRPr="001C195C">
        <w:rPr>
          <w:lang w:val="en-AU"/>
        </w:rPr>
        <w:br/>
        <w:t>= 1.40 times</w:t>
      </w:r>
    </w:p>
    <w:p w14:paraId="64A3EE79" w14:textId="77777777" w:rsidR="00A77462" w:rsidRDefault="00A77462" w:rsidP="00A77462">
      <w:pPr>
        <w:spacing w:line="256" w:lineRule="auto"/>
        <w:jc w:val="left"/>
        <w:rPr>
          <w:lang w:val="en-AU"/>
        </w:rPr>
      </w:pPr>
    </w:p>
    <w:p w14:paraId="000086B5" w14:textId="77777777" w:rsidR="00A77462" w:rsidRDefault="00A77462" w:rsidP="001C195C">
      <w:pPr>
        <w:pStyle w:val="Heading2"/>
        <w:numPr>
          <w:ilvl w:val="1"/>
          <w:numId w:val="9"/>
        </w:numPr>
        <w:rPr>
          <w:lang w:val="en-AU"/>
        </w:rPr>
      </w:pPr>
      <w:bookmarkStart w:id="31" w:name="_Toc236249799"/>
      <w:r>
        <w:rPr>
          <w:lang w:val="en-AU"/>
        </w:rPr>
        <w:t>Appendix C: Capital allowances and after-tax cash flows</w:t>
      </w:r>
      <w:bookmarkEnd w:id="31"/>
    </w:p>
    <w:p w14:paraId="2F3C6CB3" w14:textId="77777777" w:rsidR="00A77462" w:rsidRDefault="00A77462" w:rsidP="001C195C">
      <w:pPr>
        <w:pStyle w:val="Heading3"/>
        <w:numPr>
          <w:ilvl w:val="2"/>
          <w:numId w:val="9"/>
        </w:numPr>
        <w:rPr>
          <w:lang w:val="en-AU"/>
        </w:rPr>
      </w:pPr>
      <w:bookmarkStart w:id="32" w:name="_Toc236249800"/>
      <w:r>
        <w:rPr>
          <w:lang w:val="en-AU"/>
        </w:rPr>
        <w:t>C1. Capital allowance calculation</w:t>
      </w:r>
      <w:bookmarkEnd w:id="32"/>
    </w:p>
    <w:tbl>
      <w:tblPr>
        <w:tblStyle w:val="GridTable4-Accent11"/>
        <w:tblW w:w="9554" w:type="dxa"/>
        <w:tblLook w:val="04A0" w:firstRow="1" w:lastRow="0" w:firstColumn="1" w:lastColumn="0" w:noHBand="0" w:noVBand="1"/>
      </w:tblPr>
      <w:tblGrid>
        <w:gridCol w:w="1081"/>
        <w:gridCol w:w="2330"/>
        <w:gridCol w:w="2892"/>
        <w:gridCol w:w="3251"/>
      </w:tblGrid>
      <w:tr w:rsidR="00A77462" w14:paraId="39C6F592" w14:textId="77777777" w:rsidTr="001C195C">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3C22E98B" w14:textId="77777777" w:rsidR="00A77462" w:rsidRDefault="00A77462" w:rsidP="000C685B">
            <w:pPr>
              <w:spacing w:line="256" w:lineRule="auto"/>
              <w:rPr>
                <w:b w:val="0"/>
                <w:bCs w:val="0"/>
                <w:lang w:val="en-AU" w:eastAsia="en-AU"/>
              </w:rPr>
            </w:pPr>
            <w:r>
              <w:rPr>
                <w:b w:val="0"/>
                <w:bCs w:val="0"/>
                <w:lang w:val="en-AU" w:eastAsia="en-AU"/>
              </w:rPr>
              <w:t>Option</w:t>
            </w:r>
          </w:p>
        </w:tc>
        <w:tc>
          <w:tcPr>
            <w:tcW w:w="0" w:type="auto"/>
            <w:hideMark/>
          </w:tcPr>
          <w:p w14:paraId="22664AF2"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Initial investment</w:t>
            </w:r>
          </w:p>
        </w:tc>
        <w:tc>
          <w:tcPr>
            <w:tcW w:w="0" w:type="auto"/>
            <w:hideMark/>
          </w:tcPr>
          <w:p w14:paraId="4955EA66"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Capital allowance rate</w:t>
            </w:r>
          </w:p>
        </w:tc>
        <w:tc>
          <w:tcPr>
            <w:tcW w:w="0" w:type="auto"/>
            <w:hideMark/>
          </w:tcPr>
          <w:p w14:paraId="000E25A6"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Annual capital allowance</w:t>
            </w:r>
          </w:p>
        </w:tc>
      </w:tr>
      <w:tr w:rsidR="00A77462" w14:paraId="7938390E" w14:textId="77777777" w:rsidTr="001C195C">
        <w:trPr>
          <w:cnfStyle w:val="000000100000" w:firstRow="0" w:lastRow="0" w:firstColumn="0" w:lastColumn="0" w:oddVBand="0" w:evenVBand="0" w:oddHBand="1"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20C7B896" w14:textId="77777777" w:rsidR="00A77462" w:rsidRDefault="00A77462" w:rsidP="000C685B">
            <w:pPr>
              <w:spacing w:line="256" w:lineRule="auto"/>
              <w:rPr>
                <w:lang w:val="en-AU" w:eastAsia="en-AU"/>
              </w:rPr>
            </w:pPr>
            <w:r>
              <w:rPr>
                <w:lang w:val="en-AU" w:eastAsia="en-AU"/>
              </w:rPr>
              <w:t>A</w:t>
            </w:r>
          </w:p>
        </w:tc>
        <w:tc>
          <w:tcPr>
            <w:tcW w:w="0" w:type="auto"/>
            <w:hideMark/>
          </w:tcPr>
          <w:p w14:paraId="29010BBD"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600</w:t>
            </w:r>
          </w:p>
        </w:tc>
        <w:tc>
          <w:tcPr>
            <w:tcW w:w="0" w:type="auto"/>
            <w:hideMark/>
          </w:tcPr>
          <w:p w14:paraId="282C22CF"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20%</w:t>
            </w:r>
          </w:p>
        </w:tc>
        <w:tc>
          <w:tcPr>
            <w:tcW w:w="0" w:type="auto"/>
            <w:hideMark/>
          </w:tcPr>
          <w:p w14:paraId="40402E2D"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600 × 20% = </w:t>
            </w:r>
            <w:r>
              <w:rPr>
                <w:b/>
                <w:bCs/>
                <w:lang w:val="en-AU" w:eastAsia="en-AU"/>
              </w:rPr>
              <w:t>120</w:t>
            </w:r>
          </w:p>
        </w:tc>
      </w:tr>
      <w:tr w:rsidR="00A77462" w14:paraId="72284DB7" w14:textId="77777777" w:rsidTr="001C195C">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7CF1BD93" w14:textId="77777777" w:rsidR="00A77462" w:rsidRDefault="00A77462" w:rsidP="000C685B">
            <w:pPr>
              <w:spacing w:line="256" w:lineRule="auto"/>
              <w:rPr>
                <w:lang w:val="en-AU" w:eastAsia="en-AU"/>
              </w:rPr>
            </w:pPr>
            <w:r>
              <w:rPr>
                <w:lang w:val="en-AU" w:eastAsia="en-AU"/>
              </w:rPr>
              <w:t>B</w:t>
            </w:r>
          </w:p>
        </w:tc>
        <w:tc>
          <w:tcPr>
            <w:tcW w:w="0" w:type="auto"/>
            <w:hideMark/>
          </w:tcPr>
          <w:p w14:paraId="6102BB6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900</w:t>
            </w:r>
          </w:p>
        </w:tc>
        <w:tc>
          <w:tcPr>
            <w:tcW w:w="0" w:type="auto"/>
            <w:hideMark/>
          </w:tcPr>
          <w:p w14:paraId="40DBE96F"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20%</w:t>
            </w:r>
          </w:p>
        </w:tc>
        <w:tc>
          <w:tcPr>
            <w:tcW w:w="0" w:type="auto"/>
            <w:hideMark/>
          </w:tcPr>
          <w:p w14:paraId="4F9715B3"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900 × 20% = </w:t>
            </w:r>
            <w:r>
              <w:rPr>
                <w:b/>
                <w:bCs/>
                <w:lang w:val="en-AU" w:eastAsia="en-AU"/>
              </w:rPr>
              <w:t>180</w:t>
            </w:r>
          </w:p>
        </w:tc>
      </w:tr>
      <w:tr w:rsidR="00A77462" w14:paraId="5FF28DB7" w14:textId="77777777" w:rsidTr="001C195C">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0F3A4F95" w14:textId="77777777" w:rsidR="00A77462" w:rsidRDefault="00A77462" w:rsidP="000C685B">
            <w:pPr>
              <w:spacing w:line="256" w:lineRule="auto"/>
              <w:rPr>
                <w:lang w:val="en-AU" w:eastAsia="en-AU"/>
              </w:rPr>
            </w:pPr>
            <w:r>
              <w:rPr>
                <w:lang w:val="en-AU" w:eastAsia="en-AU"/>
              </w:rPr>
              <w:t>C</w:t>
            </w:r>
          </w:p>
        </w:tc>
        <w:tc>
          <w:tcPr>
            <w:tcW w:w="0" w:type="auto"/>
            <w:hideMark/>
          </w:tcPr>
          <w:p w14:paraId="4B0BC266"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1,000</w:t>
            </w:r>
          </w:p>
        </w:tc>
        <w:tc>
          <w:tcPr>
            <w:tcW w:w="0" w:type="auto"/>
            <w:hideMark/>
          </w:tcPr>
          <w:p w14:paraId="1D2D908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20%</w:t>
            </w:r>
          </w:p>
        </w:tc>
        <w:tc>
          <w:tcPr>
            <w:tcW w:w="0" w:type="auto"/>
            <w:hideMark/>
          </w:tcPr>
          <w:p w14:paraId="780E843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1,000 × 20% = </w:t>
            </w:r>
            <w:r>
              <w:rPr>
                <w:b/>
                <w:bCs/>
                <w:lang w:val="en-AU" w:eastAsia="en-AU"/>
              </w:rPr>
              <w:t>200</w:t>
            </w:r>
          </w:p>
        </w:tc>
      </w:tr>
    </w:tbl>
    <w:p w14:paraId="7733829D" w14:textId="77777777" w:rsidR="00A77462" w:rsidRDefault="00A77462" w:rsidP="001C195C">
      <w:pPr>
        <w:pStyle w:val="Heading3"/>
        <w:numPr>
          <w:ilvl w:val="2"/>
          <w:numId w:val="9"/>
        </w:numPr>
        <w:rPr>
          <w:lang w:val="en-AU"/>
        </w:rPr>
      </w:pPr>
      <w:bookmarkStart w:id="33" w:name="_Toc236249801"/>
      <w:r>
        <w:rPr>
          <w:lang w:val="en-AU"/>
        </w:rPr>
        <w:t>C2. Discount factors at 5%</w:t>
      </w:r>
      <w:bookmarkEnd w:id="33"/>
    </w:p>
    <w:tbl>
      <w:tblPr>
        <w:tblStyle w:val="GridTable4-Accent11"/>
        <w:tblW w:w="9549" w:type="dxa"/>
        <w:tblLook w:val="04A0" w:firstRow="1" w:lastRow="0" w:firstColumn="1" w:lastColumn="0" w:noHBand="0" w:noVBand="1"/>
      </w:tblPr>
      <w:tblGrid>
        <w:gridCol w:w="1909"/>
        <w:gridCol w:w="2879"/>
        <w:gridCol w:w="4761"/>
      </w:tblGrid>
      <w:tr w:rsidR="00A77462" w14:paraId="6D0B16CF" w14:textId="77777777" w:rsidTr="001C195C">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E26B8C6" w14:textId="77777777" w:rsidR="00A77462" w:rsidRDefault="00A77462" w:rsidP="000C685B">
            <w:pPr>
              <w:spacing w:line="256" w:lineRule="auto"/>
              <w:rPr>
                <w:b w:val="0"/>
                <w:bCs w:val="0"/>
                <w:lang w:val="en-AU" w:eastAsia="en-AU"/>
              </w:rPr>
            </w:pPr>
            <w:r>
              <w:rPr>
                <w:b w:val="0"/>
                <w:bCs w:val="0"/>
                <w:lang w:val="en-AU" w:eastAsia="en-AU"/>
              </w:rPr>
              <w:t>Year</w:t>
            </w:r>
          </w:p>
        </w:tc>
        <w:tc>
          <w:tcPr>
            <w:tcW w:w="0" w:type="auto"/>
            <w:hideMark/>
          </w:tcPr>
          <w:p w14:paraId="7E8B4198"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Formula</w:t>
            </w:r>
          </w:p>
        </w:tc>
        <w:tc>
          <w:tcPr>
            <w:tcW w:w="0" w:type="auto"/>
            <w:hideMark/>
          </w:tcPr>
          <w:p w14:paraId="3F6050DD"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Discount factor</w:t>
            </w:r>
          </w:p>
        </w:tc>
      </w:tr>
      <w:tr w:rsidR="00A77462" w14:paraId="1A4C88EE" w14:textId="77777777" w:rsidTr="001C195C">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5D76EBF3" w14:textId="77777777" w:rsidR="00A77462" w:rsidRDefault="00A77462" w:rsidP="000C685B">
            <w:pPr>
              <w:spacing w:line="256" w:lineRule="auto"/>
              <w:rPr>
                <w:lang w:val="en-AU" w:eastAsia="en-AU"/>
              </w:rPr>
            </w:pPr>
            <w:r>
              <w:rPr>
                <w:lang w:val="en-AU" w:eastAsia="en-AU"/>
              </w:rPr>
              <w:t>1</w:t>
            </w:r>
          </w:p>
        </w:tc>
        <w:tc>
          <w:tcPr>
            <w:tcW w:w="0" w:type="auto"/>
            <w:hideMark/>
          </w:tcPr>
          <w:p w14:paraId="3646A0B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 / 1.05</w:t>
            </w:r>
          </w:p>
        </w:tc>
        <w:tc>
          <w:tcPr>
            <w:tcW w:w="0" w:type="auto"/>
            <w:hideMark/>
          </w:tcPr>
          <w:p w14:paraId="4E908BB5"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bCs/>
                <w:lang w:val="en-AU" w:eastAsia="en-AU"/>
              </w:rPr>
              <w:t>0.9524</w:t>
            </w:r>
          </w:p>
        </w:tc>
      </w:tr>
      <w:tr w:rsidR="00A77462" w14:paraId="213F513C" w14:textId="77777777" w:rsidTr="001C195C">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052DD4B4" w14:textId="77777777" w:rsidR="00A77462" w:rsidRDefault="00A77462" w:rsidP="000C685B">
            <w:pPr>
              <w:spacing w:line="256" w:lineRule="auto"/>
              <w:rPr>
                <w:lang w:val="en-AU" w:eastAsia="en-AU"/>
              </w:rPr>
            </w:pPr>
            <w:r>
              <w:rPr>
                <w:lang w:val="en-AU" w:eastAsia="en-AU"/>
              </w:rPr>
              <w:t>2</w:t>
            </w:r>
          </w:p>
        </w:tc>
        <w:tc>
          <w:tcPr>
            <w:tcW w:w="0" w:type="auto"/>
            <w:hideMark/>
          </w:tcPr>
          <w:p w14:paraId="4A45A062"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 / 1.05²</w:t>
            </w:r>
          </w:p>
        </w:tc>
        <w:tc>
          <w:tcPr>
            <w:tcW w:w="0" w:type="auto"/>
            <w:hideMark/>
          </w:tcPr>
          <w:p w14:paraId="6C26A2C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b/>
                <w:bCs/>
                <w:lang w:val="en-AU" w:eastAsia="en-AU"/>
              </w:rPr>
              <w:t>0.9070</w:t>
            </w:r>
          </w:p>
        </w:tc>
      </w:tr>
      <w:tr w:rsidR="00A77462" w14:paraId="1522DC3A" w14:textId="77777777" w:rsidTr="001C195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151C3368" w14:textId="77777777" w:rsidR="00A77462" w:rsidRDefault="00A77462" w:rsidP="000C685B">
            <w:pPr>
              <w:spacing w:line="256" w:lineRule="auto"/>
              <w:rPr>
                <w:lang w:val="en-AU" w:eastAsia="en-AU"/>
              </w:rPr>
            </w:pPr>
            <w:r>
              <w:rPr>
                <w:lang w:val="en-AU" w:eastAsia="en-AU"/>
              </w:rPr>
              <w:t>3</w:t>
            </w:r>
          </w:p>
        </w:tc>
        <w:tc>
          <w:tcPr>
            <w:tcW w:w="0" w:type="auto"/>
            <w:hideMark/>
          </w:tcPr>
          <w:p w14:paraId="75ECD0A1"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 / 1.05³</w:t>
            </w:r>
          </w:p>
        </w:tc>
        <w:tc>
          <w:tcPr>
            <w:tcW w:w="0" w:type="auto"/>
            <w:hideMark/>
          </w:tcPr>
          <w:p w14:paraId="190CA501"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bCs/>
                <w:lang w:val="en-AU" w:eastAsia="en-AU"/>
              </w:rPr>
              <w:t>0.8638</w:t>
            </w:r>
          </w:p>
        </w:tc>
      </w:tr>
      <w:tr w:rsidR="00A77462" w14:paraId="517E76B4" w14:textId="77777777" w:rsidTr="001C195C">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14:paraId="75674DC5" w14:textId="77777777" w:rsidR="00A77462" w:rsidRDefault="00A77462" w:rsidP="000C685B">
            <w:pPr>
              <w:spacing w:line="256" w:lineRule="auto"/>
              <w:rPr>
                <w:lang w:val="en-AU" w:eastAsia="en-AU"/>
              </w:rPr>
            </w:pPr>
            <w:r>
              <w:rPr>
                <w:lang w:val="en-AU" w:eastAsia="en-AU"/>
              </w:rPr>
              <w:t>4</w:t>
            </w:r>
          </w:p>
        </w:tc>
        <w:tc>
          <w:tcPr>
            <w:tcW w:w="0" w:type="auto"/>
            <w:hideMark/>
          </w:tcPr>
          <w:p w14:paraId="171F8152"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 / 1.05⁴</w:t>
            </w:r>
          </w:p>
        </w:tc>
        <w:tc>
          <w:tcPr>
            <w:tcW w:w="0" w:type="auto"/>
            <w:hideMark/>
          </w:tcPr>
          <w:p w14:paraId="2EB0D8EB"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b/>
                <w:bCs/>
                <w:lang w:val="en-AU" w:eastAsia="en-AU"/>
              </w:rPr>
              <w:t>0.8227</w:t>
            </w:r>
          </w:p>
        </w:tc>
      </w:tr>
    </w:tbl>
    <w:p w14:paraId="7B9CAE3B" w14:textId="77777777" w:rsidR="00A77462" w:rsidRDefault="00A77462" w:rsidP="001C195C">
      <w:pPr>
        <w:pStyle w:val="Heading2"/>
        <w:numPr>
          <w:ilvl w:val="1"/>
          <w:numId w:val="9"/>
        </w:numPr>
        <w:rPr>
          <w:lang w:val="en-AU"/>
        </w:rPr>
      </w:pPr>
      <w:bookmarkStart w:id="34" w:name="_Toc236249802"/>
      <w:r>
        <w:rPr>
          <w:lang w:val="en-AU"/>
        </w:rPr>
        <w:lastRenderedPageBreak/>
        <w:t>Appendix D: NPV calculations</w:t>
      </w:r>
      <w:bookmarkEnd w:id="34"/>
    </w:p>
    <w:p w14:paraId="44D4FB47" w14:textId="77777777" w:rsidR="00A77462" w:rsidRDefault="00A77462" w:rsidP="001C195C">
      <w:pPr>
        <w:pStyle w:val="Heading3"/>
        <w:numPr>
          <w:ilvl w:val="2"/>
          <w:numId w:val="9"/>
        </w:numPr>
        <w:rPr>
          <w:lang w:val="en-AU"/>
        </w:rPr>
      </w:pPr>
      <w:bookmarkStart w:id="35" w:name="_Toc236249803"/>
      <w:r>
        <w:rPr>
          <w:lang w:val="en-AU"/>
        </w:rPr>
        <w:t>D1. Option A: Expand retail outlet</w:t>
      </w:r>
      <w:bookmarkEnd w:id="35"/>
    </w:p>
    <w:p w14:paraId="39B8B7B9" w14:textId="77777777" w:rsidR="00A77462" w:rsidRDefault="00A77462" w:rsidP="00A77462">
      <w:pPr>
        <w:spacing w:line="256" w:lineRule="auto"/>
        <w:jc w:val="left"/>
        <w:rPr>
          <w:lang w:val="en-AU"/>
        </w:rPr>
      </w:pPr>
      <w:r>
        <w:rPr>
          <w:lang w:val="en-AU"/>
        </w:rPr>
        <w:t xml:space="preserve">Initial investment = </w:t>
      </w:r>
      <w:r>
        <w:rPr>
          <w:b/>
          <w:bCs/>
          <w:lang w:val="en-AU"/>
        </w:rPr>
        <w:t>£600k</w:t>
      </w:r>
      <w:r>
        <w:rPr>
          <w:lang w:val="en-AU"/>
        </w:rPr>
        <w:br/>
        <w:t xml:space="preserve">Annual capital allowance = </w:t>
      </w:r>
      <w:r>
        <w:rPr>
          <w:b/>
          <w:bCs/>
          <w:lang w:val="en-AU"/>
        </w:rPr>
        <w:t>£120k</w:t>
      </w:r>
    </w:p>
    <w:tbl>
      <w:tblPr>
        <w:tblStyle w:val="GridTable4-Accent11"/>
        <w:tblW w:w="0" w:type="auto"/>
        <w:tblLook w:val="04A0" w:firstRow="1" w:lastRow="0" w:firstColumn="1" w:lastColumn="0" w:noHBand="0" w:noVBand="1"/>
      </w:tblPr>
      <w:tblGrid>
        <w:gridCol w:w="683"/>
        <w:gridCol w:w="911"/>
        <w:gridCol w:w="1512"/>
        <w:gridCol w:w="1340"/>
        <w:gridCol w:w="1159"/>
        <w:gridCol w:w="1352"/>
        <w:gridCol w:w="888"/>
        <w:gridCol w:w="1731"/>
      </w:tblGrid>
      <w:tr w:rsidR="00A77462" w14:paraId="33B4167F" w14:textId="77777777" w:rsidTr="001C1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6D0161" w14:textId="77777777" w:rsidR="00A77462" w:rsidRDefault="00A77462" w:rsidP="000C685B">
            <w:pPr>
              <w:spacing w:line="256" w:lineRule="auto"/>
              <w:jc w:val="left"/>
              <w:rPr>
                <w:b w:val="0"/>
                <w:bCs w:val="0"/>
                <w:lang w:val="en-AU" w:eastAsia="en-AU"/>
              </w:rPr>
            </w:pPr>
            <w:r>
              <w:rPr>
                <w:b w:val="0"/>
                <w:bCs w:val="0"/>
                <w:lang w:val="en-AU" w:eastAsia="en-AU"/>
              </w:rPr>
              <w:t>Year</w:t>
            </w:r>
          </w:p>
        </w:tc>
        <w:tc>
          <w:tcPr>
            <w:tcW w:w="0" w:type="auto"/>
            <w:hideMark/>
          </w:tcPr>
          <w:p w14:paraId="36DAE9E3"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Cash flow</w:t>
            </w:r>
          </w:p>
        </w:tc>
        <w:tc>
          <w:tcPr>
            <w:tcW w:w="0" w:type="auto"/>
            <w:hideMark/>
          </w:tcPr>
          <w:p w14:paraId="074B88DA"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Capital allowance</w:t>
            </w:r>
          </w:p>
        </w:tc>
        <w:tc>
          <w:tcPr>
            <w:tcW w:w="0" w:type="auto"/>
            <w:hideMark/>
          </w:tcPr>
          <w:p w14:paraId="77CDCF6F"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Taxable profit</w:t>
            </w:r>
          </w:p>
        </w:tc>
        <w:tc>
          <w:tcPr>
            <w:tcW w:w="0" w:type="auto"/>
            <w:hideMark/>
          </w:tcPr>
          <w:p w14:paraId="2D9BD707"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Tax at 25%</w:t>
            </w:r>
          </w:p>
        </w:tc>
        <w:tc>
          <w:tcPr>
            <w:tcW w:w="0" w:type="auto"/>
            <w:hideMark/>
          </w:tcPr>
          <w:p w14:paraId="4E94EB34"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After-tax cash flow</w:t>
            </w:r>
          </w:p>
        </w:tc>
        <w:tc>
          <w:tcPr>
            <w:tcW w:w="0" w:type="auto"/>
            <w:hideMark/>
          </w:tcPr>
          <w:p w14:paraId="4210048E"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DF 5%</w:t>
            </w:r>
          </w:p>
        </w:tc>
        <w:tc>
          <w:tcPr>
            <w:tcW w:w="0" w:type="auto"/>
            <w:hideMark/>
          </w:tcPr>
          <w:p w14:paraId="7B8B8D2E"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Present value</w:t>
            </w:r>
          </w:p>
        </w:tc>
      </w:tr>
      <w:tr w:rsidR="00A77462" w14:paraId="5364ACBD"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CFD87C" w14:textId="77777777" w:rsidR="00A77462" w:rsidRDefault="00A77462" w:rsidP="000C685B">
            <w:pPr>
              <w:spacing w:line="256" w:lineRule="auto"/>
              <w:jc w:val="left"/>
              <w:rPr>
                <w:lang w:val="en-AU" w:eastAsia="en-AU"/>
              </w:rPr>
            </w:pPr>
            <w:r>
              <w:rPr>
                <w:lang w:val="en-AU" w:eastAsia="en-AU"/>
              </w:rPr>
              <w:t>1</w:t>
            </w:r>
          </w:p>
        </w:tc>
        <w:tc>
          <w:tcPr>
            <w:tcW w:w="0" w:type="auto"/>
            <w:hideMark/>
          </w:tcPr>
          <w:p w14:paraId="26B0D86D"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100</w:t>
            </w:r>
          </w:p>
        </w:tc>
        <w:tc>
          <w:tcPr>
            <w:tcW w:w="0" w:type="auto"/>
            <w:hideMark/>
          </w:tcPr>
          <w:p w14:paraId="696B9D18"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120</w:t>
            </w:r>
          </w:p>
        </w:tc>
        <w:tc>
          <w:tcPr>
            <w:tcW w:w="0" w:type="auto"/>
            <w:hideMark/>
          </w:tcPr>
          <w:p w14:paraId="60769734"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100 − 120 = </w:t>
            </w:r>
            <w:r>
              <w:rPr>
                <w:b/>
                <w:bCs/>
                <w:lang w:val="en-AU" w:eastAsia="en-AU"/>
              </w:rPr>
              <w:t>-20</w:t>
            </w:r>
          </w:p>
        </w:tc>
        <w:tc>
          <w:tcPr>
            <w:tcW w:w="0" w:type="auto"/>
            <w:hideMark/>
          </w:tcPr>
          <w:p w14:paraId="40939EE6"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-20 × 25% = </w:t>
            </w:r>
            <w:r>
              <w:rPr>
                <w:b/>
                <w:bCs/>
                <w:lang w:val="en-AU" w:eastAsia="en-AU"/>
              </w:rPr>
              <w:t>-5</w:t>
            </w:r>
          </w:p>
        </w:tc>
        <w:tc>
          <w:tcPr>
            <w:tcW w:w="0" w:type="auto"/>
            <w:hideMark/>
          </w:tcPr>
          <w:p w14:paraId="7A43C4CD"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100 − (-5) = </w:t>
            </w:r>
            <w:r>
              <w:rPr>
                <w:b/>
                <w:bCs/>
                <w:lang w:val="en-AU" w:eastAsia="en-AU"/>
              </w:rPr>
              <w:t>105</w:t>
            </w:r>
          </w:p>
        </w:tc>
        <w:tc>
          <w:tcPr>
            <w:tcW w:w="0" w:type="auto"/>
            <w:hideMark/>
          </w:tcPr>
          <w:p w14:paraId="14E1F838"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0.9524</w:t>
            </w:r>
          </w:p>
        </w:tc>
        <w:tc>
          <w:tcPr>
            <w:tcW w:w="0" w:type="auto"/>
            <w:hideMark/>
          </w:tcPr>
          <w:p w14:paraId="3BFC26AE"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105 × 0.9524 = </w:t>
            </w:r>
            <w:r>
              <w:rPr>
                <w:b/>
                <w:bCs/>
                <w:lang w:val="en-AU" w:eastAsia="en-AU"/>
              </w:rPr>
              <w:t>100.000</w:t>
            </w:r>
          </w:p>
        </w:tc>
      </w:tr>
      <w:tr w:rsidR="00A77462" w14:paraId="1E418D51"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5843AC18" w14:textId="77777777" w:rsidR="00A77462" w:rsidRDefault="00A77462" w:rsidP="000C685B">
            <w:pPr>
              <w:spacing w:line="256" w:lineRule="auto"/>
              <w:jc w:val="left"/>
              <w:rPr>
                <w:lang w:val="en-AU" w:eastAsia="en-AU"/>
              </w:rPr>
            </w:pPr>
            <w:r>
              <w:rPr>
                <w:lang w:val="en-AU" w:eastAsia="en-AU"/>
              </w:rPr>
              <w:t>2</w:t>
            </w:r>
          </w:p>
        </w:tc>
        <w:tc>
          <w:tcPr>
            <w:tcW w:w="0" w:type="auto"/>
            <w:hideMark/>
          </w:tcPr>
          <w:p w14:paraId="372E01F7"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180</w:t>
            </w:r>
          </w:p>
        </w:tc>
        <w:tc>
          <w:tcPr>
            <w:tcW w:w="0" w:type="auto"/>
            <w:hideMark/>
          </w:tcPr>
          <w:p w14:paraId="7B0E341F"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120</w:t>
            </w:r>
          </w:p>
        </w:tc>
        <w:tc>
          <w:tcPr>
            <w:tcW w:w="0" w:type="auto"/>
            <w:hideMark/>
          </w:tcPr>
          <w:p w14:paraId="6AF28FD5"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180 − 120 = </w:t>
            </w:r>
            <w:r>
              <w:rPr>
                <w:b/>
                <w:bCs/>
                <w:lang w:val="en-AU" w:eastAsia="en-AU"/>
              </w:rPr>
              <w:t>60</w:t>
            </w:r>
          </w:p>
        </w:tc>
        <w:tc>
          <w:tcPr>
            <w:tcW w:w="0" w:type="auto"/>
            <w:hideMark/>
          </w:tcPr>
          <w:p w14:paraId="7684C0E8"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60 × 25% = </w:t>
            </w:r>
            <w:r>
              <w:rPr>
                <w:b/>
                <w:bCs/>
                <w:lang w:val="en-AU" w:eastAsia="en-AU"/>
              </w:rPr>
              <w:t>15</w:t>
            </w:r>
          </w:p>
        </w:tc>
        <w:tc>
          <w:tcPr>
            <w:tcW w:w="0" w:type="auto"/>
            <w:hideMark/>
          </w:tcPr>
          <w:p w14:paraId="5DE97F16"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180 − 15 = </w:t>
            </w:r>
            <w:r>
              <w:rPr>
                <w:b/>
                <w:bCs/>
                <w:lang w:val="en-AU" w:eastAsia="en-AU"/>
              </w:rPr>
              <w:t>165</w:t>
            </w:r>
          </w:p>
        </w:tc>
        <w:tc>
          <w:tcPr>
            <w:tcW w:w="0" w:type="auto"/>
            <w:hideMark/>
          </w:tcPr>
          <w:p w14:paraId="61BD641A"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0.9070</w:t>
            </w:r>
          </w:p>
        </w:tc>
        <w:tc>
          <w:tcPr>
            <w:tcW w:w="0" w:type="auto"/>
            <w:hideMark/>
          </w:tcPr>
          <w:p w14:paraId="39B635FA"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165 × 0.9070 = </w:t>
            </w:r>
            <w:r>
              <w:rPr>
                <w:b/>
                <w:bCs/>
                <w:lang w:val="en-AU" w:eastAsia="en-AU"/>
              </w:rPr>
              <w:t>149.660</w:t>
            </w:r>
          </w:p>
        </w:tc>
      </w:tr>
      <w:tr w:rsidR="00A77462" w14:paraId="75A1FE82"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D71991" w14:textId="77777777" w:rsidR="00A77462" w:rsidRDefault="00A77462" w:rsidP="000C685B">
            <w:pPr>
              <w:spacing w:line="256" w:lineRule="auto"/>
              <w:jc w:val="left"/>
              <w:rPr>
                <w:lang w:val="en-AU" w:eastAsia="en-AU"/>
              </w:rPr>
            </w:pPr>
            <w:r>
              <w:rPr>
                <w:lang w:val="en-AU" w:eastAsia="en-AU"/>
              </w:rPr>
              <w:t>3</w:t>
            </w:r>
          </w:p>
        </w:tc>
        <w:tc>
          <w:tcPr>
            <w:tcW w:w="0" w:type="auto"/>
            <w:hideMark/>
          </w:tcPr>
          <w:p w14:paraId="7DFCB1E7"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210</w:t>
            </w:r>
          </w:p>
        </w:tc>
        <w:tc>
          <w:tcPr>
            <w:tcW w:w="0" w:type="auto"/>
            <w:hideMark/>
          </w:tcPr>
          <w:p w14:paraId="6241F024"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120</w:t>
            </w:r>
          </w:p>
        </w:tc>
        <w:tc>
          <w:tcPr>
            <w:tcW w:w="0" w:type="auto"/>
            <w:hideMark/>
          </w:tcPr>
          <w:p w14:paraId="16A66D6C"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210 − 120 = </w:t>
            </w:r>
            <w:r>
              <w:rPr>
                <w:b/>
                <w:bCs/>
                <w:lang w:val="en-AU" w:eastAsia="en-AU"/>
              </w:rPr>
              <w:t>90</w:t>
            </w:r>
          </w:p>
        </w:tc>
        <w:tc>
          <w:tcPr>
            <w:tcW w:w="0" w:type="auto"/>
            <w:hideMark/>
          </w:tcPr>
          <w:p w14:paraId="09C081A2"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90 × 25% = </w:t>
            </w:r>
            <w:r>
              <w:rPr>
                <w:b/>
                <w:bCs/>
                <w:lang w:val="en-AU" w:eastAsia="en-AU"/>
              </w:rPr>
              <w:t>22.5</w:t>
            </w:r>
          </w:p>
        </w:tc>
        <w:tc>
          <w:tcPr>
            <w:tcW w:w="0" w:type="auto"/>
            <w:hideMark/>
          </w:tcPr>
          <w:p w14:paraId="3939DC93"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210 − 22.5 = </w:t>
            </w:r>
            <w:r>
              <w:rPr>
                <w:b/>
                <w:bCs/>
                <w:lang w:val="en-AU" w:eastAsia="en-AU"/>
              </w:rPr>
              <w:t>187.5</w:t>
            </w:r>
          </w:p>
        </w:tc>
        <w:tc>
          <w:tcPr>
            <w:tcW w:w="0" w:type="auto"/>
            <w:hideMark/>
          </w:tcPr>
          <w:p w14:paraId="7BCFBA22"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0.8638</w:t>
            </w:r>
          </w:p>
        </w:tc>
        <w:tc>
          <w:tcPr>
            <w:tcW w:w="0" w:type="auto"/>
            <w:hideMark/>
          </w:tcPr>
          <w:p w14:paraId="6B24962C"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187.5 × 0.8638 = </w:t>
            </w:r>
            <w:r>
              <w:rPr>
                <w:b/>
                <w:bCs/>
                <w:lang w:val="en-AU" w:eastAsia="en-AU"/>
              </w:rPr>
              <w:t>161.970</w:t>
            </w:r>
          </w:p>
        </w:tc>
      </w:tr>
      <w:tr w:rsidR="00A77462" w14:paraId="2BB136E1"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62ADAA0D" w14:textId="77777777" w:rsidR="00A77462" w:rsidRDefault="00A77462" w:rsidP="000C685B">
            <w:pPr>
              <w:spacing w:line="256" w:lineRule="auto"/>
              <w:jc w:val="left"/>
              <w:rPr>
                <w:lang w:val="en-AU" w:eastAsia="en-AU"/>
              </w:rPr>
            </w:pPr>
            <w:r>
              <w:rPr>
                <w:lang w:val="en-AU" w:eastAsia="en-AU"/>
              </w:rPr>
              <w:t>4</w:t>
            </w:r>
          </w:p>
        </w:tc>
        <w:tc>
          <w:tcPr>
            <w:tcW w:w="0" w:type="auto"/>
            <w:hideMark/>
          </w:tcPr>
          <w:p w14:paraId="3B61930F"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260</w:t>
            </w:r>
          </w:p>
        </w:tc>
        <w:tc>
          <w:tcPr>
            <w:tcW w:w="0" w:type="auto"/>
            <w:hideMark/>
          </w:tcPr>
          <w:p w14:paraId="2953743A"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120</w:t>
            </w:r>
          </w:p>
        </w:tc>
        <w:tc>
          <w:tcPr>
            <w:tcW w:w="0" w:type="auto"/>
            <w:hideMark/>
          </w:tcPr>
          <w:p w14:paraId="019E9D61"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260 − 120 = </w:t>
            </w:r>
            <w:r>
              <w:rPr>
                <w:b/>
                <w:bCs/>
                <w:lang w:val="en-AU" w:eastAsia="en-AU"/>
              </w:rPr>
              <w:t>140</w:t>
            </w:r>
          </w:p>
        </w:tc>
        <w:tc>
          <w:tcPr>
            <w:tcW w:w="0" w:type="auto"/>
            <w:hideMark/>
          </w:tcPr>
          <w:p w14:paraId="3D085094"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140 × 25% = </w:t>
            </w:r>
            <w:r>
              <w:rPr>
                <w:b/>
                <w:bCs/>
                <w:lang w:val="en-AU" w:eastAsia="en-AU"/>
              </w:rPr>
              <w:t>35</w:t>
            </w:r>
          </w:p>
        </w:tc>
        <w:tc>
          <w:tcPr>
            <w:tcW w:w="0" w:type="auto"/>
            <w:hideMark/>
          </w:tcPr>
          <w:p w14:paraId="03081C68"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260 − 35 = </w:t>
            </w:r>
            <w:r>
              <w:rPr>
                <w:b/>
                <w:bCs/>
                <w:lang w:val="en-AU" w:eastAsia="en-AU"/>
              </w:rPr>
              <w:t>225</w:t>
            </w:r>
          </w:p>
        </w:tc>
        <w:tc>
          <w:tcPr>
            <w:tcW w:w="0" w:type="auto"/>
            <w:hideMark/>
          </w:tcPr>
          <w:p w14:paraId="69366A2A"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0.8227</w:t>
            </w:r>
          </w:p>
        </w:tc>
        <w:tc>
          <w:tcPr>
            <w:tcW w:w="0" w:type="auto"/>
            <w:hideMark/>
          </w:tcPr>
          <w:p w14:paraId="6793C9CA"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225 × 0.8227 = </w:t>
            </w:r>
            <w:r>
              <w:rPr>
                <w:b/>
                <w:bCs/>
                <w:lang w:val="en-AU" w:eastAsia="en-AU"/>
              </w:rPr>
              <w:t>185.108</w:t>
            </w:r>
          </w:p>
        </w:tc>
      </w:tr>
    </w:tbl>
    <w:p w14:paraId="4893302D" w14:textId="77777777" w:rsidR="00A77462" w:rsidRPr="001C195C" w:rsidRDefault="00A77462" w:rsidP="001C195C">
      <w:pPr>
        <w:pStyle w:val="ListParagraph"/>
        <w:numPr>
          <w:ilvl w:val="0"/>
          <w:numId w:val="32"/>
        </w:numPr>
        <w:spacing w:line="256" w:lineRule="auto"/>
        <w:jc w:val="left"/>
        <w:rPr>
          <w:lang w:val="en-AU"/>
        </w:rPr>
      </w:pPr>
      <w:r w:rsidRPr="001C195C">
        <w:rPr>
          <w:b/>
          <w:bCs/>
          <w:lang w:val="en-AU"/>
        </w:rPr>
        <w:t>Total PV of after-tax cash flows:</w:t>
      </w:r>
      <w:r w:rsidRPr="001C195C">
        <w:rPr>
          <w:lang w:val="en-AU"/>
        </w:rPr>
        <w:br/>
        <w:t>= 100.000 + 149.660 + 161.970 + 185.108</w:t>
      </w:r>
      <w:r w:rsidRPr="001C195C">
        <w:rPr>
          <w:lang w:val="en-AU"/>
        </w:rPr>
        <w:br/>
        <w:t xml:space="preserve">= </w:t>
      </w:r>
      <w:r w:rsidRPr="001C195C">
        <w:rPr>
          <w:b/>
          <w:bCs/>
          <w:lang w:val="en-AU"/>
        </w:rPr>
        <w:t>596.737</w:t>
      </w:r>
    </w:p>
    <w:p w14:paraId="51AC1167" w14:textId="77777777" w:rsidR="00A77462" w:rsidRPr="001C195C" w:rsidRDefault="00A77462" w:rsidP="001C195C">
      <w:pPr>
        <w:pStyle w:val="ListParagraph"/>
        <w:numPr>
          <w:ilvl w:val="0"/>
          <w:numId w:val="32"/>
        </w:numPr>
        <w:spacing w:line="256" w:lineRule="auto"/>
        <w:jc w:val="left"/>
        <w:rPr>
          <w:lang w:val="en-AU"/>
        </w:rPr>
      </w:pPr>
      <w:r w:rsidRPr="001C195C">
        <w:rPr>
          <w:b/>
          <w:bCs/>
          <w:lang w:val="en-AU"/>
        </w:rPr>
        <w:t>NPV:</w:t>
      </w:r>
      <w:r w:rsidRPr="001C195C">
        <w:rPr>
          <w:lang w:val="en-AU"/>
        </w:rPr>
        <w:br/>
        <w:t>= 596.737 − 600</w:t>
      </w:r>
      <w:r w:rsidRPr="001C195C">
        <w:rPr>
          <w:lang w:val="en-AU"/>
        </w:rPr>
        <w:br/>
        <w:t xml:space="preserve">= </w:t>
      </w:r>
      <w:r w:rsidRPr="001C195C">
        <w:rPr>
          <w:b/>
          <w:bCs/>
          <w:lang w:val="en-AU"/>
        </w:rPr>
        <w:t>-3.263</w:t>
      </w:r>
    </w:p>
    <w:p w14:paraId="51247B34" w14:textId="77777777" w:rsidR="00A77462" w:rsidRDefault="00A77462" w:rsidP="001C195C">
      <w:pPr>
        <w:pStyle w:val="Heading3"/>
        <w:numPr>
          <w:ilvl w:val="2"/>
          <w:numId w:val="9"/>
        </w:numPr>
        <w:rPr>
          <w:lang w:val="en-AU"/>
        </w:rPr>
      </w:pPr>
      <w:bookmarkStart w:id="36" w:name="_Toc236249804"/>
      <w:r>
        <w:rPr>
          <w:lang w:val="en-AU"/>
        </w:rPr>
        <w:t>D2. Option B: Develop internet sales</w:t>
      </w:r>
      <w:bookmarkEnd w:id="36"/>
    </w:p>
    <w:p w14:paraId="7F974B1C" w14:textId="77777777" w:rsidR="00A77462" w:rsidRDefault="00A77462" w:rsidP="00A77462">
      <w:pPr>
        <w:spacing w:line="256" w:lineRule="auto"/>
        <w:jc w:val="left"/>
        <w:rPr>
          <w:lang w:val="en-AU"/>
        </w:rPr>
      </w:pPr>
      <w:r>
        <w:rPr>
          <w:lang w:val="en-AU"/>
        </w:rPr>
        <w:t xml:space="preserve">Initial investment = </w:t>
      </w:r>
      <w:r>
        <w:rPr>
          <w:b/>
          <w:bCs/>
          <w:lang w:val="en-AU"/>
        </w:rPr>
        <w:t>£900k</w:t>
      </w:r>
      <w:r>
        <w:rPr>
          <w:lang w:val="en-AU"/>
        </w:rPr>
        <w:br/>
        <w:t xml:space="preserve">Annual capital allowance = </w:t>
      </w:r>
      <w:r>
        <w:rPr>
          <w:b/>
          <w:bCs/>
          <w:lang w:val="en-AU"/>
        </w:rPr>
        <w:t>£180k</w:t>
      </w:r>
    </w:p>
    <w:tbl>
      <w:tblPr>
        <w:tblStyle w:val="GridTable4-Accent11"/>
        <w:tblW w:w="0" w:type="auto"/>
        <w:tblLook w:val="04A0" w:firstRow="1" w:lastRow="0" w:firstColumn="1" w:lastColumn="0" w:noHBand="0" w:noVBand="1"/>
      </w:tblPr>
      <w:tblGrid>
        <w:gridCol w:w="683"/>
        <w:gridCol w:w="907"/>
        <w:gridCol w:w="1506"/>
        <w:gridCol w:w="1334"/>
        <w:gridCol w:w="1200"/>
        <w:gridCol w:w="1342"/>
        <w:gridCol w:w="887"/>
        <w:gridCol w:w="1717"/>
      </w:tblGrid>
      <w:tr w:rsidR="00A77462" w14:paraId="7A9B7B1F" w14:textId="77777777" w:rsidTr="001C1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96D7A" w14:textId="77777777" w:rsidR="00A77462" w:rsidRDefault="00A77462" w:rsidP="000C685B">
            <w:pPr>
              <w:spacing w:line="256" w:lineRule="auto"/>
              <w:jc w:val="left"/>
              <w:rPr>
                <w:b w:val="0"/>
                <w:bCs w:val="0"/>
                <w:lang w:val="en-AU" w:eastAsia="en-AU"/>
              </w:rPr>
            </w:pPr>
            <w:r>
              <w:rPr>
                <w:b w:val="0"/>
                <w:bCs w:val="0"/>
                <w:lang w:val="en-AU" w:eastAsia="en-AU"/>
              </w:rPr>
              <w:t>Year</w:t>
            </w:r>
          </w:p>
        </w:tc>
        <w:tc>
          <w:tcPr>
            <w:tcW w:w="0" w:type="auto"/>
            <w:hideMark/>
          </w:tcPr>
          <w:p w14:paraId="5259C859"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Cash flow</w:t>
            </w:r>
          </w:p>
        </w:tc>
        <w:tc>
          <w:tcPr>
            <w:tcW w:w="0" w:type="auto"/>
            <w:hideMark/>
          </w:tcPr>
          <w:p w14:paraId="5967CECE"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Capital allowance</w:t>
            </w:r>
          </w:p>
        </w:tc>
        <w:tc>
          <w:tcPr>
            <w:tcW w:w="0" w:type="auto"/>
            <w:hideMark/>
          </w:tcPr>
          <w:p w14:paraId="7E7591D2"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Taxable profit</w:t>
            </w:r>
          </w:p>
        </w:tc>
        <w:tc>
          <w:tcPr>
            <w:tcW w:w="0" w:type="auto"/>
            <w:hideMark/>
          </w:tcPr>
          <w:p w14:paraId="7F680F16"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Tax at 25%</w:t>
            </w:r>
          </w:p>
        </w:tc>
        <w:tc>
          <w:tcPr>
            <w:tcW w:w="0" w:type="auto"/>
            <w:hideMark/>
          </w:tcPr>
          <w:p w14:paraId="5617AB1D"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After-tax cash flow</w:t>
            </w:r>
          </w:p>
        </w:tc>
        <w:tc>
          <w:tcPr>
            <w:tcW w:w="0" w:type="auto"/>
            <w:hideMark/>
          </w:tcPr>
          <w:p w14:paraId="650C5591"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DF 5%</w:t>
            </w:r>
          </w:p>
        </w:tc>
        <w:tc>
          <w:tcPr>
            <w:tcW w:w="0" w:type="auto"/>
            <w:hideMark/>
          </w:tcPr>
          <w:p w14:paraId="253B9A4E"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Present value</w:t>
            </w:r>
          </w:p>
        </w:tc>
      </w:tr>
      <w:tr w:rsidR="00A77462" w14:paraId="6B0F575D"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CF5DD5" w14:textId="77777777" w:rsidR="00A77462" w:rsidRDefault="00A77462" w:rsidP="000C685B">
            <w:pPr>
              <w:spacing w:line="256" w:lineRule="auto"/>
              <w:jc w:val="left"/>
              <w:rPr>
                <w:lang w:val="en-AU" w:eastAsia="en-AU"/>
              </w:rPr>
            </w:pPr>
            <w:r>
              <w:rPr>
                <w:lang w:val="en-AU" w:eastAsia="en-AU"/>
              </w:rPr>
              <w:t>1</w:t>
            </w:r>
          </w:p>
        </w:tc>
        <w:tc>
          <w:tcPr>
            <w:tcW w:w="0" w:type="auto"/>
            <w:hideMark/>
          </w:tcPr>
          <w:p w14:paraId="634F7ABC"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220</w:t>
            </w:r>
          </w:p>
        </w:tc>
        <w:tc>
          <w:tcPr>
            <w:tcW w:w="0" w:type="auto"/>
            <w:hideMark/>
          </w:tcPr>
          <w:p w14:paraId="7B246DA3"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180</w:t>
            </w:r>
          </w:p>
        </w:tc>
        <w:tc>
          <w:tcPr>
            <w:tcW w:w="0" w:type="auto"/>
            <w:hideMark/>
          </w:tcPr>
          <w:p w14:paraId="3F8F0345"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220 − 180 = </w:t>
            </w:r>
            <w:r>
              <w:rPr>
                <w:b/>
                <w:bCs/>
                <w:lang w:val="en-AU" w:eastAsia="en-AU"/>
              </w:rPr>
              <w:t>40</w:t>
            </w:r>
          </w:p>
        </w:tc>
        <w:tc>
          <w:tcPr>
            <w:tcW w:w="0" w:type="auto"/>
            <w:hideMark/>
          </w:tcPr>
          <w:p w14:paraId="6C7D4E0C"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40 × 25% = </w:t>
            </w:r>
            <w:r>
              <w:rPr>
                <w:b/>
                <w:bCs/>
                <w:lang w:val="en-AU" w:eastAsia="en-AU"/>
              </w:rPr>
              <w:t>10</w:t>
            </w:r>
          </w:p>
        </w:tc>
        <w:tc>
          <w:tcPr>
            <w:tcW w:w="0" w:type="auto"/>
            <w:hideMark/>
          </w:tcPr>
          <w:p w14:paraId="1E28165A"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220 − 10 = </w:t>
            </w:r>
            <w:r>
              <w:rPr>
                <w:b/>
                <w:bCs/>
                <w:lang w:val="en-AU" w:eastAsia="en-AU"/>
              </w:rPr>
              <w:t>210</w:t>
            </w:r>
          </w:p>
        </w:tc>
        <w:tc>
          <w:tcPr>
            <w:tcW w:w="0" w:type="auto"/>
            <w:hideMark/>
          </w:tcPr>
          <w:p w14:paraId="02EE3512"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0.9524</w:t>
            </w:r>
          </w:p>
        </w:tc>
        <w:tc>
          <w:tcPr>
            <w:tcW w:w="0" w:type="auto"/>
            <w:hideMark/>
          </w:tcPr>
          <w:p w14:paraId="077693C3"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210 × 0.9524 = </w:t>
            </w:r>
            <w:r>
              <w:rPr>
                <w:b/>
                <w:bCs/>
                <w:lang w:val="en-AU" w:eastAsia="en-AU"/>
              </w:rPr>
              <w:t>200.000</w:t>
            </w:r>
          </w:p>
        </w:tc>
      </w:tr>
      <w:tr w:rsidR="00A77462" w14:paraId="2BF5C001"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46976C1C" w14:textId="77777777" w:rsidR="00A77462" w:rsidRDefault="00A77462" w:rsidP="000C685B">
            <w:pPr>
              <w:spacing w:line="256" w:lineRule="auto"/>
              <w:jc w:val="left"/>
              <w:rPr>
                <w:lang w:val="en-AU" w:eastAsia="en-AU"/>
              </w:rPr>
            </w:pPr>
            <w:r>
              <w:rPr>
                <w:lang w:val="en-AU" w:eastAsia="en-AU"/>
              </w:rPr>
              <w:t>2</w:t>
            </w:r>
          </w:p>
        </w:tc>
        <w:tc>
          <w:tcPr>
            <w:tcW w:w="0" w:type="auto"/>
            <w:hideMark/>
          </w:tcPr>
          <w:p w14:paraId="3A1B36EE"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270</w:t>
            </w:r>
          </w:p>
        </w:tc>
        <w:tc>
          <w:tcPr>
            <w:tcW w:w="0" w:type="auto"/>
            <w:hideMark/>
          </w:tcPr>
          <w:p w14:paraId="41170A40"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180</w:t>
            </w:r>
          </w:p>
        </w:tc>
        <w:tc>
          <w:tcPr>
            <w:tcW w:w="0" w:type="auto"/>
            <w:hideMark/>
          </w:tcPr>
          <w:p w14:paraId="2BF0FF29"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270 − 180 = </w:t>
            </w:r>
            <w:r>
              <w:rPr>
                <w:b/>
                <w:bCs/>
                <w:lang w:val="en-AU" w:eastAsia="en-AU"/>
              </w:rPr>
              <w:t>90</w:t>
            </w:r>
          </w:p>
        </w:tc>
        <w:tc>
          <w:tcPr>
            <w:tcW w:w="0" w:type="auto"/>
            <w:hideMark/>
          </w:tcPr>
          <w:p w14:paraId="57798D6D"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90 × 25% = </w:t>
            </w:r>
            <w:r>
              <w:rPr>
                <w:b/>
                <w:bCs/>
                <w:lang w:val="en-AU" w:eastAsia="en-AU"/>
              </w:rPr>
              <w:t>22.5</w:t>
            </w:r>
          </w:p>
        </w:tc>
        <w:tc>
          <w:tcPr>
            <w:tcW w:w="0" w:type="auto"/>
            <w:hideMark/>
          </w:tcPr>
          <w:p w14:paraId="6D337E03"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270 − 22.5 = </w:t>
            </w:r>
            <w:r>
              <w:rPr>
                <w:b/>
                <w:bCs/>
                <w:lang w:val="en-AU" w:eastAsia="en-AU"/>
              </w:rPr>
              <w:t>247.5</w:t>
            </w:r>
          </w:p>
        </w:tc>
        <w:tc>
          <w:tcPr>
            <w:tcW w:w="0" w:type="auto"/>
            <w:hideMark/>
          </w:tcPr>
          <w:p w14:paraId="6B763D1C"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0.9070</w:t>
            </w:r>
          </w:p>
        </w:tc>
        <w:tc>
          <w:tcPr>
            <w:tcW w:w="0" w:type="auto"/>
            <w:hideMark/>
          </w:tcPr>
          <w:p w14:paraId="32135D79"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247.5 × 0.9070 = </w:t>
            </w:r>
            <w:r>
              <w:rPr>
                <w:b/>
                <w:bCs/>
                <w:lang w:val="en-AU" w:eastAsia="en-AU"/>
              </w:rPr>
              <w:t>224.490</w:t>
            </w:r>
          </w:p>
        </w:tc>
      </w:tr>
      <w:tr w:rsidR="00A77462" w14:paraId="1682AA03"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D3A010" w14:textId="77777777" w:rsidR="00A77462" w:rsidRDefault="00A77462" w:rsidP="000C685B">
            <w:pPr>
              <w:spacing w:line="256" w:lineRule="auto"/>
              <w:jc w:val="left"/>
              <w:rPr>
                <w:lang w:val="en-AU" w:eastAsia="en-AU"/>
              </w:rPr>
            </w:pPr>
            <w:r>
              <w:rPr>
                <w:lang w:val="en-AU" w:eastAsia="en-AU"/>
              </w:rPr>
              <w:t>3</w:t>
            </w:r>
          </w:p>
        </w:tc>
        <w:tc>
          <w:tcPr>
            <w:tcW w:w="0" w:type="auto"/>
            <w:hideMark/>
          </w:tcPr>
          <w:p w14:paraId="0AB0340C"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350</w:t>
            </w:r>
          </w:p>
        </w:tc>
        <w:tc>
          <w:tcPr>
            <w:tcW w:w="0" w:type="auto"/>
            <w:hideMark/>
          </w:tcPr>
          <w:p w14:paraId="24C9669C"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180</w:t>
            </w:r>
          </w:p>
        </w:tc>
        <w:tc>
          <w:tcPr>
            <w:tcW w:w="0" w:type="auto"/>
            <w:hideMark/>
          </w:tcPr>
          <w:p w14:paraId="5D7235A1"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350 − 180 = </w:t>
            </w:r>
            <w:r>
              <w:rPr>
                <w:b/>
                <w:bCs/>
                <w:lang w:val="en-AU" w:eastAsia="en-AU"/>
              </w:rPr>
              <w:t>170</w:t>
            </w:r>
          </w:p>
        </w:tc>
        <w:tc>
          <w:tcPr>
            <w:tcW w:w="0" w:type="auto"/>
            <w:hideMark/>
          </w:tcPr>
          <w:p w14:paraId="01803BDB"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170 × 25% = </w:t>
            </w:r>
            <w:r>
              <w:rPr>
                <w:b/>
                <w:bCs/>
                <w:lang w:val="en-AU" w:eastAsia="en-AU"/>
              </w:rPr>
              <w:t>42.5</w:t>
            </w:r>
          </w:p>
        </w:tc>
        <w:tc>
          <w:tcPr>
            <w:tcW w:w="0" w:type="auto"/>
            <w:hideMark/>
          </w:tcPr>
          <w:p w14:paraId="2F84F649"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350 − 42.5 = </w:t>
            </w:r>
            <w:r>
              <w:rPr>
                <w:b/>
                <w:bCs/>
                <w:lang w:val="en-AU" w:eastAsia="en-AU"/>
              </w:rPr>
              <w:t>307.5</w:t>
            </w:r>
          </w:p>
        </w:tc>
        <w:tc>
          <w:tcPr>
            <w:tcW w:w="0" w:type="auto"/>
            <w:hideMark/>
          </w:tcPr>
          <w:p w14:paraId="1AE90B11"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0.8638</w:t>
            </w:r>
          </w:p>
        </w:tc>
        <w:tc>
          <w:tcPr>
            <w:tcW w:w="0" w:type="auto"/>
            <w:hideMark/>
          </w:tcPr>
          <w:p w14:paraId="795A4129"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307.5 × 0.8638 = </w:t>
            </w:r>
            <w:r>
              <w:rPr>
                <w:b/>
                <w:bCs/>
                <w:lang w:val="en-AU" w:eastAsia="en-AU"/>
              </w:rPr>
              <w:t>265.630</w:t>
            </w:r>
          </w:p>
        </w:tc>
      </w:tr>
      <w:tr w:rsidR="00A77462" w14:paraId="0DB0FAD0"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2DC0E45F" w14:textId="77777777" w:rsidR="00A77462" w:rsidRDefault="00A77462" w:rsidP="000C685B">
            <w:pPr>
              <w:spacing w:line="256" w:lineRule="auto"/>
              <w:jc w:val="left"/>
              <w:rPr>
                <w:lang w:val="en-AU" w:eastAsia="en-AU"/>
              </w:rPr>
            </w:pPr>
            <w:r>
              <w:rPr>
                <w:lang w:val="en-AU" w:eastAsia="en-AU"/>
              </w:rPr>
              <w:lastRenderedPageBreak/>
              <w:t>4</w:t>
            </w:r>
          </w:p>
        </w:tc>
        <w:tc>
          <w:tcPr>
            <w:tcW w:w="0" w:type="auto"/>
            <w:hideMark/>
          </w:tcPr>
          <w:p w14:paraId="5C05DB97"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400</w:t>
            </w:r>
          </w:p>
        </w:tc>
        <w:tc>
          <w:tcPr>
            <w:tcW w:w="0" w:type="auto"/>
            <w:hideMark/>
          </w:tcPr>
          <w:p w14:paraId="67C609D8"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180</w:t>
            </w:r>
          </w:p>
        </w:tc>
        <w:tc>
          <w:tcPr>
            <w:tcW w:w="0" w:type="auto"/>
            <w:hideMark/>
          </w:tcPr>
          <w:p w14:paraId="33748314"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400 − 180 = </w:t>
            </w:r>
            <w:r>
              <w:rPr>
                <w:b/>
                <w:bCs/>
                <w:lang w:val="en-AU" w:eastAsia="en-AU"/>
              </w:rPr>
              <w:t>220</w:t>
            </w:r>
          </w:p>
        </w:tc>
        <w:tc>
          <w:tcPr>
            <w:tcW w:w="0" w:type="auto"/>
            <w:hideMark/>
          </w:tcPr>
          <w:p w14:paraId="17D5676A"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220 × 25% = </w:t>
            </w:r>
            <w:r>
              <w:rPr>
                <w:b/>
                <w:bCs/>
                <w:lang w:val="en-AU" w:eastAsia="en-AU"/>
              </w:rPr>
              <w:t>55</w:t>
            </w:r>
          </w:p>
        </w:tc>
        <w:tc>
          <w:tcPr>
            <w:tcW w:w="0" w:type="auto"/>
            <w:hideMark/>
          </w:tcPr>
          <w:p w14:paraId="70ED1C7B"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400 − 55 = </w:t>
            </w:r>
            <w:r>
              <w:rPr>
                <w:b/>
                <w:bCs/>
                <w:lang w:val="en-AU" w:eastAsia="en-AU"/>
              </w:rPr>
              <w:t>345</w:t>
            </w:r>
          </w:p>
        </w:tc>
        <w:tc>
          <w:tcPr>
            <w:tcW w:w="0" w:type="auto"/>
            <w:hideMark/>
          </w:tcPr>
          <w:p w14:paraId="536A85C1"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0.8227</w:t>
            </w:r>
          </w:p>
        </w:tc>
        <w:tc>
          <w:tcPr>
            <w:tcW w:w="0" w:type="auto"/>
            <w:hideMark/>
          </w:tcPr>
          <w:p w14:paraId="389A2CAF"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345 × 0.8227 = </w:t>
            </w:r>
            <w:r>
              <w:rPr>
                <w:b/>
                <w:bCs/>
                <w:lang w:val="en-AU" w:eastAsia="en-AU"/>
              </w:rPr>
              <w:t>283.832</w:t>
            </w:r>
          </w:p>
        </w:tc>
      </w:tr>
    </w:tbl>
    <w:p w14:paraId="5992AABE" w14:textId="77777777" w:rsidR="00A77462" w:rsidRPr="001C195C" w:rsidRDefault="00A77462" w:rsidP="001C195C">
      <w:pPr>
        <w:pStyle w:val="ListParagraph"/>
        <w:numPr>
          <w:ilvl w:val="0"/>
          <w:numId w:val="35"/>
        </w:numPr>
        <w:spacing w:line="256" w:lineRule="auto"/>
        <w:jc w:val="left"/>
        <w:rPr>
          <w:lang w:val="en-AU"/>
        </w:rPr>
      </w:pPr>
      <w:r w:rsidRPr="001C195C">
        <w:rPr>
          <w:bCs/>
          <w:lang w:val="en-AU"/>
        </w:rPr>
        <w:t>Total PV of after-tax cash flows:</w:t>
      </w:r>
      <w:r w:rsidRPr="001C195C">
        <w:rPr>
          <w:lang w:val="en-AU"/>
        </w:rPr>
        <w:br/>
        <w:t>= 200.000 + 224.490 + 265.630 + 283.832</w:t>
      </w:r>
      <w:r w:rsidRPr="001C195C">
        <w:rPr>
          <w:lang w:val="en-AU"/>
        </w:rPr>
        <w:br/>
        <w:t xml:space="preserve">= </w:t>
      </w:r>
      <w:r w:rsidRPr="001C195C">
        <w:rPr>
          <w:bCs/>
          <w:lang w:val="en-AU"/>
        </w:rPr>
        <w:t>973.952</w:t>
      </w:r>
    </w:p>
    <w:p w14:paraId="6AAD292A" w14:textId="77777777" w:rsidR="00A77462" w:rsidRPr="001C195C" w:rsidRDefault="00A77462" w:rsidP="001C195C">
      <w:pPr>
        <w:pStyle w:val="ListParagraph"/>
        <w:numPr>
          <w:ilvl w:val="0"/>
          <w:numId w:val="35"/>
        </w:numPr>
        <w:spacing w:line="256" w:lineRule="auto"/>
        <w:jc w:val="left"/>
        <w:rPr>
          <w:lang w:val="en-AU"/>
        </w:rPr>
      </w:pPr>
      <w:r w:rsidRPr="001C195C">
        <w:rPr>
          <w:bCs/>
          <w:lang w:val="en-AU"/>
        </w:rPr>
        <w:t>NPV:</w:t>
      </w:r>
      <w:r w:rsidRPr="001C195C">
        <w:rPr>
          <w:lang w:val="en-AU"/>
        </w:rPr>
        <w:br/>
        <w:t>= 973.952 − 900</w:t>
      </w:r>
      <w:r w:rsidRPr="001C195C">
        <w:rPr>
          <w:lang w:val="en-AU"/>
        </w:rPr>
        <w:br/>
        <w:t xml:space="preserve">= </w:t>
      </w:r>
      <w:r w:rsidRPr="001C195C">
        <w:rPr>
          <w:bCs/>
          <w:lang w:val="en-AU"/>
        </w:rPr>
        <w:t>73.952</w:t>
      </w:r>
    </w:p>
    <w:p w14:paraId="101130EA" w14:textId="77777777" w:rsidR="00A77462" w:rsidRDefault="00A77462" w:rsidP="001C195C">
      <w:pPr>
        <w:pStyle w:val="Heading3"/>
        <w:numPr>
          <w:ilvl w:val="2"/>
          <w:numId w:val="9"/>
        </w:numPr>
        <w:rPr>
          <w:lang w:val="en-AU"/>
        </w:rPr>
      </w:pPr>
      <w:bookmarkStart w:id="37" w:name="_Toc236249805"/>
      <w:r>
        <w:rPr>
          <w:lang w:val="en-AU"/>
        </w:rPr>
        <w:t>D3. Option C: Produce purses and wallets</w:t>
      </w:r>
      <w:bookmarkEnd w:id="37"/>
    </w:p>
    <w:p w14:paraId="7E8E2FC2" w14:textId="77777777" w:rsidR="00A77462" w:rsidRDefault="00A77462" w:rsidP="00A77462">
      <w:pPr>
        <w:spacing w:line="256" w:lineRule="auto"/>
        <w:jc w:val="left"/>
        <w:rPr>
          <w:lang w:val="en-AU"/>
        </w:rPr>
      </w:pPr>
      <w:r>
        <w:rPr>
          <w:lang w:val="en-AU"/>
        </w:rPr>
        <w:t xml:space="preserve">Initial investment = </w:t>
      </w:r>
      <w:r>
        <w:rPr>
          <w:b/>
          <w:bCs/>
          <w:lang w:val="en-AU"/>
        </w:rPr>
        <w:t>£1,000k</w:t>
      </w:r>
      <w:r>
        <w:rPr>
          <w:lang w:val="en-AU"/>
        </w:rPr>
        <w:br/>
        <w:t xml:space="preserve">Annual capital allowance = </w:t>
      </w:r>
      <w:r>
        <w:rPr>
          <w:b/>
          <w:bCs/>
          <w:lang w:val="en-AU"/>
        </w:rPr>
        <w:t>£200k</w:t>
      </w:r>
    </w:p>
    <w:tbl>
      <w:tblPr>
        <w:tblStyle w:val="GridTable4-Accent11"/>
        <w:tblW w:w="0" w:type="auto"/>
        <w:tblLook w:val="04A0" w:firstRow="1" w:lastRow="0" w:firstColumn="1" w:lastColumn="0" w:noHBand="0" w:noVBand="1"/>
      </w:tblPr>
      <w:tblGrid>
        <w:gridCol w:w="683"/>
        <w:gridCol w:w="907"/>
        <w:gridCol w:w="1506"/>
        <w:gridCol w:w="1334"/>
        <w:gridCol w:w="1200"/>
        <w:gridCol w:w="1342"/>
        <w:gridCol w:w="887"/>
        <w:gridCol w:w="1717"/>
      </w:tblGrid>
      <w:tr w:rsidR="00A77462" w14:paraId="1B03F033" w14:textId="77777777" w:rsidTr="001C1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B32DE" w14:textId="77777777" w:rsidR="00A77462" w:rsidRDefault="00A77462" w:rsidP="000C685B">
            <w:pPr>
              <w:spacing w:line="256" w:lineRule="auto"/>
              <w:rPr>
                <w:b w:val="0"/>
                <w:bCs w:val="0"/>
                <w:lang w:val="en-AU" w:eastAsia="en-AU"/>
              </w:rPr>
            </w:pPr>
            <w:r>
              <w:rPr>
                <w:b w:val="0"/>
                <w:bCs w:val="0"/>
                <w:lang w:val="en-AU" w:eastAsia="en-AU"/>
              </w:rPr>
              <w:t>Year</w:t>
            </w:r>
          </w:p>
        </w:tc>
        <w:tc>
          <w:tcPr>
            <w:tcW w:w="0" w:type="auto"/>
            <w:hideMark/>
          </w:tcPr>
          <w:p w14:paraId="216B3F33"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Cash flow</w:t>
            </w:r>
          </w:p>
        </w:tc>
        <w:tc>
          <w:tcPr>
            <w:tcW w:w="0" w:type="auto"/>
            <w:hideMark/>
          </w:tcPr>
          <w:p w14:paraId="2A64451F"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Capital allowance</w:t>
            </w:r>
          </w:p>
        </w:tc>
        <w:tc>
          <w:tcPr>
            <w:tcW w:w="0" w:type="auto"/>
            <w:hideMark/>
          </w:tcPr>
          <w:p w14:paraId="63BC7593"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Taxable profit</w:t>
            </w:r>
          </w:p>
        </w:tc>
        <w:tc>
          <w:tcPr>
            <w:tcW w:w="0" w:type="auto"/>
            <w:hideMark/>
          </w:tcPr>
          <w:p w14:paraId="4FF774E6"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Tax at 25%</w:t>
            </w:r>
          </w:p>
        </w:tc>
        <w:tc>
          <w:tcPr>
            <w:tcW w:w="0" w:type="auto"/>
            <w:hideMark/>
          </w:tcPr>
          <w:p w14:paraId="634C75FE"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After-tax cash flow</w:t>
            </w:r>
          </w:p>
        </w:tc>
        <w:tc>
          <w:tcPr>
            <w:tcW w:w="0" w:type="auto"/>
            <w:hideMark/>
          </w:tcPr>
          <w:p w14:paraId="07577455"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DF 5%</w:t>
            </w:r>
          </w:p>
        </w:tc>
        <w:tc>
          <w:tcPr>
            <w:tcW w:w="0" w:type="auto"/>
            <w:hideMark/>
          </w:tcPr>
          <w:p w14:paraId="4116994D"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Present value</w:t>
            </w:r>
          </w:p>
        </w:tc>
      </w:tr>
      <w:tr w:rsidR="00A77462" w14:paraId="21FE2A06"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22841C" w14:textId="77777777" w:rsidR="00A77462" w:rsidRDefault="00A77462" w:rsidP="000C685B">
            <w:pPr>
              <w:spacing w:line="256" w:lineRule="auto"/>
              <w:rPr>
                <w:lang w:val="en-AU" w:eastAsia="en-AU"/>
              </w:rPr>
            </w:pPr>
            <w:r>
              <w:rPr>
                <w:lang w:val="en-AU" w:eastAsia="en-AU"/>
              </w:rPr>
              <w:t>1</w:t>
            </w:r>
          </w:p>
        </w:tc>
        <w:tc>
          <w:tcPr>
            <w:tcW w:w="0" w:type="auto"/>
            <w:hideMark/>
          </w:tcPr>
          <w:p w14:paraId="2432E6C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250</w:t>
            </w:r>
          </w:p>
        </w:tc>
        <w:tc>
          <w:tcPr>
            <w:tcW w:w="0" w:type="auto"/>
            <w:hideMark/>
          </w:tcPr>
          <w:p w14:paraId="4FCB905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200</w:t>
            </w:r>
          </w:p>
        </w:tc>
        <w:tc>
          <w:tcPr>
            <w:tcW w:w="0" w:type="auto"/>
            <w:hideMark/>
          </w:tcPr>
          <w:p w14:paraId="4F6D6C94"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250 − 200 = </w:t>
            </w:r>
            <w:r>
              <w:rPr>
                <w:b/>
                <w:bCs/>
                <w:lang w:val="en-AU" w:eastAsia="en-AU"/>
              </w:rPr>
              <w:t>50</w:t>
            </w:r>
          </w:p>
        </w:tc>
        <w:tc>
          <w:tcPr>
            <w:tcW w:w="0" w:type="auto"/>
            <w:hideMark/>
          </w:tcPr>
          <w:p w14:paraId="33EB3B70"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50 × 25% = </w:t>
            </w:r>
            <w:r>
              <w:rPr>
                <w:b/>
                <w:bCs/>
                <w:lang w:val="en-AU" w:eastAsia="en-AU"/>
              </w:rPr>
              <w:t>12.5</w:t>
            </w:r>
          </w:p>
        </w:tc>
        <w:tc>
          <w:tcPr>
            <w:tcW w:w="0" w:type="auto"/>
            <w:hideMark/>
          </w:tcPr>
          <w:p w14:paraId="6254111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250 − 12.5 = </w:t>
            </w:r>
            <w:r>
              <w:rPr>
                <w:b/>
                <w:bCs/>
                <w:lang w:val="en-AU" w:eastAsia="en-AU"/>
              </w:rPr>
              <w:t>237.5</w:t>
            </w:r>
          </w:p>
        </w:tc>
        <w:tc>
          <w:tcPr>
            <w:tcW w:w="0" w:type="auto"/>
            <w:hideMark/>
          </w:tcPr>
          <w:p w14:paraId="4E1FFA7D"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0.9524</w:t>
            </w:r>
          </w:p>
        </w:tc>
        <w:tc>
          <w:tcPr>
            <w:tcW w:w="0" w:type="auto"/>
            <w:hideMark/>
          </w:tcPr>
          <w:p w14:paraId="3BD97F87"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237.5 × 0.9524 = </w:t>
            </w:r>
            <w:r>
              <w:rPr>
                <w:b/>
                <w:bCs/>
                <w:lang w:val="en-AU" w:eastAsia="en-AU"/>
              </w:rPr>
              <w:t>226.190</w:t>
            </w:r>
          </w:p>
        </w:tc>
      </w:tr>
      <w:tr w:rsidR="00A77462" w14:paraId="74195A5A"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2E9EE2B3" w14:textId="77777777" w:rsidR="00A77462" w:rsidRDefault="00A77462" w:rsidP="000C685B">
            <w:pPr>
              <w:spacing w:line="256" w:lineRule="auto"/>
              <w:rPr>
                <w:lang w:val="en-AU" w:eastAsia="en-AU"/>
              </w:rPr>
            </w:pPr>
            <w:r>
              <w:rPr>
                <w:lang w:val="en-AU" w:eastAsia="en-AU"/>
              </w:rPr>
              <w:t>2</w:t>
            </w:r>
          </w:p>
        </w:tc>
        <w:tc>
          <w:tcPr>
            <w:tcW w:w="0" w:type="auto"/>
            <w:hideMark/>
          </w:tcPr>
          <w:p w14:paraId="206BC18C"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310</w:t>
            </w:r>
          </w:p>
        </w:tc>
        <w:tc>
          <w:tcPr>
            <w:tcW w:w="0" w:type="auto"/>
            <w:hideMark/>
          </w:tcPr>
          <w:p w14:paraId="60ECED80"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200</w:t>
            </w:r>
          </w:p>
        </w:tc>
        <w:tc>
          <w:tcPr>
            <w:tcW w:w="0" w:type="auto"/>
            <w:hideMark/>
          </w:tcPr>
          <w:p w14:paraId="7C6038F0"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310 − 200 = </w:t>
            </w:r>
            <w:r>
              <w:rPr>
                <w:b/>
                <w:bCs/>
                <w:lang w:val="en-AU" w:eastAsia="en-AU"/>
              </w:rPr>
              <w:t>110</w:t>
            </w:r>
          </w:p>
        </w:tc>
        <w:tc>
          <w:tcPr>
            <w:tcW w:w="0" w:type="auto"/>
            <w:hideMark/>
          </w:tcPr>
          <w:p w14:paraId="12754F8B"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110 × 25% = </w:t>
            </w:r>
            <w:r>
              <w:rPr>
                <w:b/>
                <w:bCs/>
                <w:lang w:val="en-AU" w:eastAsia="en-AU"/>
              </w:rPr>
              <w:t>27.5</w:t>
            </w:r>
          </w:p>
        </w:tc>
        <w:tc>
          <w:tcPr>
            <w:tcW w:w="0" w:type="auto"/>
            <w:hideMark/>
          </w:tcPr>
          <w:p w14:paraId="397940D1"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310 − 27.5 = </w:t>
            </w:r>
            <w:r>
              <w:rPr>
                <w:b/>
                <w:bCs/>
                <w:lang w:val="en-AU" w:eastAsia="en-AU"/>
              </w:rPr>
              <w:t>282.5</w:t>
            </w:r>
          </w:p>
        </w:tc>
        <w:tc>
          <w:tcPr>
            <w:tcW w:w="0" w:type="auto"/>
            <w:hideMark/>
          </w:tcPr>
          <w:p w14:paraId="7BB86A0A"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0.9070</w:t>
            </w:r>
          </w:p>
        </w:tc>
        <w:tc>
          <w:tcPr>
            <w:tcW w:w="0" w:type="auto"/>
            <w:hideMark/>
          </w:tcPr>
          <w:p w14:paraId="6CC8F2D9"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282.5 × 0.9070 = </w:t>
            </w:r>
            <w:r>
              <w:rPr>
                <w:b/>
                <w:bCs/>
                <w:lang w:val="en-AU" w:eastAsia="en-AU"/>
              </w:rPr>
              <w:t>256.236</w:t>
            </w:r>
          </w:p>
        </w:tc>
      </w:tr>
      <w:tr w:rsidR="00A77462" w14:paraId="400E0394" w14:textId="77777777" w:rsidTr="001C1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AC21B7" w14:textId="77777777" w:rsidR="00A77462" w:rsidRDefault="00A77462" w:rsidP="000C685B">
            <w:pPr>
              <w:spacing w:line="256" w:lineRule="auto"/>
              <w:rPr>
                <w:lang w:val="en-AU" w:eastAsia="en-AU"/>
              </w:rPr>
            </w:pPr>
            <w:r>
              <w:rPr>
                <w:lang w:val="en-AU" w:eastAsia="en-AU"/>
              </w:rPr>
              <w:t>3</w:t>
            </w:r>
          </w:p>
        </w:tc>
        <w:tc>
          <w:tcPr>
            <w:tcW w:w="0" w:type="auto"/>
            <w:hideMark/>
          </w:tcPr>
          <w:p w14:paraId="65961610"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400</w:t>
            </w:r>
          </w:p>
        </w:tc>
        <w:tc>
          <w:tcPr>
            <w:tcW w:w="0" w:type="auto"/>
            <w:hideMark/>
          </w:tcPr>
          <w:p w14:paraId="49D9409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200</w:t>
            </w:r>
          </w:p>
        </w:tc>
        <w:tc>
          <w:tcPr>
            <w:tcW w:w="0" w:type="auto"/>
            <w:hideMark/>
          </w:tcPr>
          <w:p w14:paraId="2E8F1C4C"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400 − 200 = </w:t>
            </w:r>
            <w:r>
              <w:rPr>
                <w:b/>
                <w:bCs/>
                <w:lang w:val="en-AU" w:eastAsia="en-AU"/>
              </w:rPr>
              <w:t>200</w:t>
            </w:r>
          </w:p>
        </w:tc>
        <w:tc>
          <w:tcPr>
            <w:tcW w:w="0" w:type="auto"/>
            <w:hideMark/>
          </w:tcPr>
          <w:p w14:paraId="433D61BB"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200 × 25% = </w:t>
            </w:r>
            <w:r>
              <w:rPr>
                <w:b/>
                <w:bCs/>
                <w:lang w:val="en-AU" w:eastAsia="en-AU"/>
              </w:rPr>
              <w:t>50</w:t>
            </w:r>
          </w:p>
        </w:tc>
        <w:tc>
          <w:tcPr>
            <w:tcW w:w="0" w:type="auto"/>
            <w:hideMark/>
          </w:tcPr>
          <w:p w14:paraId="24DB1FC6"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400 − 50 = </w:t>
            </w:r>
            <w:r>
              <w:rPr>
                <w:b/>
                <w:bCs/>
                <w:lang w:val="en-AU" w:eastAsia="en-AU"/>
              </w:rPr>
              <w:t>350</w:t>
            </w:r>
          </w:p>
        </w:tc>
        <w:tc>
          <w:tcPr>
            <w:tcW w:w="0" w:type="auto"/>
            <w:hideMark/>
          </w:tcPr>
          <w:p w14:paraId="055EA46F"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0.8638</w:t>
            </w:r>
          </w:p>
        </w:tc>
        <w:tc>
          <w:tcPr>
            <w:tcW w:w="0" w:type="auto"/>
            <w:hideMark/>
          </w:tcPr>
          <w:p w14:paraId="1AD6DDF7"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350 × 0.8638 = </w:t>
            </w:r>
            <w:r>
              <w:rPr>
                <w:b/>
                <w:bCs/>
                <w:lang w:val="en-AU" w:eastAsia="en-AU"/>
              </w:rPr>
              <w:t>302.343</w:t>
            </w:r>
          </w:p>
        </w:tc>
      </w:tr>
      <w:tr w:rsidR="00A77462" w14:paraId="7FE75841" w14:textId="77777777" w:rsidTr="001C195C">
        <w:tc>
          <w:tcPr>
            <w:cnfStyle w:val="001000000000" w:firstRow="0" w:lastRow="0" w:firstColumn="1" w:lastColumn="0" w:oddVBand="0" w:evenVBand="0" w:oddHBand="0" w:evenHBand="0" w:firstRowFirstColumn="0" w:firstRowLastColumn="0" w:lastRowFirstColumn="0" w:lastRowLastColumn="0"/>
            <w:tcW w:w="0" w:type="auto"/>
            <w:hideMark/>
          </w:tcPr>
          <w:p w14:paraId="74AC1D1A" w14:textId="77777777" w:rsidR="00A77462" w:rsidRDefault="00A77462" w:rsidP="000C685B">
            <w:pPr>
              <w:spacing w:line="256" w:lineRule="auto"/>
              <w:rPr>
                <w:lang w:val="en-AU" w:eastAsia="en-AU"/>
              </w:rPr>
            </w:pPr>
            <w:r>
              <w:rPr>
                <w:lang w:val="en-AU" w:eastAsia="en-AU"/>
              </w:rPr>
              <w:t>4</w:t>
            </w:r>
          </w:p>
        </w:tc>
        <w:tc>
          <w:tcPr>
            <w:tcW w:w="0" w:type="auto"/>
            <w:hideMark/>
          </w:tcPr>
          <w:p w14:paraId="09E57492"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430</w:t>
            </w:r>
          </w:p>
        </w:tc>
        <w:tc>
          <w:tcPr>
            <w:tcW w:w="0" w:type="auto"/>
            <w:hideMark/>
          </w:tcPr>
          <w:p w14:paraId="42B5BDE9"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200</w:t>
            </w:r>
          </w:p>
        </w:tc>
        <w:tc>
          <w:tcPr>
            <w:tcW w:w="0" w:type="auto"/>
            <w:hideMark/>
          </w:tcPr>
          <w:p w14:paraId="51436850"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430 − 200 = </w:t>
            </w:r>
            <w:r>
              <w:rPr>
                <w:b/>
                <w:bCs/>
                <w:lang w:val="en-AU" w:eastAsia="en-AU"/>
              </w:rPr>
              <w:t>230</w:t>
            </w:r>
          </w:p>
        </w:tc>
        <w:tc>
          <w:tcPr>
            <w:tcW w:w="0" w:type="auto"/>
            <w:hideMark/>
          </w:tcPr>
          <w:p w14:paraId="2205A8A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230 × 25% = </w:t>
            </w:r>
            <w:r>
              <w:rPr>
                <w:b/>
                <w:bCs/>
                <w:lang w:val="en-AU" w:eastAsia="en-AU"/>
              </w:rPr>
              <w:t>57.5</w:t>
            </w:r>
          </w:p>
        </w:tc>
        <w:tc>
          <w:tcPr>
            <w:tcW w:w="0" w:type="auto"/>
            <w:hideMark/>
          </w:tcPr>
          <w:p w14:paraId="4E2384C7"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430 − 57.5 = </w:t>
            </w:r>
            <w:r>
              <w:rPr>
                <w:b/>
                <w:bCs/>
                <w:lang w:val="en-AU" w:eastAsia="en-AU"/>
              </w:rPr>
              <w:t>372.5</w:t>
            </w:r>
          </w:p>
        </w:tc>
        <w:tc>
          <w:tcPr>
            <w:tcW w:w="0" w:type="auto"/>
            <w:hideMark/>
          </w:tcPr>
          <w:p w14:paraId="43A9A108"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0.8227</w:t>
            </w:r>
          </w:p>
        </w:tc>
        <w:tc>
          <w:tcPr>
            <w:tcW w:w="0" w:type="auto"/>
            <w:hideMark/>
          </w:tcPr>
          <w:p w14:paraId="5D938878"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372.5 × 0.8227 = </w:t>
            </w:r>
            <w:r>
              <w:rPr>
                <w:b/>
                <w:bCs/>
                <w:lang w:val="en-AU" w:eastAsia="en-AU"/>
              </w:rPr>
              <w:t>306.457</w:t>
            </w:r>
          </w:p>
        </w:tc>
      </w:tr>
    </w:tbl>
    <w:p w14:paraId="6931AEB2" w14:textId="77777777" w:rsidR="00A77462" w:rsidRPr="001C195C" w:rsidRDefault="00A77462" w:rsidP="001C195C">
      <w:pPr>
        <w:pStyle w:val="ListParagraph"/>
        <w:numPr>
          <w:ilvl w:val="0"/>
          <w:numId w:val="36"/>
        </w:numPr>
        <w:spacing w:line="256" w:lineRule="auto"/>
        <w:jc w:val="left"/>
        <w:rPr>
          <w:lang w:val="en-AU"/>
        </w:rPr>
      </w:pPr>
      <w:r w:rsidRPr="001C195C">
        <w:rPr>
          <w:bCs/>
          <w:lang w:val="en-AU"/>
        </w:rPr>
        <w:t>Total PV of after-tax cash flows:</w:t>
      </w:r>
      <w:r w:rsidRPr="001C195C">
        <w:rPr>
          <w:lang w:val="en-AU"/>
        </w:rPr>
        <w:br/>
        <w:t>= 226.190 + 256.236 + 302.343 + 306.457</w:t>
      </w:r>
      <w:r w:rsidRPr="001C195C">
        <w:rPr>
          <w:lang w:val="en-AU"/>
        </w:rPr>
        <w:br/>
        <w:t xml:space="preserve">= </w:t>
      </w:r>
      <w:r w:rsidRPr="001C195C">
        <w:rPr>
          <w:bCs/>
          <w:lang w:val="en-AU"/>
        </w:rPr>
        <w:t>1,091.226</w:t>
      </w:r>
    </w:p>
    <w:p w14:paraId="3207D0E2" w14:textId="77777777" w:rsidR="00A77462" w:rsidRPr="001C195C" w:rsidRDefault="00A77462" w:rsidP="001C195C">
      <w:pPr>
        <w:pStyle w:val="ListParagraph"/>
        <w:numPr>
          <w:ilvl w:val="0"/>
          <w:numId w:val="36"/>
        </w:numPr>
        <w:spacing w:line="256" w:lineRule="auto"/>
        <w:jc w:val="left"/>
        <w:rPr>
          <w:lang w:val="en-AU"/>
        </w:rPr>
      </w:pPr>
      <w:r w:rsidRPr="001C195C">
        <w:rPr>
          <w:bCs/>
          <w:lang w:val="en-AU"/>
        </w:rPr>
        <w:t>NPV:</w:t>
      </w:r>
      <w:r w:rsidRPr="001C195C">
        <w:rPr>
          <w:lang w:val="en-AU"/>
        </w:rPr>
        <w:br/>
        <w:t>= 1,091.226 − 1,000</w:t>
      </w:r>
      <w:r w:rsidRPr="001C195C">
        <w:rPr>
          <w:lang w:val="en-AU"/>
        </w:rPr>
        <w:br/>
        <w:t xml:space="preserve">= </w:t>
      </w:r>
      <w:r w:rsidRPr="001C195C">
        <w:rPr>
          <w:bCs/>
          <w:lang w:val="en-AU"/>
        </w:rPr>
        <w:t>91.226</w:t>
      </w:r>
    </w:p>
    <w:p w14:paraId="70E54F5B" w14:textId="77777777" w:rsidR="00A77462" w:rsidRDefault="00A77462" w:rsidP="001C195C">
      <w:pPr>
        <w:pStyle w:val="Heading2"/>
        <w:numPr>
          <w:ilvl w:val="1"/>
          <w:numId w:val="9"/>
        </w:numPr>
        <w:rPr>
          <w:lang w:val="en-AU"/>
        </w:rPr>
      </w:pPr>
      <w:bookmarkStart w:id="38" w:name="_Toc236249806"/>
      <w:r>
        <w:rPr>
          <w:lang w:val="en-AU"/>
        </w:rPr>
        <w:t>Appendix E: IRR calculation for Option C</w:t>
      </w:r>
      <w:bookmarkEnd w:id="38"/>
    </w:p>
    <w:p w14:paraId="28224D6C" w14:textId="77777777" w:rsidR="00A77462" w:rsidRDefault="00A77462" w:rsidP="00A77462">
      <w:pPr>
        <w:spacing w:line="256" w:lineRule="auto"/>
        <w:rPr>
          <w:lang w:val="en-AU"/>
        </w:rPr>
      </w:pPr>
      <w:r>
        <w:rPr>
          <w:lang w:val="en-AU"/>
        </w:rPr>
        <w:t>Option C after-tax cash flows:</w:t>
      </w:r>
    </w:p>
    <w:tbl>
      <w:tblPr>
        <w:tblStyle w:val="GridTable4-Accent11"/>
        <w:tblW w:w="9566" w:type="dxa"/>
        <w:tblLook w:val="04A0" w:firstRow="1" w:lastRow="0" w:firstColumn="1" w:lastColumn="0" w:noHBand="0" w:noVBand="1"/>
      </w:tblPr>
      <w:tblGrid>
        <w:gridCol w:w="2363"/>
        <w:gridCol w:w="7203"/>
      </w:tblGrid>
      <w:tr w:rsidR="00A77462" w14:paraId="188FB4E0" w14:textId="77777777" w:rsidTr="001C195C">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4700E959" w14:textId="77777777" w:rsidR="00A77462" w:rsidRDefault="00A77462" w:rsidP="000C685B">
            <w:pPr>
              <w:spacing w:line="256" w:lineRule="auto"/>
              <w:rPr>
                <w:b w:val="0"/>
                <w:bCs w:val="0"/>
                <w:lang w:val="en-AU" w:eastAsia="en-AU"/>
              </w:rPr>
            </w:pPr>
            <w:r>
              <w:rPr>
                <w:b w:val="0"/>
                <w:bCs w:val="0"/>
                <w:lang w:val="en-AU" w:eastAsia="en-AU"/>
              </w:rPr>
              <w:t>Year</w:t>
            </w:r>
          </w:p>
        </w:tc>
        <w:tc>
          <w:tcPr>
            <w:tcW w:w="0" w:type="auto"/>
            <w:hideMark/>
          </w:tcPr>
          <w:p w14:paraId="0904CF41"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After-tax cash flow</w:t>
            </w:r>
          </w:p>
        </w:tc>
      </w:tr>
      <w:tr w:rsidR="00A77462" w14:paraId="3EE89578" w14:textId="77777777" w:rsidTr="001C195C">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5C1ABB0F" w14:textId="77777777" w:rsidR="00A77462" w:rsidRDefault="00A77462" w:rsidP="000C685B">
            <w:pPr>
              <w:spacing w:line="256" w:lineRule="auto"/>
              <w:rPr>
                <w:lang w:val="en-AU" w:eastAsia="en-AU"/>
              </w:rPr>
            </w:pPr>
            <w:r>
              <w:rPr>
                <w:lang w:val="en-AU" w:eastAsia="en-AU"/>
              </w:rPr>
              <w:t>1</w:t>
            </w:r>
          </w:p>
        </w:tc>
        <w:tc>
          <w:tcPr>
            <w:tcW w:w="0" w:type="auto"/>
            <w:hideMark/>
          </w:tcPr>
          <w:p w14:paraId="08870572"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237.5</w:t>
            </w:r>
          </w:p>
        </w:tc>
      </w:tr>
      <w:tr w:rsidR="00A77462" w14:paraId="0D47E13E" w14:textId="77777777" w:rsidTr="001C195C">
        <w:trPr>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7BBAF920" w14:textId="77777777" w:rsidR="00A77462" w:rsidRDefault="00A77462" w:rsidP="000C685B">
            <w:pPr>
              <w:spacing w:line="256" w:lineRule="auto"/>
              <w:rPr>
                <w:lang w:val="en-AU" w:eastAsia="en-AU"/>
              </w:rPr>
            </w:pPr>
            <w:r>
              <w:rPr>
                <w:lang w:val="en-AU" w:eastAsia="en-AU"/>
              </w:rPr>
              <w:lastRenderedPageBreak/>
              <w:t>2</w:t>
            </w:r>
          </w:p>
        </w:tc>
        <w:tc>
          <w:tcPr>
            <w:tcW w:w="0" w:type="auto"/>
            <w:hideMark/>
          </w:tcPr>
          <w:p w14:paraId="4EF44D57"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282.5</w:t>
            </w:r>
          </w:p>
        </w:tc>
      </w:tr>
      <w:tr w:rsidR="00A77462" w14:paraId="19D7A6CE" w14:textId="77777777" w:rsidTr="001C195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0" w:type="auto"/>
            <w:hideMark/>
          </w:tcPr>
          <w:p w14:paraId="1998CAD0" w14:textId="77777777" w:rsidR="00A77462" w:rsidRDefault="00A77462" w:rsidP="000C685B">
            <w:pPr>
              <w:spacing w:line="256" w:lineRule="auto"/>
              <w:rPr>
                <w:lang w:val="en-AU" w:eastAsia="en-AU"/>
              </w:rPr>
            </w:pPr>
            <w:r>
              <w:rPr>
                <w:lang w:val="en-AU" w:eastAsia="en-AU"/>
              </w:rPr>
              <w:t>3</w:t>
            </w:r>
          </w:p>
        </w:tc>
        <w:tc>
          <w:tcPr>
            <w:tcW w:w="0" w:type="auto"/>
            <w:hideMark/>
          </w:tcPr>
          <w:p w14:paraId="15A94563"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350.0</w:t>
            </w:r>
          </w:p>
        </w:tc>
      </w:tr>
      <w:tr w:rsidR="00A77462" w14:paraId="7F5E3943" w14:textId="77777777" w:rsidTr="001C195C">
        <w:trPr>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0126FD63" w14:textId="77777777" w:rsidR="00A77462" w:rsidRDefault="00A77462" w:rsidP="000C685B">
            <w:pPr>
              <w:spacing w:line="256" w:lineRule="auto"/>
              <w:rPr>
                <w:lang w:val="en-AU" w:eastAsia="en-AU"/>
              </w:rPr>
            </w:pPr>
            <w:r>
              <w:rPr>
                <w:lang w:val="en-AU" w:eastAsia="en-AU"/>
              </w:rPr>
              <w:t>4</w:t>
            </w:r>
          </w:p>
        </w:tc>
        <w:tc>
          <w:tcPr>
            <w:tcW w:w="0" w:type="auto"/>
            <w:hideMark/>
          </w:tcPr>
          <w:p w14:paraId="4FD37C8E"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372.5</w:t>
            </w:r>
          </w:p>
        </w:tc>
      </w:tr>
    </w:tbl>
    <w:p w14:paraId="5CC7B74C" w14:textId="77777777" w:rsidR="00A77462" w:rsidRDefault="00A77462" w:rsidP="00A77462">
      <w:pPr>
        <w:spacing w:line="256" w:lineRule="auto"/>
        <w:rPr>
          <w:b/>
          <w:bCs/>
          <w:lang w:val="en-AU"/>
        </w:rPr>
      </w:pPr>
      <w:r>
        <w:rPr>
          <w:b/>
          <w:bCs/>
          <w:lang w:val="en-AU"/>
        </w:rPr>
        <w:t>E1. NPV at 8%</w:t>
      </w:r>
    </w:p>
    <w:tbl>
      <w:tblPr>
        <w:tblStyle w:val="GridTable4-Accent11"/>
        <w:tblW w:w="9535" w:type="dxa"/>
        <w:tblLook w:val="04A0" w:firstRow="1" w:lastRow="0" w:firstColumn="1" w:lastColumn="0" w:noHBand="0" w:noVBand="1"/>
      </w:tblPr>
      <w:tblGrid>
        <w:gridCol w:w="1138"/>
        <w:gridCol w:w="1993"/>
        <w:gridCol w:w="1893"/>
        <w:gridCol w:w="4511"/>
      </w:tblGrid>
      <w:tr w:rsidR="00A77462" w14:paraId="591C7459" w14:textId="77777777" w:rsidTr="001C195C">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74CFD777" w14:textId="77777777" w:rsidR="00A77462" w:rsidRDefault="00A77462" w:rsidP="000C685B">
            <w:pPr>
              <w:spacing w:line="256" w:lineRule="auto"/>
              <w:rPr>
                <w:b w:val="0"/>
                <w:bCs w:val="0"/>
                <w:lang w:val="en-AU" w:eastAsia="en-AU"/>
              </w:rPr>
            </w:pPr>
            <w:r>
              <w:rPr>
                <w:b w:val="0"/>
                <w:bCs w:val="0"/>
                <w:lang w:val="en-AU" w:eastAsia="en-AU"/>
              </w:rPr>
              <w:t>Year</w:t>
            </w:r>
          </w:p>
        </w:tc>
        <w:tc>
          <w:tcPr>
            <w:tcW w:w="0" w:type="auto"/>
            <w:hideMark/>
          </w:tcPr>
          <w:p w14:paraId="6489EFE8"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Cash flow</w:t>
            </w:r>
          </w:p>
        </w:tc>
        <w:tc>
          <w:tcPr>
            <w:tcW w:w="0" w:type="auto"/>
            <w:hideMark/>
          </w:tcPr>
          <w:p w14:paraId="1AC584E7"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DF at 8%</w:t>
            </w:r>
          </w:p>
        </w:tc>
        <w:tc>
          <w:tcPr>
            <w:tcW w:w="0" w:type="auto"/>
            <w:hideMark/>
          </w:tcPr>
          <w:p w14:paraId="268861CB"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Present value</w:t>
            </w:r>
          </w:p>
        </w:tc>
      </w:tr>
      <w:tr w:rsidR="00A77462" w14:paraId="68B559A5" w14:textId="77777777" w:rsidTr="001C195C">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33A85EBD" w14:textId="77777777" w:rsidR="00A77462" w:rsidRDefault="00A77462" w:rsidP="000C685B">
            <w:pPr>
              <w:spacing w:line="256" w:lineRule="auto"/>
              <w:rPr>
                <w:lang w:val="en-AU" w:eastAsia="en-AU"/>
              </w:rPr>
            </w:pPr>
            <w:r>
              <w:rPr>
                <w:lang w:val="en-AU" w:eastAsia="en-AU"/>
              </w:rPr>
              <w:t>1</w:t>
            </w:r>
          </w:p>
        </w:tc>
        <w:tc>
          <w:tcPr>
            <w:tcW w:w="0" w:type="auto"/>
            <w:hideMark/>
          </w:tcPr>
          <w:p w14:paraId="5D473B6B"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237.5</w:t>
            </w:r>
          </w:p>
        </w:tc>
        <w:tc>
          <w:tcPr>
            <w:tcW w:w="0" w:type="auto"/>
            <w:hideMark/>
          </w:tcPr>
          <w:p w14:paraId="10BF7202"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0.9259</w:t>
            </w:r>
          </w:p>
        </w:tc>
        <w:tc>
          <w:tcPr>
            <w:tcW w:w="0" w:type="auto"/>
            <w:hideMark/>
          </w:tcPr>
          <w:p w14:paraId="1B856D0D"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237.5 × 0.9259 = </w:t>
            </w:r>
            <w:r>
              <w:rPr>
                <w:b/>
                <w:bCs/>
                <w:lang w:val="en-AU" w:eastAsia="en-AU"/>
              </w:rPr>
              <w:t>219.907</w:t>
            </w:r>
          </w:p>
        </w:tc>
      </w:tr>
      <w:tr w:rsidR="00A77462" w14:paraId="243D2D33" w14:textId="77777777" w:rsidTr="001C195C">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103D0B8D" w14:textId="77777777" w:rsidR="00A77462" w:rsidRDefault="00A77462" w:rsidP="000C685B">
            <w:pPr>
              <w:spacing w:line="256" w:lineRule="auto"/>
              <w:rPr>
                <w:lang w:val="en-AU" w:eastAsia="en-AU"/>
              </w:rPr>
            </w:pPr>
            <w:r>
              <w:rPr>
                <w:lang w:val="en-AU" w:eastAsia="en-AU"/>
              </w:rPr>
              <w:t>2</w:t>
            </w:r>
          </w:p>
        </w:tc>
        <w:tc>
          <w:tcPr>
            <w:tcW w:w="0" w:type="auto"/>
            <w:hideMark/>
          </w:tcPr>
          <w:p w14:paraId="10F0D653"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282.5</w:t>
            </w:r>
          </w:p>
        </w:tc>
        <w:tc>
          <w:tcPr>
            <w:tcW w:w="0" w:type="auto"/>
            <w:hideMark/>
          </w:tcPr>
          <w:p w14:paraId="025AE72D"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0.8573</w:t>
            </w:r>
          </w:p>
        </w:tc>
        <w:tc>
          <w:tcPr>
            <w:tcW w:w="0" w:type="auto"/>
            <w:hideMark/>
          </w:tcPr>
          <w:p w14:paraId="74636596"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282.5 × 0.8573 = </w:t>
            </w:r>
            <w:r>
              <w:rPr>
                <w:b/>
                <w:bCs/>
                <w:lang w:val="en-AU" w:eastAsia="en-AU"/>
              </w:rPr>
              <w:t>242.198</w:t>
            </w:r>
          </w:p>
        </w:tc>
      </w:tr>
      <w:tr w:rsidR="00A77462" w14:paraId="55EFA134" w14:textId="77777777" w:rsidTr="001C195C">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59FBB1C0" w14:textId="77777777" w:rsidR="00A77462" w:rsidRDefault="00A77462" w:rsidP="000C685B">
            <w:pPr>
              <w:spacing w:line="256" w:lineRule="auto"/>
              <w:rPr>
                <w:lang w:val="en-AU" w:eastAsia="en-AU"/>
              </w:rPr>
            </w:pPr>
            <w:r>
              <w:rPr>
                <w:lang w:val="en-AU" w:eastAsia="en-AU"/>
              </w:rPr>
              <w:t>3</w:t>
            </w:r>
          </w:p>
        </w:tc>
        <w:tc>
          <w:tcPr>
            <w:tcW w:w="0" w:type="auto"/>
            <w:hideMark/>
          </w:tcPr>
          <w:p w14:paraId="27DF03BE"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350.0</w:t>
            </w:r>
          </w:p>
        </w:tc>
        <w:tc>
          <w:tcPr>
            <w:tcW w:w="0" w:type="auto"/>
            <w:hideMark/>
          </w:tcPr>
          <w:p w14:paraId="319F6691"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0.7938</w:t>
            </w:r>
          </w:p>
        </w:tc>
        <w:tc>
          <w:tcPr>
            <w:tcW w:w="0" w:type="auto"/>
            <w:hideMark/>
          </w:tcPr>
          <w:p w14:paraId="4B2E9AA6"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350 × 0.7938 = </w:t>
            </w:r>
            <w:r>
              <w:rPr>
                <w:b/>
                <w:bCs/>
                <w:lang w:val="en-AU" w:eastAsia="en-AU"/>
              </w:rPr>
              <w:t>277.841</w:t>
            </w:r>
          </w:p>
        </w:tc>
      </w:tr>
      <w:tr w:rsidR="00A77462" w14:paraId="0A7D56FF" w14:textId="77777777" w:rsidTr="001C195C">
        <w:trPr>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65082BFE" w14:textId="77777777" w:rsidR="00A77462" w:rsidRDefault="00A77462" w:rsidP="000C685B">
            <w:pPr>
              <w:spacing w:line="256" w:lineRule="auto"/>
              <w:jc w:val="left"/>
              <w:rPr>
                <w:lang w:val="en-AU" w:eastAsia="en-AU"/>
              </w:rPr>
            </w:pPr>
            <w:r>
              <w:rPr>
                <w:lang w:val="en-AU" w:eastAsia="en-AU"/>
              </w:rPr>
              <w:t>4</w:t>
            </w:r>
          </w:p>
        </w:tc>
        <w:tc>
          <w:tcPr>
            <w:tcW w:w="0" w:type="auto"/>
            <w:hideMark/>
          </w:tcPr>
          <w:p w14:paraId="058CA2E4"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372.5</w:t>
            </w:r>
          </w:p>
        </w:tc>
        <w:tc>
          <w:tcPr>
            <w:tcW w:w="0" w:type="auto"/>
            <w:hideMark/>
          </w:tcPr>
          <w:p w14:paraId="7F51C2B7"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0.7350</w:t>
            </w:r>
          </w:p>
        </w:tc>
        <w:tc>
          <w:tcPr>
            <w:tcW w:w="0" w:type="auto"/>
            <w:hideMark/>
          </w:tcPr>
          <w:p w14:paraId="7EA7E807"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372.5 × 0.7350 = </w:t>
            </w:r>
            <w:r>
              <w:rPr>
                <w:b/>
                <w:bCs/>
                <w:lang w:val="en-AU" w:eastAsia="en-AU"/>
              </w:rPr>
              <w:t>273.799</w:t>
            </w:r>
          </w:p>
        </w:tc>
      </w:tr>
    </w:tbl>
    <w:p w14:paraId="057F3142" w14:textId="77777777" w:rsidR="00A77462" w:rsidRPr="001C195C" w:rsidRDefault="00A77462" w:rsidP="001C195C">
      <w:pPr>
        <w:pStyle w:val="ListParagraph"/>
        <w:numPr>
          <w:ilvl w:val="0"/>
          <w:numId w:val="37"/>
        </w:numPr>
        <w:rPr>
          <w:lang w:val="en-AU"/>
        </w:rPr>
      </w:pPr>
      <w:r w:rsidRPr="001C195C">
        <w:rPr>
          <w:bCs/>
          <w:lang w:val="en-AU"/>
        </w:rPr>
        <w:t>Total PV at 8%:</w:t>
      </w:r>
      <w:r w:rsidRPr="001C195C">
        <w:rPr>
          <w:lang w:val="en-AU"/>
        </w:rPr>
        <w:br/>
        <w:t>= 219.907 + 242.198 + 277.841 + 273.799</w:t>
      </w:r>
      <w:r w:rsidRPr="001C195C">
        <w:rPr>
          <w:lang w:val="en-AU"/>
        </w:rPr>
        <w:br/>
        <w:t xml:space="preserve">= </w:t>
      </w:r>
      <w:r w:rsidRPr="001C195C">
        <w:rPr>
          <w:bCs/>
          <w:lang w:val="en-AU"/>
        </w:rPr>
        <w:t>1,013.746</w:t>
      </w:r>
    </w:p>
    <w:p w14:paraId="7B91626D" w14:textId="77777777" w:rsidR="00A77462" w:rsidRPr="001C195C" w:rsidRDefault="00A77462" w:rsidP="001C195C">
      <w:pPr>
        <w:pStyle w:val="ListParagraph"/>
        <w:numPr>
          <w:ilvl w:val="0"/>
          <w:numId w:val="37"/>
        </w:numPr>
        <w:rPr>
          <w:lang w:val="en-AU"/>
        </w:rPr>
      </w:pPr>
      <w:r w:rsidRPr="001C195C">
        <w:rPr>
          <w:bCs/>
          <w:lang w:val="en-AU"/>
        </w:rPr>
        <w:t>NPV at 8%:</w:t>
      </w:r>
      <w:r w:rsidRPr="001C195C">
        <w:rPr>
          <w:lang w:val="en-AU"/>
        </w:rPr>
        <w:br/>
        <w:t>= 1,013.746 − 1,000</w:t>
      </w:r>
      <w:r w:rsidRPr="001C195C">
        <w:rPr>
          <w:lang w:val="en-AU"/>
        </w:rPr>
        <w:br/>
        <w:t xml:space="preserve">= </w:t>
      </w:r>
      <w:r w:rsidRPr="001C195C">
        <w:rPr>
          <w:bCs/>
          <w:lang w:val="en-AU"/>
        </w:rPr>
        <w:t>13.746</w:t>
      </w:r>
    </w:p>
    <w:p w14:paraId="1379EB4F" w14:textId="77777777" w:rsidR="00A77462" w:rsidRDefault="00A77462" w:rsidP="00A77462">
      <w:pPr>
        <w:spacing w:line="256" w:lineRule="auto"/>
        <w:jc w:val="left"/>
        <w:rPr>
          <w:b/>
          <w:bCs/>
          <w:lang w:val="en-AU"/>
        </w:rPr>
      </w:pPr>
      <w:r>
        <w:rPr>
          <w:b/>
          <w:bCs/>
          <w:lang w:val="en-AU"/>
        </w:rPr>
        <w:t>E2. NPV at 9%</w:t>
      </w:r>
    </w:p>
    <w:tbl>
      <w:tblPr>
        <w:tblStyle w:val="GridTable4-Accent11"/>
        <w:tblW w:w="9727" w:type="dxa"/>
        <w:tblLook w:val="04A0" w:firstRow="1" w:lastRow="0" w:firstColumn="1" w:lastColumn="0" w:noHBand="0" w:noVBand="1"/>
      </w:tblPr>
      <w:tblGrid>
        <w:gridCol w:w="1161"/>
        <w:gridCol w:w="2033"/>
        <w:gridCol w:w="1931"/>
        <w:gridCol w:w="4602"/>
      </w:tblGrid>
      <w:tr w:rsidR="00A77462" w14:paraId="0A58AAC7" w14:textId="77777777" w:rsidTr="001C195C">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4744E4FB" w14:textId="77777777" w:rsidR="00A77462" w:rsidRDefault="00A77462" w:rsidP="000C685B">
            <w:pPr>
              <w:spacing w:line="256" w:lineRule="auto"/>
              <w:jc w:val="left"/>
              <w:rPr>
                <w:b w:val="0"/>
                <w:bCs w:val="0"/>
                <w:lang w:val="en-AU" w:eastAsia="en-AU"/>
              </w:rPr>
            </w:pPr>
            <w:r>
              <w:rPr>
                <w:b w:val="0"/>
                <w:bCs w:val="0"/>
                <w:lang w:val="en-AU" w:eastAsia="en-AU"/>
              </w:rPr>
              <w:t>Year</w:t>
            </w:r>
          </w:p>
        </w:tc>
        <w:tc>
          <w:tcPr>
            <w:tcW w:w="0" w:type="auto"/>
            <w:hideMark/>
          </w:tcPr>
          <w:p w14:paraId="39113C43"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Cash flow</w:t>
            </w:r>
          </w:p>
        </w:tc>
        <w:tc>
          <w:tcPr>
            <w:tcW w:w="0" w:type="auto"/>
            <w:hideMark/>
          </w:tcPr>
          <w:p w14:paraId="6541B054"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DF at 9%</w:t>
            </w:r>
          </w:p>
        </w:tc>
        <w:tc>
          <w:tcPr>
            <w:tcW w:w="0" w:type="auto"/>
            <w:hideMark/>
          </w:tcPr>
          <w:p w14:paraId="24166620" w14:textId="77777777" w:rsidR="00A77462" w:rsidRDefault="00A77462" w:rsidP="000C685B">
            <w:pPr>
              <w:spacing w:line="256" w:lineRule="auto"/>
              <w:jc w:val="left"/>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Present value</w:t>
            </w:r>
          </w:p>
        </w:tc>
      </w:tr>
      <w:tr w:rsidR="00A77462" w14:paraId="78D12D06" w14:textId="77777777" w:rsidTr="001C195C">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069C3CE8" w14:textId="77777777" w:rsidR="00A77462" w:rsidRDefault="00A77462" w:rsidP="000C685B">
            <w:pPr>
              <w:spacing w:line="256" w:lineRule="auto"/>
              <w:jc w:val="left"/>
              <w:rPr>
                <w:lang w:val="en-AU" w:eastAsia="en-AU"/>
              </w:rPr>
            </w:pPr>
            <w:r>
              <w:rPr>
                <w:lang w:val="en-AU" w:eastAsia="en-AU"/>
              </w:rPr>
              <w:t>1</w:t>
            </w:r>
          </w:p>
        </w:tc>
        <w:tc>
          <w:tcPr>
            <w:tcW w:w="0" w:type="auto"/>
            <w:hideMark/>
          </w:tcPr>
          <w:p w14:paraId="32D954FE"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237.5</w:t>
            </w:r>
          </w:p>
        </w:tc>
        <w:tc>
          <w:tcPr>
            <w:tcW w:w="0" w:type="auto"/>
            <w:hideMark/>
          </w:tcPr>
          <w:p w14:paraId="569E5D67"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0.9174</w:t>
            </w:r>
          </w:p>
        </w:tc>
        <w:tc>
          <w:tcPr>
            <w:tcW w:w="0" w:type="auto"/>
            <w:hideMark/>
          </w:tcPr>
          <w:p w14:paraId="14721D0D"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237.5 × 0.9174 = </w:t>
            </w:r>
            <w:r>
              <w:rPr>
                <w:b/>
                <w:bCs/>
                <w:lang w:val="en-AU" w:eastAsia="en-AU"/>
              </w:rPr>
              <w:t>217.890</w:t>
            </w:r>
          </w:p>
        </w:tc>
      </w:tr>
      <w:tr w:rsidR="00A77462" w14:paraId="2D0ED723" w14:textId="77777777" w:rsidTr="001C195C">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0BB92CF4" w14:textId="77777777" w:rsidR="00A77462" w:rsidRDefault="00A77462" w:rsidP="000C685B">
            <w:pPr>
              <w:spacing w:line="256" w:lineRule="auto"/>
              <w:jc w:val="left"/>
              <w:rPr>
                <w:lang w:val="en-AU" w:eastAsia="en-AU"/>
              </w:rPr>
            </w:pPr>
            <w:r>
              <w:rPr>
                <w:lang w:val="en-AU" w:eastAsia="en-AU"/>
              </w:rPr>
              <w:t>2</w:t>
            </w:r>
          </w:p>
        </w:tc>
        <w:tc>
          <w:tcPr>
            <w:tcW w:w="0" w:type="auto"/>
            <w:hideMark/>
          </w:tcPr>
          <w:p w14:paraId="59FE4429"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282.5</w:t>
            </w:r>
          </w:p>
        </w:tc>
        <w:tc>
          <w:tcPr>
            <w:tcW w:w="0" w:type="auto"/>
            <w:hideMark/>
          </w:tcPr>
          <w:p w14:paraId="0A89C997"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0.8417</w:t>
            </w:r>
          </w:p>
        </w:tc>
        <w:tc>
          <w:tcPr>
            <w:tcW w:w="0" w:type="auto"/>
            <w:hideMark/>
          </w:tcPr>
          <w:p w14:paraId="63076086"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282.5 × 0.8417 = </w:t>
            </w:r>
            <w:r>
              <w:rPr>
                <w:b/>
                <w:bCs/>
                <w:lang w:val="en-AU" w:eastAsia="en-AU"/>
              </w:rPr>
              <w:t>237.775</w:t>
            </w:r>
          </w:p>
        </w:tc>
      </w:tr>
      <w:tr w:rsidR="00A77462" w14:paraId="1D10E060" w14:textId="77777777" w:rsidTr="001C195C">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2D60271E" w14:textId="77777777" w:rsidR="00A77462" w:rsidRDefault="00A77462" w:rsidP="000C685B">
            <w:pPr>
              <w:spacing w:line="256" w:lineRule="auto"/>
              <w:jc w:val="left"/>
              <w:rPr>
                <w:lang w:val="en-AU" w:eastAsia="en-AU"/>
              </w:rPr>
            </w:pPr>
            <w:r>
              <w:rPr>
                <w:lang w:val="en-AU" w:eastAsia="en-AU"/>
              </w:rPr>
              <w:t>3</w:t>
            </w:r>
          </w:p>
        </w:tc>
        <w:tc>
          <w:tcPr>
            <w:tcW w:w="0" w:type="auto"/>
            <w:hideMark/>
          </w:tcPr>
          <w:p w14:paraId="5CC975B9"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350.0</w:t>
            </w:r>
          </w:p>
        </w:tc>
        <w:tc>
          <w:tcPr>
            <w:tcW w:w="0" w:type="auto"/>
            <w:hideMark/>
          </w:tcPr>
          <w:p w14:paraId="37B63384"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0.7722</w:t>
            </w:r>
          </w:p>
        </w:tc>
        <w:tc>
          <w:tcPr>
            <w:tcW w:w="0" w:type="auto"/>
            <w:hideMark/>
          </w:tcPr>
          <w:p w14:paraId="63E32BB6" w14:textId="77777777" w:rsidR="00A77462" w:rsidRDefault="00A77462" w:rsidP="000C685B">
            <w:pPr>
              <w:spacing w:line="256" w:lineRule="auto"/>
              <w:jc w:val="left"/>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350 × 0.7722 = </w:t>
            </w:r>
            <w:r>
              <w:rPr>
                <w:b/>
                <w:bCs/>
                <w:lang w:val="en-AU" w:eastAsia="en-AU"/>
              </w:rPr>
              <w:t>270.264</w:t>
            </w:r>
          </w:p>
        </w:tc>
      </w:tr>
      <w:tr w:rsidR="00A77462" w14:paraId="33C73A18" w14:textId="77777777" w:rsidTr="001C195C">
        <w:trPr>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2B7C94FF" w14:textId="77777777" w:rsidR="00A77462" w:rsidRDefault="00A77462" w:rsidP="000C685B">
            <w:pPr>
              <w:spacing w:line="256" w:lineRule="auto"/>
              <w:jc w:val="left"/>
              <w:rPr>
                <w:lang w:val="en-AU" w:eastAsia="en-AU"/>
              </w:rPr>
            </w:pPr>
            <w:r>
              <w:rPr>
                <w:lang w:val="en-AU" w:eastAsia="en-AU"/>
              </w:rPr>
              <w:t>4</w:t>
            </w:r>
          </w:p>
        </w:tc>
        <w:tc>
          <w:tcPr>
            <w:tcW w:w="0" w:type="auto"/>
            <w:hideMark/>
          </w:tcPr>
          <w:p w14:paraId="656CD779"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372.5</w:t>
            </w:r>
          </w:p>
        </w:tc>
        <w:tc>
          <w:tcPr>
            <w:tcW w:w="0" w:type="auto"/>
            <w:hideMark/>
          </w:tcPr>
          <w:p w14:paraId="1B9318D2"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0.7084</w:t>
            </w:r>
          </w:p>
        </w:tc>
        <w:tc>
          <w:tcPr>
            <w:tcW w:w="0" w:type="auto"/>
            <w:hideMark/>
          </w:tcPr>
          <w:p w14:paraId="752BFE49" w14:textId="77777777" w:rsidR="00A77462" w:rsidRDefault="00A77462" w:rsidP="000C685B">
            <w:pPr>
              <w:spacing w:line="256" w:lineRule="auto"/>
              <w:jc w:val="left"/>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372.5 × 0.7084 = </w:t>
            </w:r>
            <w:r>
              <w:rPr>
                <w:b/>
                <w:bCs/>
                <w:lang w:val="en-AU" w:eastAsia="en-AU"/>
              </w:rPr>
              <w:t>263.888</w:t>
            </w:r>
          </w:p>
        </w:tc>
      </w:tr>
    </w:tbl>
    <w:p w14:paraId="7D0C830E" w14:textId="77777777" w:rsidR="00A77462" w:rsidRPr="001C195C" w:rsidRDefault="00A77462" w:rsidP="001C195C">
      <w:pPr>
        <w:pStyle w:val="ListParagraph"/>
        <w:numPr>
          <w:ilvl w:val="0"/>
          <w:numId w:val="39"/>
        </w:numPr>
        <w:spacing w:line="256" w:lineRule="auto"/>
        <w:jc w:val="left"/>
        <w:rPr>
          <w:lang w:val="en-AU"/>
        </w:rPr>
      </w:pPr>
      <w:r w:rsidRPr="001C195C">
        <w:rPr>
          <w:bCs/>
          <w:lang w:val="en-AU"/>
        </w:rPr>
        <w:t>Total PV at 9%:</w:t>
      </w:r>
      <w:r w:rsidRPr="001C195C">
        <w:rPr>
          <w:lang w:val="en-AU"/>
        </w:rPr>
        <w:br/>
        <w:t>= 217.890 + 237.775 + 270.264 + 263.888</w:t>
      </w:r>
      <w:r w:rsidRPr="001C195C">
        <w:rPr>
          <w:lang w:val="en-AU"/>
        </w:rPr>
        <w:br/>
        <w:t xml:space="preserve">= </w:t>
      </w:r>
      <w:r w:rsidRPr="001C195C">
        <w:rPr>
          <w:bCs/>
          <w:lang w:val="en-AU"/>
        </w:rPr>
        <w:t>989.817</w:t>
      </w:r>
    </w:p>
    <w:p w14:paraId="640CB635" w14:textId="77777777" w:rsidR="00A77462" w:rsidRPr="001C195C" w:rsidRDefault="00A77462" w:rsidP="001C195C">
      <w:pPr>
        <w:pStyle w:val="ListParagraph"/>
        <w:numPr>
          <w:ilvl w:val="0"/>
          <w:numId w:val="39"/>
        </w:numPr>
        <w:spacing w:line="256" w:lineRule="auto"/>
        <w:jc w:val="left"/>
        <w:rPr>
          <w:lang w:val="en-AU"/>
        </w:rPr>
      </w:pPr>
      <w:r w:rsidRPr="001C195C">
        <w:rPr>
          <w:bCs/>
          <w:lang w:val="en-AU"/>
        </w:rPr>
        <w:t>NPV at 9%:</w:t>
      </w:r>
      <w:r w:rsidRPr="001C195C">
        <w:rPr>
          <w:lang w:val="en-AU"/>
        </w:rPr>
        <w:br/>
        <w:t>= 989.817 − 1,000</w:t>
      </w:r>
      <w:r w:rsidRPr="001C195C">
        <w:rPr>
          <w:lang w:val="en-AU"/>
        </w:rPr>
        <w:br/>
        <w:t xml:space="preserve">= </w:t>
      </w:r>
      <w:r w:rsidRPr="001C195C">
        <w:rPr>
          <w:bCs/>
          <w:lang w:val="en-AU"/>
        </w:rPr>
        <w:t>-10.183</w:t>
      </w:r>
    </w:p>
    <w:p w14:paraId="56B6EE7D" w14:textId="77777777" w:rsidR="00A77462" w:rsidRDefault="00A77462" w:rsidP="00A77462">
      <w:pPr>
        <w:spacing w:line="256" w:lineRule="auto"/>
        <w:jc w:val="left"/>
        <w:rPr>
          <w:b/>
          <w:bCs/>
          <w:lang w:val="en-AU"/>
        </w:rPr>
      </w:pPr>
      <w:r>
        <w:rPr>
          <w:b/>
          <w:bCs/>
          <w:lang w:val="en-AU"/>
        </w:rPr>
        <w:t>E3. IRR interpolation</w:t>
      </w:r>
    </w:p>
    <w:p w14:paraId="42E80614" w14:textId="77777777" w:rsidR="00A77462" w:rsidRPr="001C195C" w:rsidRDefault="00A77462" w:rsidP="001C195C">
      <w:pPr>
        <w:pStyle w:val="ListParagraph"/>
        <w:numPr>
          <w:ilvl w:val="0"/>
          <w:numId w:val="38"/>
        </w:numPr>
        <w:spacing w:line="256" w:lineRule="auto"/>
        <w:jc w:val="left"/>
        <w:rPr>
          <w:lang w:val="en-AU"/>
        </w:rPr>
      </w:pPr>
      <w:r w:rsidRPr="001C195C">
        <w:rPr>
          <w:bCs/>
          <w:lang w:val="en-AU"/>
        </w:rPr>
        <w:t>Formula:</w:t>
      </w:r>
      <w:r w:rsidRPr="001C195C">
        <w:rPr>
          <w:lang w:val="en-AU"/>
        </w:rPr>
        <w:br/>
        <w:t>IRR = lower rate + [NPV at lower rate / difference between NPVs] × rate gap</w:t>
      </w:r>
    </w:p>
    <w:p w14:paraId="5A3E10D8" w14:textId="77777777" w:rsidR="009A74D4" w:rsidRDefault="00A77462" w:rsidP="001C195C">
      <w:pPr>
        <w:pStyle w:val="ListParagraph"/>
        <w:numPr>
          <w:ilvl w:val="0"/>
          <w:numId w:val="38"/>
        </w:numPr>
        <w:spacing w:line="256" w:lineRule="auto"/>
        <w:jc w:val="left"/>
        <w:rPr>
          <w:lang w:val="en-AU"/>
        </w:rPr>
      </w:pPr>
      <w:r w:rsidRPr="001C195C">
        <w:rPr>
          <w:bCs/>
          <w:lang w:val="en-AU"/>
        </w:rPr>
        <w:lastRenderedPageBreak/>
        <w:t>IRR:</w:t>
      </w:r>
    </w:p>
    <w:p w14:paraId="1A1917AC" w14:textId="77777777" w:rsidR="00A77462" w:rsidRPr="009A74D4" w:rsidRDefault="00A77462" w:rsidP="009A74D4">
      <w:pPr>
        <w:spacing w:line="256" w:lineRule="auto"/>
        <w:jc w:val="left"/>
        <w:rPr>
          <w:lang w:val="en-AU"/>
        </w:rPr>
      </w:pPr>
      <w:r w:rsidRPr="009A74D4">
        <w:rPr>
          <w:lang w:val="en-AU"/>
        </w:rPr>
        <w:t>= 8% + [13.746 / (13.746 − -10.183)] × 1%</w:t>
      </w:r>
    </w:p>
    <w:p w14:paraId="4FADD5DC" w14:textId="77777777" w:rsidR="00A77462" w:rsidRPr="009A74D4" w:rsidRDefault="00A77462" w:rsidP="009A74D4">
      <w:pPr>
        <w:spacing w:line="256" w:lineRule="auto"/>
        <w:rPr>
          <w:lang w:val="en-AU"/>
        </w:rPr>
      </w:pPr>
      <w:r w:rsidRPr="009A74D4">
        <w:rPr>
          <w:lang w:val="en-AU"/>
        </w:rPr>
        <w:t>= 8% + [13.746 / 23.929] × 1%</w:t>
      </w:r>
    </w:p>
    <w:p w14:paraId="5AF2317C" w14:textId="77777777" w:rsidR="00A77462" w:rsidRPr="009A74D4" w:rsidRDefault="00A77462" w:rsidP="009A74D4">
      <w:pPr>
        <w:spacing w:line="256" w:lineRule="auto"/>
        <w:rPr>
          <w:lang w:val="en-AU"/>
        </w:rPr>
      </w:pPr>
      <w:r w:rsidRPr="009A74D4">
        <w:rPr>
          <w:lang w:val="en-AU"/>
        </w:rPr>
        <w:t>= 8% + 0.574%</w:t>
      </w:r>
    </w:p>
    <w:p w14:paraId="186156B7" w14:textId="77777777" w:rsidR="00A77462" w:rsidRPr="009A74D4" w:rsidRDefault="00A77462" w:rsidP="009A74D4">
      <w:pPr>
        <w:spacing w:line="256" w:lineRule="auto"/>
        <w:rPr>
          <w:lang w:val="en-AU"/>
        </w:rPr>
      </w:pPr>
      <w:r w:rsidRPr="009A74D4">
        <w:rPr>
          <w:lang w:val="en-AU"/>
        </w:rPr>
        <w:t xml:space="preserve">= </w:t>
      </w:r>
      <w:r w:rsidRPr="009A74D4">
        <w:rPr>
          <w:bCs/>
          <w:lang w:val="en-AU"/>
        </w:rPr>
        <w:t>8.574%</w:t>
      </w:r>
    </w:p>
    <w:p w14:paraId="694856D6" w14:textId="77777777" w:rsidR="00A77462" w:rsidRPr="001C195C" w:rsidRDefault="00A77462" w:rsidP="001C195C">
      <w:pPr>
        <w:pStyle w:val="ListParagraph"/>
        <w:numPr>
          <w:ilvl w:val="0"/>
          <w:numId w:val="38"/>
        </w:numPr>
        <w:spacing w:line="256" w:lineRule="auto"/>
        <w:rPr>
          <w:lang w:val="en-AU"/>
        </w:rPr>
      </w:pPr>
      <w:r w:rsidRPr="001C195C">
        <w:rPr>
          <w:lang w:val="en-AU"/>
        </w:rPr>
        <w:t xml:space="preserve">Approximate IRR = </w:t>
      </w:r>
      <w:r w:rsidRPr="001C195C">
        <w:rPr>
          <w:bCs/>
          <w:lang w:val="en-AU"/>
        </w:rPr>
        <w:t>8.57%</w:t>
      </w:r>
    </w:p>
    <w:p w14:paraId="17383DF7" w14:textId="77777777" w:rsidR="00A77462" w:rsidRDefault="00A77462" w:rsidP="009A74D4">
      <w:pPr>
        <w:pStyle w:val="Heading2"/>
        <w:numPr>
          <w:ilvl w:val="1"/>
          <w:numId w:val="9"/>
        </w:numPr>
        <w:rPr>
          <w:lang w:val="en-AU"/>
        </w:rPr>
      </w:pPr>
      <w:bookmarkStart w:id="39" w:name="_Toc236249807"/>
      <w:r>
        <w:rPr>
          <w:lang w:val="en-AU"/>
        </w:rPr>
        <w:t>Appendix F: Capital rationing calculation</w:t>
      </w:r>
      <w:bookmarkEnd w:id="39"/>
    </w:p>
    <w:p w14:paraId="63ADE79F" w14:textId="77777777" w:rsidR="00A77462" w:rsidRDefault="00A77462" w:rsidP="00A77462">
      <w:pPr>
        <w:spacing w:line="256" w:lineRule="auto"/>
        <w:rPr>
          <w:lang w:val="en-AU"/>
        </w:rPr>
      </w:pPr>
      <w:r>
        <w:rPr>
          <w:lang w:val="en-AU"/>
        </w:rPr>
        <w:t xml:space="preserve">Funds available = </w:t>
      </w:r>
      <w:r>
        <w:rPr>
          <w:b/>
          <w:bCs/>
          <w:lang w:val="en-AU"/>
        </w:rPr>
        <w:t>£1,500k</w:t>
      </w:r>
    </w:p>
    <w:p w14:paraId="219BB620" w14:textId="77777777" w:rsidR="00A77462" w:rsidRDefault="00A77462" w:rsidP="00A77462">
      <w:pPr>
        <w:spacing w:line="256" w:lineRule="auto"/>
        <w:rPr>
          <w:lang w:val="en-AU"/>
        </w:rPr>
      </w:pPr>
      <w:r>
        <w:rPr>
          <w:lang w:val="en-AU"/>
        </w:rPr>
        <w:t xml:space="preserve">Projects are divisible, so use the </w:t>
      </w:r>
      <w:r>
        <w:rPr>
          <w:b/>
          <w:bCs/>
          <w:lang w:val="en-AU"/>
        </w:rPr>
        <w:t>profitability index</w:t>
      </w:r>
      <w:r>
        <w:rPr>
          <w:lang w:val="en-AU"/>
        </w:rPr>
        <w:t>.</w:t>
      </w:r>
    </w:p>
    <w:p w14:paraId="6DA6AAA9" w14:textId="77777777" w:rsidR="00A77462" w:rsidRDefault="00A77462" w:rsidP="00A77462">
      <w:pPr>
        <w:spacing w:line="256" w:lineRule="auto"/>
        <w:rPr>
          <w:lang w:val="en-AU"/>
        </w:rPr>
      </w:pPr>
      <w:r>
        <w:rPr>
          <w:b/>
          <w:bCs/>
          <w:lang w:val="en-AU"/>
        </w:rPr>
        <w:t>Formula:</w:t>
      </w:r>
      <w:r>
        <w:rPr>
          <w:lang w:val="en-AU"/>
        </w:rPr>
        <w:br/>
        <w:t>Profitability index = PV of cash inflows / Initial investment</w:t>
      </w:r>
    </w:p>
    <w:tbl>
      <w:tblPr>
        <w:tblStyle w:val="GridTable4-Accent11"/>
        <w:tblW w:w="9500" w:type="dxa"/>
        <w:tblLook w:val="04A0" w:firstRow="1" w:lastRow="0" w:firstColumn="1" w:lastColumn="0" w:noHBand="0" w:noVBand="1"/>
      </w:tblPr>
      <w:tblGrid>
        <w:gridCol w:w="1113"/>
        <w:gridCol w:w="2585"/>
        <w:gridCol w:w="2399"/>
        <w:gridCol w:w="3403"/>
      </w:tblGrid>
      <w:tr w:rsidR="00A77462" w14:paraId="51401C58" w14:textId="77777777" w:rsidTr="009A74D4">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hideMark/>
          </w:tcPr>
          <w:p w14:paraId="2DEE08B6" w14:textId="77777777" w:rsidR="00A77462" w:rsidRDefault="00A77462" w:rsidP="000C685B">
            <w:pPr>
              <w:spacing w:line="256" w:lineRule="auto"/>
              <w:rPr>
                <w:b w:val="0"/>
                <w:bCs w:val="0"/>
                <w:lang w:val="en-AU" w:eastAsia="en-AU"/>
              </w:rPr>
            </w:pPr>
            <w:r>
              <w:rPr>
                <w:b w:val="0"/>
                <w:bCs w:val="0"/>
                <w:lang w:val="en-AU" w:eastAsia="en-AU"/>
              </w:rPr>
              <w:t>Option</w:t>
            </w:r>
          </w:p>
        </w:tc>
        <w:tc>
          <w:tcPr>
            <w:tcW w:w="0" w:type="auto"/>
            <w:hideMark/>
          </w:tcPr>
          <w:p w14:paraId="1FD0F693"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PV of cash inflows</w:t>
            </w:r>
          </w:p>
        </w:tc>
        <w:tc>
          <w:tcPr>
            <w:tcW w:w="0" w:type="auto"/>
            <w:hideMark/>
          </w:tcPr>
          <w:p w14:paraId="2E9031AE"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Initial investment</w:t>
            </w:r>
          </w:p>
        </w:tc>
        <w:tc>
          <w:tcPr>
            <w:tcW w:w="0" w:type="auto"/>
            <w:hideMark/>
          </w:tcPr>
          <w:p w14:paraId="6CCEB69A"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Profitability index</w:t>
            </w:r>
          </w:p>
        </w:tc>
      </w:tr>
      <w:tr w:rsidR="00A77462" w14:paraId="2A343C69" w14:textId="77777777" w:rsidTr="009A74D4">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hideMark/>
          </w:tcPr>
          <w:p w14:paraId="238C331D" w14:textId="77777777" w:rsidR="00A77462" w:rsidRDefault="00A77462" w:rsidP="000C685B">
            <w:pPr>
              <w:spacing w:line="256" w:lineRule="auto"/>
              <w:rPr>
                <w:lang w:val="en-AU" w:eastAsia="en-AU"/>
              </w:rPr>
            </w:pPr>
            <w:r>
              <w:rPr>
                <w:lang w:val="en-AU" w:eastAsia="en-AU"/>
              </w:rPr>
              <w:t>A</w:t>
            </w:r>
          </w:p>
        </w:tc>
        <w:tc>
          <w:tcPr>
            <w:tcW w:w="0" w:type="auto"/>
            <w:hideMark/>
          </w:tcPr>
          <w:p w14:paraId="54919C87"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596.737</w:t>
            </w:r>
          </w:p>
        </w:tc>
        <w:tc>
          <w:tcPr>
            <w:tcW w:w="0" w:type="auto"/>
            <w:hideMark/>
          </w:tcPr>
          <w:p w14:paraId="712EBB56"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600</w:t>
            </w:r>
          </w:p>
        </w:tc>
        <w:tc>
          <w:tcPr>
            <w:tcW w:w="0" w:type="auto"/>
            <w:hideMark/>
          </w:tcPr>
          <w:p w14:paraId="28D5B95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596.737 / 600 = </w:t>
            </w:r>
            <w:r>
              <w:rPr>
                <w:b/>
                <w:bCs/>
                <w:lang w:val="en-AU" w:eastAsia="en-AU"/>
              </w:rPr>
              <w:t>0.995</w:t>
            </w:r>
          </w:p>
        </w:tc>
      </w:tr>
      <w:tr w:rsidR="00A77462" w14:paraId="00C3C1A4" w14:textId="77777777" w:rsidTr="009A74D4">
        <w:trPr>
          <w:trHeight w:val="382"/>
        </w:trPr>
        <w:tc>
          <w:tcPr>
            <w:cnfStyle w:val="001000000000" w:firstRow="0" w:lastRow="0" w:firstColumn="1" w:lastColumn="0" w:oddVBand="0" w:evenVBand="0" w:oddHBand="0" w:evenHBand="0" w:firstRowFirstColumn="0" w:firstRowLastColumn="0" w:lastRowFirstColumn="0" w:lastRowLastColumn="0"/>
            <w:tcW w:w="0" w:type="auto"/>
            <w:hideMark/>
          </w:tcPr>
          <w:p w14:paraId="30FE6103" w14:textId="77777777" w:rsidR="00A77462" w:rsidRDefault="00A77462" w:rsidP="000C685B">
            <w:pPr>
              <w:spacing w:line="256" w:lineRule="auto"/>
              <w:rPr>
                <w:lang w:val="en-AU" w:eastAsia="en-AU"/>
              </w:rPr>
            </w:pPr>
            <w:r>
              <w:rPr>
                <w:lang w:val="en-AU" w:eastAsia="en-AU"/>
              </w:rPr>
              <w:t>B</w:t>
            </w:r>
          </w:p>
        </w:tc>
        <w:tc>
          <w:tcPr>
            <w:tcW w:w="0" w:type="auto"/>
            <w:hideMark/>
          </w:tcPr>
          <w:p w14:paraId="29DC73E7"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973.952</w:t>
            </w:r>
          </w:p>
        </w:tc>
        <w:tc>
          <w:tcPr>
            <w:tcW w:w="0" w:type="auto"/>
            <w:hideMark/>
          </w:tcPr>
          <w:p w14:paraId="09572729"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900</w:t>
            </w:r>
          </w:p>
        </w:tc>
        <w:tc>
          <w:tcPr>
            <w:tcW w:w="0" w:type="auto"/>
            <w:hideMark/>
          </w:tcPr>
          <w:p w14:paraId="6F85F2E2"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 xml:space="preserve">973.952 / 900 = </w:t>
            </w:r>
            <w:r>
              <w:rPr>
                <w:b/>
                <w:bCs/>
                <w:lang w:val="en-AU" w:eastAsia="en-AU"/>
              </w:rPr>
              <w:t>1.082</w:t>
            </w:r>
          </w:p>
        </w:tc>
      </w:tr>
      <w:tr w:rsidR="00A77462" w14:paraId="04C9CC72" w14:textId="77777777" w:rsidTr="009A74D4">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hideMark/>
          </w:tcPr>
          <w:p w14:paraId="70E855AA" w14:textId="77777777" w:rsidR="00A77462" w:rsidRDefault="00A77462" w:rsidP="000C685B">
            <w:pPr>
              <w:spacing w:line="256" w:lineRule="auto"/>
              <w:rPr>
                <w:lang w:val="en-AU" w:eastAsia="en-AU"/>
              </w:rPr>
            </w:pPr>
            <w:r>
              <w:rPr>
                <w:lang w:val="en-AU" w:eastAsia="en-AU"/>
              </w:rPr>
              <w:t>C</w:t>
            </w:r>
          </w:p>
        </w:tc>
        <w:tc>
          <w:tcPr>
            <w:tcW w:w="0" w:type="auto"/>
            <w:hideMark/>
          </w:tcPr>
          <w:p w14:paraId="1C2B579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1,091.226</w:t>
            </w:r>
          </w:p>
        </w:tc>
        <w:tc>
          <w:tcPr>
            <w:tcW w:w="0" w:type="auto"/>
            <w:hideMark/>
          </w:tcPr>
          <w:p w14:paraId="45CC1266"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1,000</w:t>
            </w:r>
          </w:p>
        </w:tc>
        <w:tc>
          <w:tcPr>
            <w:tcW w:w="0" w:type="auto"/>
            <w:hideMark/>
          </w:tcPr>
          <w:p w14:paraId="40EAA507"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 xml:space="preserve">1,091.226 / 1,000 = </w:t>
            </w:r>
            <w:r>
              <w:rPr>
                <w:b/>
                <w:bCs/>
                <w:lang w:val="en-AU" w:eastAsia="en-AU"/>
              </w:rPr>
              <w:t>1.091</w:t>
            </w:r>
          </w:p>
        </w:tc>
      </w:tr>
    </w:tbl>
    <w:p w14:paraId="4CB4EF28" w14:textId="77777777" w:rsidR="00A77462" w:rsidRDefault="00A77462" w:rsidP="00A77462">
      <w:pPr>
        <w:spacing w:line="256" w:lineRule="auto"/>
        <w:rPr>
          <w:b/>
          <w:bCs/>
          <w:lang w:val="en-AU"/>
        </w:rPr>
      </w:pPr>
      <w:r>
        <w:rPr>
          <w:b/>
          <w:bCs/>
          <w:lang w:val="en-AU"/>
        </w:rPr>
        <w:t>Ranking</w:t>
      </w:r>
    </w:p>
    <w:tbl>
      <w:tblPr>
        <w:tblStyle w:val="GridTable4-Accent11"/>
        <w:tblW w:w="9501" w:type="dxa"/>
        <w:tblLook w:val="04A0" w:firstRow="1" w:lastRow="0" w:firstColumn="1" w:lastColumn="0" w:noHBand="0" w:noVBand="1"/>
      </w:tblPr>
      <w:tblGrid>
        <w:gridCol w:w="1921"/>
        <w:gridCol w:w="2346"/>
        <w:gridCol w:w="5234"/>
      </w:tblGrid>
      <w:tr w:rsidR="00A77462" w14:paraId="02AE2A65" w14:textId="77777777" w:rsidTr="009A74D4">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54479EC8" w14:textId="77777777" w:rsidR="00A77462" w:rsidRDefault="00A77462" w:rsidP="000C685B">
            <w:pPr>
              <w:spacing w:line="256" w:lineRule="auto"/>
              <w:rPr>
                <w:b w:val="0"/>
                <w:bCs w:val="0"/>
                <w:lang w:val="en-AU" w:eastAsia="en-AU"/>
              </w:rPr>
            </w:pPr>
            <w:r>
              <w:rPr>
                <w:b w:val="0"/>
                <w:bCs w:val="0"/>
                <w:lang w:val="en-AU" w:eastAsia="en-AU"/>
              </w:rPr>
              <w:t>Rank</w:t>
            </w:r>
          </w:p>
        </w:tc>
        <w:tc>
          <w:tcPr>
            <w:tcW w:w="0" w:type="auto"/>
            <w:hideMark/>
          </w:tcPr>
          <w:p w14:paraId="5AA342E9"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Option</w:t>
            </w:r>
          </w:p>
        </w:tc>
        <w:tc>
          <w:tcPr>
            <w:tcW w:w="0" w:type="auto"/>
            <w:hideMark/>
          </w:tcPr>
          <w:p w14:paraId="444ABFD5"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Profitability index</w:t>
            </w:r>
          </w:p>
        </w:tc>
      </w:tr>
      <w:tr w:rsidR="00A77462" w14:paraId="095F6A4A" w14:textId="77777777" w:rsidTr="009A74D4">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6E9D1A43" w14:textId="77777777" w:rsidR="00A77462" w:rsidRDefault="00A77462" w:rsidP="000C685B">
            <w:pPr>
              <w:spacing w:line="256" w:lineRule="auto"/>
              <w:rPr>
                <w:lang w:val="en-AU" w:eastAsia="en-AU"/>
              </w:rPr>
            </w:pPr>
            <w:r>
              <w:rPr>
                <w:lang w:val="en-AU" w:eastAsia="en-AU"/>
              </w:rPr>
              <w:t>1</w:t>
            </w:r>
          </w:p>
        </w:tc>
        <w:tc>
          <w:tcPr>
            <w:tcW w:w="0" w:type="auto"/>
            <w:hideMark/>
          </w:tcPr>
          <w:p w14:paraId="1C0577AD"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C</w:t>
            </w:r>
          </w:p>
        </w:tc>
        <w:tc>
          <w:tcPr>
            <w:tcW w:w="0" w:type="auto"/>
            <w:hideMark/>
          </w:tcPr>
          <w:p w14:paraId="18CCF1A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bCs/>
                <w:lang w:val="en-AU" w:eastAsia="en-AU"/>
              </w:rPr>
              <w:t>1.091</w:t>
            </w:r>
          </w:p>
        </w:tc>
      </w:tr>
      <w:tr w:rsidR="00A77462" w14:paraId="3087D6F7" w14:textId="77777777" w:rsidTr="009A74D4">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2C7D4B76" w14:textId="77777777" w:rsidR="00A77462" w:rsidRDefault="00A77462" w:rsidP="000C685B">
            <w:pPr>
              <w:spacing w:line="256" w:lineRule="auto"/>
              <w:rPr>
                <w:lang w:val="en-AU" w:eastAsia="en-AU"/>
              </w:rPr>
            </w:pPr>
            <w:r>
              <w:rPr>
                <w:lang w:val="en-AU" w:eastAsia="en-AU"/>
              </w:rPr>
              <w:t>2</w:t>
            </w:r>
          </w:p>
        </w:tc>
        <w:tc>
          <w:tcPr>
            <w:tcW w:w="0" w:type="auto"/>
            <w:hideMark/>
          </w:tcPr>
          <w:p w14:paraId="5DC4B8A5"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B</w:t>
            </w:r>
          </w:p>
        </w:tc>
        <w:tc>
          <w:tcPr>
            <w:tcW w:w="0" w:type="auto"/>
            <w:hideMark/>
          </w:tcPr>
          <w:p w14:paraId="5EEC766B"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b/>
                <w:bCs/>
                <w:lang w:val="en-AU" w:eastAsia="en-AU"/>
              </w:rPr>
              <w:t>1.082</w:t>
            </w:r>
          </w:p>
        </w:tc>
      </w:tr>
      <w:tr w:rsidR="00A77462" w14:paraId="100BB9F4" w14:textId="77777777" w:rsidTr="009A74D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664E9161" w14:textId="77777777" w:rsidR="00A77462" w:rsidRDefault="00A77462" w:rsidP="000C685B">
            <w:pPr>
              <w:spacing w:line="256" w:lineRule="auto"/>
              <w:rPr>
                <w:lang w:val="en-AU" w:eastAsia="en-AU"/>
              </w:rPr>
            </w:pPr>
            <w:r>
              <w:rPr>
                <w:lang w:val="en-AU" w:eastAsia="en-AU"/>
              </w:rPr>
              <w:t>3</w:t>
            </w:r>
          </w:p>
        </w:tc>
        <w:tc>
          <w:tcPr>
            <w:tcW w:w="0" w:type="auto"/>
            <w:hideMark/>
          </w:tcPr>
          <w:p w14:paraId="6F2C134C"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A</w:t>
            </w:r>
          </w:p>
        </w:tc>
        <w:tc>
          <w:tcPr>
            <w:tcW w:w="0" w:type="auto"/>
            <w:hideMark/>
          </w:tcPr>
          <w:p w14:paraId="08ED3B61"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bCs/>
                <w:lang w:val="en-AU" w:eastAsia="en-AU"/>
              </w:rPr>
              <w:t>0.995</w:t>
            </w:r>
          </w:p>
        </w:tc>
      </w:tr>
    </w:tbl>
    <w:p w14:paraId="2CE98495" w14:textId="77777777" w:rsidR="00A77462" w:rsidRDefault="00A77462" w:rsidP="00A77462">
      <w:pPr>
        <w:spacing w:line="256" w:lineRule="auto"/>
        <w:rPr>
          <w:b/>
          <w:bCs/>
          <w:lang w:val="en-AU"/>
        </w:rPr>
      </w:pPr>
      <w:r>
        <w:rPr>
          <w:b/>
          <w:bCs/>
          <w:lang w:val="en-AU"/>
        </w:rPr>
        <w:t>Optimal investment policy</w:t>
      </w:r>
    </w:p>
    <w:p w14:paraId="159011C9" w14:textId="77777777" w:rsidR="00A77462" w:rsidRPr="009A74D4" w:rsidRDefault="00A77462" w:rsidP="009A74D4">
      <w:pPr>
        <w:pStyle w:val="ListParagraph"/>
        <w:numPr>
          <w:ilvl w:val="0"/>
          <w:numId w:val="38"/>
        </w:numPr>
        <w:spacing w:line="256" w:lineRule="auto"/>
        <w:rPr>
          <w:lang w:val="en-AU"/>
        </w:rPr>
      </w:pPr>
      <w:r w:rsidRPr="009A74D4">
        <w:rPr>
          <w:lang w:val="en-AU"/>
        </w:rPr>
        <w:t>Invest fully in Option C:</w:t>
      </w:r>
    </w:p>
    <w:p w14:paraId="530714B3" w14:textId="77777777" w:rsidR="00A77462" w:rsidRPr="009A74D4" w:rsidRDefault="00A77462" w:rsidP="009A74D4">
      <w:pPr>
        <w:pStyle w:val="ListParagraph"/>
        <w:spacing w:line="256" w:lineRule="auto"/>
        <w:rPr>
          <w:lang w:val="en-AU"/>
        </w:rPr>
      </w:pPr>
      <w:r w:rsidRPr="009A74D4">
        <w:rPr>
          <w:b/>
          <w:bCs/>
          <w:lang w:val="en-AU"/>
        </w:rPr>
        <w:t>Cost of C = £1,000k</w:t>
      </w:r>
    </w:p>
    <w:p w14:paraId="51B1F835" w14:textId="77777777" w:rsidR="00A77462" w:rsidRPr="009A74D4" w:rsidRDefault="00A77462" w:rsidP="009A74D4">
      <w:pPr>
        <w:pStyle w:val="ListParagraph"/>
        <w:numPr>
          <w:ilvl w:val="0"/>
          <w:numId w:val="38"/>
        </w:numPr>
        <w:spacing w:line="256" w:lineRule="auto"/>
        <w:rPr>
          <w:lang w:val="en-AU"/>
        </w:rPr>
      </w:pPr>
      <w:r w:rsidRPr="009A74D4">
        <w:rPr>
          <w:lang w:val="en-AU"/>
        </w:rPr>
        <w:t>Remaining funds:</w:t>
      </w:r>
    </w:p>
    <w:p w14:paraId="338BF9A6" w14:textId="77777777" w:rsidR="00A77462" w:rsidRPr="009A74D4" w:rsidRDefault="00A77462" w:rsidP="009A74D4">
      <w:pPr>
        <w:pStyle w:val="ListParagraph"/>
        <w:spacing w:line="256" w:lineRule="auto"/>
        <w:rPr>
          <w:lang w:val="en-AU"/>
        </w:rPr>
      </w:pPr>
      <w:r w:rsidRPr="009A74D4">
        <w:rPr>
          <w:b/>
          <w:bCs/>
          <w:lang w:val="en-AU"/>
        </w:rPr>
        <w:t>£1,500k − £1,000k = £500k</w:t>
      </w:r>
    </w:p>
    <w:p w14:paraId="1BF51A77" w14:textId="77777777" w:rsidR="00A77462" w:rsidRPr="009A74D4" w:rsidRDefault="00A77462" w:rsidP="009A74D4">
      <w:pPr>
        <w:pStyle w:val="ListParagraph"/>
        <w:numPr>
          <w:ilvl w:val="0"/>
          <w:numId w:val="38"/>
        </w:numPr>
        <w:spacing w:line="256" w:lineRule="auto"/>
        <w:rPr>
          <w:lang w:val="en-AU"/>
        </w:rPr>
      </w:pPr>
      <w:r w:rsidRPr="009A74D4">
        <w:rPr>
          <w:lang w:val="en-AU"/>
        </w:rPr>
        <w:t>Fraction of Option B possible:</w:t>
      </w:r>
    </w:p>
    <w:p w14:paraId="250513CF" w14:textId="77777777" w:rsidR="00A77462" w:rsidRPr="009A74D4" w:rsidRDefault="00A77462" w:rsidP="009A74D4">
      <w:pPr>
        <w:pStyle w:val="ListParagraph"/>
        <w:spacing w:line="256" w:lineRule="auto"/>
        <w:rPr>
          <w:lang w:val="en-AU"/>
        </w:rPr>
      </w:pPr>
      <w:r w:rsidRPr="009A74D4">
        <w:rPr>
          <w:b/>
          <w:bCs/>
          <w:lang w:val="en-AU"/>
        </w:rPr>
        <w:t>£500k / £900k = 0.5556</w:t>
      </w:r>
    </w:p>
    <w:p w14:paraId="4ED5B81A" w14:textId="77777777" w:rsidR="00A77462" w:rsidRPr="009A74D4" w:rsidRDefault="00A77462" w:rsidP="009A74D4">
      <w:pPr>
        <w:pStyle w:val="ListParagraph"/>
        <w:numPr>
          <w:ilvl w:val="0"/>
          <w:numId w:val="38"/>
        </w:numPr>
        <w:spacing w:line="256" w:lineRule="auto"/>
        <w:rPr>
          <w:lang w:val="en-AU"/>
        </w:rPr>
      </w:pPr>
      <w:r w:rsidRPr="009A74D4">
        <w:rPr>
          <w:lang w:val="en-AU"/>
        </w:rPr>
        <w:t>Therefore, Beard Plc should invest in:</w:t>
      </w:r>
    </w:p>
    <w:p w14:paraId="7804975B" w14:textId="77777777" w:rsidR="00A77462" w:rsidRPr="009A74D4" w:rsidRDefault="00A77462" w:rsidP="009A74D4">
      <w:pPr>
        <w:pStyle w:val="ListParagraph"/>
        <w:spacing w:line="256" w:lineRule="auto"/>
        <w:rPr>
          <w:lang w:val="en-AU"/>
        </w:rPr>
      </w:pPr>
      <w:r w:rsidRPr="009A74D4">
        <w:rPr>
          <w:b/>
          <w:bCs/>
          <w:lang w:val="en-AU"/>
        </w:rPr>
        <w:t>100% of Option C + 55.56% of Option B</w:t>
      </w:r>
    </w:p>
    <w:p w14:paraId="632F7D0F" w14:textId="77777777" w:rsidR="00A77462" w:rsidRPr="009A74D4" w:rsidRDefault="00A77462" w:rsidP="009A74D4">
      <w:pPr>
        <w:pStyle w:val="ListParagraph"/>
        <w:numPr>
          <w:ilvl w:val="0"/>
          <w:numId w:val="38"/>
        </w:numPr>
        <w:spacing w:line="256" w:lineRule="auto"/>
        <w:rPr>
          <w:b/>
          <w:bCs/>
          <w:lang w:val="en-AU"/>
        </w:rPr>
      </w:pPr>
      <w:r w:rsidRPr="009A74D4">
        <w:rPr>
          <w:b/>
          <w:bCs/>
          <w:lang w:val="en-AU"/>
        </w:rPr>
        <w:t>Total NPV</w:t>
      </w:r>
    </w:p>
    <w:p w14:paraId="2FDDA428" w14:textId="77777777" w:rsidR="00A77462" w:rsidRPr="009A74D4" w:rsidRDefault="00A77462" w:rsidP="009A74D4">
      <w:pPr>
        <w:pStyle w:val="ListParagraph"/>
        <w:numPr>
          <w:ilvl w:val="0"/>
          <w:numId w:val="38"/>
        </w:numPr>
        <w:spacing w:line="256" w:lineRule="auto"/>
        <w:rPr>
          <w:lang w:val="en-AU"/>
        </w:rPr>
      </w:pPr>
      <w:r w:rsidRPr="009A74D4">
        <w:rPr>
          <w:lang w:val="en-AU"/>
        </w:rPr>
        <w:t>NPV of Option C:</w:t>
      </w:r>
    </w:p>
    <w:p w14:paraId="64EF6819" w14:textId="77777777" w:rsidR="00A77462" w:rsidRPr="009A74D4" w:rsidRDefault="00A77462" w:rsidP="009A74D4">
      <w:pPr>
        <w:pStyle w:val="ListParagraph"/>
        <w:spacing w:line="256" w:lineRule="auto"/>
        <w:rPr>
          <w:lang w:val="en-AU"/>
        </w:rPr>
      </w:pPr>
      <w:r w:rsidRPr="009A74D4">
        <w:rPr>
          <w:b/>
          <w:bCs/>
          <w:lang w:val="en-AU"/>
        </w:rPr>
        <w:lastRenderedPageBreak/>
        <w:t>£91.226k</w:t>
      </w:r>
    </w:p>
    <w:p w14:paraId="4F79718E" w14:textId="77777777" w:rsidR="00A77462" w:rsidRPr="009A74D4" w:rsidRDefault="00A77462" w:rsidP="009A74D4">
      <w:pPr>
        <w:pStyle w:val="ListParagraph"/>
        <w:numPr>
          <w:ilvl w:val="0"/>
          <w:numId w:val="38"/>
        </w:numPr>
        <w:spacing w:line="256" w:lineRule="auto"/>
        <w:rPr>
          <w:lang w:val="en-AU"/>
        </w:rPr>
      </w:pPr>
      <w:r w:rsidRPr="009A74D4">
        <w:rPr>
          <w:lang w:val="en-AU"/>
        </w:rPr>
        <w:t>NPV from 55.56% of Option B:</w:t>
      </w:r>
    </w:p>
    <w:p w14:paraId="010632B3" w14:textId="77777777" w:rsidR="00A77462" w:rsidRPr="009A74D4" w:rsidRDefault="00A77462" w:rsidP="009A74D4">
      <w:pPr>
        <w:pStyle w:val="ListParagraph"/>
        <w:spacing w:line="256" w:lineRule="auto"/>
        <w:rPr>
          <w:lang w:val="en-AU"/>
        </w:rPr>
      </w:pPr>
      <w:r w:rsidRPr="009A74D4">
        <w:rPr>
          <w:b/>
          <w:bCs/>
          <w:lang w:val="en-AU"/>
        </w:rPr>
        <w:t>£73.952k × 55.56% = £41.084k</w:t>
      </w:r>
    </w:p>
    <w:p w14:paraId="65D3B5E5" w14:textId="77777777" w:rsidR="00A77462" w:rsidRPr="009A74D4" w:rsidRDefault="00A77462" w:rsidP="009A74D4">
      <w:pPr>
        <w:pStyle w:val="ListParagraph"/>
        <w:numPr>
          <w:ilvl w:val="0"/>
          <w:numId w:val="38"/>
        </w:numPr>
        <w:spacing w:line="256" w:lineRule="auto"/>
        <w:rPr>
          <w:lang w:val="en-AU"/>
        </w:rPr>
      </w:pPr>
      <w:r w:rsidRPr="009A74D4">
        <w:rPr>
          <w:lang w:val="en-AU"/>
        </w:rPr>
        <w:t>Total NPV:</w:t>
      </w:r>
    </w:p>
    <w:p w14:paraId="05F60D3B" w14:textId="77777777" w:rsidR="00A77462" w:rsidRPr="009A74D4" w:rsidRDefault="00A77462" w:rsidP="009A74D4">
      <w:pPr>
        <w:pStyle w:val="ListParagraph"/>
        <w:spacing w:line="256" w:lineRule="auto"/>
        <w:rPr>
          <w:lang w:val="en-AU"/>
        </w:rPr>
      </w:pPr>
      <w:r w:rsidRPr="009A74D4">
        <w:rPr>
          <w:b/>
          <w:bCs/>
          <w:lang w:val="en-AU"/>
        </w:rPr>
        <w:t>£91.226k + £41.084k = £132.310k</w:t>
      </w:r>
    </w:p>
    <w:p w14:paraId="4B6632C0" w14:textId="77777777" w:rsidR="00A77462" w:rsidRPr="009A74D4" w:rsidRDefault="00A77462" w:rsidP="009A74D4">
      <w:pPr>
        <w:pStyle w:val="ListParagraph"/>
        <w:numPr>
          <w:ilvl w:val="0"/>
          <w:numId w:val="38"/>
        </w:numPr>
        <w:spacing w:line="256" w:lineRule="auto"/>
        <w:rPr>
          <w:lang w:val="en-AU"/>
        </w:rPr>
      </w:pPr>
      <w:r w:rsidRPr="009A74D4">
        <w:rPr>
          <w:lang w:val="en-AU"/>
        </w:rPr>
        <w:t>Final capital-rationing recommendation:</w:t>
      </w:r>
    </w:p>
    <w:tbl>
      <w:tblPr>
        <w:tblStyle w:val="GridTable4-Accent11"/>
        <w:tblW w:w="9432" w:type="dxa"/>
        <w:tblLook w:val="04A0" w:firstRow="1" w:lastRow="0" w:firstColumn="1" w:lastColumn="0" w:noHBand="0" w:noVBand="1"/>
      </w:tblPr>
      <w:tblGrid>
        <w:gridCol w:w="3665"/>
        <w:gridCol w:w="3025"/>
        <w:gridCol w:w="2742"/>
      </w:tblGrid>
      <w:tr w:rsidR="00A77462" w14:paraId="2FE3D76C" w14:textId="77777777" w:rsidTr="009A74D4">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0" w:type="auto"/>
            <w:hideMark/>
          </w:tcPr>
          <w:p w14:paraId="2AB5D0EF" w14:textId="77777777" w:rsidR="00A77462" w:rsidRDefault="00A77462" w:rsidP="000C685B">
            <w:pPr>
              <w:spacing w:line="256" w:lineRule="auto"/>
              <w:rPr>
                <w:b w:val="0"/>
                <w:bCs w:val="0"/>
                <w:lang w:val="en-AU" w:eastAsia="en-AU"/>
              </w:rPr>
            </w:pPr>
            <w:r>
              <w:rPr>
                <w:b w:val="0"/>
                <w:bCs w:val="0"/>
                <w:lang w:val="en-AU" w:eastAsia="en-AU"/>
              </w:rPr>
              <w:t>Investment</w:t>
            </w:r>
          </w:p>
        </w:tc>
        <w:tc>
          <w:tcPr>
            <w:tcW w:w="0" w:type="auto"/>
            <w:hideMark/>
          </w:tcPr>
          <w:p w14:paraId="1C1D2ADB"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Amount invested</w:t>
            </w:r>
          </w:p>
        </w:tc>
        <w:tc>
          <w:tcPr>
            <w:tcW w:w="0" w:type="auto"/>
            <w:hideMark/>
          </w:tcPr>
          <w:p w14:paraId="2601D8B8" w14:textId="77777777" w:rsidR="00A77462" w:rsidRDefault="00A77462" w:rsidP="000C685B">
            <w:pPr>
              <w:spacing w:line="256" w:lineRule="auto"/>
              <w:cnfStyle w:val="100000000000" w:firstRow="1" w:lastRow="0" w:firstColumn="0" w:lastColumn="0" w:oddVBand="0" w:evenVBand="0" w:oddHBand="0" w:evenHBand="0" w:firstRowFirstColumn="0" w:firstRowLastColumn="0" w:lastRowFirstColumn="0" w:lastRowLastColumn="0"/>
              <w:rPr>
                <w:b w:val="0"/>
                <w:bCs w:val="0"/>
                <w:lang w:val="en-AU" w:eastAsia="en-AU"/>
              </w:rPr>
            </w:pPr>
            <w:r>
              <w:rPr>
                <w:b w:val="0"/>
                <w:bCs w:val="0"/>
                <w:lang w:val="en-AU" w:eastAsia="en-AU"/>
              </w:rPr>
              <w:t>NPV generated</w:t>
            </w:r>
          </w:p>
        </w:tc>
      </w:tr>
      <w:tr w:rsidR="00A77462" w14:paraId="2A8F8255" w14:textId="77777777" w:rsidTr="009A74D4">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0" w:type="auto"/>
            <w:hideMark/>
          </w:tcPr>
          <w:p w14:paraId="52CC1623" w14:textId="77777777" w:rsidR="00A77462" w:rsidRDefault="00A77462" w:rsidP="000C685B">
            <w:pPr>
              <w:spacing w:line="256" w:lineRule="auto"/>
              <w:rPr>
                <w:lang w:val="en-AU" w:eastAsia="en-AU"/>
              </w:rPr>
            </w:pPr>
            <w:r>
              <w:rPr>
                <w:lang w:val="en-AU" w:eastAsia="en-AU"/>
              </w:rPr>
              <w:t>100% of Option C</w:t>
            </w:r>
          </w:p>
        </w:tc>
        <w:tc>
          <w:tcPr>
            <w:tcW w:w="0" w:type="auto"/>
            <w:hideMark/>
          </w:tcPr>
          <w:p w14:paraId="7A7A16A0"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1,000</w:t>
            </w:r>
          </w:p>
        </w:tc>
        <w:tc>
          <w:tcPr>
            <w:tcW w:w="0" w:type="auto"/>
            <w:hideMark/>
          </w:tcPr>
          <w:p w14:paraId="38C2F721"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lang w:val="en-AU" w:eastAsia="en-AU"/>
              </w:rPr>
              <w:t>91.226</w:t>
            </w:r>
          </w:p>
        </w:tc>
      </w:tr>
      <w:tr w:rsidR="00A77462" w14:paraId="358E33A3" w14:textId="77777777" w:rsidTr="009A74D4">
        <w:trPr>
          <w:trHeight w:val="364"/>
        </w:trPr>
        <w:tc>
          <w:tcPr>
            <w:cnfStyle w:val="001000000000" w:firstRow="0" w:lastRow="0" w:firstColumn="1" w:lastColumn="0" w:oddVBand="0" w:evenVBand="0" w:oddHBand="0" w:evenHBand="0" w:firstRowFirstColumn="0" w:firstRowLastColumn="0" w:lastRowFirstColumn="0" w:lastRowLastColumn="0"/>
            <w:tcW w:w="0" w:type="auto"/>
            <w:hideMark/>
          </w:tcPr>
          <w:p w14:paraId="5E87CC72" w14:textId="77777777" w:rsidR="00A77462" w:rsidRDefault="00A77462" w:rsidP="000C685B">
            <w:pPr>
              <w:spacing w:line="256" w:lineRule="auto"/>
              <w:rPr>
                <w:lang w:val="en-AU" w:eastAsia="en-AU"/>
              </w:rPr>
            </w:pPr>
            <w:r>
              <w:rPr>
                <w:lang w:val="en-AU" w:eastAsia="en-AU"/>
              </w:rPr>
              <w:t>55.56% of Option B</w:t>
            </w:r>
          </w:p>
        </w:tc>
        <w:tc>
          <w:tcPr>
            <w:tcW w:w="0" w:type="auto"/>
            <w:hideMark/>
          </w:tcPr>
          <w:p w14:paraId="1ABB1BE4"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500</w:t>
            </w:r>
          </w:p>
        </w:tc>
        <w:tc>
          <w:tcPr>
            <w:tcW w:w="0" w:type="auto"/>
            <w:hideMark/>
          </w:tcPr>
          <w:p w14:paraId="1729B194" w14:textId="77777777" w:rsidR="00A77462" w:rsidRDefault="00A77462" w:rsidP="000C685B">
            <w:pPr>
              <w:spacing w:line="256" w:lineRule="auto"/>
              <w:cnfStyle w:val="000000000000" w:firstRow="0" w:lastRow="0" w:firstColumn="0" w:lastColumn="0" w:oddVBand="0" w:evenVBand="0" w:oddHBand="0" w:evenHBand="0" w:firstRowFirstColumn="0" w:firstRowLastColumn="0" w:lastRowFirstColumn="0" w:lastRowLastColumn="0"/>
              <w:rPr>
                <w:lang w:val="en-AU" w:eastAsia="en-AU"/>
              </w:rPr>
            </w:pPr>
            <w:r>
              <w:rPr>
                <w:lang w:val="en-AU" w:eastAsia="en-AU"/>
              </w:rPr>
              <w:t>41.084</w:t>
            </w:r>
          </w:p>
        </w:tc>
      </w:tr>
      <w:tr w:rsidR="00A77462" w14:paraId="21FF93E3" w14:textId="77777777" w:rsidTr="009A74D4">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0" w:type="auto"/>
            <w:hideMark/>
          </w:tcPr>
          <w:p w14:paraId="2B5FC8E3" w14:textId="77777777" w:rsidR="00A77462" w:rsidRDefault="00A77462" w:rsidP="000C685B">
            <w:pPr>
              <w:spacing w:line="256" w:lineRule="auto"/>
              <w:rPr>
                <w:lang w:val="en-AU" w:eastAsia="en-AU"/>
              </w:rPr>
            </w:pPr>
            <w:r>
              <w:rPr>
                <w:b w:val="0"/>
                <w:bCs w:val="0"/>
                <w:lang w:val="en-AU" w:eastAsia="en-AU"/>
              </w:rPr>
              <w:t>Total</w:t>
            </w:r>
          </w:p>
        </w:tc>
        <w:tc>
          <w:tcPr>
            <w:tcW w:w="0" w:type="auto"/>
            <w:hideMark/>
          </w:tcPr>
          <w:p w14:paraId="14AA69AF"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bCs/>
                <w:lang w:val="en-AU" w:eastAsia="en-AU"/>
              </w:rPr>
              <w:t>1,500</w:t>
            </w:r>
          </w:p>
        </w:tc>
        <w:tc>
          <w:tcPr>
            <w:tcW w:w="0" w:type="auto"/>
            <w:hideMark/>
          </w:tcPr>
          <w:p w14:paraId="68A52168" w14:textId="77777777" w:rsidR="00A77462" w:rsidRDefault="00A77462" w:rsidP="000C685B">
            <w:pPr>
              <w:spacing w:line="256" w:lineRule="auto"/>
              <w:cnfStyle w:val="000000100000" w:firstRow="0" w:lastRow="0" w:firstColumn="0" w:lastColumn="0" w:oddVBand="0" w:evenVBand="0" w:oddHBand="1" w:evenHBand="0" w:firstRowFirstColumn="0" w:firstRowLastColumn="0" w:lastRowFirstColumn="0" w:lastRowLastColumn="0"/>
              <w:rPr>
                <w:lang w:val="en-AU" w:eastAsia="en-AU"/>
              </w:rPr>
            </w:pPr>
            <w:r>
              <w:rPr>
                <w:b/>
                <w:bCs/>
                <w:lang w:val="en-AU" w:eastAsia="en-AU"/>
              </w:rPr>
              <w:t>132.310</w:t>
            </w:r>
          </w:p>
        </w:tc>
      </w:tr>
    </w:tbl>
    <w:p w14:paraId="64D91DAA" w14:textId="77777777" w:rsidR="00A943C0" w:rsidRDefault="00A943C0" w:rsidP="00A77462"/>
    <w:p w14:paraId="7853F76B" w14:textId="77777777" w:rsidR="00782269" w:rsidRDefault="00782269" w:rsidP="00A77462"/>
    <w:p w14:paraId="4847BCF4" w14:textId="77777777" w:rsidR="00782269" w:rsidRDefault="00782269" w:rsidP="00A77462"/>
    <w:p w14:paraId="0328CADD" w14:textId="77777777" w:rsidR="00782269" w:rsidRDefault="00782269" w:rsidP="00A77462"/>
    <w:p w14:paraId="4EFB3B2E" w14:textId="77777777" w:rsidR="00372C33" w:rsidRDefault="00372C33" w:rsidP="00A77462"/>
    <w:p w14:paraId="171A24B7" w14:textId="77777777" w:rsidR="00372C33" w:rsidRDefault="00372C33" w:rsidP="00A77462"/>
    <w:p w14:paraId="60FF3228" w14:textId="77777777" w:rsidR="00372C33" w:rsidRDefault="00372C33" w:rsidP="00A77462"/>
    <w:p w14:paraId="393412C8" w14:textId="77777777" w:rsidR="00372C33" w:rsidRDefault="00372C33" w:rsidP="00A77462"/>
    <w:p w14:paraId="1DC14BDD" w14:textId="77777777" w:rsidR="00372C33" w:rsidRDefault="00372C33" w:rsidP="00A77462"/>
    <w:p w14:paraId="1B882285" w14:textId="77777777" w:rsidR="00372C33" w:rsidRDefault="00372C33" w:rsidP="00A77462"/>
    <w:p w14:paraId="50A11BDC" w14:textId="77777777" w:rsidR="00372C33" w:rsidRDefault="00372C33" w:rsidP="00A77462"/>
    <w:p w14:paraId="4FB6B511" w14:textId="77777777" w:rsidR="00372C33" w:rsidRDefault="00372C33" w:rsidP="00A77462"/>
    <w:p w14:paraId="2F4D2777" w14:textId="77777777" w:rsidR="00372C33" w:rsidRDefault="00372C33" w:rsidP="00A77462"/>
    <w:p w14:paraId="3DEFD559" w14:textId="77777777" w:rsidR="00782269" w:rsidRPr="00A77462" w:rsidRDefault="00782269" w:rsidP="00A77462"/>
    <w:sectPr w:rsidR="00782269" w:rsidRPr="00A774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616E1" w14:textId="77777777" w:rsidR="006B1465" w:rsidRDefault="006B1465">
      <w:pPr>
        <w:spacing w:line="240" w:lineRule="auto"/>
      </w:pPr>
      <w:r>
        <w:separator/>
      </w:r>
    </w:p>
  </w:endnote>
  <w:endnote w:type="continuationSeparator" w:id="0">
    <w:p w14:paraId="0B723E45" w14:textId="77777777" w:rsidR="006B1465" w:rsidRDefault="006B14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1AE0D" w14:textId="77777777" w:rsidR="006B1465" w:rsidRDefault="006B1465">
      <w:pPr>
        <w:spacing w:after="0"/>
      </w:pPr>
      <w:r>
        <w:separator/>
      </w:r>
    </w:p>
  </w:footnote>
  <w:footnote w:type="continuationSeparator" w:id="0">
    <w:p w14:paraId="150B7E31" w14:textId="77777777" w:rsidR="006B1465" w:rsidRDefault="006B1465">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19F7"/>
    <w:multiLevelType w:val="hybridMultilevel"/>
    <w:tmpl w:val="465A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DF4486"/>
    <w:multiLevelType w:val="hybridMultilevel"/>
    <w:tmpl w:val="3924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201F0"/>
    <w:multiLevelType w:val="hybridMultilevel"/>
    <w:tmpl w:val="11707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22403"/>
    <w:multiLevelType w:val="hybridMultilevel"/>
    <w:tmpl w:val="66289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CE2FC0"/>
    <w:multiLevelType w:val="hybridMultilevel"/>
    <w:tmpl w:val="4E98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C7C0687"/>
    <w:multiLevelType w:val="multilevel"/>
    <w:tmpl w:val="31A26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297538"/>
    <w:multiLevelType w:val="hybridMultilevel"/>
    <w:tmpl w:val="8BD29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C43023"/>
    <w:multiLevelType w:val="multilevel"/>
    <w:tmpl w:val="CAE65B5A"/>
    <w:lvl w:ilvl="0">
      <w:start w:val="4"/>
      <w:numFmt w:val="decimal"/>
      <w:lvlText w:val="%1"/>
      <w:lvlJc w:val="left"/>
      <w:pPr>
        <w:ind w:left="672" w:hanging="672"/>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2CEC0E29"/>
    <w:multiLevelType w:val="hybridMultilevel"/>
    <w:tmpl w:val="D818A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617F1E"/>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30CE1AD5"/>
    <w:multiLevelType w:val="hybridMultilevel"/>
    <w:tmpl w:val="03367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413578"/>
    <w:multiLevelType w:val="hybridMultilevel"/>
    <w:tmpl w:val="E1A4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BE341E"/>
    <w:multiLevelType w:val="hybridMultilevel"/>
    <w:tmpl w:val="3A80A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274C8A"/>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35C761F1"/>
    <w:multiLevelType w:val="hybridMultilevel"/>
    <w:tmpl w:val="5266A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02099A"/>
    <w:multiLevelType w:val="hybridMultilevel"/>
    <w:tmpl w:val="F806C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821795"/>
    <w:multiLevelType w:val="hybridMultilevel"/>
    <w:tmpl w:val="EDD4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69417D"/>
    <w:multiLevelType w:val="hybridMultilevel"/>
    <w:tmpl w:val="0E9E0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95899"/>
    <w:multiLevelType w:val="multilevel"/>
    <w:tmpl w:val="7084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F52810"/>
    <w:multiLevelType w:val="hybridMultilevel"/>
    <w:tmpl w:val="69BE3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5F0528"/>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520D0BE8"/>
    <w:multiLevelType w:val="hybridMultilevel"/>
    <w:tmpl w:val="DB96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C0381D"/>
    <w:multiLevelType w:val="hybridMultilevel"/>
    <w:tmpl w:val="FA367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994617"/>
    <w:multiLevelType w:val="multilevel"/>
    <w:tmpl w:val="23C6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F4E09"/>
    <w:multiLevelType w:val="multilevel"/>
    <w:tmpl w:val="D200E0C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59615A"/>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569549DF"/>
    <w:multiLevelType w:val="hybridMultilevel"/>
    <w:tmpl w:val="5DBC7D32"/>
    <w:lvl w:ilvl="0" w:tplc="0C090001">
      <w:start w:val="1"/>
      <w:numFmt w:val="bullet"/>
      <w:lvlText w:val=""/>
      <w:lvlJc w:val="left"/>
      <w:pPr>
        <w:ind w:left="853" w:hanging="360"/>
      </w:pPr>
      <w:rPr>
        <w:rFonts w:ascii="Symbol" w:hAnsi="Symbol" w:hint="default"/>
      </w:rPr>
    </w:lvl>
    <w:lvl w:ilvl="1" w:tplc="0C090003" w:tentative="1">
      <w:start w:val="1"/>
      <w:numFmt w:val="bullet"/>
      <w:lvlText w:val="o"/>
      <w:lvlJc w:val="left"/>
      <w:pPr>
        <w:ind w:left="1573" w:hanging="360"/>
      </w:pPr>
      <w:rPr>
        <w:rFonts w:ascii="Courier New" w:hAnsi="Courier New" w:cs="Courier New" w:hint="default"/>
      </w:rPr>
    </w:lvl>
    <w:lvl w:ilvl="2" w:tplc="0C090005" w:tentative="1">
      <w:start w:val="1"/>
      <w:numFmt w:val="bullet"/>
      <w:lvlText w:val=""/>
      <w:lvlJc w:val="left"/>
      <w:pPr>
        <w:ind w:left="2293" w:hanging="360"/>
      </w:pPr>
      <w:rPr>
        <w:rFonts w:ascii="Wingdings" w:hAnsi="Wingdings" w:hint="default"/>
      </w:rPr>
    </w:lvl>
    <w:lvl w:ilvl="3" w:tplc="0C090001" w:tentative="1">
      <w:start w:val="1"/>
      <w:numFmt w:val="bullet"/>
      <w:lvlText w:val=""/>
      <w:lvlJc w:val="left"/>
      <w:pPr>
        <w:ind w:left="3013" w:hanging="360"/>
      </w:pPr>
      <w:rPr>
        <w:rFonts w:ascii="Symbol" w:hAnsi="Symbol" w:hint="default"/>
      </w:rPr>
    </w:lvl>
    <w:lvl w:ilvl="4" w:tplc="0C090003" w:tentative="1">
      <w:start w:val="1"/>
      <w:numFmt w:val="bullet"/>
      <w:lvlText w:val="o"/>
      <w:lvlJc w:val="left"/>
      <w:pPr>
        <w:ind w:left="3733" w:hanging="360"/>
      </w:pPr>
      <w:rPr>
        <w:rFonts w:ascii="Courier New" w:hAnsi="Courier New" w:cs="Courier New" w:hint="default"/>
      </w:rPr>
    </w:lvl>
    <w:lvl w:ilvl="5" w:tplc="0C090005" w:tentative="1">
      <w:start w:val="1"/>
      <w:numFmt w:val="bullet"/>
      <w:lvlText w:val=""/>
      <w:lvlJc w:val="left"/>
      <w:pPr>
        <w:ind w:left="4453" w:hanging="360"/>
      </w:pPr>
      <w:rPr>
        <w:rFonts w:ascii="Wingdings" w:hAnsi="Wingdings" w:hint="default"/>
      </w:rPr>
    </w:lvl>
    <w:lvl w:ilvl="6" w:tplc="0C090001" w:tentative="1">
      <w:start w:val="1"/>
      <w:numFmt w:val="bullet"/>
      <w:lvlText w:val=""/>
      <w:lvlJc w:val="left"/>
      <w:pPr>
        <w:ind w:left="5173" w:hanging="360"/>
      </w:pPr>
      <w:rPr>
        <w:rFonts w:ascii="Symbol" w:hAnsi="Symbol" w:hint="default"/>
      </w:rPr>
    </w:lvl>
    <w:lvl w:ilvl="7" w:tplc="0C090003" w:tentative="1">
      <w:start w:val="1"/>
      <w:numFmt w:val="bullet"/>
      <w:lvlText w:val="o"/>
      <w:lvlJc w:val="left"/>
      <w:pPr>
        <w:ind w:left="5893" w:hanging="360"/>
      </w:pPr>
      <w:rPr>
        <w:rFonts w:ascii="Courier New" w:hAnsi="Courier New" w:cs="Courier New" w:hint="default"/>
      </w:rPr>
    </w:lvl>
    <w:lvl w:ilvl="8" w:tplc="0C090005" w:tentative="1">
      <w:start w:val="1"/>
      <w:numFmt w:val="bullet"/>
      <w:lvlText w:val=""/>
      <w:lvlJc w:val="left"/>
      <w:pPr>
        <w:ind w:left="6613" w:hanging="360"/>
      </w:pPr>
      <w:rPr>
        <w:rFonts w:ascii="Wingdings" w:hAnsi="Wingdings" w:hint="default"/>
      </w:rPr>
    </w:lvl>
  </w:abstractNum>
  <w:abstractNum w:abstractNumId="28" w15:restartNumberingAfterBreak="0">
    <w:nsid w:val="58271892"/>
    <w:multiLevelType w:val="hybridMultilevel"/>
    <w:tmpl w:val="84D2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A80601"/>
    <w:multiLevelType w:val="multilevel"/>
    <w:tmpl w:val="13645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710328"/>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1" w15:restartNumberingAfterBreak="0">
    <w:nsid w:val="710A667F"/>
    <w:multiLevelType w:val="hybridMultilevel"/>
    <w:tmpl w:val="B998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CD7B2D"/>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3" w15:restartNumberingAfterBreak="0">
    <w:nsid w:val="76EF01B3"/>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4" w15:restartNumberingAfterBreak="0">
    <w:nsid w:val="775964BD"/>
    <w:multiLevelType w:val="hybridMultilevel"/>
    <w:tmpl w:val="E8189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652250"/>
    <w:multiLevelType w:val="hybridMultilevel"/>
    <w:tmpl w:val="723A7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9A61EC"/>
    <w:multiLevelType w:val="multilevel"/>
    <w:tmpl w:val="D32A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BB09C6"/>
    <w:multiLevelType w:val="hybridMultilevel"/>
    <w:tmpl w:val="46C8D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757000"/>
    <w:multiLevelType w:val="hybridMultilevel"/>
    <w:tmpl w:val="F9B6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24"/>
  </w:num>
  <w:num w:numId="4">
    <w:abstractNumId w:val="25"/>
  </w:num>
  <w:num w:numId="5">
    <w:abstractNumId w:val="5"/>
  </w:num>
  <w:num w:numId="6">
    <w:abstractNumId w:val="27"/>
  </w:num>
  <w:num w:numId="7">
    <w:abstractNumId w:val="29"/>
  </w:num>
  <w:num w:numId="8">
    <w:abstractNumId w:val="19"/>
  </w:num>
  <w:num w:numId="9">
    <w:abstractNumId w:val="10"/>
  </w:num>
  <w:num w:numId="10">
    <w:abstractNumId w:val="14"/>
  </w:num>
  <w:num w:numId="11">
    <w:abstractNumId w:val="32"/>
  </w:num>
  <w:num w:numId="12">
    <w:abstractNumId w:val="21"/>
  </w:num>
  <w:num w:numId="13">
    <w:abstractNumId w:val="38"/>
  </w:num>
  <w:num w:numId="14">
    <w:abstractNumId w:val="26"/>
  </w:num>
  <w:num w:numId="15">
    <w:abstractNumId w:val="35"/>
  </w:num>
  <w:num w:numId="16">
    <w:abstractNumId w:val="7"/>
  </w:num>
  <w:num w:numId="17">
    <w:abstractNumId w:val="13"/>
  </w:num>
  <w:num w:numId="18">
    <w:abstractNumId w:val="4"/>
  </w:num>
  <w:num w:numId="19">
    <w:abstractNumId w:val="17"/>
  </w:num>
  <w:num w:numId="20">
    <w:abstractNumId w:val="11"/>
  </w:num>
  <w:num w:numId="21">
    <w:abstractNumId w:val="18"/>
  </w:num>
  <w:num w:numId="22">
    <w:abstractNumId w:val="22"/>
  </w:num>
  <w:num w:numId="23">
    <w:abstractNumId w:val="34"/>
  </w:num>
  <w:num w:numId="24">
    <w:abstractNumId w:val="16"/>
  </w:num>
  <w:num w:numId="25">
    <w:abstractNumId w:val="31"/>
  </w:num>
  <w:num w:numId="26">
    <w:abstractNumId w:val="28"/>
  </w:num>
  <w:num w:numId="27">
    <w:abstractNumId w:val="2"/>
  </w:num>
  <w:num w:numId="28">
    <w:abstractNumId w:val="3"/>
  </w:num>
  <w:num w:numId="29">
    <w:abstractNumId w:val="15"/>
  </w:num>
  <w:num w:numId="30">
    <w:abstractNumId w:val="1"/>
  </w:num>
  <w:num w:numId="31">
    <w:abstractNumId w:val="33"/>
  </w:num>
  <w:num w:numId="32">
    <w:abstractNumId w:val="23"/>
  </w:num>
  <w:num w:numId="33">
    <w:abstractNumId w:val="30"/>
  </w:num>
  <w:num w:numId="34">
    <w:abstractNumId w:val="8"/>
  </w:num>
  <w:num w:numId="35">
    <w:abstractNumId w:val="9"/>
  </w:num>
  <w:num w:numId="36">
    <w:abstractNumId w:val="12"/>
  </w:num>
  <w:num w:numId="37">
    <w:abstractNumId w:val="20"/>
  </w:num>
  <w:num w:numId="38">
    <w:abstractNumId w:val="0"/>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659"/>
    <w:rsid w:val="0000153C"/>
    <w:rsid w:val="00001C3B"/>
    <w:rsid w:val="00002F21"/>
    <w:rsid w:val="00004E38"/>
    <w:rsid w:val="000057EC"/>
    <w:rsid w:val="0002351F"/>
    <w:rsid w:val="000624F2"/>
    <w:rsid w:val="0007029D"/>
    <w:rsid w:val="00071860"/>
    <w:rsid w:val="000A5FDC"/>
    <w:rsid w:val="000B1CD8"/>
    <w:rsid w:val="000C685B"/>
    <w:rsid w:val="000D36DE"/>
    <w:rsid w:val="000E3A8C"/>
    <w:rsid w:val="000F16A6"/>
    <w:rsid w:val="001012C6"/>
    <w:rsid w:val="0011622F"/>
    <w:rsid w:val="00123608"/>
    <w:rsid w:val="00157B57"/>
    <w:rsid w:val="001667BE"/>
    <w:rsid w:val="001A7262"/>
    <w:rsid w:val="001B6A03"/>
    <w:rsid w:val="001C195C"/>
    <w:rsid w:val="001F1432"/>
    <w:rsid w:val="001F5728"/>
    <w:rsid w:val="001F683C"/>
    <w:rsid w:val="00227BF6"/>
    <w:rsid w:val="00230BC1"/>
    <w:rsid w:val="002F7981"/>
    <w:rsid w:val="0030627D"/>
    <w:rsid w:val="00351819"/>
    <w:rsid w:val="00372C33"/>
    <w:rsid w:val="003D366C"/>
    <w:rsid w:val="003E70C8"/>
    <w:rsid w:val="003E7FEB"/>
    <w:rsid w:val="0040289D"/>
    <w:rsid w:val="0040527A"/>
    <w:rsid w:val="004512D0"/>
    <w:rsid w:val="00460519"/>
    <w:rsid w:val="00467E61"/>
    <w:rsid w:val="004C2218"/>
    <w:rsid w:val="004D3165"/>
    <w:rsid w:val="004E5921"/>
    <w:rsid w:val="004F2030"/>
    <w:rsid w:val="00510B4B"/>
    <w:rsid w:val="005131CC"/>
    <w:rsid w:val="00537DA6"/>
    <w:rsid w:val="005464D4"/>
    <w:rsid w:val="0054705E"/>
    <w:rsid w:val="005628AE"/>
    <w:rsid w:val="00573CE3"/>
    <w:rsid w:val="005A3F52"/>
    <w:rsid w:val="005B182D"/>
    <w:rsid w:val="005B5BC5"/>
    <w:rsid w:val="005C2272"/>
    <w:rsid w:val="005C43DC"/>
    <w:rsid w:val="005C52D0"/>
    <w:rsid w:val="005D011A"/>
    <w:rsid w:val="0060523A"/>
    <w:rsid w:val="00612BEC"/>
    <w:rsid w:val="006423A5"/>
    <w:rsid w:val="00643434"/>
    <w:rsid w:val="00644F01"/>
    <w:rsid w:val="00651443"/>
    <w:rsid w:val="0067546C"/>
    <w:rsid w:val="006971D4"/>
    <w:rsid w:val="00697B58"/>
    <w:rsid w:val="006B1465"/>
    <w:rsid w:val="006B26E4"/>
    <w:rsid w:val="006B38E8"/>
    <w:rsid w:val="006B3A6D"/>
    <w:rsid w:val="006C1D8B"/>
    <w:rsid w:val="006E3055"/>
    <w:rsid w:val="006E64B3"/>
    <w:rsid w:val="00713A5C"/>
    <w:rsid w:val="00713EF0"/>
    <w:rsid w:val="0072089C"/>
    <w:rsid w:val="007421D5"/>
    <w:rsid w:val="00756634"/>
    <w:rsid w:val="0076000E"/>
    <w:rsid w:val="0076635D"/>
    <w:rsid w:val="00777C7F"/>
    <w:rsid w:val="00782269"/>
    <w:rsid w:val="007B362F"/>
    <w:rsid w:val="007B54C4"/>
    <w:rsid w:val="007C61DD"/>
    <w:rsid w:val="00806DF8"/>
    <w:rsid w:val="00826E21"/>
    <w:rsid w:val="00844654"/>
    <w:rsid w:val="00875659"/>
    <w:rsid w:val="00877B35"/>
    <w:rsid w:val="00883016"/>
    <w:rsid w:val="00887CC3"/>
    <w:rsid w:val="008A1439"/>
    <w:rsid w:val="008A5A5B"/>
    <w:rsid w:val="008B14B8"/>
    <w:rsid w:val="008D0E54"/>
    <w:rsid w:val="00914225"/>
    <w:rsid w:val="009535F1"/>
    <w:rsid w:val="0098652B"/>
    <w:rsid w:val="0098728D"/>
    <w:rsid w:val="009A74D4"/>
    <w:rsid w:val="009D4B64"/>
    <w:rsid w:val="009D53CD"/>
    <w:rsid w:val="009E223F"/>
    <w:rsid w:val="009E3104"/>
    <w:rsid w:val="00A55A9E"/>
    <w:rsid w:val="00A64731"/>
    <w:rsid w:val="00A67BD4"/>
    <w:rsid w:val="00A67E97"/>
    <w:rsid w:val="00A73082"/>
    <w:rsid w:val="00A77462"/>
    <w:rsid w:val="00A777B7"/>
    <w:rsid w:val="00A87E74"/>
    <w:rsid w:val="00A943C0"/>
    <w:rsid w:val="00A97C5D"/>
    <w:rsid w:val="00AB3CE2"/>
    <w:rsid w:val="00AE21FF"/>
    <w:rsid w:val="00B44DE1"/>
    <w:rsid w:val="00B537A8"/>
    <w:rsid w:val="00B70255"/>
    <w:rsid w:val="00B90C9D"/>
    <w:rsid w:val="00B910DE"/>
    <w:rsid w:val="00B95546"/>
    <w:rsid w:val="00BA011A"/>
    <w:rsid w:val="00BA3BBA"/>
    <w:rsid w:val="00BA77DE"/>
    <w:rsid w:val="00BB0139"/>
    <w:rsid w:val="00BD5BEF"/>
    <w:rsid w:val="00BE3D80"/>
    <w:rsid w:val="00BF4564"/>
    <w:rsid w:val="00BF72B2"/>
    <w:rsid w:val="00C022FF"/>
    <w:rsid w:val="00C04A0D"/>
    <w:rsid w:val="00C11CE5"/>
    <w:rsid w:val="00C37225"/>
    <w:rsid w:val="00C71A27"/>
    <w:rsid w:val="00CD23DA"/>
    <w:rsid w:val="00CE4753"/>
    <w:rsid w:val="00D15678"/>
    <w:rsid w:val="00D20CBE"/>
    <w:rsid w:val="00D551D7"/>
    <w:rsid w:val="00D71E25"/>
    <w:rsid w:val="00D94973"/>
    <w:rsid w:val="00DC46DD"/>
    <w:rsid w:val="00DD3C44"/>
    <w:rsid w:val="00DE1B86"/>
    <w:rsid w:val="00E04EBA"/>
    <w:rsid w:val="00E1284F"/>
    <w:rsid w:val="00E26950"/>
    <w:rsid w:val="00E32A25"/>
    <w:rsid w:val="00E90346"/>
    <w:rsid w:val="00E917AD"/>
    <w:rsid w:val="00EB45FC"/>
    <w:rsid w:val="00EC71E2"/>
    <w:rsid w:val="00ED06C1"/>
    <w:rsid w:val="00EF317E"/>
    <w:rsid w:val="00F236EA"/>
    <w:rsid w:val="00F56876"/>
    <w:rsid w:val="00F62DD5"/>
    <w:rsid w:val="00F7483C"/>
    <w:rsid w:val="00F7729C"/>
    <w:rsid w:val="00F8531B"/>
    <w:rsid w:val="00FA2970"/>
    <w:rsid w:val="00FD0658"/>
    <w:rsid w:val="5D430F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4205A"/>
  <w15:docId w15:val="{E0CA1C83-6DF5-492B-B405-037FAFBDD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360" w:lineRule="auto"/>
      <w:jc w:val="both"/>
    </w:pPr>
    <w:rPr>
      <w:rFonts w:eastAsiaTheme="minorHAnsi" w:cstheme="minorBidi"/>
      <w:sz w:val="24"/>
      <w:szCs w:val="22"/>
      <w:lang w:val="en-GB" w:eastAsia="en-US"/>
      <w14:ligatures w14:val="standardContextual"/>
    </w:rPr>
  </w:style>
  <w:style w:type="paragraph" w:styleId="Heading1">
    <w:name w:val="heading 1"/>
    <w:basedOn w:val="Normal"/>
    <w:next w:val="Normal"/>
    <w:link w:val="Heading1Char"/>
    <w:uiPriority w:val="9"/>
    <w:qFormat/>
    <w:rsid w:val="000C685B"/>
    <w:pPr>
      <w:keepNext/>
      <w:keepLines/>
      <w:spacing w:before="360" w:after="80"/>
      <w:outlineLvl w:val="0"/>
    </w:pPr>
    <w:rPr>
      <w:rFonts w:eastAsiaTheme="majorEastAsia" w:cstheme="majorBidi"/>
      <w:b/>
      <w:color w:val="0F4761" w:themeColor="accent1" w:themeShade="BF"/>
      <w:sz w:val="40"/>
      <w:szCs w:val="40"/>
      <w:u w:val="single"/>
    </w:rPr>
  </w:style>
  <w:style w:type="paragraph" w:styleId="Heading2">
    <w:name w:val="heading 2"/>
    <w:basedOn w:val="Normal"/>
    <w:next w:val="Normal"/>
    <w:link w:val="Heading2Char"/>
    <w:uiPriority w:val="9"/>
    <w:unhideWhenUsed/>
    <w:qFormat/>
    <w:rsid w:val="000C685B"/>
    <w:pPr>
      <w:keepNext/>
      <w:keepLines/>
      <w:spacing w:before="160" w:after="80"/>
      <w:outlineLvl w:val="1"/>
    </w:pPr>
    <w:rPr>
      <w:rFonts w:eastAsiaTheme="majorEastAsia" w:cstheme="majorBidi"/>
      <w:b/>
      <w:color w:val="4C94D8" w:themeColor="text2" w:themeTint="80"/>
      <w:sz w:val="36"/>
      <w:szCs w:val="32"/>
    </w:rPr>
  </w:style>
  <w:style w:type="paragraph" w:styleId="Heading3">
    <w:name w:val="heading 3"/>
    <w:basedOn w:val="Normal"/>
    <w:next w:val="Normal"/>
    <w:link w:val="Heading3Char"/>
    <w:uiPriority w:val="9"/>
    <w:unhideWhenUsed/>
    <w:qFormat/>
    <w:rsid w:val="000C685B"/>
    <w:pPr>
      <w:keepNext/>
      <w:keepLines/>
      <w:spacing w:before="160" w:after="80"/>
      <w:outlineLvl w:val="2"/>
    </w:pPr>
    <w:rPr>
      <w:rFonts w:eastAsiaTheme="majorEastAsia" w:cstheme="majorBidi"/>
      <w:b/>
      <w:color w:val="215E99" w:themeColor="text2" w:themeTint="BF"/>
      <w:sz w:val="32"/>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rPr>
      <w:rFonts w:cs="Times New Roman"/>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sid w:val="000C685B"/>
    <w:rPr>
      <w:rFonts w:eastAsiaTheme="majorEastAsia" w:cstheme="majorBidi"/>
      <w:b/>
      <w:color w:val="0F4761" w:themeColor="accent1" w:themeShade="BF"/>
      <w:sz w:val="40"/>
      <w:szCs w:val="40"/>
      <w:u w:val="single"/>
      <w:lang w:val="en-GB" w:eastAsia="en-US"/>
      <w14:ligatures w14:val="standardContextual"/>
    </w:rPr>
  </w:style>
  <w:style w:type="character" w:customStyle="1" w:styleId="Heading2Char">
    <w:name w:val="Heading 2 Char"/>
    <w:basedOn w:val="DefaultParagraphFont"/>
    <w:link w:val="Heading2"/>
    <w:uiPriority w:val="9"/>
    <w:qFormat/>
    <w:rsid w:val="000C685B"/>
    <w:rPr>
      <w:rFonts w:eastAsiaTheme="majorEastAsia" w:cstheme="majorBidi"/>
      <w:b/>
      <w:color w:val="4C94D8" w:themeColor="text2" w:themeTint="80"/>
      <w:sz w:val="36"/>
      <w:szCs w:val="32"/>
      <w:lang w:val="en-GB" w:eastAsia="en-US"/>
      <w14:ligatures w14:val="standardContextual"/>
    </w:rPr>
  </w:style>
  <w:style w:type="character" w:customStyle="1" w:styleId="Heading3Char">
    <w:name w:val="Heading 3 Char"/>
    <w:basedOn w:val="DefaultParagraphFont"/>
    <w:link w:val="Heading3"/>
    <w:uiPriority w:val="9"/>
    <w:qFormat/>
    <w:rsid w:val="000C685B"/>
    <w:rPr>
      <w:rFonts w:eastAsiaTheme="majorEastAsia" w:cstheme="majorBidi"/>
      <w:b/>
      <w:color w:val="215E99" w:themeColor="text2" w:themeTint="BF"/>
      <w:sz w:val="32"/>
      <w:szCs w:val="28"/>
      <w:lang w:val="en-GB" w:eastAsia="en-US"/>
      <w14:ligatures w14:val="standardContextual"/>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lang w:val="en-GB"/>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lang w:val="en-GB"/>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lang w:val="en-GB"/>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A77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462"/>
    <w:rPr>
      <w:rFonts w:ascii="Tahoma" w:eastAsiaTheme="minorHAnsi" w:hAnsi="Tahoma" w:cs="Tahoma"/>
      <w:sz w:val="16"/>
      <w:szCs w:val="16"/>
      <w:lang w:val="en-GB" w:eastAsia="en-US"/>
      <w14:ligatures w14:val="standardContextual"/>
    </w:rPr>
  </w:style>
  <w:style w:type="character" w:styleId="IntenseEmphasis">
    <w:name w:val="Intense Emphasis"/>
    <w:basedOn w:val="DefaultParagraphFont"/>
    <w:uiPriority w:val="21"/>
    <w:qFormat/>
    <w:rsid w:val="00A77462"/>
    <w:rPr>
      <w:b/>
      <w:bCs/>
      <w:i/>
      <w:iCs/>
      <w:caps/>
    </w:rPr>
  </w:style>
  <w:style w:type="character" w:styleId="IntenseReference">
    <w:name w:val="Intense Reference"/>
    <w:basedOn w:val="DefaultParagraphFont"/>
    <w:uiPriority w:val="32"/>
    <w:qFormat/>
    <w:rsid w:val="00A77462"/>
    <w:rPr>
      <w:b/>
      <w:bCs/>
      <w:smallCaps/>
      <w:u w:val="single"/>
    </w:rPr>
  </w:style>
  <w:style w:type="table" w:customStyle="1" w:styleId="PlainTable11">
    <w:name w:val="Plain Table 11"/>
    <w:basedOn w:val="TableNormal"/>
    <w:uiPriority w:val="41"/>
    <w:rsid w:val="00A77462"/>
    <w:rPr>
      <w:rFonts w:asciiTheme="minorHAnsi" w:eastAsiaTheme="minorEastAsia"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A77462"/>
    <w:rPr>
      <w:rFonts w:asciiTheme="minorHAnsi" w:eastAsiaTheme="minorEastAsia"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semiHidden/>
    <w:unhideWhenUsed/>
    <w:qFormat/>
    <w:rsid w:val="00A77462"/>
    <w:pPr>
      <w:spacing w:after="200" w:line="240" w:lineRule="auto"/>
      <w:jc w:val="left"/>
    </w:pPr>
    <w:rPr>
      <w:rFonts w:asciiTheme="minorHAnsi" w:eastAsiaTheme="minorEastAsia" w:hAnsiTheme="minorHAnsi"/>
      <w:i/>
      <w:iCs/>
      <w:color w:val="0E2841" w:themeColor="text2"/>
      <w:sz w:val="18"/>
      <w:szCs w:val="18"/>
      <w:lang w:val="en-AU"/>
      <w14:ligatures w14:val="none"/>
    </w:rPr>
  </w:style>
  <w:style w:type="character" w:styleId="Emphasis">
    <w:name w:val="Emphasis"/>
    <w:basedOn w:val="DefaultParagraphFont"/>
    <w:uiPriority w:val="20"/>
    <w:qFormat/>
    <w:rsid w:val="00A77462"/>
    <w:rPr>
      <w:i/>
      <w:iCs/>
      <w:color w:val="auto"/>
    </w:rPr>
  </w:style>
  <w:style w:type="paragraph" w:styleId="NoSpacing">
    <w:name w:val="No Spacing"/>
    <w:uiPriority w:val="1"/>
    <w:qFormat/>
    <w:rsid w:val="00A77462"/>
    <w:rPr>
      <w:rFonts w:asciiTheme="minorHAnsi" w:eastAsiaTheme="minorEastAsia" w:hAnsiTheme="minorHAnsi" w:cstheme="minorBidi"/>
      <w:sz w:val="22"/>
      <w:szCs w:val="22"/>
      <w:lang w:eastAsia="en-US"/>
    </w:rPr>
  </w:style>
  <w:style w:type="character" w:styleId="SubtleEmphasis">
    <w:name w:val="Subtle Emphasis"/>
    <w:basedOn w:val="DefaultParagraphFont"/>
    <w:uiPriority w:val="19"/>
    <w:qFormat/>
    <w:rsid w:val="00A77462"/>
    <w:rPr>
      <w:i/>
      <w:iCs/>
      <w:color w:val="404040" w:themeColor="text1" w:themeTint="BF"/>
    </w:rPr>
  </w:style>
  <w:style w:type="character" w:styleId="SubtleReference">
    <w:name w:val="Subtle Reference"/>
    <w:basedOn w:val="DefaultParagraphFont"/>
    <w:uiPriority w:val="31"/>
    <w:qFormat/>
    <w:rsid w:val="00A77462"/>
    <w:rPr>
      <w:smallCaps/>
      <w:color w:val="404040" w:themeColor="text1" w:themeTint="BF"/>
      <w:u w:val="single" w:color="7F7F7F" w:themeColor="text1" w:themeTint="80"/>
    </w:rPr>
  </w:style>
  <w:style w:type="character" w:styleId="BookTitle">
    <w:name w:val="Book Title"/>
    <w:basedOn w:val="DefaultParagraphFont"/>
    <w:uiPriority w:val="33"/>
    <w:qFormat/>
    <w:rsid w:val="00A77462"/>
    <w:rPr>
      <w:b w:val="0"/>
      <w:bCs w:val="0"/>
      <w:smallCaps/>
      <w:spacing w:val="5"/>
    </w:rPr>
  </w:style>
  <w:style w:type="paragraph" w:styleId="TOCHeading">
    <w:name w:val="TOC Heading"/>
    <w:basedOn w:val="Heading1"/>
    <w:next w:val="Normal"/>
    <w:uiPriority w:val="39"/>
    <w:unhideWhenUsed/>
    <w:qFormat/>
    <w:rsid w:val="00A77462"/>
    <w:pPr>
      <w:pBdr>
        <w:bottom w:val="single" w:sz="4" w:space="1" w:color="595959" w:themeColor="text1" w:themeTint="A6"/>
      </w:pBdr>
      <w:tabs>
        <w:tab w:val="num" w:pos="360"/>
      </w:tabs>
      <w:spacing w:after="160" w:line="259" w:lineRule="auto"/>
      <w:jc w:val="left"/>
      <w:outlineLvl w:val="9"/>
    </w:pPr>
    <w:rPr>
      <w:rFonts w:asciiTheme="majorHAnsi" w:hAnsiTheme="majorHAnsi"/>
      <w:bCs/>
      <w:smallCaps/>
      <w:color w:val="000000" w:themeColor="text1"/>
      <w:sz w:val="36"/>
      <w:szCs w:val="36"/>
      <w:lang w:val="en-AU"/>
      <w14:ligatures w14:val="none"/>
    </w:rPr>
  </w:style>
  <w:style w:type="paragraph" w:styleId="TOC1">
    <w:name w:val="toc 1"/>
    <w:basedOn w:val="Normal"/>
    <w:next w:val="Normal"/>
    <w:autoRedefine/>
    <w:uiPriority w:val="39"/>
    <w:unhideWhenUsed/>
    <w:rsid w:val="00A77462"/>
    <w:pPr>
      <w:spacing w:before="120" w:after="0"/>
      <w:jc w:val="left"/>
    </w:pPr>
    <w:rPr>
      <w:rFonts w:asciiTheme="minorHAnsi" w:hAnsiTheme="minorHAnsi"/>
      <w:b/>
      <w:bCs/>
      <w:i/>
      <w:iCs/>
      <w:szCs w:val="24"/>
    </w:rPr>
  </w:style>
  <w:style w:type="table" w:customStyle="1" w:styleId="PlainTable51">
    <w:name w:val="Plain Table 51"/>
    <w:basedOn w:val="TableNormal"/>
    <w:uiPriority w:val="45"/>
    <w:rsid w:val="00A77462"/>
    <w:rPr>
      <w:rFonts w:asciiTheme="minorHAnsi" w:eastAsiaTheme="minorEastAsia"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11">
    <w:name w:val="Grid Table 3 - Accent 11"/>
    <w:basedOn w:val="TableNormal"/>
    <w:uiPriority w:val="48"/>
    <w:rsid w:val="00A77462"/>
    <w:rPr>
      <w:rFonts w:asciiTheme="minorHAnsi" w:eastAsiaTheme="minorEastAsia" w:hAnsiTheme="minorHAnsi" w:cstheme="minorBidi"/>
      <w:sz w:val="22"/>
      <w:szCs w:val="22"/>
      <w:lang w:eastAsia="en-US"/>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customStyle="1" w:styleId="GridTable2-Accent11">
    <w:name w:val="Grid Table 2 - Accent 11"/>
    <w:basedOn w:val="TableNormal"/>
    <w:uiPriority w:val="47"/>
    <w:rsid w:val="00A77462"/>
    <w:rPr>
      <w:rFonts w:asciiTheme="minorHAnsi" w:eastAsiaTheme="minorEastAsia" w:hAnsiTheme="minorHAnsi" w:cstheme="minorBidi"/>
      <w:sz w:val="22"/>
      <w:szCs w:val="22"/>
      <w:lang w:eastAsia="en-US"/>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UnresolvedMention2">
    <w:name w:val="Unresolved Mention2"/>
    <w:basedOn w:val="DefaultParagraphFont"/>
    <w:uiPriority w:val="99"/>
    <w:semiHidden/>
    <w:unhideWhenUsed/>
    <w:rsid w:val="00A77462"/>
    <w:rPr>
      <w:color w:val="605E5C"/>
      <w:shd w:val="clear" w:color="auto" w:fill="E1DFDD"/>
    </w:rPr>
  </w:style>
  <w:style w:type="character" w:styleId="FollowedHyperlink">
    <w:name w:val="FollowedHyperlink"/>
    <w:basedOn w:val="DefaultParagraphFont"/>
    <w:uiPriority w:val="99"/>
    <w:semiHidden/>
    <w:unhideWhenUsed/>
    <w:rsid w:val="00A77462"/>
    <w:rPr>
      <w:color w:val="96607D" w:themeColor="followedHyperlink"/>
      <w:u w:val="single"/>
    </w:rPr>
  </w:style>
  <w:style w:type="table" w:customStyle="1" w:styleId="GridTable4-Accent11">
    <w:name w:val="Grid Table 4 - Accent 11"/>
    <w:basedOn w:val="TableNormal"/>
    <w:uiPriority w:val="49"/>
    <w:rsid w:val="000C685B"/>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eGridLight1">
    <w:name w:val="Table Grid Light1"/>
    <w:basedOn w:val="TableNormal"/>
    <w:uiPriority w:val="40"/>
    <w:rsid w:val="009A74D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9A74D4"/>
    <w:pPr>
      <w:spacing w:before="120" w:after="0"/>
      <w:ind w:left="240"/>
      <w:jc w:val="left"/>
    </w:pPr>
    <w:rPr>
      <w:rFonts w:asciiTheme="minorHAnsi" w:hAnsiTheme="minorHAnsi"/>
      <w:b/>
      <w:bCs/>
      <w:sz w:val="22"/>
    </w:rPr>
  </w:style>
  <w:style w:type="paragraph" w:styleId="TOC3">
    <w:name w:val="toc 3"/>
    <w:basedOn w:val="Normal"/>
    <w:next w:val="Normal"/>
    <w:autoRedefine/>
    <w:uiPriority w:val="39"/>
    <w:unhideWhenUsed/>
    <w:rsid w:val="009A74D4"/>
    <w:pPr>
      <w:spacing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9A74D4"/>
    <w:pPr>
      <w:spacing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9A74D4"/>
    <w:pPr>
      <w:spacing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9A74D4"/>
    <w:pPr>
      <w:spacing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9A74D4"/>
    <w:pPr>
      <w:spacing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9A74D4"/>
    <w:pPr>
      <w:spacing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9A74D4"/>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4187">
      <w:bodyDiv w:val="1"/>
      <w:marLeft w:val="0"/>
      <w:marRight w:val="0"/>
      <w:marTop w:val="0"/>
      <w:marBottom w:val="0"/>
      <w:divBdr>
        <w:top w:val="none" w:sz="0" w:space="0" w:color="auto"/>
        <w:left w:val="none" w:sz="0" w:space="0" w:color="auto"/>
        <w:bottom w:val="none" w:sz="0" w:space="0" w:color="auto"/>
        <w:right w:val="none" w:sz="0" w:space="0" w:color="auto"/>
      </w:divBdr>
    </w:div>
    <w:div w:id="98918237">
      <w:bodyDiv w:val="1"/>
      <w:marLeft w:val="0"/>
      <w:marRight w:val="0"/>
      <w:marTop w:val="0"/>
      <w:marBottom w:val="0"/>
      <w:divBdr>
        <w:top w:val="none" w:sz="0" w:space="0" w:color="auto"/>
        <w:left w:val="none" w:sz="0" w:space="0" w:color="auto"/>
        <w:bottom w:val="none" w:sz="0" w:space="0" w:color="auto"/>
        <w:right w:val="none" w:sz="0" w:space="0" w:color="auto"/>
      </w:divBdr>
    </w:div>
    <w:div w:id="108818792">
      <w:bodyDiv w:val="1"/>
      <w:marLeft w:val="0"/>
      <w:marRight w:val="0"/>
      <w:marTop w:val="0"/>
      <w:marBottom w:val="0"/>
      <w:divBdr>
        <w:top w:val="none" w:sz="0" w:space="0" w:color="auto"/>
        <w:left w:val="none" w:sz="0" w:space="0" w:color="auto"/>
        <w:bottom w:val="none" w:sz="0" w:space="0" w:color="auto"/>
        <w:right w:val="none" w:sz="0" w:space="0" w:color="auto"/>
      </w:divBdr>
    </w:div>
    <w:div w:id="123933355">
      <w:bodyDiv w:val="1"/>
      <w:marLeft w:val="0"/>
      <w:marRight w:val="0"/>
      <w:marTop w:val="0"/>
      <w:marBottom w:val="0"/>
      <w:divBdr>
        <w:top w:val="none" w:sz="0" w:space="0" w:color="auto"/>
        <w:left w:val="none" w:sz="0" w:space="0" w:color="auto"/>
        <w:bottom w:val="none" w:sz="0" w:space="0" w:color="auto"/>
        <w:right w:val="none" w:sz="0" w:space="0" w:color="auto"/>
      </w:divBdr>
    </w:div>
    <w:div w:id="160774535">
      <w:bodyDiv w:val="1"/>
      <w:marLeft w:val="0"/>
      <w:marRight w:val="0"/>
      <w:marTop w:val="0"/>
      <w:marBottom w:val="0"/>
      <w:divBdr>
        <w:top w:val="none" w:sz="0" w:space="0" w:color="auto"/>
        <w:left w:val="none" w:sz="0" w:space="0" w:color="auto"/>
        <w:bottom w:val="none" w:sz="0" w:space="0" w:color="auto"/>
        <w:right w:val="none" w:sz="0" w:space="0" w:color="auto"/>
      </w:divBdr>
      <w:divsChild>
        <w:div w:id="1719817334">
          <w:marLeft w:val="0"/>
          <w:marRight w:val="0"/>
          <w:marTop w:val="0"/>
          <w:marBottom w:val="240"/>
          <w:divBdr>
            <w:top w:val="none" w:sz="0" w:space="0" w:color="auto"/>
            <w:left w:val="none" w:sz="0" w:space="0" w:color="auto"/>
            <w:bottom w:val="none" w:sz="0" w:space="0" w:color="auto"/>
            <w:right w:val="none" w:sz="0" w:space="0" w:color="auto"/>
          </w:divBdr>
        </w:div>
        <w:div w:id="1503163166">
          <w:marLeft w:val="0"/>
          <w:marRight w:val="0"/>
          <w:marTop w:val="360"/>
          <w:marBottom w:val="180"/>
          <w:divBdr>
            <w:top w:val="none" w:sz="0" w:space="0" w:color="auto"/>
            <w:left w:val="none" w:sz="0" w:space="0" w:color="auto"/>
            <w:bottom w:val="none" w:sz="0" w:space="0" w:color="auto"/>
            <w:right w:val="none" w:sz="0" w:space="0" w:color="auto"/>
          </w:divBdr>
        </w:div>
        <w:div w:id="1587836515">
          <w:marLeft w:val="0"/>
          <w:marRight w:val="0"/>
          <w:marTop w:val="0"/>
          <w:marBottom w:val="0"/>
          <w:divBdr>
            <w:top w:val="none" w:sz="0" w:space="0" w:color="auto"/>
            <w:left w:val="none" w:sz="0" w:space="0" w:color="auto"/>
            <w:bottom w:val="none" w:sz="0" w:space="0" w:color="auto"/>
            <w:right w:val="none" w:sz="0" w:space="0" w:color="auto"/>
          </w:divBdr>
          <w:divsChild>
            <w:div w:id="2057779957">
              <w:marLeft w:val="0"/>
              <w:marRight w:val="0"/>
              <w:marTop w:val="180"/>
              <w:marBottom w:val="240"/>
              <w:divBdr>
                <w:top w:val="none" w:sz="0" w:space="0" w:color="auto"/>
                <w:left w:val="none" w:sz="0" w:space="0" w:color="auto"/>
                <w:bottom w:val="none" w:sz="0" w:space="0" w:color="auto"/>
                <w:right w:val="none" w:sz="0" w:space="0" w:color="auto"/>
              </w:divBdr>
            </w:div>
          </w:divsChild>
        </w:div>
        <w:div w:id="1105464709">
          <w:marLeft w:val="0"/>
          <w:marRight w:val="0"/>
          <w:marTop w:val="0"/>
          <w:marBottom w:val="0"/>
          <w:divBdr>
            <w:top w:val="none" w:sz="0" w:space="0" w:color="auto"/>
            <w:left w:val="none" w:sz="0" w:space="0" w:color="auto"/>
            <w:bottom w:val="none" w:sz="0" w:space="0" w:color="auto"/>
            <w:right w:val="none" w:sz="0" w:space="0" w:color="auto"/>
          </w:divBdr>
          <w:divsChild>
            <w:div w:id="1855608199">
              <w:marLeft w:val="0"/>
              <w:marRight w:val="0"/>
              <w:marTop w:val="360"/>
              <w:marBottom w:val="180"/>
              <w:divBdr>
                <w:top w:val="none" w:sz="0" w:space="0" w:color="auto"/>
                <w:left w:val="none" w:sz="0" w:space="0" w:color="auto"/>
                <w:bottom w:val="none" w:sz="0" w:space="0" w:color="auto"/>
                <w:right w:val="none" w:sz="0" w:space="0" w:color="auto"/>
              </w:divBdr>
            </w:div>
          </w:divsChild>
        </w:div>
        <w:div w:id="1116678332">
          <w:marLeft w:val="0"/>
          <w:marRight w:val="0"/>
          <w:marTop w:val="0"/>
          <w:marBottom w:val="0"/>
          <w:divBdr>
            <w:top w:val="none" w:sz="0" w:space="0" w:color="auto"/>
            <w:left w:val="none" w:sz="0" w:space="0" w:color="auto"/>
            <w:bottom w:val="none" w:sz="0" w:space="0" w:color="auto"/>
            <w:right w:val="none" w:sz="0" w:space="0" w:color="auto"/>
          </w:divBdr>
          <w:divsChild>
            <w:div w:id="658730207">
              <w:marLeft w:val="0"/>
              <w:marRight w:val="0"/>
              <w:marTop w:val="180"/>
              <w:marBottom w:val="240"/>
              <w:divBdr>
                <w:top w:val="none" w:sz="0" w:space="0" w:color="auto"/>
                <w:left w:val="none" w:sz="0" w:space="0" w:color="auto"/>
                <w:bottom w:val="none" w:sz="0" w:space="0" w:color="auto"/>
                <w:right w:val="none" w:sz="0" w:space="0" w:color="auto"/>
              </w:divBdr>
            </w:div>
          </w:divsChild>
        </w:div>
        <w:div w:id="394133985">
          <w:marLeft w:val="0"/>
          <w:marRight w:val="0"/>
          <w:marTop w:val="0"/>
          <w:marBottom w:val="0"/>
          <w:divBdr>
            <w:top w:val="none" w:sz="0" w:space="0" w:color="auto"/>
            <w:left w:val="none" w:sz="0" w:space="0" w:color="auto"/>
            <w:bottom w:val="none" w:sz="0" w:space="0" w:color="auto"/>
            <w:right w:val="none" w:sz="0" w:space="0" w:color="auto"/>
          </w:divBdr>
          <w:divsChild>
            <w:div w:id="986319937">
              <w:marLeft w:val="0"/>
              <w:marRight w:val="0"/>
              <w:marTop w:val="360"/>
              <w:marBottom w:val="180"/>
              <w:divBdr>
                <w:top w:val="none" w:sz="0" w:space="0" w:color="auto"/>
                <w:left w:val="none" w:sz="0" w:space="0" w:color="auto"/>
                <w:bottom w:val="none" w:sz="0" w:space="0" w:color="auto"/>
                <w:right w:val="none" w:sz="0" w:space="0" w:color="auto"/>
              </w:divBdr>
            </w:div>
          </w:divsChild>
        </w:div>
        <w:div w:id="656492233">
          <w:marLeft w:val="0"/>
          <w:marRight w:val="0"/>
          <w:marTop w:val="0"/>
          <w:marBottom w:val="0"/>
          <w:divBdr>
            <w:top w:val="none" w:sz="0" w:space="0" w:color="auto"/>
            <w:left w:val="none" w:sz="0" w:space="0" w:color="auto"/>
            <w:bottom w:val="none" w:sz="0" w:space="0" w:color="auto"/>
            <w:right w:val="none" w:sz="0" w:space="0" w:color="auto"/>
          </w:divBdr>
          <w:divsChild>
            <w:div w:id="208960311">
              <w:marLeft w:val="0"/>
              <w:marRight w:val="0"/>
              <w:marTop w:val="180"/>
              <w:marBottom w:val="240"/>
              <w:divBdr>
                <w:top w:val="none" w:sz="0" w:space="0" w:color="auto"/>
                <w:left w:val="none" w:sz="0" w:space="0" w:color="auto"/>
                <w:bottom w:val="none" w:sz="0" w:space="0" w:color="auto"/>
                <w:right w:val="none" w:sz="0" w:space="0" w:color="auto"/>
              </w:divBdr>
            </w:div>
          </w:divsChild>
        </w:div>
        <w:div w:id="1867521554">
          <w:marLeft w:val="0"/>
          <w:marRight w:val="0"/>
          <w:marTop w:val="0"/>
          <w:marBottom w:val="0"/>
          <w:divBdr>
            <w:top w:val="none" w:sz="0" w:space="0" w:color="auto"/>
            <w:left w:val="none" w:sz="0" w:space="0" w:color="auto"/>
            <w:bottom w:val="none" w:sz="0" w:space="0" w:color="auto"/>
            <w:right w:val="none" w:sz="0" w:space="0" w:color="auto"/>
          </w:divBdr>
          <w:divsChild>
            <w:div w:id="473789771">
              <w:marLeft w:val="0"/>
              <w:marRight w:val="0"/>
              <w:marTop w:val="360"/>
              <w:marBottom w:val="180"/>
              <w:divBdr>
                <w:top w:val="none" w:sz="0" w:space="0" w:color="auto"/>
                <w:left w:val="none" w:sz="0" w:space="0" w:color="auto"/>
                <w:bottom w:val="none" w:sz="0" w:space="0" w:color="auto"/>
                <w:right w:val="none" w:sz="0" w:space="0" w:color="auto"/>
              </w:divBdr>
            </w:div>
          </w:divsChild>
        </w:div>
        <w:div w:id="1533230976">
          <w:marLeft w:val="0"/>
          <w:marRight w:val="0"/>
          <w:marTop w:val="0"/>
          <w:marBottom w:val="0"/>
          <w:divBdr>
            <w:top w:val="none" w:sz="0" w:space="0" w:color="auto"/>
            <w:left w:val="none" w:sz="0" w:space="0" w:color="auto"/>
            <w:bottom w:val="none" w:sz="0" w:space="0" w:color="auto"/>
            <w:right w:val="none" w:sz="0" w:space="0" w:color="auto"/>
          </w:divBdr>
          <w:divsChild>
            <w:div w:id="695808930">
              <w:marLeft w:val="0"/>
              <w:marRight w:val="0"/>
              <w:marTop w:val="180"/>
              <w:marBottom w:val="240"/>
              <w:divBdr>
                <w:top w:val="none" w:sz="0" w:space="0" w:color="auto"/>
                <w:left w:val="none" w:sz="0" w:space="0" w:color="auto"/>
                <w:bottom w:val="none" w:sz="0" w:space="0" w:color="auto"/>
                <w:right w:val="none" w:sz="0" w:space="0" w:color="auto"/>
              </w:divBdr>
            </w:div>
          </w:divsChild>
        </w:div>
        <w:div w:id="1784839066">
          <w:marLeft w:val="0"/>
          <w:marRight w:val="0"/>
          <w:marTop w:val="0"/>
          <w:marBottom w:val="0"/>
          <w:divBdr>
            <w:top w:val="none" w:sz="0" w:space="0" w:color="auto"/>
            <w:left w:val="none" w:sz="0" w:space="0" w:color="auto"/>
            <w:bottom w:val="none" w:sz="0" w:space="0" w:color="auto"/>
            <w:right w:val="none" w:sz="0" w:space="0" w:color="auto"/>
          </w:divBdr>
          <w:divsChild>
            <w:div w:id="715544605">
              <w:marLeft w:val="0"/>
              <w:marRight w:val="0"/>
              <w:marTop w:val="360"/>
              <w:marBottom w:val="180"/>
              <w:divBdr>
                <w:top w:val="none" w:sz="0" w:space="0" w:color="auto"/>
                <w:left w:val="none" w:sz="0" w:space="0" w:color="auto"/>
                <w:bottom w:val="none" w:sz="0" w:space="0" w:color="auto"/>
                <w:right w:val="none" w:sz="0" w:space="0" w:color="auto"/>
              </w:divBdr>
            </w:div>
          </w:divsChild>
        </w:div>
        <w:div w:id="1278097168">
          <w:marLeft w:val="0"/>
          <w:marRight w:val="0"/>
          <w:marTop w:val="0"/>
          <w:marBottom w:val="0"/>
          <w:divBdr>
            <w:top w:val="none" w:sz="0" w:space="0" w:color="auto"/>
            <w:left w:val="none" w:sz="0" w:space="0" w:color="auto"/>
            <w:bottom w:val="none" w:sz="0" w:space="0" w:color="auto"/>
            <w:right w:val="none" w:sz="0" w:space="0" w:color="auto"/>
          </w:divBdr>
          <w:divsChild>
            <w:div w:id="212850525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441851054">
      <w:bodyDiv w:val="1"/>
      <w:marLeft w:val="0"/>
      <w:marRight w:val="0"/>
      <w:marTop w:val="0"/>
      <w:marBottom w:val="0"/>
      <w:divBdr>
        <w:top w:val="none" w:sz="0" w:space="0" w:color="auto"/>
        <w:left w:val="none" w:sz="0" w:space="0" w:color="auto"/>
        <w:bottom w:val="none" w:sz="0" w:space="0" w:color="auto"/>
        <w:right w:val="none" w:sz="0" w:space="0" w:color="auto"/>
      </w:divBdr>
    </w:div>
    <w:div w:id="656344165">
      <w:bodyDiv w:val="1"/>
      <w:marLeft w:val="0"/>
      <w:marRight w:val="0"/>
      <w:marTop w:val="0"/>
      <w:marBottom w:val="0"/>
      <w:divBdr>
        <w:top w:val="none" w:sz="0" w:space="0" w:color="auto"/>
        <w:left w:val="none" w:sz="0" w:space="0" w:color="auto"/>
        <w:bottom w:val="none" w:sz="0" w:space="0" w:color="auto"/>
        <w:right w:val="none" w:sz="0" w:space="0" w:color="auto"/>
      </w:divBdr>
      <w:divsChild>
        <w:div w:id="2041736931">
          <w:marLeft w:val="0"/>
          <w:marRight w:val="0"/>
          <w:marTop w:val="0"/>
          <w:marBottom w:val="240"/>
          <w:divBdr>
            <w:top w:val="none" w:sz="0" w:space="0" w:color="auto"/>
            <w:left w:val="none" w:sz="0" w:space="0" w:color="auto"/>
            <w:bottom w:val="none" w:sz="0" w:space="0" w:color="auto"/>
            <w:right w:val="none" w:sz="0" w:space="0" w:color="auto"/>
          </w:divBdr>
        </w:div>
        <w:div w:id="562133983">
          <w:marLeft w:val="0"/>
          <w:marRight w:val="0"/>
          <w:marTop w:val="360"/>
          <w:marBottom w:val="180"/>
          <w:divBdr>
            <w:top w:val="none" w:sz="0" w:space="0" w:color="auto"/>
            <w:left w:val="none" w:sz="0" w:space="0" w:color="auto"/>
            <w:bottom w:val="none" w:sz="0" w:space="0" w:color="auto"/>
            <w:right w:val="none" w:sz="0" w:space="0" w:color="auto"/>
          </w:divBdr>
        </w:div>
        <w:div w:id="1362321935">
          <w:marLeft w:val="0"/>
          <w:marRight w:val="0"/>
          <w:marTop w:val="0"/>
          <w:marBottom w:val="0"/>
          <w:divBdr>
            <w:top w:val="none" w:sz="0" w:space="0" w:color="auto"/>
            <w:left w:val="none" w:sz="0" w:space="0" w:color="auto"/>
            <w:bottom w:val="none" w:sz="0" w:space="0" w:color="auto"/>
            <w:right w:val="none" w:sz="0" w:space="0" w:color="auto"/>
          </w:divBdr>
          <w:divsChild>
            <w:div w:id="1122266155">
              <w:marLeft w:val="0"/>
              <w:marRight w:val="0"/>
              <w:marTop w:val="180"/>
              <w:marBottom w:val="240"/>
              <w:divBdr>
                <w:top w:val="none" w:sz="0" w:space="0" w:color="auto"/>
                <w:left w:val="none" w:sz="0" w:space="0" w:color="auto"/>
                <w:bottom w:val="none" w:sz="0" w:space="0" w:color="auto"/>
                <w:right w:val="none" w:sz="0" w:space="0" w:color="auto"/>
              </w:divBdr>
            </w:div>
          </w:divsChild>
        </w:div>
        <w:div w:id="1801651958">
          <w:marLeft w:val="0"/>
          <w:marRight w:val="0"/>
          <w:marTop w:val="0"/>
          <w:marBottom w:val="0"/>
          <w:divBdr>
            <w:top w:val="none" w:sz="0" w:space="0" w:color="auto"/>
            <w:left w:val="none" w:sz="0" w:space="0" w:color="auto"/>
            <w:bottom w:val="none" w:sz="0" w:space="0" w:color="auto"/>
            <w:right w:val="none" w:sz="0" w:space="0" w:color="auto"/>
          </w:divBdr>
          <w:divsChild>
            <w:div w:id="118913215">
              <w:marLeft w:val="0"/>
              <w:marRight w:val="0"/>
              <w:marTop w:val="360"/>
              <w:marBottom w:val="180"/>
              <w:divBdr>
                <w:top w:val="none" w:sz="0" w:space="0" w:color="auto"/>
                <w:left w:val="none" w:sz="0" w:space="0" w:color="auto"/>
                <w:bottom w:val="none" w:sz="0" w:space="0" w:color="auto"/>
                <w:right w:val="none" w:sz="0" w:space="0" w:color="auto"/>
              </w:divBdr>
            </w:div>
          </w:divsChild>
        </w:div>
        <w:div w:id="758907785">
          <w:marLeft w:val="0"/>
          <w:marRight w:val="0"/>
          <w:marTop w:val="0"/>
          <w:marBottom w:val="0"/>
          <w:divBdr>
            <w:top w:val="none" w:sz="0" w:space="0" w:color="auto"/>
            <w:left w:val="none" w:sz="0" w:space="0" w:color="auto"/>
            <w:bottom w:val="none" w:sz="0" w:space="0" w:color="auto"/>
            <w:right w:val="none" w:sz="0" w:space="0" w:color="auto"/>
          </w:divBdr>
          <w:divsChild>
            <w:div w:id="376666745">
              <w:marLeft w:val="0"/>
              <w:marRight w:val="0"/>
              <w:marTop w:val="180"/>
              <w:marBottom w:val="240"/>
              <w:divBdr>
                <w:top w:val="none" w:sz="0" w:space="0" w:color="auto"/>
                <w:left w:val="none" w:sz="0" w:space="0" w:color="auto"/>
                <w:bottom w:val="none" w:sz="0" w:space="0" w:color="auto"/>
                <w:right w:val="none" w:sz="0" w:space="0" w:color="auto"/>
              </w:divBdr>
            </w:div>
          </w:divsChild>
        </w:div>
        <w:div w:id="1501971340">
          <w:marLeft w:val="0"/>
          <w:marRight w:val="0"/>
          <w:marTop w:val="0"/>
          <w:marBottom w:val="0"/>
          <w:divBdr>
            <w:top w:val="none" w:sz="0" w:space="0" w:color="auto"/>
            <w:left w:val="none" w:sz="0" w:space="0" w:color="auto"/>
            <w:bottom w:val="none" w:sz="0" w:space="0" w:color="auto"/>
            <w:right w:val="none" w:sz="0" w:space="0" w:color="auto"/>
          </w:divBdr>
          <w:divsChild>
            <w:div w:id="851379706">
              <w:marLeft w:val="0"/>
              <w:marRight w:val="0"/>
              <w:marTop w:val="360"/>
              <w:marBottom w:val="180"/>
              <w:divBdr>
                <w:top w:val="none" w:sz="0" w:space="0" w:color="auto"/>
                <w:left w:val="none" w:sz="0" w:space="0" w:color="auto"/>
                <w:bottom w:val="none" w:sz="0" w:space="0" w:color="auto"/>
                <w:right w:val="none" w:sz="0" w:space="0" w:color="auto"/>
              </w:divBdr>
            </w:div>
          </w:divsChild>
        </w:div>
        <w:div w:id="1743486223">
          <w:marLeft w:val="0"/>
          <w:marRight w:val="0"/>
          <w:marTop w:val="0"/>
          <w:marBottom w:val="0"/>
          <w:divBdr>
            <w:top w:val="none" w:sz="0" w:space="0" w:color="auto"/>
            <w:left w:val="none" w:sz="0" w:space="0" w:color="auto"/>
            <w:bottom w:val="none" w:sz="0" w:space="0" w:color="auto"/>
            <w:right w:val="none" w:sz="0" w:space="0" w:color="auto"/>
          </w:divBdr>
          <w:divsChild>
            <w:div w:id="1646006813">
              <w:marLeft w:val="0"/>
              <w:marRight w:val="0"/>
              <w:marTop w:val="180"/>
              <w:marBottom w:val="240"/>
              <w:divBdr>
                <w:top w:val="none" w:sz="0" w:space="0" w:color="auto"/>
                <w:left w:val="none" w:sz="0" w:space="0" w:color="auto"/>
                <w:bottom w:val="none" w:sz="0" w:space="0" w:color="auto"/>
                <w:right w:val="none" w:sz="0" w:space="0" w:color="auto"/>
              </w:divBdr>
            </w:div>
          </w:divsChild>
        </w:div>
        <w:div w:id="1817917178">
          <w:marLeft w:val="0"/>
          <w:marRight w:val="0"/>
          <w:marTop w:val="0"/>
          <w:marBottom w:val="0"/>
          <w:divBdr>
            <w:top w:val="none" w:sz="0" w:space="0" w:color="auto"/>
            <w:left w:val="none" w:sz="0" w:space="0" w:color="auto"/>
            <w:bottom w:val="none" w:sz="0" w:space="0" w:color="auto"/>
            <w:right w:val="none" w:sz="0" w:space="0" w:color="auto"/>
          </w:divBdr>
          <w:divsChild>
            <w:div w:id="1757164961">
              <w:marLeft w:val="0"/>
              <w:marRight w:val="0"/>
              <w:marTop w:val="360"/>
              <w:marBottom w:val="180"/>
              <w:divBdr>
                <w:top w:val="none" w:sz="0" w:space="0" w:color="auto"/>
                <w:left w:val="none" w:sz="0" w:space="0" w:color="auto"/>
                <w:bottom w:val="none" w:sz="0" w:space="0" w:color="auto"/>
                <w:right w:val="none" w:sz="0" w:space="0" w:color="auto"/>
              </w:divBdr>
            </w:div>
          </w:divsChild>
        </w:div>
        <w:div w:id="259339354">
          <w:marLeft w:val="0"/>
          <w:marRight w:val="0"/>
          <w:marTop w:val="0"/>
          <w:marBottom w:val="0"/>
          <w:divBdr>
            <w:top w:val="none" w:sz="0" w:space="0" w:color="auto"/>
            <w:left w:val="none" w:sz="0" w:space="0" w:color="auto"/>
            <w:bottom w:val="none" w:sz="0" w:space="0" w:color="auto"/>
            <w:right w:val="none" w:sz="0" w:space="0" w:color="auto"/>
          </w:divBdr>
          <w:divsChild>
            <w:div w:id="994845435">
              <w:marLeft w:val="0"/>
              <w:marRight w:val="0"/>
              <w:marTop w:val="180"/>
              <w:marBottom w:val="240"/>
              <w:divBdr>
                <w:top w:val="none" w:sz="0" w:space="0" w:color="auto"/>
                <w:left w:val="none" w:sz="0" w:space="0" w:color="auto"/>
                <w:bottom w:val="none" w:sz="0" w:space="0" w:color="auto"/>
                <w:right w:val="none" w:sz="0" w:space="0" w:color="auto"/>
              </w:divBdr>
            </w:div>
          </w:divsChild>
        </w:div>
        <w:div w:id="2123762635">
          <w:marLeft w:val="0"/>
          <w:marRight w:val="0"/>
          <w:marTop w:val="0"/>
          <w:marBottom w:val="0"/>
          <w:divBdr>
            <w:top w:val="none" w:sz="0" w:space="0" w:color="auto"/>
            <w:left w:val="none" w:sz="0" w:space="0" w:color="auto"/>
            <w:bottom w:val="none" w:sz="0" w:space="0" w:color="auto"/>
            <w:right w:val="none" w:sz="0" w:space="0" w:color="auto"/>
          </w:divBdr>
          <w:divsChild>
            <w:div w:id="1725328418">
              <w:marLeft w:val="0"/>
              <w:marRight w:val="0"/>
              <w:marTop w:val="360"/>
              <w:marBottom w:val="180"/>
              <w:divBdr>
                <w:top w:val="none" w:sz="0" w:space="0" w:color="auto"/>
                <w:left w:val="none" w:sz="0" w:space="0" w:color="auto"/>
                <w:bottom w:val="none" w:sz="0" w:space="0" w:color="auto"/>
                <w:right w:val="none" w:sz="0" w:space="0" w:color="auto"/>
              </w:divBdr>
            </w:div>
          </w:divsChild>
        </w:div>
        <w:div w:id="1860895318">
          <w:marLeft w:val="0"/>
          <w:marRight w:val="0"/>
          <w:marTop w:val="0"/>
          <w:marBottom w:val="0"/>
          <w:divBdr>
            <w:top w:val="none" w:sz="0" w:space="0" w:color="auto"/>
            <w:left w:val="none" w:sz="0" w:space="0" w:color="auto"/>
            <w:bottom w:val="none" w:sz="0" w:space="0" w:color="auto"/>
            <w:right w:val="none" w:sz="0" w:space="0" w:color="auto"/>
          </w:divBdr>
          <w:divsChild>
            <w:div w:id="9636498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675419867">
      <w:bodyDiv w:val="1"/>
      <w:marLeft w:val="0"/>
      <w:marRight w:val="0"/>
      <w:marTop w:val="0"/>
      <w:marBottom w:val="0"/>
      <w:divBdr>
        <w:top w:val="none" w:sz="0" w:space="0" w:color="auto"/>
        <w:left w:val="none" w:sz="0" w:space="0" w:color="auto"/>
        <w:bottom w:val="none" w:sz="0" w:space="0" w:color="auto"/>
        <w:right w:val="none" w:sz="0" w:space="0" w:color="auto"/>
      </w:divBdr>
    </w:div>
    <w:div w:id="1124664450">
      <w:bodyDiv w:val="1"/>
      <w:marLeft w:val="0"/>
      <w:marRight w:val="0"/>
      <w:marTop w:val="0"/>
      <w:marBottom w:val="0"/>
      <w:divBdr>
        <w:top w:val="none" w:sz="0" w:space="0" w:color="auto"/>
        <w:left w:val="none" w:sz="0" w:space="0" w:color="auto"/>
        <w:bottom w:val="none" w:sz="0" w:space="0" w:color="auto"/>
        <w:right w:val="none" w:sz="0" w:space="0" w:color="auto"/>
      </w:divBdr>
    </w:div>
    <w:div w:id="1181164312">
      <w:bodyDiv w:val="1"/>
      <w:marLeft w:val="0"/>
      <w:marRight w:val="0"/>
      <w:marTop w:val="0"/>
      <w:marBottom w:val="0"/>
      <w:divBdr>
        <w:top w:val="none" w:sz="0" w:space="0" w:color="auto"/>
        <w:left w:val="none" w:sz="0" w:space="0" w:color="auto"/>
        <w:bottom w:val="none" w:sz="0" w:space="0" w:color="auto"/>
        <w:right w:val="none" w:sz="0" w:space="0" w:color="auto"/>
      </w:divBdr>
      <w:divsChild>
        <w:div w:id="1960600025">
          <w:marLeft w:val="0"/>
          <w:marRight w:val="0"/>
          <w:marTop w:val="0"/>
          <w:marBottom w:val="240"/>
          <w:divBdr>
            <w:top w:val="none" w:sz="0" w:space="0" w:color="auto"/>
            <w:left w:val="none" w:sz="0" w:space="0" w:color="auto"/>
            <w:bottom w:val="none" w:sz="0" w:space="0" w:color="auto"/>
            <w:right w:val="none" w:sz="0" w:space="0" w:color="auto"/>
          </w:divBdr>
        </w:div>
        <w:div w:id="1868176125">
          <w:marLeft w:val="0"/>
          <w:marRight w:val="0"/>
          <w:marTop w:val="360"/>
          <w:marBottom w:val="180"/>
          <w:divBdr>
            <w:top w:val="none" w:sz="0" w:space="0" w:color="auto"/>
            <w:left w:val="none" w:sz="0" w:space="0" w:color="auto"/>
            <w:bottom w:val="none" w:sz="0" w:space="0" w:color="auto"/>
            <w:right w:val="none" w:sz="0" w:space="0" w:color="auto"/>
          </w:divBdr>
        </w:div>
        <w:div w:id="83114418">
          <w:marLeft w:val="0"/>
          <w:marRight w:val="0"/>
          <w:marTop w:val="0"/>
          <w:marBottom w:val="0"/>
          <w:divBdr>
            <w:top w:val="none" w:sz="0" w:space="0" w:color="auto"/>
            <w:left w:val="none" w:sz="0" w:space="0" w:color="auto"/>
            <w:bottom w:val="none" w:sz="0" w:space="0" w:color="auto"/>
            <w:right w:val="none" w:sz="0" w:space="0" w:color="auto"/>
          </w:divBdr>
          <w:divsChild>
            <w:div w:id="1633175560">
              <w:marLeft w:val="0"/>
              <w:marRight w:val="0"/>
              <w:marTop w:val="180"/>
              <w:marBottom w:val="240"/>
              <w:divBdr>
                <w:top w:val="none" w:sz="0" w:space="0" w:color="auto"/>
                <w:left w:val="none" w:sz="0" w:space="0" w:color="auto"/>
                <w:bottom w:val="none" w:sz="0" w:space="0" w:color="auto"/>
                <w:right w:val="none" w:sz="0" w:space="0" w:color="auto"/>
              </w:divBdr>
            </w:div>
          </w:divsChild>
        </w:div>
        <w:div w:id="60032144">
          <w:marLeft w:val="0"/>
          <w:marRight w:val="0"/>
          <w:marTop w:val="0"/>
          <w:marBottom w:val="0"/>
          <w:divBdr>
            <w:top w:val="none" w:sz="0" w:space="0" w:color="auto"/>
            <w:left w:val="none" w:sz="0" w:space="0" w:color="auto"/>
            <w:bottom w:val="none" w:sz="0" w:space="0" w:color="auto"/>
            <w:right w:val="none" w:sz="0" w:space="0" w:color="auto"/>
          </w:divBdr>
          <w:divsChild>
            <w:div w:id="7223393">
              <w:marLeft w:val="0"/>
              <w:marRight w:val="0"/>
              <w:marTop w:val="360"/>
              <w:marBottom w:val="180"/>
              <w:divBdr>
                <w:top w:val="none" w:sz="0" w:space="0" w:color="auto"/>
                <w:left w:val="none" w:sz="0" w:space="0" w:color="auto"/>
                <w:bottom w:val="none" w:sz="0" w:space="0" w:color="auto"/>
                <w:right w:val="none" w:sz="0" w:space="0" w:color="auto"/>
              </w:divBdr>
            </w:div>
          </w:divsChild>
        </w:div>
        <w:div w:id="463693641">
          <w:marLeft w:val="0"/>
          <w:marRight w:val="0"/>
          <w:marTop w:val="0"/>
          <w:marBottom w:val="0"/>
          <w:divBdr>
            <w:top w:val="none" w:sz="0" w:space="0" w:color="auto"/>
            <w:left w:val="none" w:sz="0" w:space="0" w:color="auto"/>
            <w:bottom w:val="none" w:sz="0" w:space="0" w:color="auto"/>
            <w:right w:val="none" w:sz="0" w:space="0" w:color="auto"/>
          </w:divBdr>
          <w:divsChild>
            <w:div w:id="301888364">
              <w:marLeft w:val="0"/>
              <w:marRight w:val="0"/>
              <w:marTop w:val="180"/>
              <w:marBottom w:val="240"/>
              <w:divBdr>
                <w:top w:val="none" w:sz="0" w:space="0" w:color="auto"/>
                <w:left w:val="none" w:sz="0" w:space="0" w:color="auto"/>
                <w:bottom w:val="none" w:sz="0" w:space="0" w:color="auto"/>
                <w:right w:val="none" w:sz="0" w:space="0" w:color="auto"/>
              </w:divBdr>
            </w:div>
          </w:divsChild>
        </w:div>
        <w:div w:id="503596132">
          <w:marLeft w:val="0"/>
          <w:marRight w:val="0"/>
          <w:marTop w:val="0"/>
          <w:marBottom w:val="0"/>
          <w:divBdr>
            <w:top w:val="none" w:sz="0" w:space="0" w:color="auto"/>
            <w:left w:val="none" w:sz="0" w:space="0" w:color="auto"/>
            <w:bottom w:val="none" w:sz="0" w:space="0" w:color="auto"/>
            <w:right w:val="none" w:sz="0" w:space="0" w:color="auto"/>
          </w:divBdr>
          <w:divsChild>
            <w:div w:id="2072994173">
              <w:marLeft w:val="0"/>
              <w:marRight w:val="0"/>
              <w:marTop w:val="360"/>
              <w:marBottom w:val="180"/>
              <w:divBdr>
                <w:top w:val="none" w:sz="0" w:space="0" w:color="auto"/>
                <w:left w:val="none" w:sz="0" w:space="0" w:color="auto"/>
                <w:bottom w:val="none" w:sz="0" w:space="0" w:color="auto"/>
                <w:right w:val="none" w:sz="0" w:space="0" w:color="auto"/>
              </w:divBdr>
            </w:div>
          </w:divsChild>
        </w:div>
        <w:div w:id="569659422">
          <w:marLeft w:val="0"/>
          <w:marRight w:val="0"/>
          <w:marTop w:val="0"/>
          <w:marBottom w:val="0"/>
          <w:divBdr>
            <w:top w:val="none" w:sz="0" w:space="0" w:color="auto"/>
            <w:left w:val="none" w:sz="0" w:space="0" w:color="auto"/>
            <w:bottom w:val="none" w:sz="0" w:space="0" w:color="auto"/>
            <w:right w:val="none" w:sz="0" w:space="0" w:color="auto"/>
          </w:divBdr>
          <w:divsChild>
            <w:div w:id="1482769604">
              <w:marLeft w:val="0"/>
              <w:marRight w:val="0"/>
              <w:marTop w:val="180"/>
              <w:marBottom w:val="240"/>
              <w:divBdr>
                <w:top w:val="none" w:sz="0" w:space="0" w:color="auto"/>
                <w:left w:val="none" w:sz="0" w:space="0" w:color="auto"/>
                <w:bottom w:val="none" w:sz="0" w:space="0" w:color="auto"/>
                <w:right w:val="none" w:sz="0" w:space="0" w:color="auto"/>
              </w:divBdr>
            </w:div>
          </w:divsChild>
        </w:div>
        <w:div w:id="1580208541">
          <w:marLeft w:val="0"/>
          <w:marRight w:val="0"/>
          <w:marTop w:val="0"/>
          <w:marBottom w:val="0"/>
          <w:divBdr>
            <w:top w:val="none" w:sz="0" w:space="0" w:color="auto"/>
            <w:left w:val="none" w:sz="0" w:space="0" w:color="auto"/>
            <w:bottom w:val="none" w:sz="0" w:space="0" w:color="auto"/>
            <w:right w:val="none" w:sz="0" w:space="0" w:color="auto"/>
          </w:divBdr>
          <w:divsChild>
            <w:div w:id="541793484">
              <w:marLeft w:val="0"/>
              <w:marRight w:val="0"/>
              <w:marTop w:val="360"/>
              <w:marBottom w:val="180"/>
              <w:divBdr>
                <w:top w:val="none" w:sz="0" w:space="0" w:color="auto"/>
                <w:left w:val="none" w:sz="0" w:space="0" w:color="auto"/>
                <w:bottom w:val="none" w:sz="0" w:space="0" w:color="auto"/>
                <w:right w:val="none" w:sz="0" w:space="0" w:color="auto"/>
              </w:divBdr>
            </w:div>
          </w:divsChild>
        </w:div>
        <w:div w:id="1619026548">
          <w:marLeft w:val="0"/>
          <w:marRight w:val="0"/>
          <w:marTop w:val="0"/>
          <w:marBottom w:val="0"/>
          <w:divBdr>
            <w:top w:val="none" w:sz="0" w:space="0" w:color="auto"/>
            <w:left w:val="none" w:sz="0" w:space="0" w:color="auto"/>
            <w:bottom w:val="none" w:sz="0" w:space="0" w:color="auto"/>
            <w:right w:val="none" w:sz="0" w:space="0" w:color="auto"/>
          </w:divBdr>
          <w:divsChild>
            <w:div w:id="1395355655">
              <w:marLeft w:val="0"/>
              <w:marRight w:val="0"/>
              <w:marTop w:val="180"/>
              <w:marBottom w:val="240"/>
              <w:divBdr>
                <w:top w:val="none" w:sz="0" w:space="0" w:color="auto"/>
                <w:left w:val="none" w:sz="0" w:space="0" w:color="auto"/>
                <w:bottom w:val="none" w:sz="0" w:space="0" w:color="auto"/>
                <w:right w:val="none" w:sz="0" w:space="0" w:color="auto"/>
              </w:divBdr>
            </w:div>
          </w:divsChild>
        </w:div>
        <w:div w:id="951980842">
          <w:marLeft w:val="0"/>
          <w:marRight w:val="0"/>
          <w:marTop w:val="0"/>
          <w:marBottom w:val="0"/>
          <w:divBdr>
            <w:top w:val="none" w:sz="0" w:space="0" w:color="auto"/>
            <w:left w:val="none" w:sz="0" w:space="0" w:color="auto"/>
            <w:bottom w:val="none" w:sz="0" w:space="0" w:color="auto"/>
            <w:right w:val="none" w:sz="0" w:space="0" w:color="auto"/>
          </w:divBdr>
          <w:divsChild>
            <w:div w:id="732578285">
              <w:marLeft w:val="0"/>
              <w:marRight w:val="0"/>
              <w:marTop w:val="360"/>
              <w:marBottom w:val="180"/>
              <w:divBdr>
                <w:top w:val="none" w:sz="0" w:space="0" w:color="auto"/>
                <w:left w:val="none" w:sz="0" w:space="0" w:color="auto"/>
                <w:bottom w:val="none" w:sz="0" w:space="0" w:color="auto"/>
                <w:right w:val="none" w:sz="0" w:space="0" w:color="auto"/>
              </w:divBdr>
            </w:div>
          </w:divsChild>
        </w:div>
        <w:div w:id="1938292965">
          <w:marLeft w:val="0"/>
          <w:marRight w:val="0"/>
          <w:marTop w:val="0"/>
          <w:marBottom w:val="0"/>
          <w:divBdr>
            <w:top w:val="none" w:sz="0" w:space="0" w:color="auto"/>
            <w:left w:val="none" w:sz="0" w:space="0" w:color="auto"/>
            <w:bottom w:val="none" w:sz="0" w:space="0" w:color="auto"/>
            <w:right w:val="none" w:sz="0" w:space="0" w:color="auto"/>
          </w:divBdr>
          <w:divsChild>
            <w:div w:id="100552023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277953339">
      <w:bodyDiv w:val="1"/>
      <w:marLeft w:val="0"/>
      <w:marRight w:val="0"/>
      <w:marTop w:val="0"/>
      <w:marBottom w:val="0"/>
      <w:divBdr>
        <w:top w:val="none" w:sz="0" w:space="0" w:color="auto"/>
        <w:left w:val="none" w:sz="0" w:space="0" w:color="auto"/>
        <w:bottom w:val="none" w:sz="0" w:space="0" w:color="auto"/>
        <w:right w:val="none" w:sz="0" w:space="0" w:color="auto"/>
      </w:divBdr>
      <w:divsChild>
        <w:div w:id="420567423">
          <w:marLeft w:val="0"/>
          <w:marRight w:val="0"/>
          <w:marTop w:val="0"/>
          <w:marBottom w:val="240"/>
          <w:divBdr>
            <w:top w:val="none" w:sz="0" w:space="0" w:color="auto"/>
            <w:left w:val="none" w:sz="0" w:space="0" w:color="auto"/>
            <w:bottom w:val="none" w:sz="0" w:space="0" w:color="auto"/>
            <w:right w:val="none" w:sz="0" w:space="0" w:color="auto"/>
          </w:divBdr>
        </w:div>
        <w:div w:id="1940674027">
          <w:marLeft w:val="0"/>
          <w:marRight w:val="0"/>
          <w:marTop w:val="360"/>
          <w:marBottom w:val="180"/>
          <w:divBdr>
            <w:top w:val="none" w:sz="0" w:space="0" w:color="auto"/>
            <w:left w:val="none" w:sz="0" w:space="0" w:color="auto"/>
            <w:bottom w:val="none" w:sz="0" w:space="0" w:color="auto"/>
            <w:right w:val="none" w:sz="0" w:space="0" w:color="auto"/>
          </w:divBdr>
        </w:div>
        <w:div w:id="1289318670">
          <w:marLeft w:val="0"/>
          <w:marRight w:val="0"/>
          <w:marTop w:val="0"/>
          <w:marBottom w:val="0"/>
          <w:divBdr>
            <w:top w:val="none" w:sz="0" w:space="0" w:color="auto"/>
            <w:left w:val="none" w:sz="0" w:space="0" w:color="auto"/>
            <w:bottom w:val="none" w:sz="0" w:space="0" w:color="auto"/>
            <w:right w:val="none" w:sz="0" w:space="0" w:color="auto"/>
          </w:divBdr>
          <w:divsChild>
            <w:div w:id="667515171">
              <w:marLeft w:val="0"/>
              <w:marRight w:val="0"/>
              <w:marTop w:val="180"/>
              <w:marBottom w:val="240"/>
              <w:divBdr>
                <w:top w:val="none" w:sz="0" w:space="0" w:color="auto"/>
                <w:left w:val="none" w:sz="0" w:space="0" w:color="auto"/>
                <w:bottom w:val="none" w:sz="0" w:space="0" w:color="auto"/>
                <w:right w:val="none" w:sz="0" w:space="0" w:color="auto"/>
              </w:divBdr>
            </w:div>
          </w:divsChild>
        </w:div>
        <w:div w:id="564414903">
          <w:marLeft w:val="0"/>
          <w:marRight w:val="0"/>
          <w:marTop w:val="0"/>
          <w:marBottom w:val="0"/>
          <w:divBdr>
            <w:top w:val="none" w:sz="0" w:space="0" w:color="auto"/>
            <w:left w:val="none" w:sz="0" w:space="0" w:color="auto"/>
            <w:bottom w:val="none" w:sz="0" w:space="0" w:color="auto"/>
            <w:right w:val="none" w:sz="0" w:space="0" w:color="auto"/>
          </w:divBdr>
          <w:divsChild>
            <w:div w:id="1050692164">
              <w:marLeft w:val="0"/>
              <w:marRight w:val="0"/>
              <w:marTop w:val="360"/>
              <w:marBottom w:val="180"/>
              <w:divBdr>
                <w:top w:val="none" w:sz="0" w:space="0" w:color="auto"/>
                <w:left w:val="none" w:sz="0" w:space="0" w:color="auto"/>
                <w:bottom w:val="none" w:sz="0" w:space="0" w:color="auto"/>
                <w:right w:val="none" w:sz="0" w:space="0" w:color="auto"/>
              </w:divBdr>
            </w:div>
          </w:divsChild>
        </w:div>
        <w:div w:id="369384639">
          <w:marLeft w:val="0"/>
          <w:marRight w:val="0"/>
          <w:marTop w:val="0"/>
          <w:marBottom w:val="0"/>
          <w:divBdr>
            <w:top w:val="none" w:sz="0" w:space="0" w:color="auto"/>
            <w:left w:val="none" w:sz="0" w:space="0" w:color="auto"/>
            <w:bottom w:val="none" w:sz="0" w:space="0" w:color="auto"/>
            <w:right w:val="none" w:sz="0" w:space="0" w:color="auto"/>
          </w:divBdr>
          <w:divsChild>
            <w:div w:id="14430359">
              <w:marLeft w:val="0"/>
              <w:marRight w:val="0"/>
              <w:marTop w:val="180"/>
              <w:marBottom w:val="240"/>
              <w:divBdr>
                <w:top w:val="none" w:sz="0" w:space="0" w:color="auto"/>
                <w:left w:val="none" w:sz="0" w:space="0" w:color="auto"/>
                <w:bottom w:val="none" w:sz="0" w:space="0" w:color="auto"/>
                <w:right w:val="none" w:sz="0" w:space="0" w:color="auto"/>
              </w:divBdr>
            </w:div>
          </w:divsChild>
        </w:div>
        <w:div w:id="1271814374">
          <w:marLeft w:val="0"/>
          <w:marRight w:val="0"/>
          <w:marTop w:val="0"/>
          <w:marBottom w:val="0"/>
          <w:divBdr>
            <w:top w:val="none" w:sz="0" w:space="0" w:color="auto"/>
            <w:left w:val="none" w:sz="0" w:space="0" w:color="auto"/>
            <w:bottom w:val="none" w:sz="0" w:space="0" w:color="auto"/>
            <w:right w:val="none" w:sz="0" w:space="0" w:color="auto"/>
          </w:divBdr>
          <w:divsChild>
            <w:div w:id="554781369">
              <w:marLeft w:val="0"/>
              <w:marRight w:val="0"/>
              <w:marTop w:val="360"/>
              <w:marBottom w:val="180"/>
              <w:divBdr>
                <w:top w:val="none" w:sz="0" w:space="0" w:color="auto"/>
                <w:left w:val="none" w:sz="0" w:space="0" w:color="auto"/>
                <w:bottom w:val="none" w:sz="0" w:space="0" w:color="auto"/>
                <w:right w:val="none" w:sz="0" w:space="0" w:color="auto"/>
              </w:divBdr>
            </w:div>
          </w:divsChild>
        </w:div>
        <w:div w:id="790056460">
          <w:marLeft w:val="0"/>
          <w:marRight w:val="0"/>
          <w:marTop w:val="0"/>
          <w:marBottom w:val="0"/>
          <w:divBdr>
            <w:top w:val="none" w:sz="0" w:space="0" w:color="auto"/>
            <w:left w:val="none" w:sz="0" w:space="0" w:color="auto"/>
            <w:bottom w:val="none" w:sz="0" w:space="0" w:color="auto"/>
            <w:right w:val="none" w:sz="0" w:space="0" w:color="auto"/>
          </w:divBdr>
          <w:divsChild>
            <w:div w:id="552737244">
              <w:marLeft w:val="0"/>
              <w:marRight w:val="0"/>
              <w:marTop w:val="180"/>
              <w:marBottom w:val="240"/>
              <w:divBdr>
                <w:top w:val="none" w:sz="0" w:space="0" w:color="auto"/>
                <w:left w:val="none" w:sz="0" w:space="0" w:color="auto"/>
                <w:bottom w:val="none" w:sz="0" w:space="0" w:color="auto"/>
                <w:right w:val="none" w:sz="0" w:space="0" w:color="auto"/>
              </w:divBdr>
            </w:div>
          </w:divsChild>
        </w:div>
        <w:div w:id="1765375989">
          <w:marLeft w:val="0"/>
          <w:marRight w:val="0"/>
          <w:marTop w:val="0"/>
          <w:marBottom w:val="0"/>
          <w:divBdr>
            <w:top w:val="none" w:sz="0" w:space="0" w:color="auto"/>
            <w:left w:val="none" w:sz="0" w:space="0" w:color="auto"/>
            <w:bottom w:val="none" w:sz="0" w:space="0" w:color="auto"/>
            <w:right w:val="none" w:sz="0" w:space="0" w:color="auto"/>
          </w:divBdr>
          <w:divsChild>
            <w:div w:id="1220744873">
              <w:marLeft w:val="0"/>
              <w:marRight w:val="0"/>
              <w:marTop w:val="360"/>
              <w:marBottom w:val="180"/>
              <w:divBdr>
                <w:top w:val="none" w:sz="0" w:space="0" w:color="auto"/>
                <w:left w:val="none" w:sz="0" w:space="0" w:color="auto"/>
                <w:bottom w:val="none" w:sz="0" w:space="0" w:color="auto"/>
                <w:right w:val="none" w:sz="0" w:space="0" w:color="auto"/>
              </w:divBdr>
            </w:div>
          </w:divsChild>
        </w:div>
        <w:div w:id="865019056">
          <w:marLeft w:val="0"/>
          <w:marRight w:val="0"/>
          <w:marTop w:val="0"/>
          <w:marBottom w:val="0"/>
          <w:divBdr>
            <w:top w:val="none" w:sz="0" w:space="0" w:color="auto"/>
            <w:left w:val="none" w:sz="0" w:space="0" w:color="auto"/>
            <w:bottom w:val="none" w:sz="0" w:space="0" w:color="auto"/>
            <w:right w:val="none" w:sz="0" w:space="0" w:color="auto"/>
          </w:divBdr>
          <w:divsChild>
            <w:div w:id="2070303060">
              <w:marLeft w:val="0"/>
              <w:marRight w:val="0"/>
              <w:marTop w:val="180"/>
              <w:marBottom w:val="240"/>
              <w:divBdr>
                <w:top w:val="none" w:sz="0" w:space="0" w:color="auto"/>
                <w:left w:val="none" w:sz="0" w:space="0" w:color="auto"/>
                <w:bottom w:val="none" w:sz="0" w:space="0" w:color="auto"/>
                <w:right w:val="none" w:sz="0" w:space="0" w:color="auto"/>
              </w:divBdr>
            </w:div>
          </w:divsChild>
        </w:div>
        <w:div w:id="1898584087">
          <w:marLeft w:val="0"/>
          <w:marRight w:val="0"/>
          <w:marTop w:val="0"/>
          <w:marBottom w:val="0"/>
          <w:divBdr>
            <w:top w:val="none" w:sz="0" w:space="0" w:color="auto"/>
            <w:left w:val="none" w:sz="0" w:space="0" w:color="auto"/>
            <w:bottom w:val="none" w:sz="0" w:space="0" w:color="auto"/>
            <w:right w:val="none" w:sz="0" w:space="0" w:color="auto"/>
          </w:divBdr>
          <w:divsChild>
            <w:div w:id="208567271">
              <w:marLeft w:val="0"/>
              <w:marRight w:val="0"/>
              <w:marTop w:val="360"/>
              <w:marBottom w:val="180"/>
              <w:divBdr>
                <w:top w:val="none" w:sz="0" w:space="0" w:color="auto"/>
                <w:left w:val="none" w:sz="0" w:space="0" w:color="auto"/>
                <w:bottom w:val="none" w:sz="0" w:space="0" w:color="auto"/>
                <w:right w:val="none" w:sz="0" w:space="0" w:color="auto"/>
              </w:divBdr>
            </w:div>
          </w:divsChild>
        </w:div>
        <w:div w:id="1742558663">
          <w:marLeft w:val="0"/>
          <w:marRight w:val="0"/>
          <w:marTop w:val="0"/>
          <w:marBottom w:val="0"/>
          <w:divBdr>
            <w:top w:val="none" w:sz="0" w:space="0" w:color="auto"/>
            <w:left w:val="none" w:sz="0" w:space="0" w:color="auto"/>
            <w:bottom w:val="none" w:sz="0" w:space="0" w:color="auto"/>
            <w:right w:val="none" w:sz="0" w:space="0" w:color="auto"/>
          </w:divBdr>
          <w:divsChild>
            <w:div w:id="65950344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468353171">
      <w:bodyDiv w:val="1"/>
      <w:marLeft w:val="0"/>
      <w:marRight w:val="0"/>
      <w:marTop w:val="0"/>
      <w:marBottom w:val="0"/>
      <w:divBdr>
        <w:top w:val="none" w:sz="0" w:space="0" w:color="auto"/>
        <w:left w:val="none" w:sz="0" w:space="0" w:color="auto"/>
        <w:bottom w:val="none" w:sz="0" w:space="0" w:color="auto"/>
        <w:right w:val="none" w:sz="0" w:space="0" w:color="auto"/>
      </w:divBdr>
      <w:divsChild>
        <w:div w:id="2011372276">
          <w:marLeft w:val="0"/>
          <w:marRight w:val="0"/>
          <w:marTop w:val="0"/>
          <w:marBottom w:val="240"/>
          <w:divBdr>
            <w:top w:val="none" w:sz="0" w:space="0" w:color="auto"/>
            <w:left w:val="none" w:sz="0" w:space="0" w:color="auto"/>
            <w:bottom w:val="none" w:sz="0" w:space="0" w:color="auto"/>
            <w:right w:val="none" w:sz="0" w:space="0" w:color="auto"/>
          </w:divBdr>
        </w:div>
        <w:div w:id="523246111">
          <w:marLeft w:val="0"/>
          <w:marRight w:val="0"/>
          <w:marTop w:val="360"/>
          <w:marBottom w:val="180"/>
          <w:divBdr>
            <w:top w:val="none" w:sz="0" w:space="0" w:color="auto"/>
            <w:left w:val="none" w:sz="0" w:space="0" w:color="auto"/>
            <w:bottom w:val="none" w:sz="0" w:space="0" w:color="auto"/>
            <w:right w:val="none" w:sz="0" w:space="0" w:color="auto"/>
          </w:divBdr>
        </w:div>
        <w:div w:id="1602908494">
          <w:marLeft w:val="0"/>
          <w:marRight w:val="0"/>
          <w:marTop w:val="0"/>
          <w:marBottom w:val="0"/>
          <w:divBdr>
            <w:top w:val="none" w:sz="0" w:space="0" w:color="auto"/>
            <w:left w:val="none" w:sz="0" w:space="0" w:color="auto"/>
            <w:bottom w:val="none" w:sz="0" w:space="0" w:color="auto"/>
            <w:right w:val="none" w:sz="0" w:space="0" w:color="auto"/>
          </w:divBdr>
          <w:divsChild>
            <w:div w:id="411852959">
              <w:marLeft w:val="0"/>
              <w:marRight w:val="0"/>
              <w:marTop w:val="180"/>
              <w:marBottom w:val="240"/>
              <w:divBdr>
                <w:top w:val="none" w:sz="0" w:space="0" w:color="auto"/>
                <w:left w:val="none" w:sz="0" w:space="0" w:color="auto"/>
                <w:bottom w:val="none" w:sz="0" w:space="0" w:color="auto"/>
                <w:right w:val="none" w:sz="0" w:space="0" w:color="auto"/>
              </w:divBdr>
            </w:div>
          </w:divsChild>
        </w:div>
        <w:div w:id="1519734508">
          <w:marLeft w:val="0"/>
          <w:marRight w:val="0"/>
          <w:marTop w:val="0"/>
          <w:marBottom w:val="0"/>
          <w:divBdr>
            <w:top w:val="none" w:sz="0" w:space="0" w:color="auto"/>
            <w:left w:val="none" w:sz="0" w:space="0" w:color="auto"/>
            <w:bottom w:val="none" w:sz="0" w:space="0" w:color="auto"/>
            <w:right w:val="none" w:sz="0" w:space="0" w:color="auto"/>
          </w:divBdr>
          <w:divsChild>
            <w:div w:id="1470511207">
              <w:marLeft w:val="0"/>
              <w:marRight w:val="0"/>
              <w:marTop w:val="360"/>
              <w:marBottom w:val="180"/>
              <w:divBdr>
                <w:top w:val="none" w:sz="0" w:space="0" w:color="auto"/>
                <w:left w:val="none" w:sz="0" w:space="0" w:color="auto"/>
                <w:bottom w:val="none" w:sz="0" w:space="0" w:color="auto"/>
                <w:right w:val="none" w:sz="0" w:space="0" w:color="auto"/>
              </w:divBdr>
            </w:div>
          </w:divsChild>
        </w:div>
        <w:div w:id="1963882927">
          <w:marLeft w:val="0"/>
          <w:marRight w:val="0"/>
          <w:marTop w:val="0"/>
          <w:marBottom w:val="0"/>
          <w:divBdr>
            <w:top w:val="none" w:sz="0" w:space="0" w:color="auto"/>
            <w:left w:val="none" w:sz="0" w:space="0" w:color="auto"/>
            <w:bottom w:val="none" w:sz="0" w:space="0" w:color="auto"/>
            <w:right w:val="none" w:sz="0" w:space="0" w:color="auto"/>
          </w:divBdr>
          <w:divsChild>
            <w:div w:id="1298875396">
              <w:marLeft w:val="0"/>
              <w:marRight w:val="0"/>
              <w:marTop w:val="180"/>
              <w:marBottom w:val="240"/>
              <w:divBdr>
                <w:top w:val="none" w:sz="0" w:space="0" w:color="auto"/>
                <w:left w:val="none" w:sz="0" w:space="0" w:color="auto"/>
                <w:bottom w:val="none" w:sz="0" w:space="0" w:color="auto"/>
                <w:right w:val="none" w:sz="0" w:space="0" w:color="auto"/>
              </w:divBdr>
            </w:div>
          </w:divsChild>
        </w:div>
        <w:div w:id="1461144790">
          <w:marLeft w:val="0"/>
          <w:marRight w:val="0"/>
          <w:marTop w:val="0"/>
          <w:marBottom w:val="0"/>
          <w:divBdr>
            <w:top w:val="none" w:sz="0" w:space="0" w:color="auto"/>
            <w:left w:val="none" w:sz="0" w:space="0" w:color="auto"/>
            <w:bottom w:val="none" w:sz="0" w:space="0" w:color="auto"/>
            <w:right w:val="none" w:sz="0" w:space="0" w:color="auto"/>
          </w:divBdr>
          <w:divsChild>
            <w:div w:id="1255090765">
              <w:marLeft w:val="0"/>
              <w:marRight w:val="0"/>
              <w:marTop w:val="360"/>
              <w:marBottom w:val="180"/>
              <w:divBdr>
                <w:top w:val="none" w:sz="0" w:space="0" w:color="auto"/>
                <w:left w:val="none" w:sz="0" w:space="0" w:color="auto"/>
                <w:bottom w:val="none" w:sz="0" w:space="0" w:color="auto"/>
                <w:right w:val="none" w:sz="0" w:space="0" w:color="auto"/>
              </w:divBdr>
            </w:div>
          </w:divsChild>
        </w:div>
        <w:div w:id="664359680">
          <w:marLeft w:val="0"/>
          <w:marRight w:val="0"/>
          <w:marTop w:val="0"/>
          <w:marBottom w:val="0"/>
          <w:divBdr>
            <w:top w:val="none" w:sz="0" w:space="0" w:color="auto"/>
            <w:left w:val="none" w:sz="0" w:space="0" w:color="auto"/>
            <w:bottom w:val="none" w:sz="0" w:space="0" w:color="auto"/>
            <w:right w:val="none" w:sz="0" w:space="0" w:color="auto"/>
          </w:divBdr>
          <w:divsChild>
            <w:div w:id="1339498396">
              <w:marLeft w:val="0"/>
              <w:marRight w:val="0"/>
              <w:marTop w:val="180"/>
              <w:marBottom w:val="240"/>
              <w:divBdr>
                <w:top w:val="none" w:sz="0" w:space="0" w:color="auto"/>
                <w:left w:val="none" w:sz="0" w:space="0" w:color="auto"/>
                <w:bottom w:val="none" w:sz="0" w:space="0" w:color="auto"/>
                <w:right w:val="none" w:sz="0" w:space="0" w:color="auto"/>
              </w:divBdr>
            </w:div>
          </w:divsChild>
        </w:div>
        <w:div w:id="171844028">
          <w:marLeft w:val="0"/>
          <w:marRight w:val="0"/>
          <w:marTop w:val="0"/>
          <w:marBottom w:val="0"/>
          <w:divBdr>
            <w:top w:val="none" w:sz="0" w:space="0" w:color="auto"/>
            <w:left w:val="none" w:sz="0" w:space="0" w:color="auto"/>
            <w:bottom w:val="none" w:sz="0" w:space="0" w:color="auto"/>
            <w:right w:val="none" w:sz="0" w:space="0" w:color="auto"/>
          </w:divBdr>
          <w:divsChild>
            <w:div w:id="1409813979">
              <w:marLeft w:val="0"/>
              <w:marRight w:val="0"/>
              <w:marTop w:val="360"/>
              <w:marBottom w:val="180"/>
              <w:divBdr>
                <w:top w:val="none" w:sz="0" w:space="0" w:color="auto"/>
                <w:left w:val="none" w:sz="0" w:space="0" w:color="auto"/>
                <w:bottom w:val="none" w:sz="0" w:space="0" w:color="auto"/>
                <w:right w:val="none" w:sz="0" w:space="0" w:color="auto"/>
              </w:divBdr>
            </w:div>
          </w:divsChild>
        </w:div>
        <w:div w:id="1746029277">
          <w:marLeft w:val="0"/>
          <w:marRight w:val="0"/>
          <w:marTop w:val="0"/>
          <w:marBottom w:val="0"/>
          <w:divBdr>
            <w:top w:val="none" w:sz="0" w:space="0" w:color="auto"/>
            <w:left w:val="none" w:sz="0" w:space="0" w:color="auto"/>
            <w:bottom w:val="none" w:sz="0" w:space="0" w:color="auto"/>
            <w:right w:val="none" w:sz="0" w:space="0" w:color="auto"/>
          </w:divBdr>
          <w:divsChild>
            <w:div w:id="911163352">
              <w:marLeft w:val="0"/>
              <w:marRight w:val="0"/>
              <w:marTop w:val="180"/>
              <w:marBottom w:val="240"/>
              <w:divBdr>
                <w:top w:val="none" w:sz="0" w:space="0" w:color="auto"/>
                <w:left w:val="none" w:sz="0" w:space="0" w:color="auto"/>
                <w:bottom w:val="none" w:sz="0" w:space="0" w:color="auto"/>
                <w:right w:val="none" w:sz="0" w:space="0" w:color="auto"/>
              </w:divBdr>
            </w:div>
          </w:divsChild>
        </w:div>
        <w:div w:id="1325627751">
          <w:marLeft w:val="0"/>
          <w:marRight w:val="0"/>
          <w:marTop w:val="0"/>
          <w:marBottom w:val="0"/>
          <w:divBdr>
            <w:top w:val="none" w:sz="0" w:space="0" w:color="auto"/>
            <w:left w:val="none" w:sz="0" w:space="0" w:color="auto"/>
            <w:bottom w:val="none" w:sz="0" w:space="0" w:color="auto"/>
            <w:right w:val="none" w:sz="0" w:space="0" w:color="auto"/>
          </w:divBdr>
          <w:divsChild>
            <w:div w:id="344669911">
              <w:marLeft w:val="0"/>
              <w:marRight w:val="0"/>
              <w:marTop w:val="360"/>
              <w:marBottom w:val="180"/>
              <w:divBdr>
                <w:top w:val="none" w:sz="0" w:space="0" w:color="auto"/>
                <w:left w:val="none" w:sz="0" w:space="0" w:color="auto"/>
                <w:bottom w:val="none" w:sz="0" w:space="0" w:color="auto"/>
                <w:right w:val="none" w:sz="0" w:space="0" w:color="auto"/>
              </w:divBdr>
            </w:div>
          </w:divsChild>
        </w:div>
        <w:div w:id="182742269">
          <w:marLeft w:val="0"/>
          <w:marRight w:val="0"/>
          <w:marTop w:val="0"/>
          <w:marBottom w:val="0"/>
          <w:divBdr>
            <w:top w:val="none" w:sz="0" w:space="0" w:color="auto"/>
            <w:left w:val="none" w:sz="0" w:space="0" w:color="auto"/>
            <w:bottom w:val="none" w:sz="0" w:space="0" w:color="auto"/>
            <w:right w:val="none" w:sz="0" w:space="0" w:color="auto"/>
          </w:divBdr>
          <w:divsChild>
            <w:div w:id="22691705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487471953">
      <w:bodyDiv w:val="1"/>
      <w:marLeft w:val="0"/>
      <w:marRight w:val="0"/>
      <w:marTop w:val="0"/>
      <w:marBottom w:val="0"/>
      <w:divBdr>
        <w:top w:val="none" w:sz="0" w:space="0" w:color="auto"/>
        <w:left w:val="none" w:sz="0" w:space="0" w:color="auto"/>
        <w:bottom w:val="none" w:sz="0" w:space="0" w:color="auto"/>
        <w:right w:val="none" w:sz="0" w:space="0" w:color="auto"/>
      </w:divBdr>
      <w:divsChild>
        <w:div w:id="1803422023">
          <w:marLeft w:val="0"/>
          <w:marRight w:val="0"/>
          <w:marTop w:val="0"/>
          <w:marBottom w:val="240"/>
          <w:divBdr>
            <w:top w:val="none" w:sz="0" w:space="0" w:color="auto"/>
            <w:left w:val="none" w:sz="0" w:space="0" w:color="auto"/>
            <w:bottom w:val="none" w:sz="0" w:space="0" w:color="auto"/>
            <w:right w:val="none" w:sz="0" w:space="0" w:color="auto"/>
          </w:divBdr>
        </w:div>
        <w:div w:id="1928733514">
          <w:marLeft w:val="0"/>
          <w:marRight w:val="0"/>
          <w:marTop w:val="360"/>
          <w:marBottom w:val="180"/>
          <w:divBdr>
            <w:top w:val="none" w:sz="0" w:space="0" w:color="auto"/>
            <w:left w:val="none" w:sz="0" w:space="0" w:color="auto"/>
            <w:bottom w:val="none" w:sz="0" w:space="0" w:color="auto"/>
            <w:right w:val="none" w:sz="0" w:space="0" w:color="auto"/>
          </w:divBdr>
        </w:div>
        <w:div w:id="1785417699">
          <w:marLeft w:val="0"/>
          <w:marRight w:val="0"/>
          <w:marTop w:val="0"/>
          <w:marBottom w:val="0"/>
          <w:divBdr>
            <w:top w:val="none" w:sz="0" w:space="0" w:color="auto"/>
            <w:left w:val="none" w:sz="0" w:space="0" w:color="auto"/>
            <w:bottom w:val="none" w:sz="0" w:space="0" w:color="auto"/>
            <w:right w:val="none" w:sz="0" w:space="0" w:color="auto"/>
          </w:divBdr>
          <w:divsChild>
            <w:div w:id="1725714447">
              <w:marLeft w:val="0"/>
              <w:marRight w:val="0"/>
              <w:marTop w:val="180"/>
              <w:marBottom w:val="240"/>
              <w:divBdr>
                <w:top w:val="none" w:sz="0" w:space="0" w:color="auto"/>
                <w:left w:val="none" w:sz="0" w:space="0" w:color="auto"/>
                <w:bottom w:val="none" w:sz="0" w:space="0" w:color="auto"/>
                <w:right w:val="none" w:sz="0" w:space="0" w:color="auto"/>
              </w:divBdr>
            </w:div>
          </w:divsChild>
        </w:div>
        <w:div w:id="321272983">
          <w:marLeft w:val="0"/>
          <w:marRight w:val="0"/>
          <w:marTop w:val="0"/>
          <w:marBottom w:val="0"/>
          <w:divBdr>
            <w:top w:val="none" w:sz="0" w:space="0" w:color="auto"/>
            <w:left w:val="none" w:sz="0" w:space="0" w:color="auto"/>
            <w:bottom w:val="none" w:sz="0" w:space="0" w:color="auto"/>
            <w:right w:val="none" w:sz="0" w:space="0" w:color="auto"/>
          </w:divBdr>
          <w:divsChild>
            <w:div w:id="1204635854">
              <w:marLeft w:val="0"/>
              <w:marRight w:val="0"/>
              <w:marTop w:val="360"/>
              <w:marBottom w:val="180"/>
              <w:divBdr>
                <w:top w:val="none" w:sz="0" w:space="0" w:color="auto"/>
                <w:left w:val="none" w:sz="0" w:space="0" w:color="auto"/>
                <w:bottom w:val="none" w:sz="0" w:space="0" w:color="auto"/>
                <w:right w:val="none" w:sz="0" w:space="0" w:color="auto"/>
              </w:divBdr>
            </w:div>
          </w:divsChild>
        </w:div>
        <w:div w:id="231081457">
          <w:marLeft w:val="0"/>
          <w:marRight w:val="0"/>
          <w:marTop w:val="0"/>
          <w:marBottom w:val="0"/>
          <w:divBdr>
            <w:top w:val="none" w:sz="0" w:space="0" w:color="auto"/>
            <w:left w:val="none" w:sz="0" w:space="0" w:color="auto"/>
            <w:bottom w:val="none" w:sz="0" w:space="0" w:color="auto"/>
            <w:right w:val="none" w:sz="0" w:space="0" w:color="auto"/>
          </w:divBdr>
          <w:divsChild>
            <w:div w:id="2054964696">
              <w:marLeft w:val="0"/>
              <w:marRight w:val="0"/>
              <w:marTop w:val="180"/>
              <w:marBottom w:val="240"/>
              <w:divBdr>
                <w:top w:val="none" w:sz="0" w:space="0" w:color="auto"/>
                <w:left w:val="none" w:sz="0" w:space="0" w:color="auto"/>
                <w:bottom w:val="none" w:sz="0" w:space="0" w:color="auto"/>
                <w:right w:val="none" w:sz="0" w:space="0" w:color="auto"/>
              </w:divBdr>
            </w:div>
          </w:divsChild>
        </w:div>
        <w:div w:id="109786808">
          <w:marLeft w:val="0"/>
          <w:marRight w:val="0"/>
          <w:marTop w:val="0"/>
          <w:marBottom w:val="0"/>
          <w:divBdr>
            <w:top w:val="none" w:sz="0" w:space="0" w:color="auto"/>
            <w:left w:val="none" w:sz="0" w:space="0" w:color="auto"/>
            <w:bottom w:val="none" w:sz="0" w:space="0" w:color="auto"/>
            <w:right w:val="none" w:sz="0" w:space="0" w:color="auto"/>
          </w:divBdr>
          <w:divsChild>
            <w:div w:id="1723288758">
              <w:marLeft w:val="0"/>
              <w:marRight w:val="0"/>
              <w:marTop w:val="360"/>
              <w:marBottom w:val="180"/>
              <w:divBdr>
                <w:top w:val="none" w:sz="0" w:space="0" w:color="auto"/>
                <w:left w:val="none" w:sz="0" w:space="0" w:color="auto"/>
                <w:bottom w:val="none" w:sz="0" w:space="0" w:color="auto"/>
                <w:right w:val="none" w:sz="0" w:space="0" w:color="auto"/>
              </w:divBdr>
            </w:div>
          </w:divsChild>
        </w:div>
        <w:div w:id="1145245570">
          <w:marLeft w:val="0"/>
          <w:marRight w:val="0"/>
          <w:marTop w:val="0"/>
          <w:marBottom w:val="0"/>
          <w:divBdr>
            <w:top w:val="none" w:sz="0" w:space="0" w:color="auto"/>
            <w:left w:val="none" w:sz="0" w:space="0" w:color="auto"/>
            <w:bottom w:val="none" w:sz="0" w:space="0" w:color="auto"/>
            <w:right w:val="none" w:sz="0" w:space="0" w:color="auto"/>
          </w:divBdr>
          <w:divsChild>
            <w:div w:id="1332216120">
              <w:marLeft w:val="0"/>
              <w:marRight w:val="0"/>
              <w:marTop w:val="180"/>
              <w:marBottom w:val="240"/>
              <w:divBdr>
                <w:top w:val="none" w:sz="0" w:space="0" w:color="auto"/>
                <w:left w:val="none" w:sz="0" w:space="0" w:color="auto"/>
                <w:bottom w:val="none" w:sz="0" w:space="0" w:color="auto"/>
                <w:right w:val="none" w:sz="0" w:space="0" w:color="auto"/>
              </w:divBdr>
            </w:div>
          </w:divsChild>
        </w:div>
        <w:div w:id="855461908">
          <w:marLeft w:val="0"/>
          <w:marRight w:val="0"/>
          <w:marTop w:val="0"/>
          <w:marBottom w:val="0"/>
          <w:divBdr>
            <w:top w:val="none" w:sz="0" w:space="0" w:color="auto"/>
            <w:left w:val="none" w:sz="0" w:space="0" w:color="auto"/>
            <w:bottom w:val="none" w:sz="0" w:space="0" w:color="auto"/>
            <w:right w:val="none" w:sz="0" w:space="0" w:color="auto"/>
          </w:divBdr>
          <w:divsChild>
            <w:div w:id="76631003">
              <w:marLeft w:val="0"/>
              <w:marRight w:val="0"/>
              <w:marTop w:val="360"/>
              <w:marBottom w:val="180"/>
              <w:divBdr>
                <w:top w:val="none" w:sz="0" w:space="0" w:color="auto"/>
                <w:left w:val="none" w:sz="0" w:space="0" w:color="auto"/>
                <w:bottom w:val="none" w:sz="0" w:space="0" w:color="auto"/>
                <w:right w:val="none" w:sz="0" w:space="0" w:color="auto"/>
              </w:divBdr>
            </w:div>
          </w:divsChild>
        </w:div>
        <w:div w:id="101150025">
          <w:marLeft w:val="0"/>
          <w:marRight w:val="0"/>
          <w:marTop w:val="0"/>
          <w:marBottom w:val="0"/>
          <w:divBdr>
            <w:top w:val="none" w:sz="0" w:space="0" w:color="auto"/>
            <w:left w:val="none" w:sz="0" w:space="0" w:color="auto"/>
            <w:bottom w:val="none" w:sz="0" w:space="0" w:color="auto"/>
            <w:right w:val="none" w:sz="0" w:space="0" w:color="auto"/>
          </w:divBdr>
          <w:divsChild>
            <w:div w:id="1091387867">
              <w:marLeft w:val="0"/>
              <w:marRight w:val="0"/>
              <w:marTop w:val="180"/>
              <w:marBottom w:val="240"/>
              <w:divBdr>
                <w:top w:val="none" w:sz="0" w:space="0" w:color="auto"/>
                <w:left w:val="none" w:sz="0" w:space="0" w:color="auto"/>
                <w:bottom w:val="none" w:sz="0" w:space="0" w:color="auto"/>
                <w:right w:val="none" w:sz="0" w:space="0" w:color="auto"/>
              </w:divBdr>
            </w:div>
          </w:divsChild>
        </w:div>
        <w:div w:id="1684160638">
          <w:marLeft w:val="0"/>
          <w:marRight w:val="0"/>
          <w:marTop w:val="0"/>
          <w:marBottom w:val="0"/>
          <w:divBdr>
            <w:top w:val="none" w:sz="0" w:space="0" w:color="auto"/>
            <w:left w:val="none" w:sz="0" w:space="0" w:color="auto"/>
            <w:bottom w:val="none" w:sz="0" w:space="0" w:color="auto"/>
            <w:right w:val="none" w:sz="0" w:space="0" w:color="auto"/>
          </w:divBdr>
          <w:divsChild>
            <w:div w:id="1038044735">
              <w:marLeft w:val="0"/>
              <w:marRight w:val="0"/>
              <w:marTop w:val="360"/>
              <w:marBottom w:val="180"/>
              <w:divBdr>
                <w:top w:val="none" w:sz="0" w:space="0" w:color="auto"/>
                <w:left w:val="none" w:sz="0" w:space="0" w:color="auto"/>
                <w:bottom w:val="none" w:sz="0" w:space="0" w:color="auto"/>
                <w:right w:val="none" w:sz="0" w:space="0" w:color="auto"/>
              </w:divBdr>
            </w:div>
          </w:divsChild>
        </w:div>
        <w:div w:id="692339012">
          <w:marLeft w:val="0"/>
          <w:marRight w:val="0"/>
          <w:marTop w:val="0"/>
          <w:marBottom w:val="0"/>
          <w:divBdr>
            <w:top w:val="none" w:sz="0" w:space="0" w:color="auto"/>
            <w:left w:val="none" w:sz="0" w:space="0" w:color="auto"/>
            <w:bottom w:val="none" w:sz="0" w:space="0" w:color="auto"/>
            <w:right w:val="none" w:sz="0" w:space="0" w:color="auto"/>
          </w:divBdr>
          <w:divsChild>
            <w:div w:id="117637959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911378660">
      <w:bodyDiv w:val="1"/>
      <w:marLeft w:val="0"/>
      <w:marRight w:val="0"/>
      <w:marTop w:val="0"/>
      <w:marBottom w:val="0"/>
      <w:divBdr>
        <w:top w:val="none" w:sz="0" w:space="0" w:color="auto"/>
        <w:left w:val="none" w:sz="0" w:space="0" w:color="auto"/>
        <w:bottom w:val="none" w:sz="0" w:space="0" w:color="auto"/>
        <w:right w:val="none" w:sz="0" w:space="0" w:color="auto"/>
      </w:divBdr>
    </w:div>
    <w:div w:id="1919750869">
      <w:bodyDiv w:val="1"/>
      <w:marLeft w:val="0"/>
      <w:marRight w:val="0"/>
      <w:marTop w:val="0"/>
      <w:marBottom w:val="0"/>
      <w:divBdr>
        <w:top w:val="none" w:sz="0" w:space="0" w:color="auto"/>
        <w:left w:val="none" w:sz="0" w:space="0" w:color="auto"/>
        <w:bottom w:val="none" w:sz="0" w:space="0" w:color="auto"/>
        <w:right w:val="none" w:sz="0" w:space="0" w:color="auto"/>
      </w:divBdr>
    </w:div>
    <w:div w:id="1998220657">
      <w:bodyDiv w:val="1"/>
      <w:marLeft w:val="0"/>
      <w:marRight w:val="0"/>
      <w:marTop w:val="0"/>
      <w:marBottom w:val="0"/>
      <w:divBdr>
        <w:top w:val="none" w:sz="0" w:space="0" w:color="auto"/>
        <w:left w:val="none" w:sz="0" w:space="0" w:color="auto"/>
        <w:bottom w:val="none" w:sz="0" w:space="0" w:color="auto"/>
        <w:right w:val="none" w:sz="0" w:space="0" w:color="auto"/>
      </w:divBdr>
      <w:divsChild>
        <w:div w:id="1704551242">
          <w:marLeft w:val="0"/>
          <w:marRight w:val="0"/>
          <w:marTop w:val="0"/>
          <w:marBottom w:val="240"/>
          <w:divBdr>
            <w:top w:val="none" w:sz="0" w:space="0" w:color="auto"/>
            <w:left w:val="none" w:sz="0" w:space="0" w:color="auto"/>
            <w:bottom w:val="none" w:sz="0" w:space="0" w:color="auto"/>
            <w:right w:val="none" w:sz="0" w:space="0" w:color="auto"/>
          </w:divBdr>
        </w:div>
        <w:div w:id="889724783">
          <w:marLeft w:val="0"/>
          <w:marRight w:val="0"/>
          <w:marTop w:val="360"/>
          <w:marBottom w:val="180"/>
          <w:divBdr>
            <w:top w:val="none" w:sz="0" w:space="0" w:color="auto"/>
            <w:left w:val="none" w:sz="0" w:space="0" w:color="auto"/>
            <w:bottom w:val="none" w:sz="0" w:space="0" w:color="auto"/>
            <w:right w:val="none" w:sz="0" w:space="0" w:color="auto"/>
          </w:divBdr>
        </w:div>
        <w:div w:id="588269838">
          <w:marLeft w:val="0"/>
          <w:marRight w:val="0"/>
          <w:marTop w:val="0"/>
          <w:marBottom w:val="0"/>
          <w:divBdr>
            <w:top w:val="none" w:sz="0" w:space="0" w:color="auto"/>
            <w:left w:val="none" w:sz="0" w:space="0" w:color="auto"/>
            <w:bottom w:val="none" w:sz="0" w:space="0" w:color="auto"/>
            <w:right w:val="none" w:sz="0" w:space="0" w:color="auto"/>
          </w:divBdr>
          <w:divsChild>
            <w:div w:id="2130586841">
              <w:marLeft w:val="0"/>
              <w:marRight w:val="0"/>
              <w:marTop w:val="180"/>
              <w:marBottom w:val="240"/>
              <w:divBdr>
                <w:top w:val="none" w:sz="0" w:space="0" w:color="auto"/>
                <w:left w:val="none" w:sz="0" w:space="0" w:color="auto"/>
                <w:bottom w:val="none" w:sz="0" w:space="0" w:color="auto"/>
                <w:right w:val="none" w:sz="0" w:space="0" w:color="auto"/>
              </w:divBdr>
            </w:div>
          </w:divsChild>
        </w:div>
        <w:div w:id="323314491">
          <w:marLeft w:val="0"/>
          <w:marRight w:val="0"/>
          <w:marTop w:val="0"/>
          <w:marBottom w:val="0"/>
          <w:divBdr>
            <w:top w:val="none" w:sz="0" w:space="0" w:color="auto"/>
            <w:left w:val="none" w:sz="0" w:space="0" w:color="auto"/>
            <w:bottom w:val="none" w:sz="0" w:space="0" w:color="auto"/>
            <w:right w:val="none" w:sz="0" w:space="0" w:color="auto"/>
          </w:divBdr>
          <w:divsChild>
            <w:div w:id="1254556339">
              <w:marLeft w:val="0"/>
              <w:marRight w:val="0"/>
              <w:marTop w:val="360"/>
              <w:marBottom w:val="180"/>
              <w:divBdr>
                <w:top w:val="none" w:sz="0" w:space="0" w:color="auto"/>
                <w:left w:val="none" w:sz="0" w:space="0" w:color="auto"/>
                <w:bottom w:val="none" w:sz="0" w:space="0" w:color="auto"/>
                <w:right w:val="none" w:sz="0" w:space="0" w:color="auto"/>
              </w:divBdr>
            </w:div>
          </w:divsChild>
        </w:div>
        <w:div w:id="893542310">
          <w:marLeft w:val="0"/>
          <w:marRight w:val="0"/>
          <w:marTop w:val="0"/>
          <w:marBottom w:val="0"/>
          <w:divBdr>
            <w:top w:val="none" w:sz="0" w:space="0" w:color="auto"/>
            <w:left w:val="none" w:sz="0" w:space="0" w:color="auto"/>
            <w:bottom w:val="none" w:sz="0" w:space="0" w:color="auto"/>
            <w:right w:val="none" w:sz="0" w:space="0" w:color="auto"/>
          </w:divBdr>
          <w:divsChild>
            <w:div w:id="1792164366">
              <w:marLeft w:val="0"/>
              <w:marRight w:val="0"/>
              <w:marTop w:val="180"/>
              <w:marBottom w:val="240"/>
              <w:divBdr>
                <w:top w:val="none" w:sz="0" w:space="0" w:color="auto"/>
                <w:left w:val="none" w:sz="0" w:space="0" w:color="auto"/>
                <w:bottom w:val="none" w:sz="0" w:space="0" w:color="auto"/>
                <w:right w:val="none" w:sz="0" w:space="0" w:color="auto"/>
              </w:divBdr>
            </w:div>
          </w:divsChild>
        </w:div>
        <w:div w:id="2040737502">
          <w:marLeft w:val="0"/>
          <w:marRight w:val="0"/>
          <w:marTop w:val="0"/>
          <w:marBottom w:val="0"/>
          <w:divBdr>
            <w:top w:val="none" w:sz="0" w:space="0" w:color="auto"/>
            <w:left w:val="none" w:sz="0" w:space="0" w:color="auto"/>
            <w:bottom w:val="none" w:sz="0" w:space="0" w:color="auto"/>
            <w:right w:val="none" w:sz="0" w:space="0" w:color="auto"/>
          </w:divBdr>
          <w:divsChild>
            <w:div w:id="101610434">
              <w:marLeft w:val="0"/>
              <w:marRight w:val="0"/>
              <w:marTop w:val="360"/>
              <w:marBottom w:val="180"/>
              <w:divBdr>
                <w:top w:val="none" w:sz="0" w:space="0" w:color="auto"/>
                <w:left w:val="none" w:sz="0" w:space="0" w:color="auto"/>
                <w:bottom w:val="none" w:sz="0" w:space="0" w:color="auto"/>
                <w:right w:val="none" w:sz="0" w:space="0" w:color="auto"/>
              </w:divBdr>
            </w:div>
          </w:divsChild>
        </w:div>
        <w:div w:id="1212309569">
          <w:marLeft w:val="0"/>
          <w:marRight w:val="0"/>
          <w:marTop w:val="0"/>
          <w:marBottom w:val="0"/>
          <w:divBdr>
            <w:top w:val="none" w:sz="0" w:space="0" w:color="auto"/>
            <w:left w:val="none" w:sz="0" w:space="0" w:color="auto"/>
            <w:bottom w:val="none" w:sz="0" w:space="0" w:color="auto"/>
            <w:right w:val="none" w:sz="0" w:space="0" w:color="auto"/>
          </w:divBdr>
          <w:divsChild>
            <w:div w:id="222258128">
              <w:marLeft w:val="0"/>
              <w:marRight w:val="0"/>
              <w:marTop w:val="180"/>
              <w:marBottom w:val="240"/>
              <w:divBdr>
                <w:top w:val="none" w:sz="0" w:space="0" w:color="auto"/>
                <w:left w:val="none" w:sz="0" w:space="0" w:color="auto"/>
                <w:bottom w:val="none" w:sz="0" w:space="0" w:color="auto"/>
                <w:right w:val="none" w:sz="0" w:space="0" w:color="auto"/>
              </w:divBdr>
            </w:div>
          </w:divsChild>
        </w:div>
        <w:div w:id="990255648">
          <w:marLeft w:val="0"/>
          <w:marRight w:val="0"/>
          <w:marTop w:val="0"/>
          <w:marBottom w:val="0"/>
          <w:divBdr>
            <w:top w:val="none" w:sz="0" w:space="0" w:color="auto"/>
            <w:left w:val="none" w:sz="0" w:space="0" w:color="auto"/>
            <w:bottom w:val="none" w:sz="0" w:space="0" w:color="auto"/>
            <w:right w:val="none" w:sz="0" w:space="0" w:color="auto"/>
          </w:divBdr>
          <w:divsChild>
            <w:div w:id="1240796142">
              <w:marLeft w:val="0"/>
              <w:marRight w:val="0"/>
              <w:marTop w:val="360"/>
              <w:marBottom w:val="180"/>
              <w:divBdr>
                <w:top w:val="none" w:sz="0" w:space="0" w:color="auto"/>
                <w:left w:val="none" w:sz="0" w:space="0" w:color="auto"/>
                <w:bottom w:val="none" w:sz="0" w:space="0" w:color="auto"/>
                <w:right w:val="none" w:sz="0" w:space="0" w:color="auto"/>
              </w:divBdr>
            </w:div>
          </w:divsChild>
        </w:div>
        <w:div w:id="1012684061">
          <w:marLeft w:val="0"/>
          <w:marRight w:val="0"/>
          <w:marTop w:val="0"/>
          <w:marBottom w:val="0"/>
          <w:divBdr>
            <w:top w:val="none" w:sz="0" w:space="0" w:color="auto"/>
            <w:left w:val="none" w:sz="0" w:space="0" w:color="auto"/>
            <w:bottom w:val="none" w:sz="0" w:space="0" w:color="auto"/>
            <w:right w:val="none" w:sz="0" w:space="0" w:color="auto"/>
          </w:divBdr>
          <w:divsChild>
            <w:div w:id="1114865254">
              <w:marLeft w:val="0"/>
              <w:marRight w:val="0"/>
              <w:marTop w:val="180"/>
              <w:marBottom w:val="240"/>
              <w:divBdr>
                <w:top w:val="none" w:sz="0" w:space="0" w:color="auto"/>
                <w:left w:val="none" w:sz="0" w:space="0" w:color="auto"/>
                <w:bottom w:val="none" w:sz="0" w:space="0" w:color="auto"/>
                <w:right w:val="none" w:sz="0" w:space="0" w:color="auto"/>
              </w:divBdr>
            </w:div>
          </w:divsChild>
        </w:div>
        <w:div w:id="34549614">
          <w:marLeft w:val="0"/>
          <w:marRight w:val="0"/>
          <w:marTop w:val="0"/>
          <w:marBottom w:val="0"/>
          <w:divBdr>
            <w:top w:val="none" w:sz="0" w:space="0" w:color="auto"/>
            <w:left w:val="none" w:sz="0" w:space="0" w:color="auto"/>
            <w:bottom w:val="none" w:sz="0" w:space="0" w:color="auto"/>
            <w:right w:val="none" w:sz="0" w:space="0" w:color="auto"/>
          </w:divBdr>
          <w:divsChild>
            <w:div w:id="1508246995">
              <w:marLeft w:val="0"/>
              <w:marRight w:val="0"/>
              <w:marTop w:val="360"/>
              <w:marBottom w:val="180"/>
              <w:divBdr>
                <w:top w:val="none" w:sz="0" w:space="0" w:color="auto"/>
                <w:left w:val="none" w:sz="0" w:space="0" w:color="auto"/>
                <w:bottom w:val="none" w:sz="0" w:space="0" w:color="auto"/>
                <w:right w:val="none" w:sz="0" w:space="0" w:color="auto"/>
              </w:divBdr>
            </w:div>
          </w:divsChild>
        </w:div>
        <w:div w:id="2143693096">
          <w:marLeft w:val="0"/>
          <w:marRight w:val="0"/>
          <w:marTop w:val="0"/>
          <w:marBottom w:val="0"/>
          <w:divBdr>
            <w:top w:val="none" w:sz="0" w:space="0" w:color="auto"/>
            <w:left w:val="none" w:sz="0" w:space="0" w:color="auto"/>
            <w:bottom w:val="none" w:sz="0" w:space="0" w:color="auto"/>
            <w:right w:val="none" w:sz="0" w:space="0" w:color="auto"/>
          </w:divBdr>
          <w:divsChild>
            <w:div w:id="48208889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fcom.org.uk/phones-and-broadband/service-quality/the-communications-marke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F11AD4-9A3C-4964-AB11-E891A7416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32</Pages>
  <Words>7163</Words>
  <Characters>40834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Sayyam</dc:creator>
  <cp:revision>9</cp:revision>
  <dcterms:created xsi:type="dcterms:W3CDTF">2026-04-20T11:16:00Z</dcterms:created>
  <dcterms:modified xsi:type="dcterms:W3CDTF">2026-07-29T15:38:00Z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eyJoZGlkIjoiMmMyYWM1MWY5NGE4N2RlY2U5NWM0NzJiODNiMGJjYzkiLCJ1c2VySWQiOiI4ODEzOTczNjQ5NjIwIn0=</vt:lpwstr>
  </property>
  <property fmtid="{D5CDD505-2E9C-101B-9397-08002B2CF9AE}" pid="3" name="KSOProductBuildVer">
    <vt:lpwstr>1033-12.1.0.25242</vt:lpwstr>
  </property>
  <property fmtid="{D5CDD505-2E9C-101B-9397-08002B2CF9AE}" pid="4" name="ICV">
    <vt:lpwstr>E84A9DD3B94F4370B98EBF6A9E57DCD5_12</vt:lpwstr>
  </property>
</Properties>
</file>