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160" w:line="264" w:lineRule="auto"/>
        <w:ind w:left="0" w:right="0" w:firstLine="0"/>
        <w:jc w:val="left"/>
        <w:rPr>
          <w:rFonts w:ascii="Arial" w:hAnsi="Arial"/>
          <w:sz w:val="22"/>
          <w:szCs w:val="22"/>
          <w:u w:color="000000"/>
          <w:rtl w:val="0"/>
          <w:lang w:val="en-US"/>
        </w:rPr>
      </w:pPr>
      <w:r>
        <w:rPr>
          <w:rFonts w:ascii="Arial" w:hAnsi="Arial"/>
          <w:sz w:val="22"/>
          <w:szCs w:val="22"/>
          <w:u w:color="000000"/>
          <w:rtl w:val="0"/>
          <w:lang w:val="en-US"/>
        </w:rPr>
        <w:drawing xmlns:a="http://schemas.openxmlformats.org/drawingml/2006/main">
          <wp:anchor distT="152400" distB="152400" distL="152400" distR="152400" simplePos="0" relativeHeight="251659264" behindDoc="0" locked="0" layoutInCell="1" allowOverlap="1">
            <wp:simplePos x="0" y="0"/>
            <wp:positionH relativeFrom="margin">
              <wp:posOffset>5440847</wp:posOffset>
            </wp:positionH>
            <wp:positionV relativeFrom="page">
              <wp:posOffset>0</wp:posOffset>
            </wp:positionV>
            <wp:extent cx="1042983" cy="989497"/>
            <wp:effectExtent l="0" t="0" r="0" b="0"/>
            <wp:wrapThrough wrapText="bothSides" distL="152400" distR="152400">
              <wp:wrapPolygon edited="1">
                <wp:start x="0" y="0"/>
                <wp:lineTo x="21600" y="0"/>
                <wp:lineTo x="21600"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042983" cy="989497"/>
                    </a:xfrm>
                    <a:prstGeom prst="rect">
                      <a:avLst/>
                    </a:prstGeom>
                    <a:ln w="12700" cap="flat">
                      <a:noFill/>
                      <a:miter lim="400000"/>
                    </a:ln>
                    <a:effectLst/>
                  </pic:spPr>
                </pic:pic>
              </a:graphicData>
            </a:graphic>
          </wp:anchor>
        </w:drawing>
      </w:r>
    </w:p>
    <w:p>
      <w:pPr>
        <w:pStyle w:val="Default"/>
        <w:bidi w:val="0"/>
        <w:spacing w:before="0" w:after="160" w:line="264" w:lineRule="auto"/>
        <w:ind w:left="0" w:right="0" w:firstLine="0"/>
        <w:jc w:val="left"/>
        <w:rPr>
          <w:rFonts w:ascii="Arial" w:hAnsi="Arial"/>
          <w:sz w:val="22"/>
          <w:szCs w:val="22"/>
          <w:u w:color="000000"/>
          <w:rtl w:val="0"/>
          <w:lang w:val="en-US"/>
        </w:rPr>
      </w:pPr>
    </w:p>
    <w:p>
      <w:pPr>
        <w:pStyle w:val="Default"/>
        <w:bidi w:val="0"/>
        <w:spacing w:before="0" w:after="160" w:line="264" w:lineRule="auto"/>
        <w:ind w:left="0" w:right="0" w:firstLine="0"/>
        <w:jc w:val="center"/>
        <w:rPr>
          <w:rFonts w:ascii="Arial" w:cs="Arial" w:hAnsi="Arial" w:eastAsia="Arial"/>
          <w:b w:val="1"/>
          <w:bCs w:val="1"/>
          <w:sz w:val="22"/>
          <w:szCs w:val="22"/>
          <w:u w:val="single" w:color="000000"/>
          <w:rtl w:val="0"/>
          <w:lang w:val="en-US"/>
        </w:rPr>
      </w:pPr>
      <w:r>
        <w:rPr>
          <w:rFonts w:ascii="Arial" w:hAnsi="Arial"/>
          <w:b w:val="1"/>
          <w:bCs w:val="1"/>
          <w:sz w:val="22"/>
          <w:szCs w:val="22"/>
          <w:u w:val="single" w:color="000000"/>
          <w:rtl w:val="0"/>
          <w:lang w:val="en-US"/>
        </w:rPr>
        <w:t xml:space="preserve">Task 3 - Guidance Document </w:t>
      </w:r>
    </w:p>
    <w:p>
      <w:pPr>
        <w:pStyle w:val="Default"/>
        <w:bidi w:val="0"/>
        <w:spacing w:before="0" w:after="160" w:line="264" w:lineRule="auto"/>
        <w:ind w:left="0" w:right="0" w:firstLine="0"/>
        <w:jc w:val="left"/>
        <w:rPr>
          <w:rFonts w:ascii="Arial" w:cs="Arial" w:hAnsi="Arial" w:eastAsia="Arial"/>
          <w:sz w:val="22"/>
          <w:szCs w:val="22"/>
          <w:u w:color="000000"/>
          <w:rtl w:val="0"/>
          <w:lang w:val="en-US"/>
        </w:rPr>
      </w:pPr>
    </w:p>
    <w:p>
      <w:pPr>
        <w:pStyle w:val="Default"/>
        <w:bidi w:val="0"/>
        <w:spacing w:before="0" w:after="160" w:line="264" w:lineRule="auto"/>
        <w:ind w:left="0" w:right="0" w:firstLine="0"/>
        <w:jc w:val="left"/>
        <w:rPr>
          <w:rFonts w:ascii="Arial" w:cs="Arial" w:hAnsi="Arial" w:eastAsia="Arial"/>
          <w:sz w:val="22"/>
          <w:szCs w:val="22"/>
          <w:u w:color="000000"/>
          <w:rtl w:val="0"/>
          <w:lang w:val="en-US"/>
        </w:rPr>
      </w:pPr>
      <w:r>
        <w:rPr>
          <w:rFonts w:ascii="Arial" w:hAnsi="Arial"/>
          <w:sz w:val="22"/>
          <w:szCs w:val="22"/>
          <w:u w:color="000000"/>
          <w:rtl w:val="0"/>
          <w:lang w:val="en-US"/>
        </w:rPr>
        <w:t>This guidance document provides employers with an understanding of organisational practices and legislations, that support employees</w:t>
      </w:r>
      <w:r>
        <w:rPr>
          <w:rFonts w:ascii="Arial" w:hAnsi="Arial" w:hint="default"/>
          <w:sz w:val="22"/>
          <w:szCs w:val="22"/>
          <w:u w:color="000000"/>
          <w:rtl w:val="0"/>
          <w:lang w:val="en-US"/>
        </w:rPr>
        <w:t xml:space="preserve">’ </w:t>
      </w:r>
      <w:r>
        <w:rPr>
          <w:rFonts w:ascii="Arial" w:hAnsi="Arial"/>
          <w:sz w:val="22"/>
          <w:szCs w:val="22"/>
          <w:u w:color="000000"/>
          <w:rtl w:val="0"/>
          <w:lang w:val="en-US"/>
        </w:rPr>
        <w:t xml:space="preserve">wellbeing. </w:t>
      </w:r>
    </w:p>
    <w:p>
      <w:pPr>
        <w:pStyle w:val="Default"/>
        <w:bidi w:val="0"/>
        <w:spacing w:before="0" w:after="160" w:line="264" w:lineRule="auto"/>
        <w:ind w:left="0" w:right="0" w:firstLine="0"/>
        <w:jc w:val="left"/>
        <w:rPr>
          <w:rFonts w:ascii="Arial" w:cs="Arial" w:hAnsi="Arial" w:eastAsia="Arial"/>
          <w:sz w:val="22"/>
          <w:szCs w:val="22"/>
          <w:u w:color="000000"/>
          <w:rtl w:val="0"/>
          <w:lang w:val="en-US"/>
        </w:rPr>
      </w:pPr>
    </w:p>
    <w:p>
      <w:pPr>
        <w:pStyle w:val="Default"/>
        <w:bidi w:val="0"/>
        <w:spacing w:before="0" w:after="160" w:line="264" w:lineRule="auto"/>
        <w:ind w:left="0" w:right="0" w:firstLine="0"/>
        <w:jc w:val="left"/>
        <w:rPr>
          <w:rFonts w:ascii="Arial" w:cs="Arial" w:hAnsi="Arial" w:eastAsia="Arial"/>
          <w:b w:val="1"/>
          <w:bCs w:val="1"/>
          <w:i w:val="1"/>
          <w:iCs w:val="1"/>
          <w:sz w:val="22"/>
          <w:szCs w:val="22"/>
          <w:u w:val="single" w:color="000000"/>
          <w:rtl w:val="0"/>
          <w:lang w:val="en-US"/>
        </w:rPr>
      </w:pPr>
      <w:r>
        <w:rPr>
          <w:rFonts w:ascii="Arial" w:hAnsi="Arial"/>
          <w:b w:val="1"/>
          <w:bCs w:val="1"/>
          <w:sz w:val="22"/>
          <w:szCs w:val="22"/>
          <w:u w:val="single" w:color="000000"/>
          <w:rtl w:val="0"/>
          <w:lang w:val="en-US"/>
        </w:rPr>
        <w:t>AC 3.1</w:t>
      </w:r>
    </w:p>
    <w:p>
      <w:pPr>
        <w:pStyle w:val="Body"/>
        <w:bidi w:val="0"/>
      </w:pPr>
      <w:r>
        <w:rPr>
          <w:rtl w:val="0"/>
        </w:rPr>
        <w:t xml:space="preserve">Achieving work-life balance within the employment relationship is of utmost importance for both employees and employers. It not only demonstrates that the company genuinely cares about the well-being of its workforce but also contributes to creating an attractive work environment with a positive </w:t>
      </w:r>
      <w:r>
        <w:rPr>
          <w:rtl w:val="0"/>
        </w:rPr>
        <w:t>organisational</w:t>
      </w:r>
      <w:r>
        <w:rPr>
          <w:rtl w:val="0"/>
          <w:lang w:val="it-IT"/>
        </w:rPr>
        <w:t xml:space="preserve"> culture.</w:t>
      </w:r>
      <w:r>
        <w:rPr>
          <w:rtl w:val="0"/>
        </w:rPr>
        <w:t> </w:t>
      </w:r>
    </w:p>
    <w:p>
      <w:pPr>
        <w:pStyle w:val="Body"/>
        <w:bidi w:val="0"/>
        <w:rPr>
          <w:rFonts w:ascii="Helvetica" w:cs="Helvetica" w:hAnsi="Helvetica" w:eastAsia="Helvetica"/>
          <w:sz w:val="24"/>
          <w:szCs w:val="24"/>
        </w:rPr>
      </w:pPr>
    </w:p>
    <w:p>
      <w:pPr>
        <w:pStyle w:val="Body"/>
        <w:bidi w:val="0"/>
      </w:pPr>
      <w:r>
        <w:rPr>
          <w:rtl w:val="0"/>
        </w:rPr>
        <w:t xml:space="preserve">Failing to </w:t>
      </w:r>
      <w:r>
        <w:rPr>
          <w:rtl w:val="0"/>
        </w:rPr>
        <w:t>recognise</w:t>
      </w:r>
      <w:r>
        <w:rPr>
          <w:rtl w:val="0"/>
        </w:rPr>
        <w:t xml:space="preserve"> the need for work-life balance can have detrimental effects, such as increased stress levels, higher rates of absenteeism, and reduced productivity </w:t>
      </w:r>
      <w:r>
        <w:rPr>
          <w:i w:val="1"/>
          <w:iCs w:val="1"/>
          <w:rtl w:val="0"/>
          <w:lang w:val="pt-PT"/>
        </w:rPr>
        <w:t>(Acas, 2015)</w:t>
      </w:r>
      <w:r>
        <w:rPr>
          <w:rtl w:val="0"/>
        </w:rPr>
        <w:t xml:space="preserve">. Therefore, it is crucial for employers to acknowledge and </w:t>
      </w:r>
      <w:r>
        <w:rPr>
          <w:rtl w:val="0"/>
        </w:rPr>
        <w:t>prioritise</w:t>
      </w:r>
      <w:r>
        <w:rPr>
          <w:rtl w:val="0"/>
        </w:rPr>
        <w:t xml:space="preserve"> their employees' work-life balance.</w:t>
      </w:r>
      <w:r>
        <w:rPr>
          <w:rtl w:val="0"/>
        </w:rPr>
        <w:t> </w:t>
      </w:r>
    </w:p>
    <w:p>
      <w:pPr>
        <w:pStyle w:val="Body"/>
        <w:bidi w:val="0"/>
        <w:rPr>
          <w:rFonts w:ascii="Helvetica" w:cs="Helvetica" w:hAnsi="Helvetica" w:eastAsia="Helvetica"/>
          <w:sz w:val="24"/>
          <w:szCs w:val="24"/>
        </w:rPr>
      </w:pPr>
    </w:p>
    <w:p>
      <w:pPr>
        <w:pStyle w:val="Body"/>
        <w:bidi w:val="0"/>
      </w:pPr>
      <w:r>
        <w:rPr>
          <w:rtl w:val="0"/>
        </w:rPr>
        <w:t xml:space="preserve">To facilitate a healthy work-life balance, </w:t>
      </w:r>
      <w:r>
        <w:rPr>
          <w:rtl w:val="0"/>
        </w:rPr>
        <w:t>organisations</w:t>
      </w:r>
      <w:r>
        <w:rPr>
          <w:rtl w:val="0"/>
        </w:rPr>
        <w:t xml:space="preserve"> should establish clear policies and regulations that outline employees' entitlements and options for balancing their work and personal life. For instance, providing comprehensive maternity, paternity, or adoption leave allows employees to take extended time off, up to 52 weeks (about 12 months), to attend to their family responsibilities. Additionally, implementing flexible work arrangements such as part-time schedules, telecommuting options, or term-time employment can support employees in managing their work and family obligations effectively </w:t>
      </w:r>
      <w:r>
        <w:rPr>
          <w:i w:val="1"/>
          <w:iCs w:val="1"/>
          <w:rtl w:val="0"/>
          <w:lang w:val="en-US"/>
        </w:rPr>
        <w:t>(Career Smart</w:t>
      </w:r>
      <w:r>
        <w:rPr>
          <w:i w:val="1"/>
          <w:iCs w:val="1"/>
          <w:rtl w:val="0"/>
          <w:lang w:val="en-US"/>
        </w:rPr>
        <w:t>, no date</w:t>
      </w:r>
      <w:r>
        <w:rPr>
          <w:i w:val="1"/>
          <w:iCs w:val="1"/>
          <w:rtl w:val="0"/>
        </w:rPr>
        <w:t>)</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 xml:space="preserve">Moreover, </w:t>
      </w:r>
      <w:r>
        <w:rPr>
          <w:rtl w:val="0"/>
        </w:rPr>
        <w:t>organisations</w:t>
      </w:r>
      <w:r>
        <w:rPr>
          <w:rtl w:val="0"/>
        </w:rPr>
        <w:t xml:space="preserve"> must address the importance of paid annual leave through well-defined holiday entitlement policies. Typically, employees are entitled to a minimum of 28 days of paid annual leave. However, part-time employees may receive a pro-rated amount based on their working hours </w:t>
      </w:r>
      <w:r>
        <w:rPr>
          <w:i w:val="1"/>
          <w:iCs w:val="1"/>
          <w:rtl w:val="0"/>
          <w:lang w:val="de-DE"/>
        </w:rPr>
        <w:t>(CIPD</w:t>
      </w:r>
      <w:r>
        <w:rPr>
          <w:i w:val="1"/>
          <w:iCs w:val="1"/>
          <w:rtl w:val="0"/>
          <w:lang w:val="en-US"/>
        </w:rPr>
        <w:t>, no date</w:t>
      </w:r>
      <w:r>
        <w:rPr>
          <w:i w:val="1"/>
          <w:iCs w:val="1"/>
          <w:rtl w:val="0"/>
        </w:rPr>
        <w:t>)</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 xml:space="preserve">Encouraging employees to take regular breaks and </w:t>
      </w:r>
      <w:r>
        <w:rPr>
          <w:rtl w:val="0"/>
        </w:rPr>
        <w:t>utilise</w:t>
      </w:r>
      <w:r>
        <w:rPr>
          <w:rtl w:val="0"/>
        </w:rPr>
        <w:t xml:space="preserve"> their annual leave is crucial for their overall well-being and the establishment of a positive employer-employee relationship. Taking time away from work allows individuals to rest, recharge, and alleviate stress, ultimately enhancing their motivation and focus. In turn, this leads to increased loyalty and commitment to the </w:t>
      </w:r>
      <w:r>
        <w:rPr>
          <w:rtl w:val="0"/>
        </w:rPr>
        <w:t>organisation</w:t>
      </w:r>
      <w:r>
        <w:rPr>
          <w:rtl w:val="0"/>
        </w:rPr>
        <w:t xml:space="preserve"> </w:t>
      </w:r>
      <w:r>
        <w:rPr>
          <w:i w:val="1"/>
          <w:iCs w:val="1"/>
          <w:rtl w:val="0"/>
          <w:lang w:val="pt-PT"/>
        </w:rPr>
        <w:t>(Acas, 2015).</w:t>
      </w:r>
      <w:r>
        <w:rPr>
          <w:rtl w:val="0"/>
        </w:rPr>
        <w:t> </w:t>
      </w:r>
    </w:p>
    <w:p>
      <w:pPr>
        <w:pStyle w:val="Body"/>
        <w:bidi w:val="0"/>
        <w:rPr>
          <w:rFonts w:ascii="Helvetica" w:cs="Helvetica" w:hAnsi="Helvetica" w:eastAsia="Helvetica"/>
          <w:sz w:val="24"/>
          <w:szCs w:val="24"/>
        </w:rPr>
      </w:pPr>
    </w:p>
    <w:p>
      <w:pPr>
        <w:pStyle w:val="Body"/>
        <w:bidi w:val="0"/>
      </w:pPr>
      <w:r>
        <w:rPr>
          <w:rtl w:val="0"/>
        </w:rPr>
        <w:t xml:space="preserve">By adhering to these regulations and supporting work-life balance initiatives, employers can create a healthy and harmonious work environment, benefiting both the employees and the </w:t>
      </w:r>
      <w:r>
        <w:rPr>
          <w:rtl w:val="0"/>
        </w:rPr>
        <w:t>organisation</w:t>
      </w:r>
      <w:r>
        <w:rPr>
          <w:rtl w:val="0"/>
        </w:rPr>
        <w:t>.</w:t>
      </w:r>
      <w:r>
        <w:rPr>
          <w:rtl w:val="0"/>
        </w:rPr>
        <w:t> </w:t>
      </w:r>
    </w:p>
    <w:p>
      <w:pPr>
        <w:pStyle w:val="Body"/>
        <w:bidi w:val="0"/>
      </w:pPr>
    </w:p>
    <w:p>
      <w:pPr>
        <w:pStyle w:val="Body"/>
        <w:bidi w:val="0"/>
      </w:pPr>
    </w:p>
    <w:p>
      <w:pPr>
        <w:pStyle w:val="Body"/>
        <w:bidi w:val="0"/>
      </w:pPr>
    </w:p>
    <w:p>
      <w:pPr>
        <w:pStyle w:val="Body"/>
        <w:bidi w:val="0"/>
      </w:pPr>
    </w:p>
    <w:p>
      <w:pPr>
        <w:pStyle w:val="Body"/>
        <w:rPr>
          <w:b w:val="1"/>
          <w:bCs w:val="1"/>
          <w:u w:val="single"/>
        </w:rPr>
      </w:pPr>
      <w:r>
        <w:rPr>
          <w:b w:val="1"/>
          <w:bCs w:val="1"/>
          <w:u w:val="single"/>
          <w:rtl w:val="0"/>
        </w:rPr>
        <w:t>AC 3.2</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xml:space="preserve">Promoting employee well-being in the workplace is a crucial </w:t>
      </w:r>
      <w:r>
        <w:rPr>
          <w:rtl w:val="0"/>
        </w:rPr>
        <w:t>endeavour</w:t>
      </w:r>
      <w:r>
        <w:rPr>
          <w:rtl w:val="0"/>
        </w:rPr>
        <w:t xml:space="preserve"> for </w:t>
      </w:r>
      <w:r>
        <w:rPr>
          <w:rtl w:val="0"/>
        </w:rPr>
        <w:t>organisations</w:t>
      </w:r>
      <w:r>
        <w:rPr>
          <w:rtl w:val="0"/>
        </w:rPr>
        <w:t xml:space="preserve"> aiming to support the mental health of their teams. By offering programs and initiatives that </w:t>
      </w:r>
      <w:r>
        <w:rPr>
          <w:rtl w:val="0"/>
        </w:rPr>
        <w:t>prioritise</w:t>
      </w:r>
      <w:r>
        <w:rPr>
          <w:rtl w:val="0"/>
        </w:rPr>
        <w:t xml:space="preserve"> well-being, </w:t>
      </w:r>
      <w:r>
        <w:rPr>
          <w:rtl w:val="0"/>
        </w:rPr>
        <w:t>organisations</w:t>
      </w:r>
      <w:r>
        <w:rPr>
          <w:rtl w:val="0"/>
        </w:rPr>
        <w:t xml:space="preserve"> can create a state of contentment among employees (CIPD, 2022).</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Senior management teams and leaders play a pivotal role in ensuring that well-being initiatives are given top priority. By seeking insights from employees</w:t>
      </w:r>
      <w:r>
        <w:rPr>
          <w:rtl w:val="0"/>
        </w:rPr>
        <w:t xml:space="preserve"> and </w:t>
      </w:r>
      <w:r>
        <w:rPr>
          <w:rtl w:val="0"/>
        </w:rPr>
        <w:t xml:space="preserve">themselves regarding the state of the </w:t>
      </w:r>
      <w:r>
        <w:rPr>
          <w:rtl w:val="0"/>
        </w:rPr>
        <w:t>organisation's</w:t>
      </w:r>
      <w:r>
        <w:rPr>
          <w:rtl w:val="0"/>
        </w:rPr>
        <w:t xml:space="preserve"> well-being culture, companies can effectively foster well-being techniques. Implementing initiatives such as supporting personal and professional development through training and educational opportunities, establishing an employee engagement team to give staff a voice, offering physical exercise classes to reduce stress, and conducting regular one-to-one check-up meetings can all contribute to creating a caring work environment (Waite et al., 2021, p. 141).</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xml:space="preserve">Championing well-being values within the </w:t>
      </w:r>
      <w:r>
        <w:rPr>
          <w:rtl w:val="0"/>
        </w:rPr>
        <w:t>organisation</w:t>
      </w:r>
      <w:r>
        <w:rPr>
          <w:rtl w:val="0"/>
        </w:rPr>
        <w:t xml:space="preserve"> is vital because it cultivates a sense of appreciation and care among employees. Furthermore, it helps the </w:t>
      </w:r>
      <w:r>
        <w:rPr>
          <w:rtl w:val="0"/>
        </w:rPr>
        <w:t>organisation</w:t>
      </w:r>
      <w:r>
        <w:rPr>
          <w:rtl w:val="0"/>
        </w:rPr>
        <w:t xml:space="preserve"> stand out in a competitive market of prospective employers (McIntyre, K., 2021).</w:t>
      </w:r>
      <w:r>
        <w:rPr>
          <w:rtl w:val="0"/>
        </w:rPr>
        <w:t> </w:t>
      </w:r>
    </w:p>
    <w:p>
      <w:pPr>
        <w:pStyle w:val="Body"/>
        <w:bidi w:val="0"/>
        <w:rPr>
          <w:rFonts w:ascii="Helvetica" w:cs="Helvetica" w:hAnsi="Helvetica" w:eastAsia="Helvetica"/>
          <w:outline w:val="0"/>
          <w:color w:val="000000"/>
          <w:sz w:val="24"/>
          <w:szCs w:val="24"/>
          <w14:textFill>
            <w14:solidFill>
              <w14:srgbClr w14:val="000000"/>
            </w14:solidFill>
          </w14:textFill>
        </w:rPr>
      </w:pPr>
      <w:r>
        <w:rPr>
          <w:rtl w:val="0"/>
        </w:rPr>
        <w:t> </w:t>
      </w:r>
    </w:p>
    <w:p>
      <w:pPr>
        <w:pStyle w:val="Body"/>
        <w:bidi w:val="0"/>
      </w:pPr>
      <w:r>
        <w:rPr>
          <w:rtl w:val="0"/>
        </w:rPr>
        <w:t xml:space="preserve">According to the charity </w:t>
      </w:r>
      <w:r>
        <w:rPr>
          <w:rtl w:val="0"/>
        </w:rPr>
        <w:t>organisation</w:t>
      </w:r>
      <w:r>
        <w:rPr>
          <w:rtl w:val="0"/>
          <w:lang w:val="de-DE"/>
        </w:rPr>
        <w:t xml:space="preserve"> Mind, </w:t>
      </w:r>
      <w:r>
        <w:rPr>
          <w:rtl w:val="0"/>
        </w:rPr>
        <w:t>“</w:t>
      </w:r>
      <w:r>
        <w:rPr>
          <w:rtl w:val="0"/>
        </w:rPr>
        <w:t xml:space="preserve">FTSE 100 companies that </w:t>
      </w:r>
      <w:r>
        <w:rPr>
          <w:rtl w:val="0"/>
        </w:rPr>
        <w:t>prioritise</w:t>
      </w:r>
      <w:r>
        <w:rPr>
          <w:rtl w:val="0"/>
        </w:rPr>
        <w:t xml:space="preserve"> employee engagement and well-being outperform the rest of the FTSE 100 by 10 percent</w:t>
      </w:r>
      <w:r>
        <w:rPr>
          <w:rtl w:val="0"/>
        </w:rPr>
        <w:t xml:space="preserve">” </w:t>
      </w:r>
      <w:r>
        <w:rPr>
          <w:rtl w:val="0"/>
          <w:lang w:val="pt-PT"/>
        </w:rPr>
        <w:t>(Mind, no date)</w:t>
      </w:r>
      <w:r>
        <w:rPr>
          <w:rtl w:val="0"/>
        </w:rPr>
        <w:t>.</w:t>
      </w:r>
      <w:r>
        <w:rPr>
          <w:rtl w:val="0"/>
        </w:rPr>
        <w:t xml:space="preserve"> This statistic highlights the benefits of maintaining a consistent focus on well-being programs, resulting in a happier, more loyal, and motivated workforce with lower turnover rates (Mind</w:t>
      </w:r>
      <w:r>
        <w:rPr>
          <w:rtl w:val="0"/>
        </w:rPr>
        <w:t>, no date</w:t>
      </w:r>
      <w:r>
        <w:rPr>
          <w:rtl w:val="0"/>
        </w:rPr>
        <w:t>).</w:t>
      </w:r>
      <w:r>
        <w:rPr>
          <w:rtl w:val="0"/>
        </w:rPr>
        <w:t>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142"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AC 3.3</w:t>
      </w:r>
    </w:p>
    <w:p>
      <w:pPr>
        <w:pStyle w:val="Body"/>
        <w:bidi w:val="0"/>
      </w:pPr>
    </w:p>
    <w:p>
      <w:pPr>
        <w:pStyle w:val="Body"/>
        <w:bidi w:val="0"/>
      </w:pPr>
      <w:r>
        <w:rPr>
          <w:rtl w:val="0"/>
        </w:rPr>
        <w:t xml:space="preserve">The Equality Act 2010 is </w:t>
      </w:r>
      <w:r>
        <w:rPr>
          <w:rtl w:val="0"/>
        </w:rPr>
        <w:t xml:space="preserve">a </w:t>
      </w:r>
      <w:r>
        <w:rPr>
          <w:rtl w:val="0"/>
        </w:rPr>
        <w:t>legislation aimed at safeguarding employees, both present and potential, from discrimination in various contexts. Discrimination occurs when individuals feel they are being treated unfairly or unequally due to specific characteristics (</w:t>
      </w:r>
      <w:r>
        <w:rPr>
          <w:i w:val="1"/>
          <w:iCs w:val="1"/>
          <w:rtl w:val="0"/>
          <w:lang w:val="en-US"/>
        </w:rPr>
        <w:t>Campbell, A., 2021a),</w:t>
      </w:r>
      <w:r>
        <w:rPr>
          <w:rtl w:val="0"/>
        </w:rPr>
        <w:t xml:space="preserve"> and it can transpire in employer-employee relationships, interactions among co-workers, and even during the recruitment process (</w:t>
      </w:r>
      <w:r>
        <w:rPr>
          <w:i w:val="1"/>
          <w:iCs w:val="1"/>
          <w:rtl w:val="0"/>
          <w:lang w:val="en-US"/>
        </w:rPr>
        <w:t>Campbell, A., 2021b).</w:t>
      </w:r>
      <w:r>
        <w:rPr>
          <w:rtl w:val="0"/>
        </w:rPr>
        <w:t> </w:t>
      </w:r>
    </w:p>
    <w:p>
      <w:pPr>
        <w:pStyle w:val="Body"/>
        <w:bidi w:val="0"/>
        <w:rPr>
          <w:rFonts w:ascii="Helvetica" w:cs="Helvetica" w:hAnsi="Helvetica" w:eastAsia="Helvetica"/>
          <w:sz w:val="24"/>
          <w:szCs w:val="24"/>
        </w:rPr>
      </w:pPr>
    </w:p>
    <w:p>
      <w:pPr>
        <w:pStyle w:val="Body"/>
        <w:bidi w:val="0"/>
      </w:pPr>
      <w:r>
        <w:rPr>
          <w:rtl w:val="0"/>
        </w:rPr>
        <w:t xml:space="preserve">Direct discrimination occurs when an employee is treated differently from others based on the employer's or co-workers' perception of the individual or because the employee, or someone associated with them, possesses certain characteristics. Examples include disability or non-conformity with gender norms </w:t>
      </w:r>
      <w:r>
        <w:rPr>
          <w:i w:val="1"/>
          <w:iCs w:val="1"/>
          <w:rtl w:val="0"/>
          <w:lang w:val="it-IT"/>
        </w:rPr>
        <w:t>(Acas</w:t>
      </w:r>
      <w:r>
        <w:rPr>
          <w:i w:val="1"/>
          <w:iCs w:val="1"/>
          <w:rtl w:val="0"/>
          <w:lang w:val="en-US"/>
        </w:rPr>
        <w:t>, no date</w:t>
      </w:r>
      <w:r>
        <w:rPr>
          <w:i w:val="1"/>
          <w:iCs w:val="1"/>
          <w:rtl w:val="0"/>
        </w:rPr>
        <w:t>)</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 xml:space="preserve">Indirect discrimination arises when policies or practices that should be applied universally have a detrimental impact on individuals with specific characteristics </w:t>
      </w:r>
      <w:r>
        <w:rPr>
          <w:i w:val="1"/>
          <w:iCs w:val="1"/>
          <w:rtl w:val="0"/>
          <w:lang w:val="fr-FR"/>
        </w:rPr>
        <w:t>(Waite et al., 2021, p. 151)</w:t>
      </w:r>
      <w:r>
        <w:rPr>
          <w:rtl w:val="0"/>
        </w:rPr>
        <w:t>. For instance, if an organi</w:t>
      </w:r>
      <w:r>
        <w:rPr>
          <w:rtl w:val="0"/>
        </w:rPr>
        <w:t>s</w:t>
      </w:r>
      <w:r>
        <w:rPr>
          <w:rtl w:val="0"/>
        </w:rPr>
        <w:t xml:space="preserve">ation sets a height requirement for a role when it is unnecessary for fulfilling the job responsibilities </w:t>
      </w:r>
      <w:r>
        <w:rPr>
          <w:i w:val="1"/>
          <w:iCs w:val="1"/>
          <w:rtl w:val="0"/>
          <w:lang w:val="en-US"/>
        </w:rPr>
        <w:t>(University of Cambridge</w:t>
      </w:r>
      <w:r>
        <w:rPr>
          <w:i w:val="1"/>
          <w:iCs w:val="1"/>
          <w:rtl w:val="0"/>
          <w:lang w:val="en-US"/>
        </w:rPr>
        <w:t>, no date</w:t>
      </w:r>
      <w:r>
        <w:rPr>
          <w:i w:val="1"/>
          <w:iCs w:val="1"/>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 xml:space="preserve">The Equality Act extends protection to employees even before their employment commences, meaning that job advertisements should be constructed without discriminatory language that discourages candidates with protected characteristics from applying </w:t>
      </w:r>
      <w:r>
        <w:rPr>
          <w:i w:val="1"/>
          <w:iCs w:val="1"/>
          <w:rtl w:val="0"/>
          <w:lang w:val="nl-NL"/>
        </w:rPr>
        <w:t>(Sutherland, K., 2021a).</w:t>
      </w:r>
      <w:r>
        <w:rPr>
          <w:rtl w:val="0"/>
        </w:rPr>
        <w:t xml:space="preserve"> During interviews, employers must refrain from asking inappropriate questions that relate to protected characteristics, such as marital status.</w:t>
      </w:r>
      <w:r>
        <w:rPr>
          <w:rtl w:val="0"/>
        </w:rPr>
        <w:t> </w:t>
      </w:r>
    </w:p>
    <w:p>
      <w:pPr>
        <w:pStyle w:val="Body"/>
        <w:bidi w:val="0"/>
        <w:rPr>
          <w:rFonts w:ascii="Helvetica" w:cs="Helvetica" w:hAnsi="Helvetica" w:eastAsia="Helvetica"/>
          <w:sz w:val="24"/>
          <w:szCs w:val="24"/>
        </w:rPr>
      </w:pPr>
    </w:p>
    <w:p>
      <w:pPr>
        <w:pStyle w:val="Body"/>
        <w:bidi w:val="0"/>
        <w:rPr>
          <w:i w:val="1"/>
          <w:iCs w:val="1"/>
        </w:rPr>
      </w:pPr>
      <w:r>
        <w:rPr>
          <w:rtl w:val="0"/>
        </w:rPr>
        <w:t xml:space="preserve">When employers decide to terminate an employee's contract, it is crucial to ensure that they do not engage in unlawful discrimination based on protected characteristics </w:t>
      </w:r>
      <w:r>
        <w:rPr>
          <w:i w:val="1"/>
          <w:iCs w:val="1"/>
          <w:rtl w:val="0"/>
          <w:lang w:val="nl-NL"/>
        </w:rPr>
        <w:t>(Sutherland, K., 2021b)</w:t>
      </w:r>
      <w:r>
        <w:rPr>
          <w:rtl w:val="0"/>
        </w:rPr>
        <w:t>. This includes avoiding dismissals on grounds of recent disability acquisition.</w:t>
      </w:r>
      <w:r>
        <w:rPr>
          <w:rtl w:val="0"/>
        </w:rPr>
        <w:t>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142"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AC 3.4</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bidi w:val="0"/>
      </w:pPr>
      <w:r>
        <w:rPr>
          <w:rtl w:val="0"/>
        </w:rPr>
        <w:t>Organisations</w:t>
      </w:r>
      <w:r>
        <w:rPr>
          <w:rtl w:val="0"/>
        </w:rPr>
        <w:t xml:space="preserve"> refer to having a 'diverse' workforce when their teams/employees are made up of individuals with different backgrounds, genders, ethnicities, sexual orientations, values, education, and more </w:t>
      </w:r>
      <w:r>
        <w:rPr>
          <w:i w:val="1"/>
          <w:iCs w:val="1"/>
          <w:rtl w:val="0"/>
        </w:rPr>
        <w:t>(Better Up</w:t>
      </w:r>
      <w:r>
        <w:rPr>
          <w:i w:val="1"/>
          <w:iCs w:val="1"/>
          <w:rtl w:val="0"/>
          <w:lang w:val="en-US"/>
        </w:rPr>
        <w:t>, no date</w:t>
      </w:r>
      <w:r>
        <w:rPr>
          <w:i w:val="1"/>
          <w:iCs w:val="1"/>
          <w:rtl w:val="0"/>
        </w:rPr>
        <w:t>)</w:t>
      </w:r>
      <w:r>
        <w:rPr>
          <w:rtl w:val="0"/>
        </w:rPr>
        <w:t>.</w:t>
      </w:r>
      <w:r>
        <w:rPr>
          <w:rtl w:val="0"/>
        </w:rPr>
        <w:t> </w:t>
      </w:r>
    </w:p>
    <w:p>
      <w:pPr>
        <w:pStyle w:val="Body"/>
        <w:bidi w:val="0"/>
        <w:rPr>
          <w:rFonts w:ascii="Helvetica" w:cs="Helvetica" w:hAnsi="Helvetica" w:eastAsia="Helvetica"/>
          <w:sz w:val="24"/>
          <w:szCs w:val="24"/>
        </w:rPr>
      </w:pPr>
    </w:p>
    <w:p>
      <w:pPr>
        <w:pStyle w:val="Body"/>
        <w:bidi w:val="0"/>
        <w:rPr>
          <w:rFonts w:ascii="Helvetica" w:cs="Helvetica" w:hAnsi="Helvetica" w:eastAsia="Helvetica"/>
          <w:sz w:val="24"/>
          <w:szCs w:val="24"/>
        </w:rPr>
      </w:pPr>
      <w:r>
        <w:rPr>
          <w:rtl w:val="0"/>
        </w:rPr>
        <w:t xml:space="preserve">Research conducted by McKinsey &amp; Co has concluded that the greater the representation of gender diversity, the higher the likelihood of outperformance </w:t>
      </w:r>
      <w:r>
        <w:rPr>
          <w:i w:val="1"/>
          <w:iCs w:val="1"/>
          <w:rtl w:val="0"/>
        </w:rPr>
        <w:t>(McKinsey, 2022)</w:t>
      </w:r>
      <w:r>
        <w:rPr>
          <w:rtl w:val="0"/>
        </w:rPr>
        <w:t xml:space="preserve">, indicating that diversity gives </w:t>
      </w:r>
      <w:r>
        <w:rPr>
          <w:rtl w:val="0"/>
        </w:rPr>
        <w:t>organisation</w:t>
      </w:r>
      <w:r>
        <w:rPr>
          <w:rtl w:val="0"/>
        </w:rPr>
        <w:t xml:space="preserve"> access to a broader and more competitive talent pool when recruiting for job </w:t>
      </w:r>
      <w:r>
        <w:rPr>
          <w:i w:val="1"/>
          <w:iCs w:val="1"/>
          <w:rtl w:val="0"/>
          <w:lang w:val="de-DE"/>
        </w:rPr>
        <w:t>(CIPD</w:t>
      </w:r>
      <w:r>
        <w:rPr>
          <w:i w:val="1"/>
          <w:iCs w:val="1"/>
          <w:rtl w:val="0"/>
          <w:lang w:val="en-US"/>
        </w:rPr>
        <w:t>, no date</w:t>
      </w:r>
      <w:r>
        <w:rPr>
          <w:i w:val="1"/>
          <w:iCs w:val="1"/>
          <w:rtl w:val="0"/>
        </w:rPr>
        <w:t>)</w:t>
      </w:r>
      <w:r>
        <w:rPr>
          <w:rtl w:val="0"/>
        </w:rPr>
        <w:t>.</w:t>
      </w:r>
      <w:r>
        <w:rPr>
          <w:rtl w:val="0"/>
        </w:rPr>
        <w:t> </w:t>
      </w:r>
    </w:p>
    <w:p>
      <w:pPr>
        <w:pStyle w:val="Body"/>
        <w:bidi w:val="0"/>
      </w:pPr>
      <w:r>
        <w:rPr>
          <w:rtl w:val="0"/>
        </w:rPr>
        <w:t xml:space="preserve">Leaders in the </w:t>
      </w:r>
      <w:r>
        <w:rPr>
          <w:rtl w:val="0"/>
        </w:rPr>
        <w:t>organisation</w:t>
      </w:r>
      <w:r>
        <w:rPr>
          <w:rtl w:val="0"/>
        </w:rPr>
        <w:t xml:space="preserve"> should also ensure that they </w:t>
      </w:r>
      <w:r>
        <w:rPr>
          <w:rtl w:val="0"/>
        </w:rPr>
        <w:t>emphasise</w:t>
      </w:r>
      <w:r>
        <w:rPr>
          <w:rtl w:val="0"/>
        </w:rPr>
        <w:t xml:space="preserve"> the value of diversity, as different mindsets help teams solve problems and make decisions in creative and innovative ways.</w:t>
      </w:r>
      <w:r>
        <w:rPr>
          <w:rtl w:val="0"/>
        </w:rPr>
        <w:t> </w:t>
      </w:r>
    </w:p>
    <w:p>
      <w:pPr>
        <w:pStyle w:val="Body"/>
        <w:bidi w:val="0"/>
        <w:rPr>
          <w:rFonts w:ascii="Helvetica" w:cs="Helvetica" w:hAnsi="Helvetica" w:eastAsia="Helvetica"/>
          <w:sz w:val="24"/>
          <w:szCs w:val="24"/>
        </w:rPr>
      </w:pPr>
    </w:p>
    <w:p>
      <w:pPr>
        <w:pStyle w:val="Body"/>
        <w:bidi w:val="0"/>
      </w:pPr>
      <w:r>
        <w:rPr>
          <w:rtl w:val="0"/>
        </w:rPr>
        <w:t xml:space="preserve">Valuing diverse employees by actively embracing and celebrating their unique viewpoints and attributes is crucial for </w:t>
      </w:r>
      <w:r>
        <w:rPr>
          <w:rtl w:val="0"/>
        </w:rPr>
        <w:t>organisations</w:t>
      </w:r>
      <w:r>
        <w:rPr>
          <w:rtl w:val="0"/>
        </w:rPr>
        <w:t xml:space="preserve"> </w:t>
      </w:r>
      <w:r>
        <w:rPr>
          <w:i w:val="1"/>
          <w:iCs w:val="1"/>
          <w:rtl w:val="0"/>
        </w:rPr>
        <w:t>(Yip, M., 2020)</w:t>
      </w:r>
      <w:r>
        <w:rPr>
          <w:rtl w:val="0"/>
        </w:rPr>
        <w:t xml:space="preserve">. This approach supports the retention of staff within the </w:t>
      </w:r>
      <w:r>
        <w:rPr>
          <w:rtl w:val="0"/>
        </w:rPr>
        <w:t>organisation</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 xml:space="preserve">Inclusion is a term used to express how every employee in the </w:t>
      </w:r>
      <w:r>
        <w:rPr>
          <w:rtl w:val="0"/>
        </w:rPr>
        <w:t>organisation</w:t>
      </w:r>
      <w:r>
        <w:rPr>
          <w:rtl w:val="0"/>
        </w:rPr>
        <w:t xml:space="preserve"> should feel seen, heard, and treated equally, regardless of their backgrounds. An </w:t>
      </w:r>
      <w:r>
        <w:rPr>
          <w:rtl w:val="0"/>
        </w:rPr>
        <w:t>organisation</w:t>
      </w:r>
      <w:r>
        <w:rPr>
          <w:rtl w:val="0"/>
        </w:rPr>
        <w:t xml:space="preserve"> that practices inclusion well inspires employees to be their authentic selves at work </w:t>
      </w:r>
      <w:r>
        <w:rPr>
          <w:i w:val="1"/>
          <w:iCs w:val="1"/>
          <w:rtl w:val="0"/>
          <w:lang w:val="en-US"/>
        </w:rPr>
        <w:t>(Hamill, L., 2019</w:t>
      </w:r>
      <w:r>
        <w:rPr>
          <w:rtl w:val="0"/>
        </w:rPr>
        <w:t>). When employees feel confident in their work surroundings, they are much more likely to thrive in their professional careers.</w:t>
      </w:r>
      <w:r>
        <w:rPr>
          <w:rtl w:val="0"/>
        </w:rPr>
        <w:t> </w:t>
      </w:r>
    </w:p>
    <w:p>
      <w:pPr>
        <w:pStyle w:val="Body"/>
        <w:bidi w:val="0"/>
        <w:rPr>
          <w:rFonts w:ascii="Helvetica" w:cs="Helvetica" w:hAnsi="Helvetica" w:eastAsia="Helvetica"/>
          <w:sz w:val="24"/>
          <w:szCs w:val="24"/>
        </w:rPr>
      </w:pPr>
    </w:p>
    <w:p>
      <w:pPr>
        <w:pStyle w:val="Body"/>
        <w:bidi w:val="0"/>
      </w:pPr>
      <w:r>
        <w:rPr>
          <w:rtl w:val="0"/>
        </w:rPr>
        <w:t xml:space="preserve">An inclusive </w:t>
      </w:r>
      <w:r>
        <w:rPr>
          <w:rtl w:val="0"/>
        </w:rPr>
        <w:t>organisation</w:t>
      </w:r>
      <w:r>
        <w:rPr>
          <w:rtl w:val="0"/>
        </w:rPr>
        <w:t xml:space="preserve"> amasses an abundance of different perspectives, which is vital for the progression of any institution in modern society </w:t>
      </w:r>
      <w:r>
        <w:rPr>
          <w:i w:val="1"/>
          <w:iCs w:val="1"/>
          <w:rtl w:val="0"/>
          <w:lang w:val="en-US"/>
        </w:rPr>
        <w:t>(Hogarty, S., 2021)</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 xml:space="preserve">Embedding diversity and inclusion policies in the </w:t>
      </w:r>
      <w:r>
        <w:rPr>
          <w:rtl w:val="0"/>
        </w:rPr>
        <w:t>organisation</w:t>
      </w:r>
      <w:r>
        <w:rPr>
          <w:rtl w:val="0"/>
        </w:rPr>
        <w:t xml:space="preserve"> ultimately ensures that it provides a supportive and healthy environment for its employees.</w:t>
      </w:r>
      <w:r>
        <w:rPr>
          <w:rtl w:val="0"/>
        </w:rPr>
        <w:t> </w:t>
      </w:r>
    </w:p>
    <w:p>
      <w:pPr>
        <w:pStyle w:val="Body"/>
        <w:bidi w:val="0"/>
      </w:pPr>
    </w:p>
    <w:p>
      <w:pPr>
        <w:pStyle w:val="Body"/>
        <w:bidi w:val="0"/>
      </w:pPr>
    </w:p>
    <w:p>
      <w:pPr>
        <w:pStyle w:val="Body"/>
        <w:rPr>
          <w:b w:val="1"/>
          <w:bCs w:val="1"/>
          <w:u w:val="single"/>
        </w:rPr>
      </w:pPr>
      <w:r>
        <w:rPr>
          <w:b w:val="1"/>
          <w:bCs w:val="1"/>
          <w:u w:val="single"/>
          <w:rtl w:val="0"/>
        </w:rPr>
        <w:t>AC 3.5</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bidi w:val="0"/>
      </w:pPr>
      <w:r>
        <w:rPr>
          <w:rtl w:val="0"/>
        </w:rPr>
        <w:t xml:space="preserve">A fair dismissal occurs when an employer has a valid and justifiable reason for terminating an employee's contract and follows the necessary protocols. It can be based on the employee's capability, conduct, or redundancy </w:t>
      </w:r>
      <w:r>
        <w:rPr>
          <w:i w:val="1"/>
          <w:iCs w:val="1"/>
          <w:rtl w:val="0"/>
          <w:lang w:val="de-DE"/>
        </w:rPr>
        <w:t>(CIPD, n</w:t>
      </w:r>
      <w:r>
        <w:rPr>
          <w:i w:val="1"/>
          <w:iCs w:val="1"/>
          <w:rtl w:val="0"/>
          <w:lang w:val="en-US"/>
        </w:rPr>
        <w:t>o date</w:t>
      </w:r>
      <w:r>
        <w:rPr>
          <w:i w:val="1"/>
          <w:iCs w:val="1"/>
          <w:rtl w:val="0"/>
        </w:rPr>
        <w:t>)</w:t>
      </w:r>
      <w:r>
        <w:rPr>
          <w:rtl w:val="0"/>
        </w:rPr>
        <w:t xml:space="preserve">. Research suggests that fair dismissals are typically related to the employee's ability to perform their job effectively or other legitimate reasons </w:t>
      </w:r>
      <w:r>
        <w:rPr>
          <w:i w:val="1"/>
          <w:iCs w:val="1"/>
          <w:rtl w:val="0"/>
          <w:lang w:val="fr-FR"/>
        </w:rPr>
        <w:t>(Waite et al., 2021, p.155)</w:t>
      </w:r>
      <w:r>
        <w:rPr>
          <w:rtl w:val="0"/>
        </w:rPr>
        <w:t>.</w:t>
      </w:r>
      <w:r>
        <w:rPr>
          <w:rtl w:val="0"/>
        </w:rPr>
        <w:t> </w:t>
      </w:r>
    </w:p>
    <w:p>
      <w:pPr>
        <w:pStyle w:val="Body"/>
        <w:bidi w:val="0"/>
        <w:rPr>
          <w:rFonts w:ascii="Helvetica" w:cs="Helvetica" w:hAnsi="Helvetica" w:eastAsia="Helvetica"/>
          <w:sz w:val="24"/>
          <w:szCs w:val="24"/>
        </w:rPr>
      </w:pPr>
    </w:p>
    <w:p>
      <w:pPr>
        <w:pStyle w:val="Body"/>
        <w:bidi w:val="0"/>
        <w:rPr>
          <w:i w:val="1"/>
          <w:iCs w:val="1"/>
        </w:rPr>
      </w:pPr>
      <w:r>
        <w:rPr>
          <w:rtl w:val="0"/>
        </w:rPr>
        <w:t xml:space="preserve">According to the Chartered Institute of Personnel and Development </w:t>
      </w:r>
      <w:r>
        <w:rPr>
          <w:i w:val="1"/>
          <w:iCs w:val="1"/>
          <w:rtl w:val="0"/>
          <w:lang w:val="de-DE"/>
        </w:rPr>
        <w:t>(CIPD</w:t>
      </w:r>
      <w:r>
        <w:rPr>
          <w:i w:val="1"/>
          <w:iCs w:val="1"/>
          <w:rtl w:val="0"/>
          <w:lang w:val="en-US"/>
        </w:rPr>
        <w:t>, no date</w:t>
      </w:r>
      <w:r>
        <w:rPr>
          <w:i w:val="1"/>
          <w:iCs w:val="1"/>
          <w:rtl w:val="0"/>
        </w:rPr>
        <w:t>)</w:t>
      </w:r>
      <w:r>
        <w:rPr>
          <w:rtl w:val="0"/>
        </w:rPr>
        <w:t xml:space="preserve">, a fair dismissal based on capability requires that the employee's skills or performance demonstrate that they are unfit for their role </w:t>
      </w:r>
      <w:r>
        <w:rPr>
          <w:i w:val="1"/>
          <w:iCs w:val="1"/>
          <w:rtl w:val="0"/>
          <w:lang w:val="de-DE"/>
        </w:rPr>
        <w:t>(CIPD, n</w:t>
      </w:r>
      <w:r>
        <w:rPr>
          <w:i w:val="1"/>
          <w:iCs w:val="1"/>
          <w:rtl w:val="0"/>
          <w:lang w:val="en-US"/>
        </w:rPr>
        <w:t>o date</w:t>
      </w:r>
      <w:r>
        <w:rPr>
          <w:i w:val="1"/>
          <w:iCs w:val="1"/>
          <w:rtl w:val="0"/>
        </w:rPr>
        <w:t>).</w:t>
      </w:r>
      <w:r>
        <w:rPr>
          <w:rtl w:val="0"/>
        </w:rPr>
        <w:t xml:space="preserve"> For example, if an HGV driver loses their driving license due to driving under the influence of alcohol, they would be unable to </w:t>
      </w:r>
      <w:r>
        <w:rPr>
          <w:rtl w:val="0"/>
        </w:rPr>
        <w:t>fulfil</w:t>
      </w:r>
      <w:r>
        <w:rPr>
          <w:rtl w:val="0"/>
        </w:rPr>
        <w:t xml:space="preserve"> their job requirements (</w:t>
      </w:r>
      <w:r>
        <w:rPr>
          <w:i w:val="1"/>
          <w:iCs w:val="1"/>
          <w:rtl w:val="0"/>
          <w:lang w:val="fr-FR"/>
        </w:rPr>
        <w:t>Waite et al., 2021, p.155).</w:t>
      </w:r>
      <w:r>
        <w:rPr>
          <w:i w:val="1"/>
          <w:iCs w:val="1"/>
          <w:rtl w:val="0"/>
        </w:rPr>
        <w:t> </w:t>
      </w:r>
    </w:p>
    <w:p>
      <w:pPr>
        <w:pStyle w:val="Body"/>
        <w:bidi w:val="0"/>
        <w:rPr>
          <w:rFonts w:ascii="Helvetica" w:cs="Helvetica" w:hAnsi="Helvetica" w:eastAsia="Helvetica"/>
          <w:i w:val="1"/>
          <w:iCs w:val="1"/>
          <w:sz w:val="24"/>
          <w:szCs w:val="24"/>
        </w:rPr>
      </w:pPr>
    </w:p>
    <w:p>
      <w:pPr>
        <w:pStyle w:val="Body"/>
        <w:bidi w:val="0"/>
      </w:pPr>
      <w:r>
        <w:rPr>
          <w:rtl w:val="0"/>
        </w:rPr>
        <w:t xml:space="preserve">Employers are advised to conduct a thorough investigation and ensure clear and courteous communication throughout the dismissal process to support a fair dismissal outcome </w:t>
      </w:r>
      <w:r>
        <w:rPr>
          <w:i w:val="1"/>
          <w:iCs w:val="1"/>
          <w:rtl w:val="0"/>
          <w:lang w:val="de-DE"/>
        </w:rPr>
        <w:t>(CIPD, n</w:t>
      </w:r>
      <w:r>
        <w:rPr>
          <w:i w:val="1"/>
          <w:iCs w:val="1"/>
          <w:rtl w:val="0"/>
          <w:lang w:val="en-US"/>
        </w:rPr>
        <w:t>o date</w:t>
      </w:r>
      <w:r>
        <w:rPr>
          <w:i w:val="1"/>
          <w:iCs w:val="1"/>
          <w:rtl w:val="0"/>
        </w:rPr>
        <w:t>).</w:t>
      </w:r>
      <w:r>
        <w:rPr>
          <w:rtl w:val="0"/>
        </w:rPr>
        <w:t xml:space="preserve"> This helps demonstrate that the decision was based on valid reasons and handled appropriately.</w:t>
      </w:r>
      <w:r>
        <w:rPr>
          <w:rtl w:val="0"/>
        </w:rPr>
        <w:t> </w:t>
      </w:r>
    </w:p>
    <w:p>
      <w:pPr>
        <w:pStyle w:val="Body"/>
        <w:bidi w:val="0"/>
        <w:rPr>
          <w:rFonts w:ascii="Helvetica" w:cs="Helvetica" w:hAnsi="Helvetica" w:eastAsia="Helvetica"/>
          <w:sz w:val="24"/>
          <w:szCs w:val="24"/>
        </w:rPr>
      </w:pPr>
    </w:p>
    <w:p>
      <w:pPr>
        <w:pStyle w:val="Body"/>
        <w:bidi w:val="0"/>
      </w:pPr>
      <w:r>
        <w:rPr>
          <w:rtl w:val="0"/>
        </w:rPr>
        <w:t xml:space="preserve">On the other hand, an unfair dismissal occurs when an employee believes that their termination was unjust. Research indicates that unfair dismissals often involve reasons unrelated to job performance or the provision of false reasons by the employer </w:t>
      </w:r>
      <w:r>
        <w:rPr>
          <w:i w:val="1"/>
          <w:iCs w:val="1"/>
          <w:rtl w:val="0"/>
        </w:rPr>
        <w:t>(Gov.uk, n</w:t>
      </w:r>
      <w:r>
        <w:rPr>
          <w:i w:val="1"/>
          <w:iCs w:val="1"/>
          <w:rtl w:val="0"/>
          <w:lang w:val="en-US"/>
        </w:rPr>
        <w:t>o date</w:t>
      </w:r>
      <w:r>
        <w:rPr>
          <w:i w:val="1"/>
          <w:iCs w:val="1"/>
          <w:rtl w:val="0"/>
        </w:rPr>
        <w:t>)</w:t>
      </w:r>
      <w:r>
        <w:rPr>
          <w:rtl w:val="0"/>
        </w:rPr>
        <w:t xml:space="preserve">. It is important to note that dismissing an employee for being pregnant or taking parental leave is automatically classified as unfair dismissal under the law </w:t>
      </w:r>
      <w:r>
        <w:rPr>
          <w:i w:val="1"/>
          <w:iCs w:val="1"/>
          <w:rtl w:val="0"/>
        </w:rPr>
        <w:t>(Gov.uk, n</w:t>
      </w:r>
      <w:r>
        <w:rPr>
          <w:i w:val="1"/>
          <w:iCs w:val="1"/>
          <w:rtl w:val="0"/>
          <w:lang w:val="en-US"/>
        </w:rPr>
        <w:t>o date</w:t>
      </w:r>
      <w:r>
        <w:rPr>
          <w:i w:val="1"/>
          <w:iCs w:val="1"/>
          <w:rtl w:val="0"/>
        </w:rPr>
        <w:t>)</w:t>
      </w:r>
      <w:r>
        <w:rPr>
          <w:rtl w:val="0"/>
        </w:rPr>
        <w:t>.</w:t>
      </w:r>
      <w:r>
        <w:rPr>
          <w:rtl w:val="0"/>
        </w:rPr>
        <w:t> </w:t>
      </w:r>
    </w:p>
    <w:p>
      <w:pPr>
        <w:pStyle w:val="Body"/>
        <w:bidi w:val="0"/>
        <w:rPr>
          <w:rFonts w:ascii="Helvetica" w:cs="Helvetica" w:hAnsi="Helvetica" w:eastAsia="Helvetica"/>
          <w:sz w:val="24"/>
          <w:szCs w:val="24"/>
        </w:rPr>
      </w:pPr>
    </w:p>
    <w:p>
      <w:pPr>
        <w:pStyle w:val="Body"/>
        <w:bidi w:val="0"/>
      </w:pPr>
      <w:r>
        <w:rPr>
          <w:rtl w:val="0"/>
        </w:rPr>
        <w:t>To avoid claims of unfair dismissal, employers must be aware of and comply with legal requirements and ensure fairness throughout the termination process. This includes providing genuine and valid reasons for the dismissal and treating employees with respect and fairness.</w:t>
      </w:r>
      <w:r>
        <w:rPr>
          <w:rtl w:val="0"/>
        </w:rPr>
        <w:t> </w:t>
      </w: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rPr>
          <w:b w:val="1"/>
          <w:bCs w:val="1"/>
        </w:rPr>
      </w:pPr>
      <w:r>
        <w:rPr>
          <w:b w:val="1"/>
          <w:bCs w:val="1"/>
          <w:rtl w:val="0"/>
          <w:lang w:val="en-US"/>
        </w:rPr>
        <w:t>Total word count : 1,319</w:t>
      </w:r>
    </w:p>
    <w:p>
      <w:pPr>
        <w:pStyle w:val="Body"/>
        <w:rPr>
          <w:b w:val="1"/>
          <w:bCs w:val="1"/>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120" w:line="264"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rPr>
          <w:b w:val="1"/>
          <w:bCs w:val="1"/>
          <w:u w:val="single"/>
        </w:rPr>
      </w:pPr>
      <w:r>
        <w:rPr>
          <w:b w:val="1"/>
          <w:bCs w:val="1"/>
          <w:u w:val="single"/>
          <w:rtl w:val="0"/>
          <w:lang w:val="en-US"/>
        </w:rPr>
        <w:t>References</w:t>
      </w:r>
    </w:p>
    <w:p>
      <w:pPr>
        <w:pStyle w:val="Body"/>
        <w:bidi w:val="0"/>
      </w:pPr>
    </w:p>
    <w:p>
      <w:pPr>
        <w:pStyle w:val="Body"/>
        <w:numPr>
          <w:ilvl w:val="0"/>
          <w:numId w:val="1"/>
        </w:numPr>
        <w:bidi w:val="0"/>
      </w:pPr>
      <w:r>
        <w:rPr>
          <w:rtl w:val="0"/>
        </w:rPr>
        <w:t xml:space="preserve">Acas. (2015). Flexible working and work-life balance. </w:t>
      </w:r>
      <w:r>
        <w:rPr>
          <w:rtl w:val="0"/>
        </w:rPr>
        <w:t>(Online) Available at:</w:t>
      </w:r>
      <w:r>
        <w:rPr>
          <w:rtl w:val="0"/>
        </w:rPr>
        <w:t xml:space="preserve"> </w:t>
      </w:r>
      <w:r>
        <w:rPr>
          <w:rStyle w:val="Hyperlink.0"/>
        </w:rPr>
        <w:fldChar w:fldCharType="begin" w:fldLock="0"/>
      </w:r>
      <w:r>
        <w:rPr>
          <w:rStyle w:val="Hyperlink.0"/>
        </w:rPr>
        <w:instrText xml:space="preserve"> HYPERLINK "https://www.acas.org.uk/sites/default/files/2021-03/flexible-working-and-work-life-balance-guide.pdf"</w:instrText>
      </w:r>
      <w:r>
        <w:rPr>
          <w:rStyle w:val="Hyperlink.0"/>
        </w:rPr>
        <w:fldChar w:fldCharType="separate" w:fldLock="0"/>
      </w:r>
      <w:r>
        <w:rPr>
          <w:rStyle w:val="Hyperlink.0"/>
          <w:rtl w:val="0"/>
        </w:rPr>
        <w:t>https://www.acas.org.uk/sites/default/files/2021-03/flexible-working-and-work-life-balance-guide.pdf</w:t>
      </w:r>
      <w:r>
        <w:rPr/>
        <w:fldChar w:fldCharType="end" w:fldLock="0"/>
      </w:r>
      <w:r>
        <w:rPr>
          <w:rtl w:val="0"/>
        </w:rPr>
        <w:t> </w:t>
      </w:r>
      <w:r>
        <w:rPr>
          <w:rtl w:val="0"/>
        </w:rPr>
        <w:t>(Accessed 4th June 2023)</w:t>
      </w:r>
    </w:p>
    <w:p>
      <w:pPr>
        <w:pStyle w:val="Default"/>
        <w:bidi w:val="0"/>
        <w:spacing w:before="0" w:line="240" w:lineRule="auto"/>
        <w:ind w:left="0" w:right="0" w:firstLine="0"/>
        <w:jc w:val="left"/>
        <w:rPr>
          <w:rFonts w:ascii="Arial" w:cs="Arial" w:hAnsi="Arial" w:eastAsia="Arial"/>
          <w:outline w:val="0"/>
          <w:color w:val="000000"/>
          <w:sz w:val="29"/>
          <w:szCs w:val="29"/>
          <w:shd w:val="clear" w:color="auto" w:fill="ffffff"/>
          <w:rtl w:val="0"/>
          <w14:textFill>
            <w14:solidFill>
              <w14:srgbClr w14:val="000000">
                <w14:alpha w14:val="15293"/>
              </w14:srgbClr>
            </w14:solidFill>
          </w14:textFill>
        </w:rPr>
      </w:pPr>
    </w:p>
    <w:p>
      <w:pPr>
        <w:pStyle w:val="Body"/>
        <w:numPr>
          <w:ilvl w:val="0"/>
          <w:numId w:val="1"/>
        </w:numPr>
        <w:bidi w:val="0"/>
      </w:pPr>
      <w:r>
        <w:rPr>
          <w:rtl w:val="0"/>
          <w:lang w:val="pt-PT"/>
        </w:rPr>
        <w:t>Acas. (</w:t>
      </w:r>
      <w:r>
        <w:rPr>
          <w:rtl w:val="0"/>
        </w:rPr>
        <w:t>Date Unknown</w:t>
      </w:r>
      <w:r>
        <w:rPr>
          <w:rtl w:val="0"/>
        </w:rPr>
        <w:t xml:space="preserve">). Discrimination: What to do if it happens. </w:t>
      </w:r>
      <w:r>
        <w:rPr>
          <w:rtl w:val="0"/>
        </w:rPr>
        <w:t>(Online). Available at:</w:t>
      </w:r>
      <w:r>
        <w:rPr>
          <w:rtl w:val="0"/>
        </w:rPr>
        <w:t xml:space="preserve"> </w:t>
      </w:r>
      <w:r>
        <w:rPr>
          <w:rStyle w:val="Hyperlink.0"/>
        </w:rPr>
        <w:fldChar w:fldCharType="begin" w:fldLock="0"/>
      </w:r>
      <w:r>
        <w:rPr>
          <w:rStyle w:val="Hyperlink.0"/>
        </w:rPr>
        <w:instrText xml:space="preserve"> HYPERLINK "https://www.acas.org.uk/discrimination-what-to-do-if-it-happens"</w:instrText>
      </w:r>
      <w:r>
        <w:rPr>
          <w:rStyle w:val="Hyperlink.0"/>
        </w:rPr>
        <w:fldChar w:fldCharType="separate" w:fldLock="0"/>
      </w:r>
      <w:r>
        <w:rPr>
          <w:rStyle w:val="Hyperlink.0"/>
          <w:rtl w:val="0"/>
        </w:rPr>
        <w:t>https://www.acas.org.uk/discrimination-what-to-do-if-it-happens</w:t>
      </w:r>
      <w:r>
        <w:rPr/>
        <w:fldChar w:fldCharType="end" w:fldLock="0"/>
      </w:r>
      <w:r>
        <w:rPr>
          <w:rtl w:val="0"/>
        </w:rPr>
        <w:t> </w:t>
      </w:r>
      <w:r>
        <w:rPr>
          <w:rtl w:val="0"/>
        </w:rPr>
        <w:t>(Accessed 4th June 2023)</w:t>
      </w:r>
    </w:p>
    <w:p>
      <w:pPr>
        <w:pStyle w:val="Body"/>
        <w:bidi w:val="0"/>
      </w:pPr>
    </w:p>
    <w:p>
      <w:pPr>
        <w:pStyle w:val="Body"/>
        <w:numPr>
          <w:ilvl w:val="0"/>
          <w:numId w:val="1"/>
        </w:numPr>
        <w:bidi w:val="0"/>
      </w:pPr>
      <w:r>
        <w:rPr>
          <w:rtl w:val="0"/>
        </w:rPr>
        <w:t>Better Up. (</w:t>
      </w:r>
      <w:r>
        <w:rPr>
          <w:rtl w:val="0"/>
        </w:rPr>
        <w:t>Date Unknown</w:t>
      </w:r>
      <w:r>
        <w:rPr>
          <w:rtl w:val="0"/>
        </w:rPr>
        <w:t xml:space="preserve">). Diversity &amp; Inclusion. </w:t>
      </w:r>
      <w:r>
        <w:rPr>
          <w:rtl w:val="0"/>
        </w:rPr>
        <w:t>(Online). Available at:</w:t>
      </w:r>
      <w:r>
        <w:rPr>
          <w:rtl w:val="0"/>
        </w:rPr>
        <w:t xml:space="preserve"> </w:t>
      </w:r>
      <w:r>
        <w:rPr>
          <w:rStyle w:val="Hyperlink.0"/>
        </w:rPr>
        <w:fldChar w:fldCharType="begin" w:fldLock="0"/>
      </w:r>
      <w:r>
        <w:rPr>
          <w:rStyle w:val="Hyperlink.0"/>
        </w:rPr>
        <w:instrText xml:space="preserve"> HYPERLINK "https://www.betterup.com/en-us/diversity-inclusion"</w:instrText>
      </w:r>
      <w:r>
        <w:rPr>
          <w:rStyle w:val="Hyperlink.0"/>
        </w:rPr>
        <w:fldChar w:fldCharType="separate" w:fldLock="0"/>
      </w:r>
      <w:r>
        <w:rPr>
          <w:rStyle w:val="Hyperlink.0"/>
          <w:rtl w:val="0"/>
        </w:rPr>
        <w:t>https://www.betterup.com/en-us/diversity-inclusion</w:t>
      </w:r>
      <w:r>
        <w:rPr/>
        <w:fldChar w:fldCharType="end" w:fldLock="0"/>
      </w:r>
      <w:r>
        <w:rPr>
          <w:rtl w:val="0"/>
        </w:rPr>
        <w:t> </w:t>
      </w:r>
      <w:r>
        <w:rPr>
          <w:rtl w:val="0"/>
        </w:rPr>
        <w:t>(Accessed 4th June 2023)</w:t>
      </w:r>
    </w:p>
    <w:p>
      <w:pPr>
        <w:pStyle w:val="Default"/>
        <w:bidi w:val="0"/>
        <w:spacing w:before="0" w:line="240" w:lineRule="auto"/>
        <w:ind w:left="0" w:right="0" w:firstLine="0"/>
        <w:jc w:val="left"/>
        <w:rPr>
          <w:rFonts w:ascii="Helvetica" w:cs="Helvetica" w:hAnsi="Helvetica" w:eastAsia="Helvetica"/>
          <w:outline w:val="0"/>
          <w:color w:val="000000"/>
          <w:sz w:val="24"/>
          <w:szCs w:val="24"/>
          <w:shd w:val="clear" w:color="auto" w:fill="ffffff"/>
          <w:rtl w:val="0"/>
          <w14:textFill>
            <w14:solidFill>
              <w14:srgbClr w14:val="000000">
                <w14:alpha w14:val="15293"/>
              </w14:srgbClr>
            </w14:solidFill>
          </w14:textFill>
        </w:rPr>
      </w:pPr>
      <w:r>
        <w:rPr>
          <w:rFonts w:ascii="Arial" w:hAnsi="Arial"/>
          <w:outline w:val="0"/>
          <w:color w:val="000000"/>
          <w:sz w:val="29"/>
          <w:szCs w:val="29"/>
          <w:shd w:val="clear" w:color="auto" w:fill="ffffff"/>
          <w:rtl w:val="0"/>
          <w:lang w:val="en-US"/>
          <w14:textFill>
            <w14:solidFill>
              <w14:srgbClr w14:val="000000">
                <w14:alpha w14:val="15293"/>
              </w14:srgbClr>
            </w14:solidFill>
          </w14:textFill>
        </w:rPr>
        <w:t xml:space="preserve"> </w:t>
      </w:r>
    </w:p>
    <w:p>
      <w:pPr>
        <w:pStyle w:val="Body"/>
        <w:numPr>
          <w:ilvl w:val="0"/>
          <w:numId w:val="1"/>
        </w:numPr>
        <w:bidi w:val="0"/>
      </w:pPr>
      <w:r>
        <w:rPr>
          <w:rtl w:val="0"/>
        </w:rPr>
        <w:t>Career Smart. (</w:t>
      </w:r>
      <w:r>
        <w:rPr>
          <w:rtl w:val="0"/>
        </w:rPr>
        <w:t>Date Unknown</w:t>
      </w:r>
      <w:r>
        <w:rPr>
          <w:rtl w:val="0"/>
        </w:rPr>
        <w:t xml:space="preserve">). Work-life balance. </w:t>
      </w:r>
      <w:r>
        <w:rPr>
          <w:rtl w:val="0"/>
        </w:rPr>
        <w:t xml:space="preserve">(Online) Available at: </w:t>
      </w:r>
      <w:r>
        <w:rPr>
          <w:rStyle w:val="Hyperlink.0"/>
        </w:rPr>
        <w:fldChar w:fldCharType="begin" w:fldLock="0"/>
      </w:r>
      <w:r>
        <w:rPr>
          <w:rStyle w:val="Hyperlink.0"/>
        </w:rPr>
        <w:instrText xml:space="preserve"> HYPERLINK "https://careersmart.org.uk/your-career/health-and-wellbeing/work-life-balance"</w:instrText>
      </w:r>
      <w:r>
        <w:rPr>
          <w:rStyle w:val="Hyperlink.0"/>
        </w:rPr>
        <w:fldChar w:fldCharType="separate" w:fldLock="0"/>
      </w:r>
      <w:r>
        <w:rPr>
          <w:rStyle w:val="Hyperlink.0"/>
          <w:rtl w:val="0"/>
        </w:rPr>
        <w:t>https://careersmart.org.uk/your-career/health-and-wellbeing/work-life-balance</w:t>
      </w:r>
      <w:r>
        <w:rPr/>
        <w:fldChar w:fldCharType="end" w:fldLock="0"/>
      </w:r>
      <w:r>
        <w:rPr>
          <w:rtl w:val="0"/>
        </w:rPr>
        <w:t> </w:t>
      </w:r>
      <w:r>
        <w:rPr>
          <w:rtl w:val="0"/>
        </w:rPr>
        <w:t>(Accessed 4th June 2023)</w:t>
      </w:r>
    </w:p>
    <w:p>
      <w:pPr>
        <w:pStyle w:val="Body"/>
        <w:bidi w:val="0"/>
      </w:pPr>
    </w:p>
    <w:p>
      <w:pPr>
        <w:pStyle w:val="Body"/>
        <w:numPr>
          <w:ilvl w:val="0"/>
          <w:numId w:val="1"/>
        </w:numPr>
        <w:bidi w:val="0"/>
      </w:pPr>
      <w:r>
        <w:rPr>
          <w:rtl w:val="0"/>
        </w:rPr>
        <w:t xml:space="preserve">Campbell, A. (2021a). Equality at work: What you need to know. </w:t>
      </w:r>
      <w:r>
        <w:rPr>
          <w:rtl w:val="0"/>
        </w:rPr>
        <w:t xml:space="preserve">(Online). Available at: </w:t>
      </w:r>
      <w:r>
        <w:rPr>
          <w:rStyle w:val="Hyperlink.0"/>
        </w:rPr>
        <w:fldChar w:fldCharType="begin" w:fldLock="0"/>
      </w:r>
      <w:r>
        <w:rPr>
          <w:rStyle w:val="Hyperlink.0"/>
        </w:rPr>
        <w:instrText xml:space="preserve"> HYPERLINK "https://www.peoplemanagement.co.uk/experts/legal/equality-at-work-what-you-need-to-know"</w:instrText>
      </w:r>
      <w:r>
        <w:rPr>
          <w:rStyle w:val="Hyperlink.0"/>
        </w:rPr>
        <w:fldChar w:fldCharType="separate" w:fldLock="0"/>
      </w:r>
      <w:r>
        <w:rPr>
          <w:rStyle w:val="Hyperlink.0"/>
          <w:rtl w:val="0"/>
        </w:rPr>
        <w:t>https://www.peoplemanagement.co.uk/experts/legal/equality-at-work-what-you-need-to-know</w:t>
      </w:r>
      <w:r>
        <w:rPr/>
        <w:fldChar w:fldCharType="end" w:fldLock="0"/>
      </w:r>
      <w:r>
        <w:rPr>
          <w:rtl w:val="0"/>
        </w:rPr>
        <w:t> </w:t>
      </w:r>
      <w:r>
        <w:rPr>
          <w:rtl w:val="0"/>
        </w:rPr>
        <w:t>(Accessed 4th June 2023)</w:t>
      </w:r>
    </w:p>
    <w:p>
      <w:pPr>
        <w:pStyle w:val="Body"/>
        <w:bidi w:val="0"/>
        <w:rPr>
          <w:rFonts w:ascii="Helvetica" w:cs="Helvetica" w:hAnsi="Helvetica" w:eastAsia="Helvetica"/>
          <w:sz w:val="24"/>
          <w:szCs w:val="24"/>
        </w:rPr>
      </w:pPr>
    </w:p>
    <w:p>
      <w:pPr>
        <w:pStyle w:val="Body"/>
        <w:numPr>
          <w:ilvl w:val="0"/>
          <w:numId w:val="1"/>
        </w:numPr>
        <w:bidi w:val="0"/>
      </w:pPr>
      <w:r>
        <w:rPr>
          <w:rtl w:val="0"/>
        </w:rPr>
        <w:t xml:space="preserve">Campbell, A. (2021b). Employment discrimination. </w:t>
      </w:r>
      <w:r>
        <w:rPr>
          <w:rtl w:val="0"/>
        </w:rPr>
        <w:t>(Online) Available at:</w:t>
      </w:r>
      <w:r>
        <w:rPr>
          <w:rtl w:val="0"/>
        </w:rPr>
        <w:t xml:space="preserve"> </w:t>
      </w:r>
      <w:r>
        <w:rPr>
          <w:rStyle w:val="Hyperlink.0"/>
        </w:rPr>
        <w:fldChar w:fldCharType="begin" w:fldLock="0"/>
      </w:r>
      <w:r>
        <w:rPr>
          <w:rStyle w:val="Hyperlink.0"/>
        </w:rPr>
        <w:instrText xml:space="preserve"> HYPERLINK "https://www.cipd.co.uk/knowledge/fundamentals/emp-law/discrimination-factsheet"</w:instrText>
      </w:r>
      <w:r>
        <w:rPr>
          <w:rStyle w:val="Hyperlink.0"/>
        </w:rPr>
        <w:fldChar w:fldCharType="separate" w:fldLock="0"/>
      </w:r>
      <w:r>
        <w:rPr>
          <w:rStyle w:val="Hyperlink.0"/>
          <w:rtl w:val="0"/>
        </w:rPr>
        <w:t>https://www.cipd.co.uk/knowledge/fundamentals/emp-law/discrimination-factsheet</w:t>
      </w:r>
      <w:r>
        <w:rPr/>
        <w:fldChar w:fldCharType="end" w:fldLock="0"/>
      </w:r>
      <w:r>
        <w:rPr>
          <w:rtl w:val="0"/>
        </w:rPr>
        <w:t> </w:t>
      </w:r>
      <w:r>
        <w:rPr>
          <w:rtl w:val="0"/>
        </w:rPr>
        <w:t>(Accessed 4th June 2023)</w:t>
      </w:r>
    </w:p>
    <w:p>
      <w:pPr>
        <w:pStyle w:val="Body"/>
        <w:bidi w:val="0"/>
        <w:rPr>
          <w:rFonts w:ascii="Helvetica" w:cs="Helvetica" w:hAnsi="Helvetica" w:eastAsia="Helvetica"/>
          <w:sz w:val="24"/>
          <w:szCs w:val="24"/>
        </w:rPr>
      </w:pPr>
    </w:p>
    <w:p>
      <w:pPr>
        <w:pStyle w:val="Body"/>
        <w:numPr>
          <w:ilvl w:val="0"/>
          <w:numId w:val="1"/>
        </w:numPr>
        <w:bidi w:val="0"/>
      </w:pPr>
      <w:r>
        <w:rPr>
          <w:rtl w:val="0"/>
          <w:lang w:val="de-DE"/>
        </w:rPr>
        <w:t>CIPD. (</w:t>
      </w:r>
      <w:r>
        <w:rPr>
          <w:rtl w:val="0"/>
        </w:rPr>
        <w:t>Date Unknown</w:t>
      </w:r>
      <w:r>
        <w:rPr>
          <w:rtl w:val="0"/>
        </w:rPr>
        <w:t xml:space="preserve">). Diversity and Inclusion. </w:t>
      </w:r>
      <w:r>
        <w:rPr>
          <w:rtl w:val="0"/>
        </w:rPr>
        <w:t xml:space="preserve">(Online). Available at: </w:t>
      </w:r>
      <w:r>
        <w:rPr>
          <w:rStyle w:val="Hyperlink.0"/>
        </w:rPr>
        <w:fldChar w:fldCharType="begin" w:fldLock="0"/>
      </w:r>
      <w:r>
        <w:rPr>
          <w:rStyle w:val="Hyperlink.0"/>
        </w:rPr>
        <w:instrText xml:space="preserve"> HYPERLINK "https://www.cipd.co.uk/knowledge/fundamentals/relations/diversity/factsheet"</w:instrText>
      </w:r>
      <w:r>
        <w:rPr>
          <w:rStyle w:val="Hyperlink.0"/>
        </w:rPr>
        <w:fldChar w:fldCharType="separate" w:fldLock="0"/>
      </w:r>
      <w:r>
        <w:rPr>
          <w:rStyle w:val="Hyperlink.0"/>
          <w:rtl w:val="0"/>
        </w:rPr>
        <w:t>https://www.cipd.co.uk/knowledge/fundamentals/relations/diversity/factsheet</w:t>
      </w:r>
      <w:r>
        <w:rPr/>
        <w:fldChar w:fldCharType="end" w:fldLock="0"/>
      </w:r>
      <w:r>
        <w:rPr>
          <w:rtl w:val="0"/>
        </w:rPr>
        <w:t> </w:t>
      </w:r>
      <w:r>
        <w:rPr>
          <w:rtl w:val="0"/>
        </w:rPr>
        <w:t>(Accessed 4th June 2023)</w:t>
      </w:r>
    </w:p>
    <w:p>
      <w:pPr>
        <w:pStyle w:val="Body"/>
        <w:bidi w:val="0"/>
      </w:pPr>
    </w:p>
    <w:p>
      <w:pPr>
        <w:pStyle w:val="Body"/>
        <w:numPr>
          <w:ilvl w:val="0"/>
          <w:numId w:val="1"/>
        </w:numPr>
        <w:bidi w:val="0"/>
      </w:pPr>
      <w:r>
        <w:rPr>
          <w:rtl w:val="0"/>
          <w:lang w:val="de-DE"/>
        </w:rPr>
        <w:t>CIPD. (</w:t>
      </w:r>
      <w:r>
        <w:rPr>
          <w:rtl w:val="0"/>
        </w:rPr>
        <w:t>Date Unknown</w:t>
      </w:r>
      <w:r>
        <w:rPr>
          <w:rtl w:val="0"/>
          <w:lang w:val="it-IT"/>
        </w:rPr>
        <w:t xml:space="preserve">). Dismissal. </w:t>
      </w:r>
      <w:r>
        <w:rPr>
          <w:rtl w:val="0"/>
        </w:rPr>
        <w:t>(Online). Available at:</w:t>
      </w:r>
      <w:r>
        <w:rPr>
          <w:rtl w:val="0"/>
        </w:rPr>
        <w:t xml:space="preserve"> </w:t>
      </w:r>
      <w:r>
        <w:rPr>
          <w:rStyle w:val="Hyperlink.0"/>
        </w:rPr>
        <w:fldChar w:fldCharType="begin" w:fldLock="0"/>
      </w:r>
      <w:r>
        <w:rPr>
          <w:rStyle w:val="Hyperlink.0"/>
        </w:rPr>
        <w:instrText xml:space="preserve"> HYPERLINK "https://www.cipd.co.uk/knowledge/fundamentals/emp-law/dismissal/factsheet"</w:instrText>
      </w:r>
      <w:r>
        <w:rPr>
          <w:rStyle w:val="Hyperlink.0"/>
        </w:rPr>
        <w:fldChar w:fldCharType="separate" w:fldLock="0"/>
      </w:r>
      <w:r>
        <w:rPr>
          <w:rStyle w:val="Hyperlink.0"/>
          <w:rtl w:val="0"/>
        </w:rPr>
        <w:t>https://www.cipd.co.uk/knowledge/fundamentals/emp-law/dismissal/factsheet</w:t>
      </w:r>
      <w:r>
        <w:rPr/>
        <w:fldChar w:fldCharType="end" w:fldLock="0"/>
      </w:r>
      <w:r>
        <w:rPr>
          <w:rtl w:val="0"/>
        </w:rPr>
        <w:t> </w:t>
      </w:r>
      <w:r>
        <w:rPr>
          <w:rtl w:val="0"/>
        </w:rPr>
        <w:t>(Accessed 4th June 2023)</w:t>
      </w:r>
    </w:p>
    <w:p>
      <w:pPr>
        <w:pStyle w:val="Body"/>
        <w:bidi w:val="0"/>
      </w:pPr>
    </w:p>
    <w:p>
      <w:pPr>
        <w:pStyle w:val="Body"/>
        <w:numPr>
          <w:ilvl w:val="0"/>
          <w:numId w:val="1"/>
        </w:numPr>
        <w:bidi w:val="0"/>
      </w:pPr>
      <w:r>
        <w:rPr>
          <w:rtl w:val="0"/>
        </w:rPr>
        <w:t xml:space="preserve">CIPD. (2022). Well-being at work. </w:t>
      </w:r>
      <w:r>
        <w:rPr>
          <w:rtl w:val="0"/>
        </w:rPr>
        <w:t>(Online) Available at:</w:t>
      </w:r>
      <w:r>
        <w:rPr>
          <w:rtl w:val="0"/>
        </w:rPr>
        <w:t xml:space="preserve"> </w:t>
      </w:r>
      <w:r>
        <w:rPr>
          <w:rStyle w:val="Hyperlink.0"/>
        </w:rPr>
        <w:fldChar w:fldCharType="begin" w:fldLock="0"/>
      </w:r>
      <w:r>
        <w:rPr>
          <w:rStyle w:val="Hyperlink.0"/>
        </w:rPr>
        <w:instrText xml:space="preserve"> HYPERLINK "https://www.cipd.co.uk/knowledge/fundamentals/people/well-being/factsheet"</w:instrText>
      </w:r>
      <w:r>
        <w:rPr>
          <w:rStyle w:val="Hyperlink.0"/>
        </w:rPr>
        <w:fldChar w:fldCharType="separate" w:fldLock="0"/>
      </w:r>
      <w:r>
        <w:rPr>
          <w:rStyle w:val="Hyperlink.0"/>
          <w:rtl w:val="0"/>
        </w:rPr>
        <w:t>https://www.cipd.co.uk/knowledge/fundamentals/people/well-being/factsheet</w:t>
      </w:r>
      <w:r>
        <w:rPr/>
        <w:fldChar w:fldCharType="end" w:fldLock="0"/>
      </w:r>
      <w:r>
        <w:rPr>
          <w:rtl w:val="0"/>
        </w:rPr>
        <w:t> </w:t>
      </w:r>
      <w:r>
        <w:rPr>
          <w:rtl w:val="0"/>
        </w:rPr>
        <w:t>(Accessed 4th June 2023)</w:t>
      </w:r>
    </w:p>
    <w:p>
      <w:pPr>
        <w:pStyle w:val="Body"/>
        <w:bidi w:val="0"/>
      </w:pPr>
    </w:p>
    <w:p>
      <w:pPr>
        <w:pStyle w:val="Body"/>
        <w:numPr>
          <w:ilvl w:val="0"/>
          <w:numId w:val="1"/>
        </w:numPr>
        <w:bidi w:val="0"/>
      </w:pPr>
      <w:r>
        <w:rPr>
          <w:rtl w:val="0"/>
          <w:lang w:val="de-DE"/>
        </w:rPr>
        <w:t>CIPD.</w:t>
      </w:r>
      <w:r>
        <w:rPr>
          <w:rtl w:val="0"/>
        </w:rPr>
        <w:t xml:space="preserve"> (Date Unknown)</w:t>
      </w:r>
      <w:r>
        <w:rPr>
          <w:rtl w:val="0"/>
        </w:rPr>
        <w:t xml:space="preserve">. Working time and holidays. </w:t>
      </w:r>
      <w:r>
        <w:rPr>
          <w:rtl w:val="0"/>
        </w:rPr>
        <w:t>(Online). Available at:</w:t>
      </w:r>
      <w:r>
        <w:rPr>
          <w:rtl w:val="0"/>
        </w:rPr>
        <w:t xml:space="preserve"> </w:t>
      </w:r>
      <w:r>
        <w:rPr>
          <w:rStyle w:val="Hyperlink.0"/>
        </w:rPr>
        <w:fldChar w:fldCharType="begin" w:fldLock="0"/>
      </w:r>
      <w:r>
        <w:rPr>
          <w:rStyle w:val="Hyperlink.0"/>
        </w:rPr>
        <w:instrText xml:space="preserve"> HYPERLINK "https://www.cipd.co.uk/knowledge/fundamentals/emp-law/employees/work-time-factsheet"</w:instrText>
      </w:r>
      <w:r>
        <w:rPr>
          <w:rStyle w:val="Hyperlink.0"/>
        </w:rPr>
        <w:fldChar w:fldCharType="separate" w:fldLock="0"/>
      </w:r>
      <w:r>
        <w:rPr>
          <w:rStyle w:val="Hyperlink.0"/>
          <w:rtl w:val="0"/>
        </w:rPr>
        <w:t>https://www.cipd.co.uk/knowledge/fundamentals/emp-law/employees/work-time-factsheet</w:t>
      </w:r>
      <w:r>
        <w:rPr/>
        <w:fldChar w:fldCharType="end" w:fldLock="0"/>
      </w:r>
      <w:r>
        <w:rPr>
          <w:rtl w:val="0"/>
        </w:rPr>
        <w:t> </w:t>
      </w:r>
      <w:r>
        <w:rPr>
          <w:rtl w:val="0"/>
        </w:rPr>
        <w:t>(Accessed 4th June 2023)</w:t>
      </w:r>
      <w:r>
        <w:rPr>
          <w:rtl w:val="0"/>
        </w:rPr>
        <w:t xml:space="preserve">. </w:t>
      </w:r>
    </w:p>
    <w:p>
      <w:pPr>
        <w:pStyle w:val="Body"/>
        <w:bidi w:val="0"/>
      </w:pPr>
    </w:p>
    <w:p>
      <w:pPr>
        <w:pStyle w:val="Body"/>
        <w:numPr>
          <w:ilvl w:val="0"/>
          <w:numId w:val="1"/>
        </w:numPr>
        <w:bidi w:val="0"/>
      </w:pPr>
      <w:r>
        <w:rPr>
          <w:rtl w:val="0"/>
        </w:rPr>
        <w:t>Gov.uk. (</w:t>
      </w:r>
      <w:r>
        <w:rPr>
          <w:rtl w:val="0"/>
        </w:rPr>
        <w:t>Date Unknown</w:t>
      </w:r>
      <w:r>
        <w:rPr>
          <w:rtl w:val="0"/>
        </w:rPr>
        <w:t xml:space="preserve">). Dismiss staff fairly. </w:t>
      </w:r>
      <w:r>
        <w:rPr>
          <w:rtl w:val="0"/>
        </w:rPr>
        <w:t xml:space="preserve">(Online). Available at: </w:t>
      </w:r>
      <w:r>
        <w:rPr>
          <w:rStyle w:val="Hyperlink.0"/>
        </w:rPr>
        <w:fldChar w:fldCharType="begin" w:fldLock="0"/>
      </w:r>
      <w:r>
        <w:rPr>
          <w:rStyle w:val="Hyperlink.0"/>
        </w:rPr>
        <w:instrText xml:space="preserve"> HYPERLINK "https://www.gov.uk/dismiss-staff-fairly"</w:instrText>
      </w:r>
      <w:r>
        <w:rPr>
          <w:rStyle w:val="Hyperlink.0"/>
        </w:rPr>
        <w:fldChar w:fldCharType="separate" w:fldLock="0"/>
      </w:r>
      <w:r>
        <w:rPr>
          <w:rStyle w:val="Hyperlink.0"/>
          <w:rtl w:val="0"/>
        </w:rPr>
        <w:t>https://www.gov.uk/dismiss-staff-fairly</w:t>
      </w:r>
      <w:r>
        <w:rPr/>
        <w:fldChar w:fldCharType="end" w:fldLock="0"/>
      </w:r>
      <w:r>
        <w:rPr>
          <w:rtl w:val="0"/>
        </w:rPr>
        <w:t> </w:t>
      </w:r>
      <w:r>
        <w:rPr>
          <w:rtl w:val="0"/>
        </w:rPr>
        <w:t>(Accessed 4th June 2023)</w:t>
      </w:r>
      <w:r>
        <w:rPr>
          <w:rtl w:val="0"/>
        </w:rPr>
        <w:t>.</w:t>
      </w:r>
    </w:p>
    <w:p>
      <w:pPr>
        <w:pStyle w:val="Body"/>
        <w:bidi w:val="0"/>
        <w:rPr>
          <w:rFonts w:ascii="Helvetica" w:cs="Helvetica" w:hAnsi="Helvetica" w:eastAsia="Helvetica"/>
          <w:sz w:val="24"/>
          <w:szCs w:val="24"/>
        </w:rPr>
      </w:pPr>
    </w:p>
    <w:p>
      <w:pPr>
        <w:pStyle w:val="Body"/>
        <w:numPr>
          <w:ilvl w:val="0"/>
          <w:numId w:val="1"/>
        </w:numPr>
        <w:bidi w:val="0"/>
      </w:pPr>
      <w:r>
        <w:rPr>
          <w:rtl w:val="0"/>
        </w:rPr>
        <w:t xml:space="preserve">Hamill, L. (2019). What Is Inclusion? </w:t>
      </w:r>
      <w:r>
        <w:rPr>
          <w:rtl w:val="0"/>
        </w:rPr>
        <w:t xml:space="preserve">(Online) Available at: </w:t>
      </w:r>
      <w:r>
        <w:rPr>
          <w:rStyle w:val="Hyperlink.0"/>
        </w:rPr>
        <w:fldChar w:fldCharType="begin" w:fldLock="0"/>
      </w:r>
      <w:r>
        <w:rPr>
          <w:rStyle w:val="Hyperlink.0"/>
        </w:rPr>
        <w:instrText xml:space="preserve"> HYPERLINK "https://inclusioncoalition.com/what-is-inclusion/"</w:instrText>
      </w:r>
      <w:r>
        <w:rPr>
          <w:rStyle w:val="Hyperlink.0"/>
        </w:rPr>
        <w:fldChar w:fldCharType="separate" w:fldLock="0"/>
      </w:r>
      <w:r>
        <w:rPr>
          <w:rStyle w:val="Hyperlink.0"/>
          <w:rtl w:val="0"/>
        </w:rPr>
        <w:t>https://inclusioncoalition.com/what-is-inclusion/</w:t>
      </w:r>
      <w:r>
        <w:rPr/>
        <w:fldChar w:fldCharType="end" w:fldLock="0"/>
      </w:r>
      <w:r>
        <w:rPr>
          <w:rtl w:val="0"/>
        </w:rPr>
        <w:t> </w:t>
      </w:r>
      <w:r>
        <w:rPr>
          <w:rtl w:val="0"/>
        </w:rPr>
        <w:t>(Accessed 4th June 2023)</w:t>
      </w:r>
    </w:p>
    <w:p>
      <w:pPr>
        <w:pStyle w:val="Body"/>
        <w:bidi w:val="0"/>
        <w:rPr>
          <w:rFonts w:ascii="Helvetica" w:cs="Helvetica" w:hAnsi="Helvetica" w:eastAsia="Helvetica"/>
          <w:sz w:val="24"/>
          <w:szCs w:val="24"/>
        </w:rPr>
      </w:pPr>
    </w:p>
    <w:p>
      <w:pPr>
        <w:pStyle w:val="Body"/>
        <w:numPr>
          <w:ilvl w:val="0"/>
          <w:numId w:val="1"/>
        </w:numPr>
        <w:bidi w:val="0"/>
      </w:pPr>
      <w:r>
        <w:rPr>
          <w:rtl w:val="0"/>
        </w:rPr>
        <w:t xml:space="preserve">Hogarty, S. (2021). Why Diversity and Inclusion Matter. </w:t>
      </w:r>
      <w:r>
        <w:rPr>
          <w:rtl w:val="0"/>
        </w:rPr>
        <w:t>(Online) Available at:</w:t>
      </w:r>
      <w:r>
        <w:rPr>
          <w:rtl w:val="0"/>
        </w:rPr>
        <w:t xml:space="preserve"> </w:t>
      </w:r>
      <w:r>
        <w:rPr>
          <w:rStyle w:val="Hyperlink.0"/>
        </w:rPr>
        <w:fldChar w:fldCharType="begin" w:fldLock="0"/>
      </w:r>
      <w:r>
        <w:rPr>
          <w:rStyle w:val="Hyperlink.0"/>
        </w:rPr>
        <w:instrText xml:space="preserve"> HYPERLINK "https://www.insperity.com/blog/why-diversity-and-inclusion-matter/"</w:instrText>
      </w:r>
      <w:r>
        <w:rPr>
          <w:rStyle w:val="Hyperlink.0"/>
        </w:rPr>
        <w:fldChar w:fldCharType="separate" w:fldLock="0"/>
      </w:r>
      <w:r>
        <w:rPr>
          <w:rStyle w:val="Hyperlink.0"/>
          <w:rtl w:val="0"/>
        </w:rPr>
        <w:t>https://www.insperity.com/blog/why-diversity-and-inclusion-matter/</w:t>
      </w:r>
      <w:r>
        <w:rPr/>
        <w:fldChar w:fldCharType="end" w:fldLock="0"/>
      </w:r>
      <w:r>
        <w:rPr>
          <w:rtl w:val="0"/>
        </w:rPr>
        <w:t> </w:t>
      </w:r>
      <w:r>
        <w:rPr>
          <w:rtl w:val="0"/>
        </w:rPr>
        <w:t>(Accessed 4th June 2023)</w:t>
      </w:r>
      <w:r>
        <w:rPr>
          <w:rtl w:val="0"/>
        </w:rPr>
        <w:t xml:space="preserve">. </w:t>
      </w:r>
    </w:p>
    <w:p>
      <w:pPr>
        <w:pStyle w:val="Body"/>
        <w:bidi w:val="0"/>
      </w:pPr>
    </w:p>
    <w:p>
      <w:pPr>
        <w:pStyle w:val="Body"/>
        <w:numPr>
          <w:ilvl w:val="0"/>
          <w:numId w:val="1"/>
        </w:numPr>
        <w:bidi w:val="0"/>
      </w:pPr>
      <w:r>
        <w:rPr>
          <w:rtl w:val="0"/>
        </w:rPr>
        <w:t xml:space="preserve">McIntyre, K. (2021). Prioritizing employee well-being: How it helps organizations stand out. </w:t>
      </w:r>
      <w:r>
        <w:rPr>
          <w:rtl w:val="0"/>
        </w:rPr>
        <w:t>(Online). Available at:</w:t>
      </w:r>
      <w:r>
        <w:rPr>
          <w:rtl w:val="0"/>
        </w:rPr>
        <w:t xml:space="preserve"> </w:t>
      </w:r>
      <w:r>
        <w:rPr>
          <w:rStyle w:val="Hyperlink.0"/>
        </w:rPr>
        <w:fldChar w:fldCharType="begin" w:fldLock="0"/>
      </w:r>
      <w:r>
        <w:rPr>
          <w:rStyle w:val="Hyperlink.0"/>
        </w:rPr>
        <w:instrText xml:space="preserve"> HYPERLINK "https://www.inhersight.com/blog/insight-commentary/how-prioritizing-employee-well-being-helps-organizations-stand-out"</w:instrText>
      </w:r>
      <w:r>
        <w:rPr>
          <w:rStyle w:val="Hyperlink.0"/>
        </w:rPr>
        <w:fldChar w:fldCharType="separate" w:fldLock="0"/>
      </w:r>
      <w:r>
        <w:rPr>
          <w:rStyle w:val="Hyperlink.0"/>
          <w:rtl w:val="0"/>
        </w:rPr>
        <w:t>https://www.inhersight.com/blog/insight-commentary/how-prioritizing-employee-well-being-helps-organizations-stand-out</w:t>
      </w:r>
      <w:r>
        <w:rPr/>
        <w:fldChar w:fldCharType="end" w:fldLock="0"/>
      </w:r>
      <w:r>
        <w:rPr>
          <w:rtl w:val="0"/>
        </w:rPr>
        <w:t> </w:t>
      </w:r>
      <w:r>
        <w:rPr>
          <w:rtl w:val="0"/>
        </w:rPr>
        <w:t>(Accessed 4th June 2023)</w:t>
      </w:r>
    </w:p>
    <w:p>
      <w:pPr>
        <w:pStyle w:val="Body"/>
        <w:bidi w:val="0"/>
        <w:rPr>
          <w:rFonts w:ascii="Helvetica" w:cs="Helvetica" w:hAnsi="Helvetica" w:eastAsia="Helvetica"/>
          <w:sz w:val="24"/>
          <w:szCs w:val="24"/>
        </w:rPr>
      </w:pPr>
    </w:p>
    <w:p>
      <w:pPr>
        <w:pStyle w:val="Body"/>
        <w:numPr>
          <w:ilvl w:val="0"/>
          <w:numId w:val="1"/>
        </w:numPr>
        <w:bidi w:val="0"/>
      </w:pPr>
      <w:r>
        <w:rPr>
          <w:rtl w:val="0"/>
        </w:rPr>
        <w:t xml:space="preserve">McKinsey &amp; Company. (2022). Delivering through Diversity. </w:t>
      </w:r>
      <w:r>
        <w:rPr>
          <w:rtl w:val="0"/>
        </w:rPr>
        <w:t>(Online). Available at:</w:t>
      </w:r>
      <w:r>
        <w:rPr>
          <w:rtl w:val="0"/>
        </w:rPr>
        <w:t xml:space="preserve"> </w:t>
      </w:r>
      <w:r>
        <w:rPr>
          <w:rStyle w:val="Hyperlink.0"/>
        </w:rPr>
        <w:fldChar w:fldCharType="begin" w:fldLock="0"/>
      </w:r>
      <w:r>
        <w:rPr>
          <w:rStyle w:val="Hyperlink.0"/>
        </w:rPr>
        <w:instrText xml:space="preserve"> HYPERLINK "https://www.mckinsey.com/business-functions/organization/our-insights/delivering-through-diversity"</w:instrText>
      </w:r>
      <w:r>
        <w:rPr>
          <w:rStyle w:val="Hyperlink.0"/>
        </w:rPr>
        <w:fldChar w:fldCharType="separate" w:fldLock="0"/>
      </w:r>
      <w:r>
        <w:rPr>
          <w:rStyle w:val="Hyperlink.0"/>
          <w:rtl w:val="0"/>
        </w:rPr>
        <w:t>https://www.mckinsey.com/business-functions/organization/our-insights/delivering-through-diversity</w:t>
      </w:r>
      <w:r>
        <w:rPr/>
        <w:fldChar w:fldCharType="end" w:fldLock="0"/>
      </w:r>
      <w:r>
        <w:rPr>
          <w:rtl w:val="0"/>
        </w:rPr>
        <w:t> </w:t>
      </w:r>
      <w:r>
        <w:rPr>
          <w:rtl w:val="0"/>
        </w:rPr>
        <w:t>(Accessed 4th June 2023)</w:t>
      </w:r>
      <w:r>
        <w:rPr>
          <w:rtl w:val="0"/>
        </w:rPr>
        <w:t xml:space="preserve">. </w:t>
      </w:r>
    </w:p>
    <w:p>
      <w:pPr>
        <w:pStyle w:val="Body"/>
        <w:bidi w:val="0"/>
      </w:pPr>
    </w:p>
    <w:p>
      <w:pPr>
        <w:pStyle w:val="Body"/>
        <w:numPr>
          <w:ilvl w:val="0"/>
          <w:numId w:val="1"/>
        </w:numPr>
        <w:bidi w:val="0"/>
      </w:pPr>
      <w:r>
        <w:rPr>
          <w:rtl w:val="0"/>
        </w:rPr>
        <w:t>Mind. (</w:t>
      </w:r>
      <w:r>
        <w:rPr>
          <w:rtl w:val="0"/>
        </w:rPr>
        <w:t>Date unknown</w:t>
      </w:r>
      <w:r>
        <w:rPr>
          <w:rtl w:val="0"/>
        </w:rPr>
        <w:t xml:space="preserve">). Promoting well-being at work. </w:t>
      </w:r>
      <w:r>
        <w:rPr>
          <w:rtl w:val="0"/>
        </w:rPr>
        <w:t>(Online). Available at:</w:t>
      </w:r>
      <w:r>
        <w:rPr>
          <w:rtl w:val="0"/>
        </w:rPr>
        <w:t xml:space="preserve"> </w:t>
      </w:r>
      <w:r>
        <w:rPr>
          <w:rStyle w:val="Hyperlink.0"/>
        </w:rPr>
        <w:fldChar w:fldCharType="begin" w:fldLock="0"/>
      </w:r>
      <w:r>
        <w:rPr>
          <w:rStyle w:val="Hyperlink.0"/>
        </w:rPr>
        <w:instrText xml:space="preserve"> HYPERLINK "https://www.mind.org.uk/workplace/mental-health-at-work/taking-care-of-your-staff/promoting-well-being-at-work/"</w:instrText>
      </w:r>
      <w:r>
        <w:rPr>
          <w:rStyle w:val="Hyperlink.0"/>
        </w:rPr>
        <w:fldChar w:fldCharType="separate" w:fldLock="0"/>
      </w:r>
      <w:r>
        <w:rPr>
          <w:rStyle w:val="Hyperlink.0"/>
          <w:rtl w:val="0"/>
        </w:rPr>
        <w:t>https://www.mind.org.uk/workplace/mental-health-at-work/taking-care-of-your-staff/promoting-well-being-at-work/</w:t>
      </w:r>
      <w:r>
        <w:rPr/>
        <w:fldChar w:fldCharType="end" w:fldLock="0"/>
      </w:r>
      <w:r>
        <w:rPr>
          <w:rtl w:val="0"/>
        </w:rPr>
        <w:t> </w:t>
      </w:r>
      <w:r>
        <w:rPr>
          <w:rtl w:val="0"/>
        </w:rPr>
        <w:t>(Accessed 4th June 2023)</w:t>
      </w:r>
      <w:r>
        <w:rPr>
          <w:rtl w:val="0"/>
        </w:rPr>
        <w:t xml:space="preserve">. </w:t>
      </w:r>
    </w:p>
    <w:p>
      <w:pPr>
        <w:pStyle w:val="Body"/>
        <w:bidi w:val="0"/>
      </w:pPr>
    </w:p>
    <w:p>
      <w:pPr>
        <w:pStyle w:val="Body"/>
        <w:numPr>
          <w:ilvl w:val="0"/>
          <w:numId w:val="1"/>
        </w:numPr>
        <w:bidi w:val="0"/>
      </w:pPr>
      <w:r>
        <w:rPr>
          <w:rtl w:val="0"/>
        </w:rPr>
        <w:t xml:space="preserve">Sutherland, K. (2021a). The Equality Act 2010 and recruitment. </w:t>
      </w:r>
      <w:r>
        <w:rPr>
          <w:rtl w:val="0"/>
        </w:rPr>
        <w:t>(Online). Available at:</w:t>
      </w:r>
      <w:r>
        <w:rPr>
          <w:rtl w:val="0"/>
        </w:rPr>
        <w:t xml:space="preserve"> </w:t>
      </w:r>
      <w:r>
        <w:rPr>
          <w:rStyle w:val="Hyperlink.0"/>
        </w:rPr>
        <w:fldChar w:fldCharType="begin" w:fldLock="0"/>
      </w:r>
      <w:r>
        <w:rPr>
          <w:rStyle w:val="Hyperlink.0"/>
        </w:rPr>
        <w:instrText xml:space="preserve"> HYPERLINK "https://www.peoplemanagement.co.uk/experts/legal/the-equality-act-2010-and-recruitment"</w:instrText>
      </w:r>
      <w:r>
        <w:rPr>
          <w:rStyle w:val="Hyperlink.0"/>
        </w:rPr>
        <w:fldChar w:fldCharType="separate" w:fldLock="0"/>
      </w:r>
      <w:r>
        <w:rPr>
          <w:rStyle w:val="Hyperlink.0"/>
          <w:rtl w:val="0"/>
        </w:rPr>
        <w:t>https://www.peoplemanagement.co.uk/experts/legal/the-equality-act-2010-and-recruitment</w:t>
      </w:r>
      <w:r>
        <w:rPr/>
        <w:fldChar w:fldCharType="end" w:fldLock="0"/>
      </w:r>
      <w:r>
        <w:rPr>
          <w:rtl w:val="0"/>
        </w:rPr>
        <w:t> </w:t>
      </w:r>
    </w:p>
    <w:p>
      <w:pPr>
        <w:pStyle w:val="Body"/>
        <w:bidi w:val="0"/>
        <w:rPr>
          <w:rFonts w:ascii="Helvetica" w:cs="Helvetica" w:hAnsi="Helvetica" w:eastAsia="Helvetica"/>
          <w:sz w:val="24"/>
          <w:szCs w:val="24"/>
        </w:rPr>
      </w:pPr>
    </w:p>
    <w:p>
      <w:pPr>
        <w:pStyle w:val="Body"/>
        <w:numPr>
          <w:ilvl w:val="0"/>
          <w:numId w:val="1"/>
        </w:numPr>
        <w:bidi w:val="0"/>
      </w:pPr>
      <w:r>
        <w:rPr>
          <w:rtl w:val="0"/>
        </w:rPr>
        <w:t xml:space="preserve">Sutherland, K. (2021b). The Equality Act 2010 and termination of employment. </w:t>
      </w:r>
      <w:r>
        <w:rPr>
          <w:rtl w:val="0"/>
        </w:rPr>
        <w:t xml:space="preserve">(Online) Available at: </w:t>
      </w:r>
      <w:r>
        <w:rPr>
          <w:rStyle w:val="Hyperlink.0"/>
        </w:rPr>
        <w:fldChar w:fldCharType="begin" w:fldLock="0"/>
      </w:r>
      <w:r>
        <w:rPr>
          <w:rStyle w:val="Hyperlink.0"/>
        </w:rPr>
        <w:instrText xml:space="preserve"> HYPERLINK "https://www.peoplemanagement.co.uk/experts/legal/the-equality-act-2010-and-termination-of-employment"</w:instrText>
      </w:r>
      <w:r>
        <w:rPr>
          <w:rStyle w:val="Hyperlink.0"/>
        </w:rPr>
        <w:fldChar w:fldCharType="separate" w:fldLock="0"/>
      </w:r>
      <w:r>
        <w:rPr>
          <w:rStyle w:val="Hyperlink.0"/>
          <w:rtl w:val="0"/>
        </w:rPr>
        <w:t>https://www.peoplemanagement.co.uk/experts/legal/the-equality-act-2010-and-termination-of-employment</w:t>
      </w:r>
      <w:r>
        <w:rPr/>
        <w:fldChar w:fldCharType="end" w:fldLock="0"/>
      </w:r>
      <w:r>
        <w:rPr>
          <w:rtl w:val="0"/>
        </w:rPr>
        <w:t> </w:t>
      </w:r>
      <w:r>
        <w:rPr>
          <w:rtl w:val="0"/>
        </w:rPr>
        <w:t>(Accessed 4th June 2023)</w:t>
      </w:r>
      <w:r>
        <w:rPr>
          <w:rtl w:val="0"/>
        </w:rPr>
        <w:t>.</w:t>
      </w:r>
    </w:p>
    <w:p>
      <w:pPr>
        <w:pStyle w:val="Body"/>
        <w:bidi w:val="0"/>
      </w:pPr>
    </w:p>
    <w:p>
      <w:pPr>
        <w:pStyle w:val="Body"/>
        <w:numPr>
          <w:ilvl w:val="0"/>
          <w:numId w:val="1"/>
        </w:numPr>
        <w:bidi w:val="0"/>
      </w:pPr>
      <w:r>
        <w:rPr>
          <w:rtl w:val="0"/>
        </w:rPr>
        <w:t>University of Cambridge. (</w:t>
      </w:r>
      <w:r>
        <w:rPr>
          <w:rtl w:val="0"/>
        </w:rPr>
        <w:t>Date unknown</w:t>
      </w:r>
      <w:r>
        <w:rPr>
          <w:rtl w:val="0"/>
          <w:lang w:val="it-IT"/>
        </w:rPr>
        <w:t xml:space="preserve">). Discrimination. </w:t>
      </w:r>
      <w:r>
        <w:rPr>
          <w:rtl w:val="0"/>
        </w:rPr>
        <w:t xml:space="preserve">(Online). Available at: </w:t>
      </w:r>
      <w:r>
        <w:rPr>
          <w:rStyle w:val="Hyperlink.0"/>
        </w:rPr>
        <w:fldChar w:fldCharType="begin" w:fldLock="0"/>
      </w:r>
      <w:r>
        <w:rPr>
          <w:rStyle w:val="Hyperlink.0"/>
        </w:rPr>
        <w:instrText xml:space="preserve"> HYPERLINK "https://www.hr.admin.cam.ac.uk/policies-procedures/discrimination"</w:instrText>
      </w:r>
      <w:r>
        <w:rPr>
          <w:rStyle w:val="Hyperlink.0"/>
        </w:rPr>
        <w:fldChar w:fldCharType="separate" w:fldLock="0"/>
      </w:r>
      <w:r>
        <w:rPr>
          <w:rStyle w:val="Hyperlink.0"/>
          <w:rtl w:val="0"/>
        </w:rPr>
        <w:t>https://www.hr.admin.cam.ac.uk/policies-procedures/discrimination</w:t>
      </w:r>
      <w:r>
        <w:rPr/>
        <w:fldChar w:fldCharType="end" w:fldLock="0"/>
      </w:r>
      <w:r>
        <w:rPr>
          <w:rtl w:val="0"/>
        </w:rPr>
        <w:t> </w:t>
      </w:r>
      <w:r>
        <w:rPr>
          <w:rtl w:val="0"/>
        </w:rPr>
        <w:t>(Accessed 4th June 2023).</w:t>
      </w:r>
    </w:p>
    <w:p>
      <w:pPr>
        <w:pStyle w:val="Body"/>
        <w:bidi w:val="0"/>
        <w:rPr>
          <w:rFonts w:ascii="Helvetica" w:cs="Helvetica" w:hAnsi="Helvetica" w:eastAsia="Helvetica"/>
          <w:sz w:val="24"/>
          <w:szCs w:val="24"/>
        </w:rPr>
      </w:pPr>
    </w:p>
    <w:p>
      <w:pPr>
        <w:pStyle w:val="Body"/>
        <w:numPr>
          <w:ilvl w:val="0"/>
          <w:numId w:val="1"/>
        </w:numPr>
        <w:bidi w:val="0"/>
      </w:pPr>
      <w:r>
        <w:rPr>
          <w:rtl w:val="0"/>
        </w:rPr>
        <w:t xml:space="preserve">Yip, M. (2020). The Importance of Embracing Diversity in the Workplace. </w:t>
      </w:r>
      <w:r>
        <w:rPr>
          <w:rtl w:val="0"/>
        </w:rPr>
        <w:t xml:space="preserve">(Online). Available at: </w:t>
      </w:r>
      <w:r>
        <w:rPr>
          <w:rStyle w:val="Hyperlink.0"/>
        </w:rPr>
        <w:fldChar w:fldCharType="begin" w:fldLock="0"/>
      </w:r>
      <w:r>
        <w:rPr>
          <w:rStyle w:val="Hyperlink.0"/>
        </w:rPr>
        <w:instrText xml:space="preserve"> HYPERLINK "https://www.adeccogroupna.com/leadership-hub/diversity-inclusion/the-importance-of-embracing-diversity-in-the-workplace/"</w:instrText>
      </w:r>
      <w:r>
        <w:rPr>
          <w:rStyle w:val="Hyperlink.0"/>
        </w:rPr>
        <w:fldChar w:fldCharType="separate" w:fldLock="0"/>
      </w:r>
      <w:r>
        <w:rPr>
          <w:rStyle w:val="Hyperlink.0"/>
          <w:rtl w:val="0"/>
        </w:rPr>
        <w:t>https://www.adeccogroupna.com/leadership-hub/diversity-inclusion/the-importance-of-embracing-diversity-in-the-workplace/</w:t>
      </w:r>
      <w:r>
        <w:rPr/>
        <w:fldChar w:fldCharType="end" w:fldLock="0"/>
      </w:r>
      <w:r>
        <w:rPr>
          <w:rtl w:val="0"/>
        </w:rPr>
        <w:t> </w:t>
      </w:r>
      <w:r>
        <w:rPr>
          <w:rtl w:val="0"/>
        </w:rPr>
        <w:t>(Accessed 4th June 2023)</w:t>
      </w:r>
      <w:r>
        <w:rPr>
          <w:rtl w:val="0"/>
        </w:rPr>
        <w:t xml:space="preserve">. </w:t>
      </w:r>
    </w:p>
    <w:p>
      <w:pPr>
        <w:pStyle w:val="Body"/>
        <w:bidi w:val="0"/>
      </w:pPr>
    </w:p>
    <w:p>
      <w:pPr>
        <w:pStyle w:val="Body"/>
        <w:numPr>
          <w:ilvl w:val="0"/>
          <w:numId w:val="1"/>
        </w:numPr>
        <w:bidi w:val="0"/>
      </w:pPr>
      <w:r>
        <w:rPr>
          <w:rtl w:val="0"/>
          <w:lang w:val="fr-FR"/>
        </w:rPr>
        <w:t>Waite et al.</w:t>
      </w:r>
      <w:r>
        <w:rPr>
          <w:rtl w:val="0"/>
        </w:rPr>
        <w:t>,</w:t>
      </w:r>
      <w:r>
        <w:rPr>
          <w:rtl w:val="0"/>
        </w:rPr>
        <w:t xml:space="preserve"> (2021). People Practice. A Complete Guide. London: Kogan Page. pp.141-155.</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color w:val="520d5d"/>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