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360"/>
        <w:ind w:right="0" w:left="0" w:firstLine="0"/>
        <w:jc w:val="center"/>
        <w:rPr>
          <w:rFonts w:ascii="Arial" w:hAnsi="Arial" w:cs="Arial" w:eastAsia="Arial"/>
          <w:b/>
          <w:color w:val="002060"/>
          <w:spacing w:val="0"/>
          <w:position w:val="0"/>
          <w:sz w:val="24"/>
          <w:shd w:fill="auto" w:val="clear"/>
        </w:rPr>
      </w:pPr>
      <w:r>
        <w:object w:dxaOrig="3484" w:dyaOrig="1166">
          <v:rect xmlns:o="urn:schemas-microsoft-com:office:office" xmlns:v="urn:schemas-microsoft-com:vml" id="rectole0000000000" style="width:174.200000pt;height:58.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20" w:line="360"/>
        <w:ind w:right="0" w:left="0" w:firstLine="0"/>
        <w:jc w:val="both"/>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30"/>
          <w:shd w:fill="auto" w:val="clear"/>
        </w:rPr>
      </w:pPr>
      <w:r>
        <w:rPr>
          <w:rFonts w:ascii="Arial" w:hAnsi="Arial" w:cs="Arial" w:eastAsia="Arial"/>
          <w:b/>
          <w:color w:val="002060"/>
          <w:spacing w:val="0"/>
          <w:position w:val="0"/>
          <w:sz w:val="30"/>
          <w:shd w:fill="auto" w:val="clear"/>
        </w:rPr>
        <w:t xml:space="preserve">RESEARCH PROPOSAL ONDRIVING EMPLOYEE ENGAGEMENT AND RETAINING THE EMPLOYEES IN PREMIER INN</w:t>
      </w: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b/>
          <w:color w:val="002060"/>
          <w:spacing w:val="0"/>
          <w:position w:val="0"/>
          <w:sz w:val="24"/>
          <w:shd w:fill="auto" w:val="clear"/>
        </w:rPr>
      </w:pPr>
    </w:p>
    <w:p>
      <w:pPr>
        <w:spacing w:before="0" w:after="12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Student ID:2020573</w:t>
      </w:r>
    </w:p>
    <w:p>
      <w:pPr>
        <w:spacing w:before="0" w:after="12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Student Name:Titu Mia</w:t>
      </w:r>
    </w:p>
    <w:p>
      <w:pPr>
        <w:spacing w:before="0" w:after="120" w:line="360"/>
        <w:ind w:right="0" w:left="0" w:firstLine="0"/>
        <w:jc w:val="center"/>
        <w:rPr>
          <w:rFonts w:ascii="Arial" w:hAnsi="Arial" w:cs="Arial" w:eastAsia="Arial"/>
          <w:color w:val="000000"/>
          <w:spacing w:val="0"/>
          <w:position w:val="0"/>
          <w:sz w:val="24"/>
          <w:shd w:fill="auto" w:val="clear"/>
        </w:rPr>
      </w:pPr>
    </w:p>
    <w:p>
      <w:pPr>
        <w:spacing w:before="0" w:after="120" w:line="36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20" w:line="360"/>
        <w:ind w:right="0" w:left="0" w:firstLine="0"/>
        <w:jc w:val="left"/>
        <w:rPr>
          <w:rFonts w:ascii="Arial" w:hAnsi="Arial" w:cs="Arial" w:eastAsia="Arial"/>
          <w:color w:val="000000"/>
          <w:spacing w:val="0"/>
          <w:position w:val="0"/>
          <w:sz w:val="24"/>
          <w:shd w:fill="auto" w:val="clear"/>
        </w:rPr>
      </w:pPr>
    </w:p>
    <w:p>
      <w:pPr>
        <w:spacing w:before="0" w:after="120" w:line="360"/>
        <w:ind w:right="0" w:left="0" w:firstLine="0"/>
        <w:jc w:val="both"/>
        <w:rPr>
          <w:rFonts w:ascii="Arial" w:hAnsi="Arial" w:cs="Arial" w:eastAsia="Arial"/>
          <w:color w:val="auto"/>
          <w:spacing w:val="0"/>
          <w:position w:val="0"/>
          <w:sz w:val="24"/>
          <w:shd w:fill="auto" w:val="clear"/>
        </w:rPr>
      </w:pPr>
    </w:p>
    <w:p>
      <w:pPr>
        <w:spacing w:before="0" w:after="12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120" w:line="360"/>
        <w:ind w:right="0" w:left="0" w:firstLine="0"/>
        <w:jc w:val="both"/>
        <w:rPr>
          <w:rFonts w:ascii="Arial" w:hAnsi="Arial" w:cs="Arial" w:eastAsia="Arial"/>
          <w:b/>
          <w:color w:val="2E74B5"/>
          <w:spacing w:val="0"/>
          <w:position w:val="0"/>
          <w:sz w:val="32"/>
          <w:shd w:fill="auto" w:val="clear"/>
        </w:rPr>
      </w:pPr>
      <w:r>
        <w:rPr>
          <w:rFonts w:ascii="Arial" w:hAnsi="Arial" w:cs="Arial" w:eastAsia="Arial"/>
          <w:b/>
          <w:color w:val="2E74B5"/>
          <w:spacing w:val="0"/>
          <w:position w:val="0"/>
          <w:sz w:val="32"/>
          <w:shd w:fill="auto" w:val="clear"/>
        </w:rPr>
        <w:t xml:space="preserve">Chapter 1: Introduction and Background</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1.1. Background of Study</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study is going to be based on employee engagement in the hotel industry and how it can increase the overall profitability and productivity of the hotels conducting business in this competitive hotel industry. For conducting the study, Premier Inn has been chosen. </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Premier Inn is a private limited company under the umbrella of Whitbread PLC, and it is among the largest brand of hotels in the United Kingdom, and it has approximately 72,000 rooms and 790 hotels. It was founded in the year of 1987, and the headquarters of the hotel brand is located in Dunstable, England, United Kingdom (Bower,2018).</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1.2. Aim and Rationale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aim of this report is to understand the relevance of employee engagement in the Hotel Industry and how thepoor employee engagement can contribute to affecting the overall profitability and productivity of the hotels conducting business in the hotel industry. There is a strong need to overcome the issue of poor satisfaction of employees or the workforce in the hotels, and especially after the arrival of the deadly virus, it is creating difficulties and complexities to improve and enhance employee engagement. </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1.3. Research Questions</w:t>
      </w:r>
    </w:p>
    <w:p>
      <w:pPr>
        <w:numPr>
          <w:ilvl w:val="0"/>
          <w:numId w:val="11"/>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Important Is Employee Engagement to Hotel Industry? </w:t>
      </w:r>
    </w:p>
    <w:p>
      <w:pPr>
        <w:numPr>
          <w:ilvl w:val="0"/>
          <w:numId w:val="11"/>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Can an Effective Employee Engagement Provide Competitive Advantage to The Hotel in The Hotel Industry? </w:t>
      </w:r>
    </w:p>
    <w:p>
      <w:pPr>
        <w:numPr>
          <w:ilvl w:val="0"/>
          <w:numId w:val="11"/>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Does CSR Have Any Influence on Improving the Employee Engagement?</w:t>
      </w:r>
    </w:p>
    <w:p>
      <w:pPr>
        <w:numPr>
          <w:ilvl w:val="0"/>
          <w:numId w:val="11"/>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Can the Work Environment Have an Impact on The Employee Engagement?</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1.4. Research Objectives</w:t>
      </w:r>
    </w:p>
    <w:p>
      <w:pPr>
        <w:numPr>
          <w:ilvl w:val="0"/>
          <w:numId w:val="13"/>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Understand the Relevancy of The Employee Engagement in The Hotel Industry</w:t>
      </w:r>
    </w:p>
    <w:p>
      <w:pPr>
        <w:numPr>
          <w:ilvl w:val="0"/>
          <w:numId w:val="13"/>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Evaluate the Impact of Work Environment on The Employee Engagement </w:t>
      </w:r>
    </w:p>
    <w:p>
      <w:pPr>
        <w:numPr>
          <w:ilvl w:val="0"/>
          <w:numId w:val="13"/>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Understand the Connection Between Competitive Advantage and Employee Engagement </w:t>
      </w:r>
    </w:p>
    <w:p>
      <w:pPr>
        <w:numPr>
          <w:ilvl w:val="0"/>
          <w:numId w:val="13"/>
        </w:numPr>
        <w:spacing w:before="0" w:after="12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Understand the CSR Impact on The Hotel Industry </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1.5. Significance of the Research</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Employee Engagementis immensely linked with the overall work environment of the hotels in the hotel industry, and the list also expands since there are various factors as well that heavily influence as well as affect employee engagement. The profitability, productivity and most importantly, success are very strongly connected with the proper executive of ways that can improve and enhance the employee engagement, and in addition to that, it also aids in gaining a competitive advantage as well in the business environment where another businessis heavily battling against each other to offer unique and impactful experiences to the customers in the hotel industry. </w:t>
      </w:r>
    </w:p>
    <w:p>
      <w:pPr>
        <w:keepNext w:val="true"/>
        <w:keepLines w:val="true"/>
        <w:spacing w:before="0" w:after="120" w:line="360"/>
        <w:ind w:right="0" w:left="0" w:firstLine="0"/>
        <w:jc w:val="both"/>
        <w:rPr>
          <w:rFonts w:ascii="Arial" w:hAnsi="Arial" w:cs="Arial" w:eastAsia="Arial"/>
          <w:b/>
          <w:color w:val="2E74B5"/>
          <w:spacing w:val="0"/>
          <w:position w:val="0"/>
          <w:sz w:val="32"/>
          <w:shd w:fill="auto" w:val="clear"/>
        </w:rPr>
      </w:pPr>
      <w:r>
        <w:rPr>
          <w:rFonts w:ascii="Arial" w:hAnsi="Arial" w:cs="Arial" w:eastAsia="Arial"/>
          <w:b/>
          <w:color w:val="2E74B5"/>
          <w:spacing w:val="0"/>
          <w:position w:val="0"/>
          <w:sz w:val="32"/>
          <w:shd w:fill="auto" w:val="clear"/>
        </w:rPr>
        <w:t xml:space="preserve">Chapter 2: Discussion and Literature</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2.1. Methodology</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2.1.2. Research Methodology</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For gaining comprehensive insights and learning from the report, a mixed research methodology has been certainly used by the researcher to conduct the research effectively and efficiently. The mixed research methodology involves the use of secondary sources of data as well as primary sources ofdata (Sileyew, 2019). The secondary data resources have been researchedand collected from various authentic journals, articles, and websites by the researcher. In addition to that, the primary data resources involve the preparation of questionnaires that were sent to the employees or the human workforce for knowing their valuable insights, opinions and knowledge about the hotel(Budianto, 2020). </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simple words, primary data means any data that has been collected and generated originally via interviews, surveys or questionnaires etc. On the other hand, Secondary Data are the data collected from already available sources and study materials (Sherif,2021).The secondary research always remains very helpful to get the overall idea and various new insights about the employee engagement, and the primary research aid in providing the practical experience that raises the question about how what and why related to the employee engagement impact, influence, and what it is? What is the scope of employee engagement in the hotel industry? Therefore, analysing their options from the questionnairewill aid in understanding the situation in the hotel industry and whether it can be improved or not. </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2.1.3. Research Tools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many research tools available in the market that can be used to conduct and carry the research forward effectively and efficiently. For this report, the research can easily make use of Microsoft Words, Google Forms and many suitable tools for making surveys or questionnaires (Sandhya</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2020). It can be observed from the various researches that many times, the researchers usually engage in utilising the Google Forms or other platforms that are similar in nature. </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discussed, the creation of the questionnaires or surveys is part of the primary data sources that aid in gaining valuable and distinct insights as well as knowledge about the overall situation of employee engagement in the hotel industry.The use of qualitative as well as quantitative datais utilised by the researcher for the research (Pluye</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2018). The use of tools such as interviewing, questionnaires and discussion and reviewing of the documents are utilised by the researchers to conduct comprehensive research. In addition to that, the qualitative method involves putting the factors likevalues, feelings, opinions and attitudes of various employees working in the hotel to understand the importance of employee engagement. </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2.2. Literature Review</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2.2.1.Role of Employee Engagement in Building the Competitive Advantage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per Kahn (1990), Employee Engagement is one of the notionsthat is being actively being researched and discussed by various practitioners and researchers. Employee Engagement means how the human workforce applies themselves cognitively, physically and emotionally while performing the job.According to Singh (2019), there is a strong requirement for analysis of the planned work as well as the design of work that aids the human workforce towork with greater commitment and the organisation, and these are totally capable of influencing the organisational performance as well as the individual performance and these can altogether contribute in improving and enhancing the satisfaction level of the employees effectively and efficiently as per Klaus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(2003); Elrehail</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(2019).Employee appraisal aid immensely in providing a competitive advantage to the hotels in the hotel industry, but it can be identified that the whole procedure of employee appraisal is a meticulous procedure that includes an evaluation which is systematic in nature as per Yeng,Jusohand Ishak (2018).</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2.2.2.Importance of Corporate Social Responsibility in improving the Employee Engagement</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CSR is another important factor behind improving employee engagement and contributes to overcoming the problems such as staff shortage, poor growth and development opportunities, poor management and ineffective and inefficient training. As per Aguilera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(2007), the Corporate Social Responsibility might influence the human workforce via various different mechanisms than recognition, such as social exchange and the Corporate Social Responsibility, also known as CSR, can influence the attitudes, needs and behaviour. According to Ashforth and Mael (1989), direct perception of Corporate Social Responsibility could affect the human workforce since CSR has a direct impact on social recognition in various fields like the prestige of the business organisation, the self-esteem of the human workforce and external image as well. As per Tyler and Blader (2013); Gürlekand Tuna (2019), Corporate Social Responsibility can immensely aid in enhancing the overall self-esteem of the employees by effectively increasing the pride of employees or the human workforce for their organisation. In addition to that, pride can immensely aid in putting extra effort while also enhancing the employee engagement level.</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2.2.3. Influence of Work Environment on Employees Engagement</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per Bakker and Demerouti (2008), Job demands mean the physical, societal and psychological aspects of any job where thephysical,psychological and mental effort are required from the employees, which can result in the costs related to psychology or physiology. In the hotel industry, the employees or the human workforce that are working in various frontline positions, which necessitates the ability of effective stress management,and even in the work environment that is demanding, the employees or the human resource can perform to their full potential as per Yoo and Arnold (2016). According to Shuck and Rocco (2014); Johnson,Parkand Bartlett (2018), the work environment as well as the resources of the hotel, including the various learning opportunities that aid in providing support to the employees or the human workforce and ultimately, it can contribute in effectively influencing the employeeengagement. </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2.2.4.Importance of Financial Incentives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is a strong link between the proper work environment as well as job satisfaction since these both areimportant aspects of increasing employee engagement. Financial incentives are a big part of an effective work environment. According to Dwesini (2019), asupportive work environmentwith effective rewards and incentives to the employees or the workforce can aid in boosting the overall morale of the employees and, most importantly, the mental well-being of the employees or the human workforce can be maintained as well. As per Nasurdin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(2015), effective monetary rewards being provided to the hotel employees or the human workforce are very relevant since, in the hotel industry, jobs mainly have low salaries and fewer benefits.</w:t>
      </w:r>
    </w:p>
    <w:p>
      <w:pPr>
        <w:keepNext w:val="true"/>
        <w:keepLines w:val="true"/>
        <w:spacing w:before="0" w:after="120" w:line="360"/>
        <w:ind w:right="0" w:left="0" w:firstLine="0"/>
        <w:jc w:val="both"/>
        <w:rPr>
          <w:rFonts w:ascii="Arial" w:hAnsi="Arial" w:cs="Arial" w:eastAsia="Arial"/>
          <w:b/>
          <w:color w:val="ED7D31"/>
          <w:spacing w:val="0"/>
          <w:position w:val="0"/>
          <w:sz w:val="24"/>
          <w:shd w:fill="auto" w:val="clear"/>
        </w:rPr>
      </w:pPr>
      <w:r>
        <w:rPr>
          <w:rFonts w:ascii="Arial" w:hAnsi="Arial" w:cs="Arial" w:eastAsia="Arial"/>
          <w:b/>
          <w:color w:val="ED7D31"/>
          <w:spacing w:val="0"/>
          <w:position w:val="0"/>
          <w:sz w:val="24"/>
          <w:shd w:fill="auto" w:val="clear"/>
        </w:rPr>
        <w:t xml:space="preserve">2.2.5. Career Development Opportunities in the Hotel Industry</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Baharinand Hanafi (2018), Career Development and growth opportunities in the hotel industry is another integral aspect of improving the overall employee engagement in the hotel industry. It can be explained as a formal perspective that is carried by the organisation to discover that the employees or the human workforce that are meeting the attributesrequired by the hotel are available whenever the need arises. As per Guan</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(2014), the employees or the workforce that are having as well as experiencing a greater level of career flexibility will always engage in accomplishing a greater level of satisfaction. In addition to that, according to Guan</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(2014), the problem of high employee turnover can be overcome by providing effective career development and growth opportunities while also giving higher career satisfaction. </w:t>
      </w:r>
    </w:p>
    <w:p>
      <w:pPr>
        <w:keepNext w:val="true"/>
        <w:keepLines w:val="true"/>
        <w:spacing w:before="0" w:after="120" w:line="360"/>
        <w:ind w:right="0" w:left="0" w:firstLine="0"/>
        <w:jc w:val="both"/>
        <w:rPr>
          <w:rFonts w:ascii="Arial" w:hAnsi="Arial" w:cs="Arial" w:eastAsia="Arial"/>
          <w:b/>
          <w:color w:val="2E74B5"/>
          <w:spacing w:val="0"/>
          <w:position w:val="0"/>
          <w:sz w:val="32"/>
          <w:shd w:fill="auto" w:val="clear"/>
        </w:rPr>
      </w:pPr>
      <w:r>
        <w:rPr>
          <w:rFonts w:ascii="Arial" w:hAnsi="Arial" w:cs="Arial" w:eastAsia="Arial"/>
          <w:b/>
          <w:color w:val="2E74B5"/>
          <w:spacing w:val="0"/>
          <w:position w:val="0"/>
          <w:sz w:val="32"/>
          <w:shd w:fill="auto" w:val="clear"/>
        </w:rPr>
        <w:t xml:space="preserve">Chapter 3: Evaluation and Conclusion</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3.1. Evaluation</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above analysis, it can be identified that the premier Inn can be hugely benefitted and can increase the overall employee engagement, especially during the time of the pandemic. The proposed method involves the utilisation of the mixed methodology that includes the use of secondary as well as primary data sources. The secondary data sources aided in providing the importance of employee engagement in driving employee engagement and how it can lower employee or human workforce turnover.The employees or the human workforce must get the right growth and development opportunities; otherwise, the job can become very monotonous for the employees or the human workforce. It can also aid in realising the full potential of the employees in the hotel industry. </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work environment of the Premier Inn is required to be improvedmore, and most importantly, it needs to be consistent for increasing the overall profitability and productivity so that customer satisfaction can be maintained along with employee satisfaction as well. In the time of the ongoing pandemic, it is already very difficult for the hotel to improve the overall employee engagement, and it can be observed that Premier Inn is already investing financial resources in retaining the human workforce or the employees working in the hotel industry(Hancock, 2021).The quality human resource or the employees will always be the key toattaining an effective competitive advantage in the hotel industry. Human resource is among the critical keys to providing an effective experience to the customers and increasing brand loyalty, and building an effective brand image of the hotel brand in the process. </w:t>
      </w:r>
    </w:p>
    <w:p>
      <w:pPr>
        <w:keepNext w:val="true"/>
        <w:keepLines w:val="true"/>
        <w:spacing w:before="0" w:after="120" w:line="360"/>
        <w:ind w:right="0" w:left="0" w:firstLine="0"/>
        <w:jc w:val="both"/>
        <w:rPr>
          <w:rFonts w:ascii="Arial" w:hAnsi="Arial" w:cs="Arial" w:eastAsia="Arial"/>
          <w:b/>
          <w:color w:val="70AD47"/>
          <w:spacing w:val="0"/>
          <w:position w:val="0"/>
          <w:sz w:val="28"/>
          <w:shd w:fill="auto" w:val="clear"/>
        </w:rPr>
      </w:pPr>
      <w:r>
        <w:rPr>
          <w:rFonts w:ascii="Arial" w:hAnsi="Arial" w:cs="Arial" w:eastAsia="Arial"/>
          <w:b/>
          <w:color w:val="70AD47"/>
          <w:spacing w:val="0"/>
          <w:position w:val="0"/>
          <w:sz w:val="28"/>
          <w:shd w:fill="auto" w:val="clear"/>
        </w:rPr>
        <w:t xml:space="preserve">3.2. Conclusion</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Therefore, by considering all the necessary knowledge and insights of the whole research, it can be concluded that employee engagement might play a critical and vital role in fostering the overall productivity and profitability of the hotel effectively and efficiently. There is a strong requirement of having effective implementation of the financial system that rewards the employees or the human workforce impactfully. In addition to that, growth and development opportunities are among the necessary means of achieving the proper work environment where employee engagement can be improved.</w:t>
      </w:r>
    </w:p>
    <w:p>
      <w:pPr>
        <w:spacing w:before="0" w:after="12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20" w:line="360"/>
        <w:ind w:right="0" w:left="0" w:firstLine="0"/>
        <w:jc w:val="left"/>
        <w:rPr>
          <w:rFonts w:ascii="Arial" w:hAnsi="Arial" w:cs="Arial" w:eastAsia="Arial"/>
          <w:b/>
          <w:color w:val="2E74B5"/>
          <w:spacing w:val="0"/>
          <w:position w:val="0"/>
          <w:sz w:val="32"/>
          <w:shd w:fill="auto" w:val="clear"/>
        </w:rPr>
      </w:pPr>
    </w:p>
    <w:p>
      <w:pPr>
        <w:keepNext w:val="true"/>
        <w:keepLines w:val="true"/>
        <w:spacing w:before="0" w:after="120" w:line="360"/>
        <w:ind w:right="0" w:left="0" w:firstLine="0"/>
        <w:jc w:val="both"/>
        <w:rPr>
          <w:rFonts w:ascii="Arial" w:hAnsi="Arial" w:cs="Arial" w:eastAsia="Arial"/>
          <w:b/>
          <w:color w:val="2E74B5"/>
          <w:spacing w:val="0"/>
          <w:position w:val="0"/>
          <w:sz w:val="32"/>
          <w:shd w:fill="auto" w:val="clear"/>
        </w:rPr>
      </w:pPr>
      <w:r>
        <w:rPr>
          <w:rFonts w:ascii="Arial" w:hAnsi="Arial" w:cs="Arial" w:eastAsia="Arial"/>
          <w:b/>
          <w:color w:val="2E74B5"/>
          <w:spacing w:val="0"/>
          <w:position w:val="0"/>
          <w:sz w:val="32"/>
          <w:shd w:fill="auto" w:val="clear"/>
        </w:rPr>
        <w:t xml:space="preserve">References</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Aguilera, R.V., Rupp, D.E., Williams, C.A. and Ganapathi, J., 2007. Putting the S back in corporate social responsibility: A multilevel theory of social change in organisations. </w:t>
      </w:r>
      <w:r>
        <w:rPr>
          <w:rFonts w:ascii="Arial" w:hAnsi="Arial" w:cs="Arial" w:eastAsia="Arial"/>
          <w:i/>
          <w:color w:val="auto"/>
          <w:spacing w:val="0"/>
          <w:position w:val="0"/>
          <w:sz w:val="24"/>
          <w:shd w:fill="auto" w:val="clear"/>
        </w:rPr>
        <w:t xml:space="preserve">Academy of management review</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32</w:t>
      </w:r>
      <w:r>
        <w:rPr>
          <w:rFonts w:ascii="Arial" w:hAnsi="Arial" w:cs="Arial" w:eastAsia="Arial"/>
          <w:color w:val="auto"/>
          <w:spacing w:val="0"/>
          <w:position w:val="0"/>
          <w:sz w:val="24"/>
          <w:shd w:fill="auto" w:val="clear"/>
        </w:rPr>
        <w:t xml:space="preserve">(3), pp.836-863.</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Ashforth, B.E. and Mael, F., 1989. Social identity theory and the organisation. </w:t>
      </w:r>
      <w:r>
        <w:rPr>
          <w:rFonts w:ascii="Arial" w:hAnsi="Arial" w:cs="Arial" w:eastAsia="Arial"/>
          <w:i/>
          <w:color w:val="auto"/>
          <w:spacing w:val="0"/>
          <w:position w:val="0"/>
          <w:sz w:val="24"/>
          <w:shd w:fill="auto" w:val="clear"/>
        </w:rPr>
        <w:t xml:space="preserve">Academy of management review</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14</w:t>
      </w:r>
      <w:r>
        <w:rPr>
          <w:rFonts w:ascii="Arial" w:hAnsi="Arial" w:cs="Arial" w:eastAsia="Arial"/>
          <w:color w:val="auto"/>
          <w:spacing w:val="0"/>
          <w:position w:val="0"/>
          <w:sz w:val="24"/>
          <w:shd w:fill="auto" w:val="clear"/>
        </w:rPr>
        <w:t xml:space="preserve">(1), pp.20-39.  </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Baharin, N.L. and Hanafi, W.N.W., 2018. Effects of talent management on employee retention: A case study of hospitality industry. </w:t>
      </w:r>
      <w:r>
        <w:rPr>
          <w:rFonts w:ascii="Arial" w:hAnsi="Arial" w:cs="Arial" w:eastAsia="Arial"/>
          <w:i/>
          <w:color w:val="auto"/>
          <w:spacing w:val="0"/>
          <w:position w:val="0"/>
          <w:sz w:val="24"/>
          <w:shd w:fill="auto" w:val="clear"/>
        </w:rPr>
        <w:t xml:space="preserve">Global Business and Management Research</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10</w:t>
      </w:r>
      <w:r>
        <w:rPr>
          <w:rFonts w:ascii="Arial" w:hAnsi="Arial" w:cs="Arial" w:eastAsia="Arial"/>
          <w:color w:val="auto"/>
          <w:spacing w:val="0"/>
          <w:position w:val="0"/>
          <w:sz w:val="24"/>
          <w:shd w:fill="auto" w:val="clear"/>
        </w:rPr>
        <w:t xml:space="preserve">(3), p.697.</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Bakker, A.B., Demerouti, E. and Dollard, M.F., 2008. How job demands affect partners' experience of exhaustion: integrating work-family conflict and crossover theory. </w:t>
      </w:r>
      <w:r>
        <w:rPr>
          <w:rFonts w:ascii="Arial" w:hAnsi="Arial" w:cs="Arial" w:eastAsia="Arial"/>
          <w:i/>
          <w:color w:val="auto"/>
          <w:spacing w:val="0"/>
          <w:position w:val="0"/>
          <w:sz w:val="24"/>
          <w:shd w:fill="auto" w:val="clear"/>
        </w:rPr>
        <w:t xml:space="preserve">Journal of Applied Psychology</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93</w:t>
      </w:r>
      <w:r>
        <w:rPr>
          <w:rFonts w:ascii="Arial" w:hAnsi="Arial" w:cs="Arial" w:eastAsia="Arial"/>
          <w:color w:val="auto"/>
          <w:spacing w:val="0"/>
          <w:position w:val="0"/>
          <w:sz w:val="24"/>
          <w:shd w:fill="auto" w:val="clear"/>
        </w:rPr>
        <w:t xml:space="preserve">(4), p.901.</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Bower, J., 2018. Whitbread: routines and resource building on the path from brewer to the retailer. </w:t>
      </w:r>
      <w:r>
        <w:rPr>
          <w:rFonts w:ascii="Arial" w:hAnsi="Arial" w:cs="Arial" w:eastAsia="Arial"/>
          <w:i/>
          <w:color w:val="auto"/>
          <w:spacing w:val="0"/>
          <w:position w:val="0"/>
          <w:sz w:val="24"/>
          <w:shd w:fill="auto" w:val="clear"/>
        </w:rPr>
        <w:t xml:space="preserve">Management &amp;Organisational History</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13</w:t>
      </w:r>
      <w:r>
        <w:rPr>
          <w:rFonts w:ascii="Arial" w:hAnsi="Arial" w:cs="Arial" w:eastAsia="Arial"/>
          <w:color w:val="auto"/>
          <w:spacing w:val="0"/>
          <w:position w:val="0"/>
          <w:sz w:val="24"/>
          <w:shd w:fill="auto" w:val="clear"/>
        </w:rPr>
        <w:t xml:space="preserve">(1), pp.1-23.</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Budianto, A., 2020. Legal Research Methodology Reposition in Research on Social Science. </w:t>
      </w:r>
      <w:r>
        <w:rPr>
          <w:rFonts w:ascii="Arial" w:hAnsi="Arial" w:cs="Arial" w:eastAsia="Arial"/>
          <w:i/>
          <w:color w:val="auto"/>
          <w:spacing w:val="0"/>
          <w:position w:val="0"/>
          <w:sz w:val="24"/>
          <w:shd w:fill="auto" w:val="clear"/>
        </w:rPr>
        <w:t xml:space="preserve">International Journal of Criminology and Sociology</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9</w:t>
      </w:r>
      <w:r>
        <w:rPr>
          <w:rFonts w:ascii="Arial" w:hAnsi="Arial" w:cs="Arial" w:eastAsia="Arial"/>
          <w:color w:val="auto"/>
          <w:spacing w:val="0"/>
          <w:position w:val="0"/>
          <w:sz w:val="24"/>
          <w:shd w:fill="auto" w:val="clear"/>
        </w:rPr>
        <w:t xml:space="preserve">, pp.1339-1346.</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Design, N.F., 2019. Causes and prevention of high employee turnover within the hospitality industry: A literature review. </w:t>
      </w:r>
      <w:r>
        <w:rPr>
          <w:rFonts w:ascii="Arial" w:hAnsi="Arial" w:cs="Arial" w:eastAsia="Arial"/>
          <w:i/>
          <w:color w:val="auto"/>
          <w:spacing w:val="0"/>
          <w:position w:val="0"/>
          <w:sz w:val="24"/>
          <w:shd w:fill="auto" w:val="clear"/>
        </w:rPr>
        <w:t xml:space="preserve">African Journal of Hospitality, Tourism and Leisure</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8</w:t>
      </w:r>
      <w:r>
        <w:rPr>
          <w:rFonts w:ascii="Arial" w:hAnsi="Arial" w:cs="Arial" w:eastAsia="Arial"/>
          <w:color w:val="auto"/>
          <w:spacing w:val="0"/>
          <w:position w:val="0"/>
          <w:sz w:val="24"/>
          <w:shd w:fill="auto" w:val="clear"/>
        </w:rPr>
        <w:t xml:space="preserve">(3), pp.1-15.</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Elrehail, H., Harazneh, I., Abuhjeeleh, M., Alzghoul, A., Alnajdawi, S. and Ibrahim, H.M.H., 2019. Employee satisfaction, human resource management practices and competitive advantage: The case of Northern Cyprus. </w:t>
      </w:r>
      <w:r>
        <w:rPr>
          <w:rFonts w:ascii="Arial" w:hAnsi="Arial" w:cs="Arial" w:eastAsia="Arial"/>
          <w:i/>
          <w:color w:val="auto"/>
          <w:spacing w:val="0"/>
          <w:position w:val="0"/>
          <w:sz w:val="24"/>
          <w:shd w:fill="auto" w:val="clear"/>
        </w:rPr>
        <w:t xml:space="preserve">European Journal of Management and Business Economics</w:t>
      </w:r>
      <w:r>
        <w:rPr>
          <w:rFonts w:ascii="Arial" w:hAnsi="Arial" w:cs="Arial" w:eastAsia="Arial"/>
          <w:color w:val="auto"/>
          <w:spacing w:val="0"/>
          <w:position w:val="0"/>
          <w:sz w:val="24"/>
          <w:shd w:fill="auto" w:val="clear"/>
        </w:rPr>
        <w:t xml:space="preserv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Guan, Y., Wen, Y., Chen, S.X., Liu, H., Si, W., Liu, Y., Wang, Y., Fu, R., Zhang, Y. and Dong, Z., 2014. When do salary and job level predict career satisfaction and turnover intention among Chinese managers? The role of perceived organisational career management and career anchor. </w:t>
      </w:r>
      <w:r>
        <w:rPr>
          <w:rFonts w:ascii="Arial" w:hAnsi="Arial" w:cs="Arial" w:eastAsia="Arial"/>
          <w:i/>
          <w:color w:val="auto"/>
          <w:spacing w:val="0"/>
          <w:position w:val="0"/>
          <w:sz w:val="24"/>
          <w:shd w:fill="auto" w:val="clear"/>
        </w:rPr>
        <w:t xml:space="preserve">European Journal of Work and Organizational Psychology</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23</w:t>
      </w:r>
      <w:r>
        <w:rPr>
          <w:rFonts w:ascii="Arial" w:hAnsi="Arial" w:cs="Arial" w:eastAsia="Arial"/>
          <w:color w:val="auto"/>
          <w:spacing w:val="0"/>
          <w:position w:val="0"/>
          <w:sz w:val="24"/>
          <w:shd w:fill="auto" w:val="clear"/>
        </w:rPr>
        <w:t xml:space="preserve">(4), pp.596-607.</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Gürlek, M. and Tuna, M., 2019. Corporate social responsibility and work engagement: Evidence from the hotel industry. </w:t>
      </w:r>
      <w:r>
        <w:rPr>
          <w:rFonts w:ascii="Arial" w:hAnsi="Arial" w:cs="Arial" w:eastAsia="Arial"/>
          <w:i/>
          <w:color w:val="auto"/>
          <w:spacing w:val="0"/>
          <w:position w:val="0"/>
          <w:sz w:val="24"/>
          <w:shd w:fill="auto" w:val="clear"/>
        </w:rPr>
        <w:t xml:space="preserve">Tourism Management Perspectives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31</w:t>
      </w:r>
      <w:r>
        <w:rPr>
          <w:rFonts w:ascii="Arial" w:hAnsi="Arial" w:cs="Arial" w:eastAsia="Arial"/>
          <w:color w:val="auto"/>
          <w:spacing w:val="0"/>
          <w:position w:val="0"/>
          <w:sz w:val="24"/>
          <w:shd w:fill="auto" w:val="clear"/>
        </w:rPr>
        <w:t xml:space="preserve">, pp.195-208.</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Hancock, A., 2021. Premier Inn owner Whitbread spends £23m to retain staff. </w:t>
      </w:r>
      <w:r>
        <w:rPr>
          <w:rFonts w:ascii="Arial" w:hAnsi="Arial" w:cs="Arial" w:eastAsia="Arial"/>
          <w:i/>
          <w:color w:val="auto"/>
          <w:spacing w:val="0"/>
          <w:position w:val="0"/>
          <w:sz w:val="24"/>
          <w:shd w:fill="auto" w:val="clear"/>
        </w:rPr>
        <w:t xml:space="preserve">Financial Times</w:t>
      </w:r>
      <w:r>
        <w:rPr>
          <w:rFonts w:ascii="Arial" w:hAnsi="Arial" w:cs="Arial" w:eastAsia="Arial"/>
          <w:color w:val="auto"/>
          <w:spacing w:val="0"/>
          <w:position w:val="0"/>
          <w:sz w:val="24"/>
          <w:shd w:fill="auto" w:val="clear"/>
        </w:rPr>
        <w:t xml:space="preserve">. [online] 26 Oct.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https://www.ft.com/content/b2b6c145-f0ab-4fdd-a711-909ccffccf5f</w:t>
        </w:r>
      </w:hyperlink>
      <w:r>
        <w:rPr>
          <w:rFonts w:ascii="Arial" w:hAnsi="Arial" w:cs="Arial" w:eastAsia="Arial"/>
          <w:color w:val="auto"/>
          <w:spacing w:val="0"/>
          <w:position w:val="0"/>
          <w:sz w:val="24"/>
          <w:shd w:fill="auto" w:val="clear"/>
        </w:rPr>
        <w:t xml:space="preserve"> [Accessed on 24 Jun. 2022].</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Johnson, K.R., Park, S. and Bartlett, K.R., 2018. Perceptions of customer service orientation, training, and employee engagement in Jamaica’s hospitality sector. </w:t>
      </w:r>
      <w:r>
        <w:rPr>
          <w:rFonts w:ascii="Arial" w:hAnsi="Arial" w:cs="Arial" w:eastAsia="Arial"/>
          <w:i/>
          <w:color w:val="auto"/>
          <w:spacing w:val="0"/>
          <w:position w:val="0"/>
          <w:sz w:val="24"/>
          <w:shd w:fill="auto" w:val="clear"/>
        </w:rPr>
        <w:t xml:space="preserve">European Journal of Training and Development</w:t>
      </w:r>
      <w:r>
        <w:rPr>
          <w:rFonts w:ascii="Arial" w:hAnsi="Arial" w:cs="Arial" w:eastAsia="Arial"/>
          <w:color w:val="auto"/>
          <w:spacing w:val="0"/>
          <w:position w:val="0"/>
          <w:sz w:val="24"/>
          <w:shd w:fill="auto" w:val="clear"/>
        </w:rPr>
        <w:t xml:space="preserv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Kahn, W.A., 1990. Psychological conditions of personal engagement and disengagement at work. </w:t>
      </w:r>
      <w:r>
        <w:rPr>
          <w:rFonts w:ascii="Arial" w:hAnsi="Arial" w:cs="Arial" w:eastAsia="Arial"/>
          <w:i/>
          <w:color w:val="auto"/>
          <w:spacing w:val="0"/>
          <w:position w:val="0"/>
          <w:sz w:val="24"/>
          <w:shd w:fill="auto" w:val="clear"/>
        </w:rPr>
        <w:t xml:space="preserve">Academy of management journal</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33</w:t>
      </w:r>
      <w:r>
        <w:rPr>
          <w:rFonts w:ascii="Arial" w:hAnsi="Arial" w:cs="Arial" w:eastAsia="Arial"/>
          <w:color w:val="auto"/>
          <w:spacing w:val="0"/>
          <w:position w:val="0"/>
          <w:sz w:val="24"/>
          <w:shd w:fill="auto" w:val="clear"/>
        </w:rPr>
        <w:t xml:space="preserve">(4), pp.692-724.</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Klaus, T., LeRouge, C. and Blanton, J.E., 2003, April. An examination of the relationships between select nature of work characteristics and organisational commitment of IT professionals. In </w:t>
      </w:r>
      <w:r>
        <w:rPr>
          <w:rFonts w:ascii="Arial" w:hAnsi="Arial" w:cs="Arial" w:eastAsia="Arial"/>
          <w:i/>
          <w:color w:val="auto"/>
          <w:spacing w:val="0"/>
          <w:position w:val="0"/>
          <w:sz w:val="24"/>
          <w:shd w:fill="auto" w:val="clear"/>
        </w:rPr>
        <w:t xml:space="preserve">Proceedings of the 2003 SIGMIS conference on Computer personnel research: Freedom in Philadelphia--leveraging differences and diversity in the IT workforce</w:t>
      </w:r>
      <w:r>
        <w:rPr>
          <w:rFonts w:ascii="Arial" w:hAnsi="Arial" w:cs="Arial" w:eastAsia="Arial"/>
          <w:color w:val="auto"/>
          <w:spacing w:val="0"/>
          <w:position w:val="0"/>
          <w:sz w:val="24"/>
          <w:shd w:fill="auto" w:val="clear"/>
        </w:rPr>
        <w:t xml:space="preserve"> (pp. 147-149).</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Nasurdin, A.M., Ahmad, N.H. and Tan, C.L., 2015. Cultivating service-oriented citizenship behavior among hotel employees: the instrumental roles of training and compensation. </w:t>
      </w:r>
      <w:r>
        <w:rPr>
          <w:rFonts w:ascii="Arial" w:hAnsi="Arial" w:cs="Arial" w:eastAsia="Arial"/>
          <w:i/>
          <w:color w:val="auto"/>
          <w:spacing w:val="0"/>
          <w:position w:val="0"/>
          <w:sz w:val="24"/>
          <w:shd w:fill="auto" w:val="clear"/>
        </w:rPr>
        <w:t xml:space="preserve">Service Business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9</w:t>
      </w:r>
      <w:r>
        <w:rPr>
          <w:rFonts w:ascii="Arial" w:hAnsi="Arial" w:cs="Arial" w:eastAsia="Arial"/>
          <w:color w:val="auto"/>
          <w:spacing w:val="0"/>
          <w:position w:val="0"/>
          <w:sz w:val="24"/>
          <w:shd w:fill="auto" w:val="clear"/>
        </w:rPr>
        <w:t xml:space="preserve">(2), pp.343-360.</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Pluye, P., García, E., Granikov, V., Kaur, N. and Li, D., 2018. A world of possibilities in mixed methods: review of the combinations of strategies used to integrate the phases, results, and qualitative and quantitative data. </w:t>
      </w:r>
      <w:r>
        <w:rPr>
          <w:rFonts w:ascii="Arial" w:hAnsi="Arial" w:cs="Arial" w:eastAsia="Arial"/>
          <w:i/>
          <w:color w:val="auto"/>
          <w:spacing w:val="0"/>
          <w:position w:val="0"/>
          <w:sz w:val="24"/>
          <w:shd w:fill="auto" w:val="clear"/>
        </w:rPr>
        <w:t xml:space="preserve">International Journal</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10</w:t>
      </w:r>
      <w:r>
        <w:rPr>
          <w:rFonts w:ascii="Arial" w:hAnsi="Arial" w:cs="Arial" w:eastAsia="Arial"/>
          <w:color w:val="auto"/>
          <w:spacing w:val="0"/>
          <w:position w:val="0"/>
          <w:sz w:val="24"/>
          <w:shd w:fill="auto" w:val="clear"/>
        </w:rPr>
        <w:t xml:space="preserve">(1), pp.1-16.</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Sandhya, S., Koppad, S.H., Kumar, S.A., Dharani, A., Uma, B.V. and Subramanya, K.N., 2020. Adoption of Google Forms for enhancing collaborative stakeholder engagement in higher education. </w:t>
      </w:r>
      <w:r>
        <w:rPr>
          <w:rFonts w:ascii="Arial" w:hAnsi="Arial" w:cs="Arial" w:eastAsia="Arial"/>
          <w:i/>
          <w:color w:val="auto"/>
          <w:spacing w:val="0"/>
          <w:position w:val="0"/>
          <w:sz w:val="24"/>
          <w:shd w:fill="auto" w:val="clear"/>
        </w:rPr>
        <w:t xml:space="preserve">Journal of Engineering Education Transformations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33</w:t>
      </w:r>
      <w:r>
        <w:rPr>
          <w:rFonts w:ascii="Arial" w:hAnsi="Arial" w:cs="Arial" w:eastAsia="Arial"/>
          <w:color w:val="auto"/>
          <w:spacing w:val="0"/>
          <w:position w:val="0"/>
          <w:sz w:val="24"/>
          <w:shd w:fill="auto" w:val="clear"/>
        </w:rPr>
        <w:t xml:space="preserve">, pp.283-289.</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Sherif, V., 2021. Qualitative secondary analysis (QSA) as a research methodology. In </w:t>
      </w:r>
      <w:r>
        <w:rPr>
          <w:rFonts w:ascii="Arial" w:hAnsi="Arial" w:cs="Arial" w:eastAsia="Arial"/>
          <w:i/>
          <w:color w:val="auto"/>
          <w:spacing w:val="0"/>
          <w:position w:val="0"/>
          <w:sz w:val="24"/>
          <w:shd w:fill="auto" w:val="clear"/>
        </w:rPr>
        <w:t xml:space="preserve">Secondary Research Methods in the Built Environment</w:t>
      </w:r>
      <w:r>
        <w:rPr>
          <w:rFonts w:ascii="Arial" w:hAnsi="Arial" w:cs="Arial" w:eastAsia="Arial"/>
          <w:color w:val="auto"/>
          <w:spacing w:val="0"/>
          <w:position w:val="0"/>
          <w:sz w:val="24"/>
          <w:shd w:fill="auto" w:val="clear"/>
        </w:rPr>
        <w:t xml:space="preserve"> (pp. 40-54). Routledge.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Sileyew, K.J., 2019. </w:t>
      </w:r>
      <w:r>
        <w:rPr>
          <w:rFonts w:ascii="Arial" w:hAnsi="Arial" w:cs="Arial" w:eastAsia="Arial"/>
          <w:i/>
          <w:color w:val="auto"/>
          <w:spacing w:val="0"/>
          <w:position w:val="0"/>
          <w:sz w:val="24"/>
          <w:shd w:fill="auto" w:val="clear"/>
        </w:rPr>
        <w:t xml:space="preserve">Research design and methodology</w:t>
      </w:r>
      <w:r>
        <w:rPr>
          <w:rFonts w:ascii="Arial" w:hAnsi="Arial" w:cs="Arial" w:eastAsia="Arial"/>
          <w:color w:val="auto"/>
          <w:spacing w:val="0"/>
          <w:position w:val="0"/>
          <w:sz w:val="24"/>
          <w:shd w:fill="auto" w:val="clear"/>
        </w:rPr>
        <w:t xml:space="preserve"> (pp. 1-12). Rijeka: IntechOpen.</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Singh, J., 2019. Study of relation between CSR and employee engagement in hotel industry. In </w:t>
      </w:r>
      <w:r>
        <w:rPr>
          <w:rFonts w:ascii="Arial" w:hAnsi="Arial" w:cs="Arial" w:eastAsia="Arial"/>
          <w:i/>
          <w:color w:val="auto"/>
          <w:spacing w:val="0"/>
          <w:position w:val="0"/>
          <w:sz w:val="24"/>
          <w:shd w:fill="auto" w:val="clear"/>
        </w:rPr>
        <w:t xml:space="preserve">Corporate social responsibility: Concepts, methodologies, tools, and applications</w:t>
      </w:r>
      <w:r>
        <w:rPr>
          <w:rFonts w:ascii="Arial" w:hAnsi="Arial" w:cs="Arial" w:eastAsia="Arial"/>
          <w:color w:val="auto"/>
          <w:spacing w:val="0"/>
          <w:position w:val="0"/>
          <w:sz w:val="24"/>
          <w:shd w:fill="auto" w:val="clear"/>
        </w:rPr>
        <w:t xml:space="preserve"> (pp. 1243-1249). IGI Global.</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Tyler, T. and Blader, S., 2013. </w:t>
      </w:r>
      <w:r>
        <w:rPr>
          <w:rFonts w:ascii="Arial" w:hAnsi="Arial" w:cs="Arial" w:eastAsia="Arial"/>
          <w:i/>
          <w:color w:val="auto"/>
          <w:spacing w:val="0"/>
          <w:position w:val="0"/>
          <w:sz w:val="24"/>
          <w:shd w:fill="auto" w:val="clear"/>
        </w:rPr>
        <w:t xml:space="preserve">Cooperation in groups: Procedural justice, social identity, and behavioral engagement</w:t>
      </w:r>
      <w:r>
        <w:rPr>
          <w:rFonts w:ascii="Arial" w:hAnsi="Arial" w:cs="Arial" w:eastAsia="Arial"/>
          <w:color w:val="auto"/>
          <w:spacing w:val="0"/>
          <w:position w:val="0"/>
          <w:sz w:val="24"/>
          <w:shd w:fill="auto" w:val="clear"/>
        </w:rPr>
        <w:t xml:space="preserve">. Routledge.</w:t>
      </w:r>
    </w:p>
    <w:p>
      <w:pPr>
        <w:spacing w:before="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Yeng, S.K., Jusoh, M.S. and Ishak, N.A., 2018. The impact of Total Quality Management (TQM) On competitive advantage: A conceptual mixed-method study in the Malaysia Luxury hotel industries. </w:t>
      </w:r>
      <w:r>
        <w:rPr>
          <w:rFonts w:ascii="Arial" w:hAnsi="Arial" w:cs="Arial" w:eastAsia="Arial"/>
          <w:i/>
          <w:color w:val="auto"/>
          <w:spacing w:val="0"/>
          <w:position w:val="0"/>
          <w:sz w:val="24"/>
          <w:shd w:fill="auto" w:val="clear"/>
        </w:rPr>
        <w:t xml:space="preserve">Academy of Strategic Management Journal</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17</w:t>
      </w:r>
      <w:r>
        <w:rPr>
          <w:rFonts w:ascii="Arial" w:hAnsi="Arial" w:cs="Arial" w:eastAsia="Arial"/>
          <w:color w:val="auto"/>
          <w:spacing w:val="0"/>
          <w:position w:val="0"/>
          <w:sz w:val="24"/>
          <w:shd w:fill="auto" w:val="clear"/>
        </w:rPr>
        <w:t xml:space="preserve">(2), pp.1-9.</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11">
    <w:abstractNumId w:val="6"/>
  </w:num>
  <w:num w:numId="1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www.ft.com/content/b2b6c145-f0ab-4fdd-a711-909ccffccf5f" Id="docRId2" Type="http://schemas.openxmlformats.org/officeDocument/2006/relationships/hyperlink" /><Relationship Target="styles.xml" Id="docRId4" Type="http://schemas.openxmlformats.org/officeDocument/2006/relationships/styles" /></Relationships>
</file>