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05C51A" w14:textId="15EDD312" w:rsidR="00A120B0" w:rsidRPr="003E1B46" w:rsidRDefault="00925360">
      <w:pPr>
        <w:rPr>
          <w:b/>
          <w:bCs/>
          <w:u w:val="single"/>
        </w:rPr>
      </w:pPr>
      <w:r w:rsidRPr="003E1B46">
        <w:rPr>
          <w:b/>
          <w:bCs/>
          <w:u w:val="single"/>
        </w:rPr>
        <w:t>A Critical Evaluation of the Development of a Strategic Target in a School Development Plan: Actions, Impact, and Evidence-Based Reflections.</w:t>
      </w:r>
    </w:p>
    <w:p w14:paraId="6CA0685A" w14:textId="3AEF95D3" w:rsidR="00C12B88" w:rsidRDefault="00C12B88" w:rsidP="00C12B88">
      <w:r w:rsidRPr="00C12B88">
        <w:t xml:space="preserve">This assignment critically evaluates a key action point from the School Development Plan, focusing on embedding elements of Welsh, particularly in Oracy and aspects of Reading. </w:t>
      </w:r>
      <w:r w:rsidR="00297B2D" w:rsidRPr="00297B2D">
        <w:t>This goal is essential for developing bilingual proficiency, aligning with national efforts to enhance the Welsh language and support students' linguistic growth (Welsh Government, 2023).</w:t>
      </w:r>
      <w:r w:rsidR="00297B2D">
        <w:t xml:space="preserve"> </w:t>
      </w:r>
      <w:r w:rsidR="00A55246" w:rsidRPr="00A55246">
        <w:t>Improving Welsh oracy and reading skills not only enhances students' communication abilities but also ensures that all learners, including those with English as an Additional Language (EAL), have equitable access to language learning opportunities. This approach aligns with the Welsh Government's commitment to promoting bilingualism and supporting linguistic development among all students</w:t>
      </w:r>
      <w:r w:rsidR="00A55246">
        <w:t xml:space="preserve"> (Welsh Government, 2023).</w:t>
      </w:r>
    </w:p>
    <w:p w14:paraId="390056F5" w14:textId="0AECA912" w:rsidR="002B3B71" w:rsidRDefault="00F66CFD" w:rsidP="00C12B88">
      <w:r w:rsidRPr="00F66CFD">
        <w:t xml:space="preserve">The rise in the percentage of EAL students within the local authority, from 2.8% in 2018 to 3.5% in 2024 (Welsh Government, 2024), </w:t>
      </w:r>
      <w:r>
        <w:t>reflects a</w:t>
      </w:r>
      <w:r w:rsidRPr="00F66CFD">
        <w:t xml:space="preserve"> trend across Wales, where the national figure increased from 6.2% to 7.1% over the same period (</w:t>
      </w:r>
      <w:proofErr w:type="spellStart"/>
      <w:r w:rsidRPr="00F66CFD">
        <w:t>StatsWales</w:t>
      </w:r>
      <w:proofErr w:type="spellEnd"/>
      <w:r w:rsidRPr="00F66CFD">
        <w:t>, 2024).</w:t>
      </w:r>
      <w:r>
        <w:t xml:space="preserve"> </w:t>
      </w:r>
      <w:r w:rsidRPr="00F66CFD">
        <w:t xml:space="preserve">Specific data for School A is unavailable, but </w:t>
      </w:r>
      <w:r>
        <w:t>the growth in</w:t>
      </w:r>
      <w:r w:rsidRPr="00F66CFD">
        <w:t xml:space="preserve"> linguistic diversity </w:t>
      </w:r>
      <w:r>
        <w:t>emphasises</w:t>
      </w:r>
      <w:r w:rsidRPr="00F66CFD">
        <w:t xml:space="preserve"> the need to embed Welsh oracy and reading skills</w:t>
      </w:r>
      <w:r w:rsidR="002B3B71" w:rsidRPr="002B3B71">
        <w:t xml:space="preserve">. </w:t>
      </w:r>
      <w:r w:rsidR="00915F02" w:rsidRPr="00915F02">
        <w:t>Strengthening bilingual proficiency helps all learners, including EAL students, engage with the curriculum and supports the Welsh Government’s commitment to bilingualism</w:t>
      </w:r>
      <w:r w:rsidR="00915F02" w:rsidRPr="00915F02">
        <w:t xml:space="preserve"> </w:t>
      </w:r>
      <w:r w:rsidR="002B3B71" w:rsidRPr="002B3B71">
        <w:t>(Welsh Government, 2023)</w:t>
      </w:r>
      <w:r w:rsidR="002B3B71">
        <w:t>.</w:t>
      </w:r>
    </w:p>
    <w:p w14:paraId="76369BFD" w14:textId="26062BB4" w:rsidR="00E43557" w:rsidRPr="00E43557" w:rsidRDefault="00F66CFD" w:rsidP="00C12B88">
      <w:r>
        <w:t>School A</w:t>
      </w:r>
      <w:r w:rsidR="00E43557" w:rsidRPr="00E43557">
        <w:t xml:space="preserve"> </w:t>
      </w:r>
      <w:r w:rsidR="005F6D4F">
        <w:t>had</w:t>
      </w:r>
      <w:r w:rsidR="00E43557" w:rsidRPr="00E43557">
        <w:t xml:space="preserve"> 405 pupils in 2024, with 9.1% eligible for FSM</w:t>
      </w:r>
      <w:r>
        <w:t xml:space="preserve"> (Welsh Government, 2024)</w:t>
      </w:r>
      <w:r w:rsidR="00E43557" w:rsidRPr="00E43557">
        <w:t xml:space="preserve">, </w:t>
      </w:r>
      <w:r w:rsidRPr="00E43557">
        <w:t>signifying</w:t>
      </w:r>
      <w:r w:rsidR="00E43557" w:rsidRPr="00E43557">
        <w:t xml:space="preserve"> relatively low economic disadvantage</w:t>
      </w:r>
      <w:r w:rsidR="0061559B">
        <w:t xml:space="preserve"> as it is well below the national average (Estyn, 2020)</w:t>
      </w:r>
      <w:r w:rsidR="00E43557" w:rsidRPr="00E43557">
        <w:t xml:space="preserve">. Attendance is high at 94.3%, reflecting strong engagement. </w:t>
      </w:r>
      <w:r w:rsidR="009A6659" w:rsidRPr="009A6659">
        <w:t>3.7% of pupils are BAME</w:t>
      </w:r>
      <w:r w:rsidR="009A6659">
        <w:t xml:space="preserve"> (Welsh Government, 2024)</w:t>
      </w:r>
      <w:r w:rsidR="009A6659" w:rsidRPr="009A6659">
        <w:t>, and with a rising local EAL population, this underscores the need to embed Welsh oracy and reading for inclusive language learning.</w:t>
      </w:r>
    </w:p>
    <w:p w14:paraId="4FF20AFB" w14:textId="35C3D59E" w:rsidR="009A6659" w:rsidRDefault="009A6659" w:rsidP="00C12B88">
      <w:r>
        <w:t xml:space="preserve">I will </w:t>
      </w:r>
      <w:r w:rsidRPr="009A6659">
        <w:t xml:space="preserve">outline the rationale for choosing this target, explore implemented strategies, assess their impact on pupils, and </w:t>
      </w:r>
      <w:r>
        <w:t>discuss</w:t>
      </w:r>
      <w:r w:rsidRPr="009A6659">
        <w:t xml:space="preserve"> areas for improvement. It will follow BERA (20</w:t>
      </w:r>
      <w:r>
        <w:t>24</w:t>
      </w:r>
      <w:r w:rsidRPr="009A6659">
        <w:t>) ethical guidelines, maintaining confidentiality and referring to the school as School A (Bera, 2024).</w:t>
      </w:r>
    </w:p>
    <w:p w14:paraId="7E1297A5" w14:textId="4C1B5754" w:rsidR="008B655E" w:rsidRPr="00611126" w:rsidRDefault="008B655E" w:rsidP="00C12B88">
      <w:pPr>
        <w:rPr>
          <w:b/>
          <w:bCs/>
          <w:u w:val="single"/>
        </w:rPr>
      </w:pPr>
      <w:r w:rsidRPr="00611126">
        <w:rPr>
          <w:b/>
          <w:bCs/>
          <w:u w:val="single"/>
        </w:rPr>
        <w:t>Literature review</w:t>
      </w:r>
    </w:p>
    <w:p w14:paraId="43253C97" w14:textId="3F9392BF" w:rsidR="00A778FC" w:rsidRPr="00B37553" w:rsidRDefault="00CA0376" w:rsidP="00A778FC">
      <w:r w:rsidRPr="00CA0376">
        <w:t>The school development process is an ongoing cycle that supports improvement by aligning practices with national and regional priorities. It provides a framework of goals, actions, and success measures to guide progress (Donaldson, 2015).</w:t>
      </w:r>
      <w:r>
        <w:t xml:space="preserve"> </w:t>
      </w:r>
      <w:r w:rsidR="00A778FC" w:rsidRPr="00B37553">
        <w:t xml:space="preserve">In Wales, SDPs are </w:t>
      </w:r>
      <w:r w:rsidRPr="00B37553">
        <w:t>formed</w:t>
      </w:r>
      <w:r w:rsidR="00A778FC" w:rsidRPr="00B37553">
        <w:t xml:space="preserve"> by the Welsh Government’s framework, </w:t>
      </w:r>
      <w:r w:rsidR="00A778FC" w:rsidRPr="00A778FC">
        <w:t xml:space="preserve">Our National Mission: High Standards and Aspirations for All </w:t>
      </w:r>
      <w:r w:rsidR="00A778FC" w:rsidRPr="00B37553">
        <w:t>(Welsh Government, 2023), which focuses on achieving high standards, encouraging inclusion, and supporting student well-being.</w:t>
      </w:r>
    </w:p>
    <w:p w14:paraId="06923743" w14:textId="00F1E8AD" w:rsidR="00A778FC" w:rsidRPr="00B37553" w:rsidRDefault="00A778FC" w:rsidP="00A778FC">
      <w:r w:rsidRPr="00B37553">
        <w:t xml:space="preserve">The process includes several stages: reviewing current practices, setting priorities, planning actions, implementing changes, and evaluating the impact (Welsh Government, 2014). </w:t>
      </w:r>
      <w:r w:rsidR="00CA0376" w:rsidRPr="00CA0376">
        <w:t>This approach helps schools improve while adapting to students' changing needs and policy updates.</w:t>
      </w:r>
      <w:r w:rsidR="00CA0376">
        <w:t xml:space="preserve"> </w:t>
      </w:r>
      <w:r w:rsidRPr="00B37553">
        <w:t xml:space="preserve">For example, integrating Welsh oracy and reading into the curriculum aligns with the government’s vision of increasing Welsh language proficiency as part of </w:t>
      </w:r>
      <w:r>
        <w:t>its</w:t>
      </w:r>
      <w:r w:rsidRPr="00B37553">
        <w:t xml:space="preserve"> long-term strategy (Welsh Government, 2023). However, while this framework provides valuable guidance, it may not fully account for the challenges English-medium schools face, like School A, where pupils have limited exposure to Welsh outside of school (Estyn, 2020).</w:t>
      </w:r>
    </w:p>
    <w:p w14:paraId="325EC6FA" w14:textId="041B1E24" w:rsidR="00A778FC" w:rsidRPr="00B37553" w:rsidRDefault="00A778FC" w:rsidP="00A778FC">
      <w:r w:rsidRPr="00B37553">
        <w:t xml:space="preserve">The process is closely linked to national and regional policies, particularly the Welsh Government’s commitment to creating a high-quality and inclusive education </w:t>
      </w:r>
      <w:r w:rsidRPr="00DC66AE">
        <w:t>system</w:t>
      </w:r>
      <w:r w:rsidR="00DC66AE">
        <w:t xml:space="preserve"> (Welsh Government, 2023)</w:t>
      </w:r>
      <w:r w:rsidRPr="00B37553">
        <w:t xml:space="preserve">. By </w:t>
      </w:r>
      <w:r w:rsidRPr="00B37553">
        <w:lastRenderedPageBreak/>
        <w:t xml:space="preserve">embedding the Welsh language and focusing on equitable access to learning, schools contribute to broader national priorities, such as the </w:t>
      </w:r>
      <w:r w:rsidRPr="00A778FC">
        <w:t>Cymraeg 2050</w:t>
      </w:r>
      <w:r w:rsidRPr="00B37553">
        <w:t xml:space="preserve"> strategy, which aims to achieve 1 million Welsh speakers by 2050 (Welsh Government, 20</w:t>
      </w:r>
      <w:r w:rsidR="00C42B7D">
        <w:t>24</w:t>
      </w:r>
      <w:r w:rsidRPr="00B37553">
        <w:t>). According to the Welsh Government (20</w:t>
      </w:r>
      <w:r w:rsidR="00CA0376">
        <w:t>24</w:t>
      </w:r>
      <w:r w:rsidRPr="00B37553">
        <w:t>), the strategy encourages people to use Welsh in their daily lives, helping learners become more confident bilingual speakers. Although this is essential for preserving the Welsh language, it adds pressure on schools like School A to create meaningful language experiences, despite limited opportunities for students to speak Welsh at home.</w:t>
      </w:r>
    </w:p>
    <w:p w14:paraId="79044327" w14:textId="5F31AC5C" w:rsidR="00A778FC" w:rsidRPr="00B37553" w:rsidRDefault="00A778FC" w:rsidP="00A778FC">
      <w:r w:rsidRPr="00B37553">
        <w:t xml:space="preserve">For School A, the </w:t>
      </w:r>
      <w:r w:rsidR="00CA0376">
        <w:t>SDP</w:t>
      </w:r>
      <w:r w:rsidRPr="00B37553">
        <w:t xml:space="preserve"> is essential for equipping students with the communication skills necessary to thrive in a bilingual environment. This is especially important </w:t>
      </w:r>
      <w:r w:rsidR="001B1A5E">
        <w:t>due to</w:t>
      </w:r>
      <w:r w:rsidRPr="00B37553">
        <w:t xml:space="preserve"> the rising percentage of EAL students, as strengthening Welsh language skills ensures that all learners can fully access the curriculum and engage with Welsh culture, regardless of their linguistic background. In School A, an English-medium school, very few pupils speak Welsh at home, making school-based Welsh language development even more crucial (Estyn, 2020). Without effective strategies for real-life language use and </w:t>
      </w:r>
      <w:r w:rsidR="001B1A5E">
        <w:t>continuous</w:t>
      </w:r>
      <w:r w:rsidRPr="00B37553">
        <w:t xml:space="preserve"> staff support, the impact of SDP actions may be limited.</w:t>
      </w:r>
    </w:p>
    <w:p w14:paraId="3391234F" w14:textId="7CBB8D50" w:rsidR="00A778FC" w:rsidRDefault="00A778FC" w:rsidP="00A778FC">
      <w:r w:rsidRPr="00B37553">
        <w:t xml:space="preserve">Regional consortia, such as </w:t>
      </w:r>
      <w:proofErr w:type="spellStart"/>
      <w:r w:rsidRPr="00B37553">
        <w:t>Partneriaeth</w:t>
      </w:r>
      <w:proofErr w:type="spellEnd"/>
      <w:r w:rsidRPr="00B37553">
        <w:t xml:space="preserve"> and Central South Consortium, help schools shape their development plans to match national priorities by offering training, resources, and chances to share practices (Welsh Government, 2021). For School A, such support </w:t>
      </w:r>
      <w:r w:rsidR="00485796">
        <w:t>helps improve</w:t>
      </w:r>
      <w:r w:rsidRPr="00B37553">
        <w:t xml:space="preserve"> Welsh oracy and reading skills. It gives staff access to training and useful strategies to encourage bilingualism, supporting the goals of the </w:t>
      </w:r>
      <w:r w:rsidRPr="00485796">
        <w:t>Cymraeg 2050</w:t>
      </w:r>
      <w:r w:rsidRPr="00B37553">
        <w:t xml:space="preserve"> strategy. To maximize impact, these training opportunities </w:t>
      </w:r>
      <w:r>
        <w:t>should</w:t>
      </w:r>
      <w:r w:rsidRPr="00B37553">
        <w:t xml:space="preserve"> be ongoing and tailored to the challenges of English-medium settings, so that staff feel confident embedding Welsh into everyday learning </w:t>
      </w:r>
      <w:r>
        <w:t>meaningfully and practically.</w:t>
      </w:r>
    </w:p>
    <w:p w14:paraId="62045627" w14:textId="7D092F07" w:rsidR="00A778FC" w:rsidRPr="007778A4" w:rsidRDefault="00A778FC" w:rsidP="00A778FC">
      <w:r>
        <w:t>L</w:t>
      </w:r>
      <w:r w:rsidRPr="00CD56D4">
        <w:t xml:space="preserve">imited exposure to Welsh outside of school can affect students' ability to develop lasting fluency and confidence in </w:t>
      </w:r>
      <w:r>
        <w:t>language use</w:t>
      </w:r>
      <w:r w:rsidRPr="00CD56D4">
        <w:t xml:space="preserve"> (Estyn, 2020). Baker and Wright (202</w:t>
      </w:r>
      <w:r>
        <w:t>1</w:t>
      </w:r>
      <w:r w:rsidRPr="00CD56D4">
        <w:t xml:space="preserve">) emphasise that </w:t>
      </w:r>
      <w:r w:rsidR="00485796">
        <w:t>although</w:t>
      </w:r>
      <w:r w:rsidRPr="00CD56D4">
        <w:t xml:space="preserve"> classroom teaching is essential, especially when pupils are learning a language that isn’t spoken at home, it may not be enough on its own. </w:t>
      </w:r>
      <w:r w:rsidR="00F67414">
        <w:t>W</w:t>
      </w:r>
      <w:r w:rsidRPr="007778A4">
        <w:t xml:space="preserve">ithout authentic, spontaneous conversations, </w:t>
      </w:r>
      <w:r w:rsidR="00485796">
        <w:t>it is possible that progress can stagnate</w:t>
      </w:r>
      <w:r w:rsidRPr="007778A4">
        <w:t>, limiting long-term language development</w:t>
      </w:r>
      <w:r w:rsidR="00F67414">
        <w:t xml:space="preserve"> </w:t>
      </w:r>
      <w:r w:rsidR="00F67414">
        <w:t>Baker &amp; Wright (2021)</w:t>
      </w:r>
      <w:r w:rsidRPr="007778A4">
        <w:t xml:space="preserve">. </w:t>
      </w:r>
      <w:r>
        <w:t>Furthermore, as supported by</w:t>
      </w:r>
      <w:r w:rsidRPr="007778A4">
        <w:t xml:space="preserve"> Estyn (2022)</w:t>
      </w:r>
      <w:r>
        <w:t xml:space="preserve">, it is </w:t>
      </w:r>
      <w:r w:rsidRPr="007778A4">
        <w:t>recommend</w:t>
      </w:r>
      <w:r>
        <w:t>ed</w:t>
      </w:r>
      <w:r w:rsidRPr="007778A4">
        <w:t xml:space="preserve"> that schools create environments where Welsh is part of daily life through peer interactions, extracurricular activities</w:t>
      </w:r>
      <w:r>
        <w:t>, and immersive opportunities</w:t>
      </w:r>
      <w:r w:rsidRPr="007778A4">
        <w:t>.</w:t>
      </w:r>
    </w:p>
    <w:p w14:paraId="5B6A08CF" w14:textId="6FD6271F" w:rsidR="00A778FC" w:rsidRPr="00826C4C" w:rsidRDefault="00F67414" w:rsidP="00A778FC">
      <w:r>
        <w:t xml:space="preserve">Arguably, </w:t>
      </w:r>
      <w:r w:rsidR="001D63A5" w:rsidRPr="001D63A5">
        <w:t>learners from non-Welsh-speaking homes may face additional challenges. However, with the right support, they can achieve outcomes similar to those from Welsh-speaking households by the end of primary school</w:t>
      </w:r>
      <w:r>
        <w:t xml:space="preserve"> (</w:t>
      </w:r>
      <w:r>
        <w:t>Thomas et al</w:t>
      </w:r>
      <w:r>
        <w:t>., 2</w:t>
      </w:r>
      <w:r w:rsidRPr="00826C4C">
        <w:t>0</w:t>
      </w:r>
      <w:r>
        <w:t>18</w:t>
      </w:r>
      <w:r w:rsidRPr="00826C4C">
        <w:t>)</w:t>
      </w:r>
      <w:r w:rsidR="001D63A5" w:rsidRPr="001D63A5">
        <w:t xml:space="preserve">. Peer learning is especially valuable, as confident speakers can model language use and help their classmates progress </w:t>
      </w:r>
      <w:r>
        <w:t>efficiently</w:t>
      </w:r>
      <w:r w:rsidR="001D63A5" w:rsidRPr="001D63A5">
        <w:t xml:space="preserve"> (Estyn, 2021).</w:t>
      </w:r>
      <w:r w:rsidR="001D63A5">
        <w:t xml:space="preserve"> </w:t>
      </w:r>
      <w:r w:rsidR="0089158A">
        <w:t xml:space="preserve">Thomas et al. </w:t>
      </w:r>
      <w:r w:rsidR="00A778FC" w:rsidRPr="00826C4C">
        <w:t>(20</w:t>
      </w:r>
      <w:r w:rsidR="00DC66AE">
        <w:t>18</w:t>
      </w:r>
      <w:r w:rsidR="00A778FC" w:rsidRPr="00826C4C">
        <w:t xml:space="preserve">) reinforce this, noting that collaborative learning and structured opportunities for real-life language use </w:t>
      </w:r>
      <w:r w:rsidR="001D63A5">
        <w:t>can</w:t>
      </w:r>
      <w:r w:rsidR="00A778FC" w:rsidRPr="00826C4C">
        <w:t xml:space="preserve"> enhance acquisition</w:t>
      </w:r>
      <w:r w:rsidR="001D63A5">
        <w:t xml:space="preserve"> significantly</w:t>
      </w:r>
      <w:r w:rsidR="00A778FC" w:rsidRPr="00826C4C">
        <w:t>.</w:t>
      </w:r>
      <w:r w:rsidR="001D63A5">
        <w:t xml:space="preserve"> </w:t>
      </w:r>
    </w:p>
    <w:p w14:paraId="0DE0C398" w14:textId="0F54953E" w:rsidR="00A778FC" w:rsidRPr="00826C4C" w:rsidRDefault="00A778FC" w:rsidP="00A778FC">
      <w:r w:rsidRPr="00826C4C">
        <w:t>Parental engagement plays a</w:t>
      </w:r>
      <w:r w:rsidR="001D63A5">
        <w:t xml:space="preserve">n </w:t>
      </w:r>
      <w:r w:rsidR="0089158A">
        <w:t>important</w:t>
      </w:r>
      <w:r w:rsidR="001D63A5">
        <w:t xml:space="preserve"> </w:t>
      </w:r>
      <w:r w:rsidRPr="00826C4C">
        <w:t xml:space="preserve">role in sustaining language development beyond </w:t>
      </w:r>
      <w:r w:rsidR="001D63A5">
        <w:t>school</w:t>
      </w:r>
      <w:r w:rsidRPr="00826C4C">
        <w:t xml:space="preserve">. The Welsh Government's National Policy on Welsh Language Transmission and Use in Families (2021) highlights that </w:t>
      </w:r>
      <w:r w:rsidR="00C10828" w:rsidRPr="00826C4C">
        <w:t>nurturing</w:t>
      </w:r>
      <w:r w:rsidRPr="00826C4C">
        <w:t xml:space="preserve"> Welsh use in the home environment is </w:t>
      </w:r>
      <w:r w:rsidR="001D63A5">
        <w:t>key</w:t>
      </w:r>
      <w:r w:rsidRPr="00826C4C">
        <w:t xml:space="preserve"> for </w:t>
      </w:r>
      <w:r w:rsidR="001D63A5">
        <w:t>normalizing</w:t>
      </w:r>
      <w:r w:rsidRPr="00826C4C">
        <w:t xml:space="preserve"> the language. Notably, where a parent had </w:t>
      </w:r>
      <w:r w:rsidR="001D63A5">
        <w:t>learned</w:t>
      </w:r>
      <w:r w:rsidRPr="00826C4C">
        <w:t xml:space="preserve"> to speak Welsh at home as a child, 82% of their children also </w:t>
      </w:r>
      <w:r w:rsidR="001D63A5">
        <w:t>learned</w:t>
      </w:r>
      <w:r w:rsidRPr="00826C4C">
        <w:t xml:space="preserve"> to speak Welsh at home, </w:t>
      </w:r>
      <w:r w:rsidR="001D63A5">
        <w:t>demonstrating</w:t>
      </w:r>
      <w:r w:rsidRPr="00826C4C">
        <w:t xml:space="preserve"> the powerful influence of </w:t>
      </w:r>
      <w:r w:rsidR="001D63A5">
        <w:t>such dynamics</w:t>
      </w:r>
      <w:r w:rsidRPr="00826C4C">
        <w:t xml:space="preserve"> (Welsh Government, 2021). Encouraging more </w:t>
      </w:r>
      <w:r w:rsidR="001D63A5">
        <w:t>families/carers</w:t>
      </w:r>
      <w:r w:rsidRPr="00826C4C">
        <w:t xml:space="preserve"> t</w:t>
      </w:r>
      <w:r w:rsidR="001D63A5">
        <w:t>o expose th</w:t>
      </w:r>
      <w:r w:rsidRPr="00826C4C">
        <w:t xml:space="preserve">eir children </w:t>
      </w:r>
      <w:r w:rsidR="001D63A5">
        <w:t xml:space="preserve">to Welsh </w:t>
      </w:r>
      <w:r w:rsidRPr="00826C4C">
        <w:t xml:space="preserve">is a key priority for this strategy, </w:t>
      </w:r>
      <w:r w:rsidR="001D63A5">
        <w:t>emphasi</w:t>
      </w:r>
      <w:r w:rsidR="00F67414">
        <w:t>s</w:t>
      </w:r>
      <w:r w:rsidR="001D63A5">
        <w:t>ing</w:t>
      </w:r>
      <w:r w:rsidRPr="00826C4C">
        <w:t xml:space="preserve"> the need for support to build confidence </w:t>
      </w:r>
      <w:r w:rsidR="001D63A5">
        <w:t>in the language</w:t>
      </w:r>
      <w:r w:rsidRPr="00826C4C">
        <w:t xml:space="preserve">. Schools can support this by providing resources for families, such as bilingual books, apps, </w:t>
      </w:r>
      <w:r w:rsidR="003C24E0">
        <w:t>and workshops.</w:t>
      </w:r>
    </w:p>
    <w:p w14:paraId="059B7DF6" w14:textId="06AB7968" w:rsidR="00416A8E" w:rsidRPr="00416A8E" w:rsidRDefault="00F67414" w:rsidP="00416A8E">
      <w:r w:rsidRPr="00F67414">
        <w:lastRenderedPageBreak/>
        <w:t>Although School A incorporates Welsh throughout the day, limited practice in natural contexts makes it harder to meet the SDP target, reducing the benefits of translanguaging and highlighting the need for immersive language experiences, with community and parental involvement helping to bridge this gap.</w:t>
      </w:r>
      <w:r>
        <w:t xml:space="preserve"> </w:t>
      </w:r>
      <w:r w:rsidR="00416A8E" w:rsidRPr="00416A8E">
        <w:t xml:space="preserve">Estyn (2022) recommends fostering partnerships with families by providing simple Welsh phrases, hosting cultural events, and creating resources that encourage language use at home. </w:t>
      </w:r>
      <w:r w:rsidRPr="00F67414">
        <w:t>Reinforcing learning beyond the classroom strengthens language foundations, making translanguaging more effective and helping Welsh feel relevant in everyday life.</w:t>
      </w:r>
    </w:p>
    <w:p w14:paraId="24988579" w14:textId="2428167C" w:rsidR="00A778FC" w:rsidRPr="00826C4C" w:rsidRDefault="00416A8E" w:rsidP="00416A8E">
      <w:r w:rsidRPr="00416A8E">
        <w:t xml:space="preserve">According to Barber and </w:t>
      </w:r>
      <w:proofErr w:type="spellStart"/>
      <w:r w:rsidRPr="00416A8E">
        <w:t>Mourshed</w:t>
      </w:r>
      <w:proofErr w:type="spellEnd"/>
      <w:r w:rsidRPr="00416A8E">
        <w:t xml:space="preserve"> (2007), teachers in English-medium schools often lack confidence in their Welsh abilities, which can cause anxiety about using the language in the classroom. This may affect their well-being, lower teaching quality, and ultimately impact student outcomes. The pressure to meet SDP targets for embedding Welsh in oracy and reading can intensify these challenges, especially for teachers who are not yet proficient in Welsh. The </w:t>
      </w:r>
      <w:r w:rsidRPr="00CF3436">
        <w:t>Cymraeg 2050</w:t>
      </w:r>
      <w:r w:rsidRPr="00416A8E">
        <w:t xml:space="preserve"> strategy and the Welsh in Education Workforce Plan set ambitious goals to increase the number of Welsh-speaking teachers (Welsh Government, 202</w:t>
      </w:r>
      <w:r w:rsidR="00C42B7D">
        <w:t>4</w:t>
      </w:r>
      <w:r w:rsidRPr="00416A8E">
        <w:t>). However, research shows that many teachers in English-medium schools learn Welsh alongside their students, leading to inconsistent language modelling (Beard, 20</w:t>
      </w:r>
      <w:r w:rsidR="00DC66AE">
        <w:t>20</w:t>
      </w:r>
      <w:r w:rsidRPr="00416A8E">
        <w:t xml:space="preserve">). Estyn (2022) emphasises that bridging this gap requires sustained, high-quality professional development to build teacher confidence and effectively </w:t>
      </w:r>
      <w:r w:rsidR="00CF3436">
        <w:t>turn policy into practice.</w:t>
      </w:r>
    </w:p>
    <w:p w14:paraId="1D9077A2" w14:textId="37A4913D" w:rsidR="008C5C9E" w:rsidRDefault="008C5C9E" w:rsidP="008C5C9E">
      <w:r w:rsidRPr="008C5C9E">
        <w:t xml:space="preserve">Additionally, socio-economic factors and cultural attitudes can affect the success of embedding Welsh oracy and reading within School A. Smith (2018) explains that students from lower socio-economic backgrounds may have limited access to resources </w:t>
      </w:r>
      <w:r w:rsidR="00CF3436">
        <w:t>that are</w:t>
      </w:r>
      <w:r w:rsidRPr="008C5C9E">
        <w:t xml:space="preserve"> essential for language development. With fewer opportunities to practice Welsh outside school, these students may face an unfair disadvantage compared to </w:t>
      </w:r>
      <w:r>
        <w:t>their peers</w:t>
      </w:r>
      <w:r w:rsidRPr="008C5C9E">
        <w:t xml:space="preserve"> who can read Welsh books at home or develop their oracy through extracurricular activities. This places greater pressure on School A to </w:t>
      </w:r>
      <w:r>
        <w:t>compensate for these gaps.</w:t>
      </w:r>
    </w:p>
    <w:p w14:paraId="7683F37F" w14:textId="4E8320FA" w:rsidR="00925360" w:rsidRDefault="005967CC" w:rsidP="00A778FC">
      <w:r>
        <w:t>Moreover</w:t>
      </w:r>
      <w:r w:rsidR="008C5C9E" w:rsidRPr="008C5C9E">
        <w:t xml:space="preserve">, Smith (2018) notes that cultural perceptions of education can influence student engagement. </w:t>
      </w:r>
      <w:r>
        <w:t>In</w:t>
      </w:r>
      <w:r w:rsidR="008C5C9E" w:rsidRPr="008C5C9E">
        <w:t xml:space="preserve"> </w:t>
      </w:r>
      <w:r>
        <w:t>areas</w:t>
      </w:r>
      <w:r w:rsidR="008C5C9E" w:rsidRPr="008C5C9E">
        <w:t xml:space="preserve"> where English is dominant, there may be less value placed on learning Welsh</w:t>
      </w:r>
      <w:r>
        <w:t xml:space="preserve"> (Colin, 2012)</w:t>
      </w:r>
      <w:r w:rsidR="008C5C9E" w:rsidRPr="008C5C9E">
        <w:t xml:space="preserve">, which </w:t>
      </w:r>
      <w:r>
        <w:t>may</w:t>
      </w:r>
      <w:r w:rsidR="008C5C9E" w:rsidRPr="008C5C9E">
        <w:t xml:space="preserve"> affect student motivation and parental support for language learning. For School A, this may limit the effectiveness of strategies like parental workshops or home language resources, making it </w:t>
      </w:r>
      <w:r w:rsidR="00BB3664">
        <w:t xml:space="preserve">even </w:t>
      </w:r>
      <w:r w:rsidR="008C5C9E" w:rsidRPr="008C5C9E">
        <w:t xml:space="preserve">harder to reinforce Welsh language skills outside school. </w:t>
      </w:r>
    </w:p>
    <w:p w14:paraId="24AB9D02" w14:textId="4DF1F908" w:rsidR="00C172FE" w:rsidRPr="00C172FE" w:rsidRDefault="00C172FE" w:rsidP="00A778FC">
      <w:pPr>
        <w:rPr>
          <w:b/>
          <w:bCs/>
          <w:u w:val="single"/>
        </w:rPr>
      </w:pPr>
      <w:r w:rsidRPr="00C172FE">
        <w:rPr>
          <w:b/>
          <w:bCs/>
          <w:u w:val="single"/>
        </w:rPr>
        <w:t>Developing an action point</w:t>
      </w:r>
    </w:p>
    <w:p w14:paraId="56B51CB5" w14:textId="781B26E2" w:rsidR="00555E44" w:rsidRPr="00555E44" w:rsidRDefault="006414CF" w:rsidP="00555E44">
      <w:r>
        <w:t xml:space="preserve">School A’s </w:t>
      </w:r>
      <w:r w:rsidR="00555E44" w:rsidRPr="00555E44">
        <w:t xml:space="preserve">target closely </w:t>
      </w:r>
      <w:r w:rsidR="00CF3436">
        <w:t>aligns</w:t>
      </w:r>
      <w:r w:rsidR="00555E44" w:rsidRPr="00555E44">
        <w:t xml:space="preserve"> with both the school’s vision and wider national priorities. The school is committed to nurturing confident, capable learners who are proud of their Welsh identity, which fits well with the Curriculum for Wales (Welsh Government, 2022) and the Cymraeg 2050 strategy (Welsh Government, 20</w:t>
      </w:r>
      <w:r w:rsidR="00C42B7D">
        <w:t>24</w:t>
      </w:r>
      <w:r w:rsidR="00555E44" w:rsidRPr="00555E44">
        <w:t>). This target was prioritised to ensure alignment with these national strategies and to further contribute to the promotion of the Welsh language. By focusing on improving language skills, the school also supports 'Education in Wales: Our National Mission' (Welsh Government, 20</w:t>
      </w:r>
      <w:r w:rsidR="00BE5775">
        <w:t>23</w:t>
      </w:r>
      <w:r w:rsidR="00555E44" w:rsidRPr="00555E44">
        <w:t>) and contributes to the Well-being of Future Generations Act (Welsh Government, 2015) by promoting cultural and linguistic heritage.</w:t>
      </w:r>
    </w:p>
    <w:p w14:paraId="23CE7ECC" w14:textId="7B04AA6A" w:rsidR="00555E44" w:rsidRDefault="00555E44" w:rsidP="00555E44">
      <w:r w:rsidRPr="00555E44">
        <w:t xml:space="preserve">This target was prioritised following self-evaluation and feedback from Estyn. </w:t>
      </w:r>
      <w:r w:rsidR="006414CF">
        <w:t>School A</w:t>
      </w:r>
      <w:r w:rsidRPr="00555E44">
        <w:t xml:space="preserve"> regularly assesses pupil progress and involves teaching staff in reflective practices to understand what works best for learners. This process identified the need to strengthen Welsh language skills, leading to its inclusion as a key priority. Estyn (2019) acknowledged the school’s progress in developing pupils’ Welsh language abilities and noted the positive impact of staff efforts to promote language use across the school. The proactive efforts of the </w:t>
      </w:r>
      <w:proofErr w:type="spellStart"/>
      <w:r w:rsidRPr="00555E44">
        <w:t>Criw</w:t>
      </w:r>
      <w:proofErr w:type="spellEnd"/>
      <w:r w:rsidRPr="00555E44">
        <w:t xml:space="preserve"> Cymraeg, alongside staff acting as positive </w:t>
      </w:r>
      <w:r w:rsidRPr="00555E44">
        <w:lastRenderedPageBreak/>
        <w:t>language role models, further reinforce the school’s commitment to embedding Welsh across all areas of school life.</w:t>
      </w:r>
    </w:p>
    <w:p w14:paraId="06F6E5D7" w14:textId="5657D0F1" w:rsidR="00555E44" w:rsidRPr="00A17785" w:rsidRDefault="008A2F55" w:rsidP="00555E44">
      <w:r>
        <w:t>Additionally, t</w:t>
      </w:r>
      <w:r w:rsidR="00555E44" w:rsidRPr="00555E44">
        <w:t xml:space="preserve">he </w:t>
      </w:r>
      <w:r>
        <w:t xml:space="preserve">School A’s </w:t>
      </w:r>
      <w:r w:rsidR="00555E44" w:rsidRPr="00555E44">
        <w:t xml:space="preserve">work aligns with local authority and school-level strategies, as well as regional consortia goals to improve Welsh language provision and support teachers' Welsh language development. All of these aspects have been ongoing priorities for the school, </w:t>
      </w:r>
      <w:r>
        <w:t xml:space="preserve">so this priority is </w:t>
      </w:r>
      <w:r w:rsidRPr="00A17785">
        <w:t>about</w:t>
      </w:r>
      <w:r w:rsidR="00555E44" w:rsidRPr="00A17785">
        <w:t xml:space="preserve"> refining and embedding these concepts </w:t>
      </w:r>
      <w:r w:rsidRPr="00A17785">
        <w:t>without</w:t>
      </w:r>
      <w:r w:rsidR="00555E44" w:rsidRPr="00A17785">
        <w:t xml:space="preserve"> introducing anything entirely new.</w:t>
      </w:r>
    </w:p>
    <w:p w14:paraId="4AFD1E73" w14:textId="77777777" w:rsidR="00A17785" w:rsidRPr="00A17785" w:rsidRDefault="00A17785" w:rsidP="00A17785">
      <w:pPr>
        <w:rPr>
          <w:b/>
          <w:bCs/>
          <w:u w:val="single"/>
        </w:rPr>
      </w:pPr>
      <w:r w:rsidRPr="00A17785">
        <w:rPr>
          <w:b/>
          <w:bCs/>
          <w:u w:val="single"/>
        </w:rPr>
        <w:t>Implementation</w:t>
      </w:r>
    </w:p>
    <w:p w14:paraId="6B85FD90" w14:textId="77777777" w:rsidR="00A17785" w:rsidRPr="00A17785" w:rsidRDefault="00A17785" w:rsidP="00A17785">
      <w:r w:rsidRPr="00A17785">
        <w:t>To embed Welsh language elements, especially Oracy and Reading, the school has taken proactive steps. Staff meetings and INSET days reinforce Oracy strategies, while MER (Monitoring, Evaluation, and Review) and L2L (Learn to Learn) activities track pupil engagement and progress. Shared teaching across cohorts helps staff understand strengths and areas for improvement, with confident Welsh speakers team-teaching alongside those less confident. Staff identify their Welsh proficiency through self-assessment and access CSC (Central South Consortium) courses if needed.</w:t>
      </w:r>
    </w:p>
    <w:p w14:paraId="0E5D6AB6" w14:textId="77777777" w:rsidR="00A17785" w:rsidRPr="00A17785" w:rsidRDefault="00A17785" w:rsidP="00A17785">
      <w:r w:rsidRPr="00A17785">
        <w:t>Key milestones shape the process: by December, expectations are clear; by March, development progresses through meetings and team teaching; by July, one-page help guides are created, and a whole-school approach is established.</w:t>
      </w:r>
    </w:p>
    <w:p w14:paraId="30D38316" w14:textId="77777777" w:rsidR="00A17785" w:rsidRPr="00A17785" w:rsidRDefault="00A17785" w:rsidP="00A17785">
      <w:pPr>
        <w:rPr>
          <w:b/>
          <w:bCs/>
          <w:u w:val="single"/>
        </w:rPr>
      </w:pPr>
      <w:r w:rsidRPr="00A17785">
        <w:rPr>
          <w:b/>
          <w:bCs/>
          <w:u w:val="single"/>
        </w:rPr>
        <w:t>Impact measurement</w:t>
      </w:r>
    </w:p>
    <w:p w14:paraId="3D58BAF5" w14:textId="77777777" w:rsidR="00A17785" w:rsidRPr="00A17785" w:rsidRDefault="00A17785" w:rsidP="00A17785">
      <w:r w:rsidRPr="00A17785">
        <w:t>Success is measured through MER cycles, L2L activities, and digital evidence captured via Seesaw to track language development. Pupil voice is continuously monitored to understand learners' perceptions and guide improvements. Progress is assessed termly as very good, strong, satisfactory, or limited. Peer observations and shared teaching feedback refine practice, ensuring ongoing development.</w:t>
      </w:r>
    </w:p>
    <w:p w14:paraId="1CE88152" w14:textId="65630703" w:rsidR="00B975EB" w:rsidRPr="00B975EB" w:rsidRDefault="00B975EB" w:rsidP="001E6A52">
      <w:pPr>
        <w:rPr>
          <w:b/>
          <w:bCs/>
          <w:u w:val="single"/>
        </w:rPr>
      </w:pPr>
      <w:r w:rsidRPr="00B975EB">
        <w:rPr>
          <w:b/>
          <w:bCs/>
          <w:u w:val="single"/>
        </w:rPr>
        <w:t>Critical analysis</w:t>
      </w:r>
    </w:p>
    <w:p w14:paraId="617152C0" w14:textId="1E443039" w:rsidR="00B55412" w:rsidRPr="00B55412" w:rsidRDefault="00B55412" w:rsidP="00B55412">
      <w:r>
        <w:t>School A’s</w:t>
      </w:r>
      <w:r w:rsidRPr="00B55412">
        <w:t xml:space="preserve"> proactive approach demonstrates a commitment to national policies and cultural preservation. The structured milestones, MER cycles, and collaborative teaching </w:t>
      </w:r>
      <w:r w:rsidR="006414CF">
        <w:t>demonstrate</w:t>
      </w:r>
      <w:r w:rsidRPr="00B55412">
        <w:t xml:space="preserve"> a well-organised strategy that promotes continuous improvement (Estyn, 2019). Supporting less confident staff through team teaching and CSC courses shows a practical response to workforce development, aligning with the Welsh in Education Workforce Plan (Welsh Government, 2022).</w:t>
      </w:r>
    </w:p>
    <w:p w14:paraId="6ED19BF4" w14:textId="2E0FECE8" w:rsidR="005117B6" w:rsidRDefault="001C738B" w:rsidP="005117B6">
      <w:r w:rsidRPr="001C738B">
        <w:t>However, teacher confidence remains a barrier</w:t>
      </w:r>
      <w:r>
        <w:t>, and t</w:t>
      </w:r>
      <w:r w:rsidRPr="001C738B">
        <w:t>his challenge is even more pronounced for EAL learners, who face additional complexities when acquiring Welsh as an additional language (</w:t>
      </w:r>
      <w:r w:rsidR="005117B6">
        <w:t>Newton, 2023</w:t>
      </w:r>
      <w:r w:rsidRPr="001C738B">
        <w:t xml:space="preserve">). </w:t>
      </w:r>
      <w:r w:rsidR="005117B6">
        <w:t>Heightening this barrier</w:t>
      </w:r>
      <w:r w:rsidRPr="001C738B">
        <w:t xml:space="preserve">, </w:t>
      </w:r>
      <w:r w:rsidR="005117B6">
        <w:t xml:space="preserve">it has been argued that </w:t>
      </w:r>
      <w:r w:rsidRPr="001C738B">
        <w:t>the current state of school funding does not match the aspirations of the new curriculum</w:t>
      </w:r>
      <w:r w:rsidR="005117B6">
        <w:t xml:space="preserve"> (Howells, 2022).</w:t>
      </w:r>
      <w:r w:rsidRPr="001C738B">
        <w:t xml:space="preserve"> </w:t>
      </w:r>
      <w:r w:rsidR="005117B6" w:rsidRPr="005117B6">
        <w:t>As a result, the school's reliance on team teaching and peer observations, while beneficial, may not fully compensate for the lack of external, intensive training opportunities.</w:t>
      </w:r>
      <w:r w:rsidR="005117B6">
        <w:t xml:space="preserve"> </w:t>
      </w:r>
      <w:r w:rsidR="005117B6" w:rsidRPr="005117B6">
        <w:t xml:space="preserve">Can </w:t>
      </w:r>
      <w:r w:rsidR="005117B6">
        <w:t>School A</w:t>
      </w:r>
      <w:r w:rsidR="005117B6" w:rsidRPr="005117B6">
        <w:t xml:space="preserve"> </w:t>
      </w:r>
      <w:r w:rsidR="005117B6">
        <w:t>rely only on</w:t>
      </w:r>
      <w:r w:rsidR="005117B6" w:rsidRPr="005117B6">
        <w:t xml:space="preserve"> team teaching and peer observations t</w:t>
      </w:r>
      <w:r w:rsidR="005117B6">
        <w:t>o</w:t>
      </w:r>
      <w:r w:rsidR="005117B6" w:rsidRPr="005117B6">
        <w:t xml:space="preserve"> bridge the gap left by limited access to </w:t>
      </w:r>
      <w:r w:rsidR="005117B6">
        <w:t>intensive and</w:t>
      </w:r>
      <w:r w:rsidR="005117B6" w:rsidRPr="005117B6">
        <w:t xml:space="preserve"> external training opportunities?</w:t>
      </w:r>
      <w:r w:rsidR="005117B6">
        <w:t xml:space="preserve"> While </w:t>
      </w:r>
      <w:r w:rsidR="005117B6" w:rsidRPr="005117B6">
        <w:t xml:space="preserve">peer observations and shared teaching is </w:t>
      </w:r>
      <w:r w:rsidR="005117B6">
        <w:t>beneficial in</w:t>
      </w:r>
      <w:r w:rsidR="005117B6" w:rsidRPr="005117B6">
        <w:t xml:space="preserve"> promoting collaboration and knowledge exchange</w:t>
      </w:r>
      <w:r w:rsidR="005117B6">
        <w:t xml:space="preserve">,  this </w:t>
      </w:r>
      <w:r w:rsidR="005117B6" w:rsidRPr="005117B6">
        <w:t>approach may not fully address individual learning needs, especially if staff feel uncomfortable admitting gaps in their skills</w:t>
      </w:r>
      <w:r w:rsidR="005117B6">
        <w:t>, or if there are more unconfident Welsh speakers than confident ones</w:t>
      </w:r>
      <w:r w:rsidR="005117B6" w:rsidRPr="005117B6">
        <w:t xml:space="preserve">. </w:t>
      </w:r>
      <w:r w:rsidR="005117B6">
        <w:t>Personalised and</w:t>
      </w:r>
      <w:r w:rsidR="005117B6" w:rsidRPr="005117B6">
        <w:t xml:space="preserve"> tailored </w:t>
      </w:r>
      <w:r w:rsidR="00C61215">
        <w:t xml:space="preserve">interventions </w:t>
      </w:r>
      <w:r w:rsidR="005117B6" w:rsidRPr="005117B6">
        <w:t>to individual teacher needs, could strengthen the approach further.</w:t>
      </w:r>
    </w:p>
    <w:p w14:paraId="5F01074E" w14:textId="56FEA8FB" w:rsidR="005117B6" w:rsidRDefault="00C821A1" w:rsidP="005117B6">
      <w:r w:rsidRPr="00C821A1">
        <w:t xml:space="preserve">Additionally, while the Welsh Government’s </w:t>
      </w:r>
      <w:r w:rsidRPr="008A6054">
        <w:t>Cymraeg 2050</w:t>
      </w:r>
      <w:r w:rsidRPr="00C821A1">
        <w:t xml:space="preserve"> strategy aims to reach a million Welsh speakers, research suggests this goal is ambitious without structural changes and greater investment </w:t>
      </w:r>
      <w:r w:rsidRPr="00C821A1">
        <w:lastRenderedPageBreak/>
        <w:t xml:space="preserve">in teacher development (Senedd </w:t>
      </w:r>
      <w:r w:rsidR="00E047B3">
        <w:t>Research</w:t>
      </w:r>
      <w:r w:rsidRPr="00C821A1">
        <w:t xml:space="preserve">, 2021). The grouping of Welsh with other languages under the 'Languages, Literacy, and Communication' </w:t>
      </w:r>
      <w:proofErr w:type="spellStart"/>
      <w:r w:rsidRPr="00C821A1">
        <w:t>AoLE</w:t>
      </w:r>
      <w:proofErr w:type="spellEnd"/>
      <w:r w:rsidRPr="00C821A1">
        <w:t xml:space="preserve"> has also been criticised for downplaying the urgency of strengthening Welsh provision in English-medium schools (Howells, 202</w:t>
      </w:r>
      <w:r w:rsidR="00982DEE">
        <w:t>2</w:t>
      </w:r>
      <w:r w:rsidRPr="00C821A1">
        <w:t>), making it harder to prioritise targeted support.</w:t>
      </w:r>
    </w:p>
    <w:p w14:paraId="0FD6AD36" w14:textId="0A5D1D9A" w:rsidR="00C8081E" w:rsidRPr="00C8081E" w:rsidRDefault="00C8081E" w:rsidP="00C8081E">
      <w:r w:rsidRPr="00C8081E">
        <w:t>Moreover, School A’s use of Seesaw to digitally track progress and gather evidence of language development represents modern formative assessment practices (Black &amp; Wiliam, 1998). Th</w:t>
      </w:r>
      <w:r>
        <w:t>rough real-time feedback, teachers can</w:t>
      </w:r>
      <w:r w:rsidR="008A6054">
        <w:t xml:space="preserve"> then</w:t>
      </w:r>
      <w:r>
        <w:t xml:space="preserve"> adjust their teaching</w:t>
      </w:r>
      <w:r w:rsidRPr="00C8081E">
        <w:t xml:space="preserve"> to support Welsh language acquisition. This aligns with Hattie (200</w:t>
      </w:r>
      <w:r w:rsidR="00BE5775">
        <w:t>8</w:t>
      </w:r>
      <w:r w:rsidRPr="00C8081E">
        <w:t>)</w:t>
      </w:r>
      <w:r w:rsidR="008A6054">
        <w:t>,</w:t>
      </w:r>
      <w:r w:rsidRPr="00C8081E">
        <w:t xml:space="preserve"> </w:t>
      </w:r>
      <w:r>
        <w:t xml:space="preserve">who recognised </w:t>
      </w:r>
      <w:r w:rsidRPr="00C8081E">
        <w:t>feedback as a key driver of progress. I believe this approach is valuable for continuously adapting teaching to meet evolving pupil needs, while pupil voice, captured through these platforms, aligns with Lundy’s (2007) model of participation, underlining the importance of involving students in their own learning journey.</w:t>
      </w:r>
    </w:p>
    <w:p w14:paraId="68652032" w14:textId="1EED64A1" w:rsidR="001C738B" w:rsidRPr="0024448D" w:rsidRDefault="0024448D" w:rsidP="001C738B">
      <w:pPr>
        <w:rPr>
          <w:b/>
          <w:bCs/>
          <w:u w:val="single"/>
        </w:rPr>
      </w:pPr>
      <w:r w:rsidRPr="0024448D">
        <w:rPr>
          <w:b/>
          <w:bCs/>
          <w:u w:val="single"/>
        </w:rPr>
        <w:t>Reflection and evaluation</w:t>
      </w:r>
    </w:p>
    <w:p w14:paraId="720BF7F1" w14:textId="48BFC953" w:rsidR="00331A5B" w:rsidRDefault="00331A5B" w:rsidP="00331A5B">
      <w:r w:rsidRPr="00331A5B">
        <w:t xml:space="preserve">In my practice, I supported </w:t>
      </w:r>
      <w:r>
        <w:t>School A’s</w:t>
      </w:r>
      <w:r w:rsidRPr="00331A5B">
        <w:t xml:space="preserve"> Welsh language development goals by integrating a range of strategies to enhance </w:t>
      </w:r>
      <w:r w:rsidR="00AC3B07">
        <w:t>the students’</w:t>
      </w:r>
      <w:r w:rsidRPr="00331A5B">
        <w:t xml:space="preserve"> oracy skills. I used the CSC website to find interactive games, which encouraged vocabulary development and improved confidence in speaking. I regularly read Welsh books with pupils, promoting translation and pronunciation practice. This blend of reading and speaking helped to develop fluency, supporting the target seamlessly (Welsh Government, 2023). I also led '</w:t>
      </w:r>
      <w:proofErr w:type="spellStart"/>
      <w:r w:rsidRPr="00331A5B">
        <w:t>Helpwr</w:t>
      </w:r>
      <w:proofErr w:type="spellEnd"/>
      <w:r w:rsidRPr="00331A5B">
        <w:t xml:space="preserve"> y </w:t>
      </w:r>
      <w:proofErr w:type="spellStart"/>
      <w:r w:rsidRPr="00331A5B">
        <w:t>Dydd</w:t>
      </w:r>
      <w:proofErr w:type="spellEnd"/>
      <w:r w:rsidRPr="00331A5B">
        <w:t xml:space="preserve">' sessions each morning, providing short, focused bursts of vocabulary and sentence structures. As a fluent Welsh speaker, I felt my enthusiasm for the language positively influenced </w:t>
      </w:r>
      <w:r w:rsidR="00AC3B07">
        <w:t>their</w:t>
      </w:r>
      <w:r w:rsidRPr="00331A5B">
        <w:t xml:space="preserve"> attitudes, and I noticed their growing excitement for Welsh as part of their daily routine. Whole-class Welsh lessons, centred on oracy, allowed pupils to practise memory retrieval, self-correct, and peer-assess, which reflected Estyn’s (2022) emphasis on collaborative learning. Pupils particularly enjoyed using online books from the CSC website, and it was rewarding to see their progress and eagerness to engage.</w:t>
      </w:r>
    </w:p>
    <w:p w14:paraId="5DE04197" w14:textId="38BA9AC0" w:rsidR="001C3472" w:rsidRDefault="001C3472" w:rsidP="001C738B">
      <w:r w:rsidRPr="001C3472">
        <w:t>Although Baker and Wright (2021) highlight that bilingualism offers cognitive and social benefits, they note that successful translanguaging, where learners process information in one language and express it in another, can deepen understanding and strengthen language skills. However, they emphasi</w:t>
      </w:r>
      <w:r>
        <w:t>s</w:t>
      </w:r>
      <w:r w:rsidRPr="001C3472">
        <w:t>e that this process depends on learners having a strong foundation in both languages, as transferring knowledge accurately can become difficult and limit progress. Building on this, Fang et al. (2022) suggest that translanguaging can deepen understanding and improve flexibility between languages. Therefore, to strengthen language skills and support learners in developing balanced proficiency, School A could introduce translanguaging opportunities and train confident Welsh speakers as ‘language ambassadors’. These ambassadors could lead small-group activities, supporting peers through peer modelling and helping learners navigate both languages more effectively (Estyn, 2021)</w:t>
      </w:r>
      <w:r>
        <w:t>.</w:t>
      </w:r>
    </w:p>
    <w:p w14:paraId="08681D3C" w14:textId="77777777" w:rsidR="00BA1ABC" w:rsidRDefault="00E21E56" w:rsidP="00555E44">
      <w:r>
        <w:t>C</w:t>
      </w:r>
      <w:r w:rsidRPr="00E21E56">
        <w:t>ommunity events like Welsh storytelling, combined with workshops to strengthen parental engagement, could immerse students and parents in real-life contexts, reinforcing Welsh as a living language and encouraging home use to build lasting confidence (Welsh Government, 2017; Welsh Government, 2021).</w:t>
      </w:r>
      <w:r>
        <w:t xml:space="preserve"> </w:t>
      </w:r>
    </w:p>
    <w:p w14:paraId="4A6B6755" w14:textId="6A764B12" w:rsidR="00A276CA" w:rsidRPr="00A276CA" w:rsidRDefault="00A276CA" w:rsidP="00A276CA">
      <w:r w:rsidRPr="00A276CA">
        <w:t xml:space="preserve">I also suggest that School A could host events where parents join storytelling sessions featuring stories learned in class. Workshops could remind and educate parents about valuable Welsh apps and platforms like S4C </w:t>
      </w:r>
      <w:proofErr w:type="spellStart"/>
      <w:r w:rsidRPr="00A276CA">
        <w:t>Cyw</w:t>
      </w:r>
      <w:proofErr w:type="spellEnd"/>
      <w:r w:rsidRPr="00A276CA">
        <w:t xml:space="preserve">, encourage regular use of educational resources such as Hwb, and highlight the availability of Welsh language books (Welsh Government, 2021). These activities would </w:t>
      </w:r>
      <w:r w:rsidRPr="00A276CA">
        <w:lastRenderedPageBreak/>
        <w:t>reinforce Welsh as a living language, build parental confidence, and create opportunities for families to practice Welsh together</w:t>
      </w:r>
      <w:r>
        <w:t xml:space="preserve"> at home.</w:t>
      </w:r>
    </w:p>
    <w:p w14:paraId="0B3DC38F" w14:textId="572AF496" w:rsidR="00E21E56" w:rsidRDefault="00E21E56" w:rsidP="00555E44">
      <w:r>
        <w:t>Moreover, e</w:t>
      </w:r>
      <w:r w:rsidR="00B75058" w:rsidRPr="00B75058">
        <w:t xml:space="preserve">mbedding Welsh across all subjects would further normalise its use, making it a natural part of </w:t>
      </w:r>
      <w:r w:rsidR="00A276CA">
        <w:t xml:space="preserve">daily </w:t>
      </w:r>
      <w:r w:rsidR="00B75058" w:rsidRPr="00B75058">
        <w:t xml:space="preserve">learning and ensuring consistent exposure (Estyn, 2022). </w:t>
      </w:r>
      <w:r w:rsidRPr="00E21E56">
        <w:t>Together, these recommendations support pupil development, align with national policies, and promote lasting linguistic growth.</w:t>
      </w:r>
    </w:p>
    <w:p w14:paraId="1E6B354C" w14:textId="7F5957C8" w:rsidR="001E6A52" w:rsidRPr="001C3472" w:rsidRDefault="00A92959" w:rsidP="00555E44">
      <w:r w:rsidRPr="00A92959">
        <w:rPr>
          <w:b/>
          <w:bCs/>
          <w:u w:val="single"/>
        </w:rPr>
        <w:t>Conclusion</w:t>
      </w:r>
    </w:p>
    <w:p w14:paraId="6BA7224A" w14:textId="36BBAAE4" w:rsidR="00DB5F13" w:rsidRPr="00DB5F13" w:rsidRDefault="00DB5F13" w:rsidP="00DB5F13">
      <w:r w:rsidRPr="00DB5F13">
        <w:t xml:space="preserve">Overall, this assignment has reinforced the importance of embedding Welsh oracy and reading skills to promote bilingualism, equity, and cultural identity, especially for EAL and non-Welsh-speaking learners. Reflecting on School A’s development plan clarified why this priority was placed in the SDP, including the need to close linguistic gaps, support pupil progression, and align with national policy. It also highlighted areas for growth, such as staff confidence, immersive language opportunities, and </w:t>
      </w:r>
      <w:r>
        <w:t>parental involvement</w:t>
      </w:r>
      <w:r w:rsidRPr="00DB5F13">
        <w:t>.</w:t>
      </w:r>
    </w:p>
    <w:p w14:paraId="05DB6A92" w14:textId="77777777" w:rsidR="00DB5F13" w:rsidRPr="00DB5F13" w:rsidRDefault="00DB5F13" w:rsidP="00DB5F13">
      <w:r w:rsidRPr="00DB5F13">
        <w:t>My experience has strengthened my commitment to promoting the Welsh language and developed my leadership skills through leading whole-class sessions and structured oracy activities. It has also refined my pedagogical practice, aligning with the professional standard of advancing learning through cross-curricular approaches and promoting the four purposes for learners.</w:t>
      </w:r>
    </w:p>
    <w:p w14:paraId="4D9415EA" w14:textId="77777777" w:rsidR="00DB5F13" w:rsidRPr="00DB5F13" w:rsidRDefault="00DB5F13" w:rsidP="00DB5F13">
      <w:r w:rsidRPr="00DB5F13">
        <w:t xml:space="preserve">Looking ahead, I aim to strengthen school transition links, as Estyn (2024) emphasises the need for collaboration to support steady pupil progress. By building strong foundations in oracy and reading, primary schools can better prepare learners for the next stage of their bilingual journey. I am committed to using evidence-based strategies, collaborative practices, and ongoing professional development to contribute to </w:t>
      </w:r>
      <w:proofErr w:type="spellStart"/>
      <w:r w:rsidRPr="00DB5F13">
        <w:t>Wales'</w:t>
      </w:r>
      <w:proofErr w:type="spellEnd"/>
      <w:r w:rsidRPr="00DB5F13">
        <w:t xml:space="preserve"> vision for a thriving bilingual future.</w:t>
      </w:r>
    </w:p>
    <w:p w14:paraId="6FF4CA37" w14:textId="77777777" w:rsidR="004665FC" w:rsidRDefault="004665FC" w:rsidP="00A778FC"/>
    <w:sectPr w:rsidR="004665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360"/>
    <w:rsid w:val="00073DE8"/>
    <w:rsid w:val="00075907"/>
    <w:rsid w:val="000A2F7C"/>
    <w:rsid w:val="000B6F91"/>
    <w:rsid w:val="000E2473"/>
    <w:rsid w:val="0014031D"/>
    <w:rsid w:val="00176E1E"/>
    <w:rsid w:val="00184741"/>
    <w:rsid w:val="001869ED"/>
    <w:rsid w:val="001B1A5E"/>
    <w:rsid w:val="001C3472"/>
    <w:rsid w:val="001C738B"/>
    <w:rsid w:val="001D63A5"/>
    <w:rsid w:val="001E6A52"/>
    <w:rsid w:val="0024448D"/>
    <w:rsid w:val="00252889"/>
    <w:rsid w:val="00297B2D"/>
    <w:rsid w:val="002A332B"/>
    <w:rsid w:val="002B3B71"/>
    <w:rsid w:val="002C05AD"/>
    <w:rsid w:val="00331A5B"/>
    <w:rsid w:val="003C24E0"/>
    <w:rsid w:val="003C5AB0"/>
    <w:rsid w:val="003E1B46"/>
    <w:rsid w:val="00416A8E"/>
    <w:rsid w:val="004665FC"/>
    <w:rsid w:val="00480DA2"/>
    <w:rsid w:val="00485796"/>
    <w:rsid w:val="004960D0"/>
    <w:rsid w:val="00504CF7"/>
    <w:rsid w:val="005117B6"/>
    <w:rsid w:val="005236D7"/>
    <w:rsid w:val="00555E44"/>
    <w:rsid w:val="005604EB"/>
    <w:rsid w:val="0057504E"/>
    <w:rsid w:val="005967CC"/>
    <w:rsid w:val="005A50AE"/>
    <w:rsid w:val="005A5DAC"/>
    <w:rsid w:val="005E37FE"/>
    <w:rsid w:val="005F6D4F"/>
    <w:rsid w:val="00611126"/>
    <w:rsid w:val="0061559B"/>
    <w:rsid w:val="006414CF"/>
    <w:rsid w:val="00744A76"/>
    <w:rsid w:val="0075048C"/>
    <w:rsid w:val="007523A6"/>
    <w:rsid w:val="0077144A"/>
    <w:rsid w:val="00791F37"/>
    <w:rsid w:val="007A6D7E"/>
    <w:rsid w:val="007E07BF"/>
    <w:rsid w:val="007F6B94"/>
    <w:rsid w:val="0089158A"/>
    <w:rsid w:val="008955CE"/>
    <w:rsid w:val="008A2F55"/>
    <w:rsid w:val="008A6054"/>
    <w:rsid w:val="008B655E"/>
    <w:rsid w:val="008C5C9E"/>
    <w:rsid w:val="008E35C1"/>
    <w:rsid w:val="00911AD0"/>
    <w:rsid w:val="00915F02"/>
    <w:rsid w:val="00925360"/>
    <w:rsid w:val="0097223E"/>
    <w:rsid w:val="00982DEE"/>
    <w:rsid w:val="009856F0"/>
    <w:rsid w:val="009A6659"/>
    <w:rsid w:val="009D27ED"/>
    <w:rsid w:val="009E70D0"/>
    <w:rsid w:val="00A120B0"/>
    <w:rsid w:val="00A17785"/>
    <w:rsid w:val="00A276CA"/>
    <w:rsid w:val="00A55246"/>
    <w:rsid w:val="00A668F6"/>
    <w:rsid w:val="00A679E4"/>
    <w:rsid w:val="00A778FC"/>
    <w:rsid w:val="00A92959"/>
    <w:rsid w:val="00AC3B07"/>
    <w:rsid w:val="00AE0788"/>
    <w:rsid w:val="00AE49B7"/>
    <w:rsid w:val="00AF09CC"/>
    <w:rsid w:val="00AF1BA4"/>
    <w:rsid w:val="00B37553"/>
    <w:rsid w:val="00B53D3E"/>
    <w:rsid w:val="00B55412"/>
    <w:rsid w:val="00B623B2"/>
    <w:rsid w:val="00B7240B"/>
    <w:rsid w:val="00B75058"/>
    <w:rsid w:val="00B975EB"/>
    <w:rsid w:val="00BA1ABC"/>
    <w:rsid w:val="00BB3664"/>
    <w:rsid w:val="00BE5775"/>
    <w:rsid w:val="00C02C72"/>
    <w:rsid w:val="00C059C1"/>
    <w:rsid w:val="00C10828"/>
    <w:rsid w:val="00C12B88"/>
    <w:rsid w:val="00C172FE"/>
    <w:rsid w:val="00C428BA"/>
    <w:rsid w:val="00C42B7D"/>
    <w:rsid w:val="00C61215"/>
    <w:rsid w:val="00C663D8"/>
    <w:rsid w:val="00C75BF1"/>
    <w:rsid w:val="00C76F1C"/>
    <w:rsid w:val="00C8081E"/>
    <w:rsid w:val="00C821A1"/>
    <w:rsid w:val="00C82E03"/>
    <w:rsid w:val="00CA0376"/>
    <w:rsid w:val="00CC0C24"/>
    <w:rsid w:val="00CD0C55"/>
    <w:rsid w:val="00CD56D4"/>
    <w:rsid w:val="00CD685E"/>
    <w:rsid w:val="00CD6C56"/>
    <w:rsid w:val="00CF3436"/>
    <w:rsid w:val="00D045DA"/>
    <w:rsid w:val="00D53442"/>
    <w:rsid w:val="00D8712A"/>
    <w:rsid w:val="00DA1E05"/>
    <w:rsid w:val="00DB1F37"/>
    <w:rsid w:val="00DB5F13"/>
    <w:rsid w:val="00DC66AE"/>
    <w:rsid w:val="00E047B3"/>
    <w:rsid w:val="00E21E56"/>
    <w:rsid w:val="00E43557"/>
    <w:rsid w:val="00E8164A"/>
    <w:rsid w:val="00E819CC"/>
    <w:rsid w:val="00ED01D0"/>
    <w:rsid w:val="00F207A2"/>
    <w:rsid w:val="00F667E4"/>
    <w:rsid w:val="00F66CFD"/>
    <w:rsid w:val="00F67414"/>
    <w:rsid w:val="00FF3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B51533"/>
  <w15:chartTrackingRefBased/>
  <w15:docId w15:val="{BF2AE788-A75F-4825-A43E-756B2077E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536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2536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2536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2536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2536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253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53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53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53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36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2536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2536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2536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2536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253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53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53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5360"/>
    <w:rPr>
      <w:rFonts w:eastAsiaTheme="majorEastAsia" w:cstheme="majorBidi"/>
      <w:color w:val="272727" w:themeColor="text1" w:themeTint="D8"/>
    </w:rPr>
  </w:style>
  <w:style w:type="paragraph" w:styleId="Title">
    <w:name w:val="Title"/>
    <w:basedOn w:val="Normal"/>
    <w:next w:val="Normal"/>
    <w:link w:val="TitleChar"/>
    <w:uiPriority w:val="10"/>
    <w:qFormat/>
    <w:rsid w:val="009253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53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53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53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5360"/>
    <w:pPr>
      <w:spacing w:before="160"/>
      <w:jc w:val="center"/>
    </w:pPr>
    <w:rPr>
      <w:i/>
      <w:iCs/>
      <w:color w:val="404040" w:themeColor="text1" w:themeTint="BF"/>
    </w:rPr>
  </w:style>
  <w:style w:type="character" w:customStyle="1" w:styleId="QuoteChar">
    <w:name w:val="Quote Char"/>
    <w:basedOn w:val="DefaultParagraphFont"/>
    <w:link w:val="Quote"/>
    <w:uiPriority w:val="29"/>
    <w:rsid w:val="00925360"/>
    <w:rPr>
      <w:i/>
      <w:iCs/>
      <w:color w:val="404040" w:themeColor="text1" w:themeTint="BF"/>
    </w:rPr>
  </w:style>
  <w:style w:type="paragraph" w:styleId="ListParagraph">
    <w:name w:val="List Paragraph"/>
    <w:basedOn w:val="Normal"/>
    <w:uiPriority w:val="34"/>
    <w:qFormat/>
    <w:rsid w:val="00925360"/>
    <w:pPr>
      <w:ind w:left="720"/>
      <w:contextualSpacing/>
    </w:pPr>
  </w:style>
  <w:style w:type="character" w:styleId="IntenseEmphasis">
    <w:name w:val="Intense Emphasis"/>
    <w:basedOn w:val="DefaultParagraphFont"/>
    <w:uiPriority w:val="21"/>
    <w:qFormat/>
    <w:rsid w:val="00925360"/>
    <w:rPr>
      <w:i/>
      <w:iCs/>
      <w:color w:val="2F5496" w:themeColor="accent1" w:themeShade="BF"/>
    </w:rPr>
  </w:style>
  <w:style w:type="paragraph" w:styleId="IntenseQuote">
    <w:name w:val="Intense Quote"/>
    <w:basedOn w:val="Normal"/>
    <w:next w:val="Normal"/>
    <w:link w:val="IntenseQuoteChar"/>
    <w:uiPriority w:val="30"/>
    <w:qFormat/>
    <w:rsid w:val="0092536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25360"/>
    <w:rPr>
      <w:i/>
      <w:iCs/>
      <w:color w:val="2F5496" w:themeColor="accent1" w:themeShade="BF"/>
    </w:rPr>
  </w:style>
  <w:style w:type="character" w:styleId="IntenseReference">
    <w:name w:val="Intense Reference"/>
    <w:basedOn w:val="DefaultParagraphFont"/>
    <w:uiPriority w:val="32"/>
    <w:qFormat/>
    <w:rsid w:val="00925360"/>
    <w:rPr>
      <w:b/>
      <w:bCs/>
      <w:smallCaps/>
      <w:color w:val="2F5496" w:themeColor="accent1" w:themeShade="BF"/>
      <w:spacing w:val="5"/>
    </w:rPr>
  </w:style>
  <w:style w:type="paragraph" w:styleId="NormalWeb">
    <w:name w:val="Normal (Web)"/>
    <w:basedOn w:val="Normal"/>
    <w:uiPriority w:val="99"/>
    <w:semiHidden/>
    <w:unhideWhenUsed/>
    <w:rsid w:val="008B655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233276">
      <w:bodyDiv w:val="1"/>
      <w:marLeft w:val="0"/>
      <w:marRight w:val="0"/>
      <w:marTop w:val="0"/>
      <w:marBottom w:val="0"/>
      <w:divBdr>
        <w:top w:val="none" w:sz="0" w:space="0" w:color="auto"/>
        <w:left w:val="none" w:sz="0" w:space="0" w:color="auto"/>
        <w:bottom w:val="none" w:sz="0" w:space="0" w:color="auto"/>
        <w:right w:val="none" w:sz="0" w:space="0" w:color="auto"/>
      </w:divBdr>
    </w:div>
    <w:div w:id="72053680">
      <w:bodyDiv w:val="1"/>
      <w:marLeft w:val="0"/>
      <w:marRight w:val="0"/>
      <w:marTop w:val="0"/>
      <w:marBottom w:val="0"/>
      <w:divBdr>
        <w:top w:val="none" w:sz="0" w:space="0" w:color="auto"/>
        <w:left w:val="none" w:sz="0" w:space="0" w:color="auto"/>
        <w:bottom w:val="none" w:sz="0" w:space="0" w:color="auto"/>
        <w:right w:val="none" w:sz="0" w:space="0" w:color="auto"/>
      </w:divBdr>
    </w:div>
    <w:div w:id="110168805">
      <w:bodyDiv w:val="1"/>
      <w:marLeft w:val="0"/>
      <w:marRight w:val="0"/>
      <w:marTop w:val="0"/>
      <w:marBottom w:val="0"/>
      <w:divBdr>
        <w:top w:val="none" w:sz="0" w:space="0" w:color="auto"/>
        <w:left w:val="none" w:sz="0" w:space="0" w:color="auto"/>
        <w:bottom w:val="none" w:sz="0" w:space="0" w:color="auto"/>
        <w:right w:val="none" w:sz="0" w:space="0" w:color="auto"/>
      </w:divBdr>
    </w:div>
    <w:div w:id="126440599">
      <w:bodyDiv w:val="1"/>
      <w:marLeft w:val="0"/>
      <w:marRight w:val="0"/>
      <w:marTop w:val="0"/>
      <w:marBottom w:val="0"/>
      <w:divBdr>
        <w:top w:val="none" w:sz="0" w:space="0" w:color="auto"/>
        <w:left w:val="none" w:sz="0" w:space="0" w:color="auto"/>
        <w:bottom w:val="none" w:sz="0" w:space="0" w:color="auto"/>
        <w:right w:val="none" w:sz="0" w:space="0" w:color="auto"/>
      </w:divBdr>
    </w:div>
    <w:div w:id="133640841">
      <w:bodyDiv w:val="1"/>
      <w:marLeft w:val="0"/>
      <w:marRight w:val="0"/>
      <w:marTop w:val="0"/>
      <w:marBottom w:val="0"/>
      <w:divBdr>
        <w:top w:val="none" w:sz="0" w:space="0" w:color="auto"/>
        <w:left w:val="none" w:sz="0" w:space="0" w:color="auto"/>
        <w:bottom w:val="none" w:sz="0" w:space="0" w:color="auto"/>
        <w:right w:val="none" w:sz="0" w:space="0" w:color="auto"/>
      </w:divBdr>
    </w:div>
    <w:div w:id="152794816">
      <w:bodyDiv w:val="1"/>
      <w:marLeft w:val="0"/>
      <w:marRight w:val="0"/>
      <w:marTop w:val="0"/>
      <w:marBottom w:val="0"/>
      <w:divBdr>
        <w:top w:val="none" w:sz="0" w:space="0" w:color="auto"/>
        <w:left w:val="none" w:sz="0" w:space="0" w:color="auto"/>
        <w:bottom w:val="none" w:sz="0" w:space="0" w:color="auto"/>
        <w:right w:val="none" w:sz="0" w:space="0" w:color="auto"/>
      </w:divBdr>
    </w:div>
    <w:div w:id="200099074">
      <w:bodyDiv w:val="1"/>
      <w:marLeft w:val="0"/>
      <w:marRight w:val="0"/>
      <w:marTop w:val="0"/>
      <w:marBottom w:val="0"/>
      <w:divBdr>
        <w:top w:val="none" w:sz="0" w:space="0" w:color="auto"/>
        <w:left w:val="none" w:sz="0" w:space="0" w:color="auto"/>
        <w:bottom w:val="none" w:sz="0" w:space="0" w:color="auto"/>
        <w:right w:val="none" w:sz="0" w:space="0" w:color="auto"/>
      </w:divBdr>
    </w:div>
    <w:div w:id="212543323">
      <w:bodyDiv w:val="1"/>
      <w:marLeft w:val="0"/>
      <w:marRight w:val="0"/>
      <w:marTop w:val="0"/>
      <w:marBottom w:val="0"/>
      <w:divBdr>
        <w:top w:val="none" w:sz="0" w:space="0" w:color="auto"/>
        <w:left w:val="none" w:sz="0" w:space="0" w:color="auto"/>
        <w:bottom w:val="none" w:sz="0" w:space="0" w:color="auto"/>
        <w:right w:val="none" w:sz="0" w:space="0" w:color="auto"/>
      </w:divBdr>
    </w:div>
    <w:div w:id="213127799">
      <w:bodyDiv w:val="1"/>
      <w:marLeft w:val="0"/>
      <w:marRight w:val="0"/>
      <w:marTop w:val="0"/>
      <w:marBottom w:val="0"/>
      <w:divBdr>
        <w:top w:val="none" w:sz="0" w:space="0" w:color="auto"/>
        <w:left w:val="none" w:sz="0" w:space="0" w:color="auto"/>
        <w:bottom w:val="none" w:sz="0" w:space="0" w:color="auto"/>
        <w:right w:val="none" w:sz="0" w:space="0" w:color="auto"/>
      </w:divBdr>
    </w:div>
    <w:div w:id="213472934">
      <w:bodyDiv w:val="1"/>
      <w:marLeft w:val="0"/>
      <w:marRight w:val="0"/>
      <w:marTop w:val="0"/>
      <w:marBottom w:val="0"/>
      <w:divBdr>
        <w:top w:val="none" w:sz="0" w:space="0" w:color="auto"/>
        <w:left w:val="none" w:sz="0" w:space="0" w:color="auto"/>
        <w:bottom w:val="none" w:sz="0" w:space="0" w:color="auto"/>
        <w:right w:val="none" w:sz="0" w:space="0" w:color="auto"/>
      </w:divBdr>
    </w:div>
    <w:div w:id="237593338">
      <w:bodyDiv w:val="1"/>
      <w:marLeft w:val="0"/>
      <w:marRight w:val="0"/>
      <w:marTop w:val="0"/>
      <w:marBottom w:val="0"/>
      <w:divBdr>
        <w:top w:val="none" w:sz="0" w:space="0" w:color="auto"/>
        <w:left w:val="none" w:sz="0" w:space="0" w:color="auto"/>
        <w:bottom w:val="none" w:sz="0" w:space="0" w:color="auto"/>
        <w:right w:val="none" w:sz="0" w:space="0" w:color="auto"/>
      </w:divBdr>
    </w:div>
    <w:div w:id="248269115">
      <w:bodyDiv w:val="1"/>
      <w:marLeft w:val="0"/>
      <w:marRight w:val="0"/>
      <w:marTop w:val="0"/>
      <w:marBottom w:val="0"/>
      <w:divBdr>
        <w:top w:val="none" w:sz="0" w:space="0" w:color="auto"/>
        <w:left w:val="none" w:sz="0" w:space="0" w:color="auto"/>
        <w:bottom w:val="none" w:sz="0" w:space="0" w:color="auto"/>
        <w:right w:val="none" w:sz="0" w:space="0" w:color="auto"/>
      </w:divBdr>
    </w:div>
    <w:div w:id="265500707">
      <w:bodyDiv w:val="1"/>
      <w:marLeft w:val="0"/>
      <w:marRight w:val="0"/>
      <w:marTop w:val="0"/>
      <w:marBottom w:val="0"/>
      <w:divBdr>
        <w:top w:val="none" w:sz="0" w:space="0" w:color="auto"/>
        <w:left w:val="none" w:sz="0" w:space="0" w:color="auto"/>
        <w:bottom w:val="none" w:sz="0" w:space="0" w:color="auto"/>
        <w:right w:val="none" w:sz="0" w:space="0" w:color="auto"/>
      </w:divBdr>
    </w:div>
    <w:div w:id="265777461">
      <w:bodyDiv w:val="1"/>
      <w:marLeft w:val="0"/>
      <w:marRight w:val="0"/>
      <w:marTop w:val="0"/>
      <w:marBottom w:val="0"/>
      <w:divBdr>
        <w:top w:val="none" w:sz="0" w:space="0" w:color="auto"/>
        <w:left w:val="none" w:sz="0" w:space="0" w:color="auto"/>
        <w:bottom w:val="none" w:sz="0" w:space="0" w:color="auto"/>
        <w:right w:val="none" w:sz="0" w:space="0" w:color="auto"/>
      </w:divBdr>
    </w:div>
    <w:div w:id="336035514">
      <w:bodyDiv w:val="1"/>
      <w:marLeft w:val="0"/>
      <w:marRight w:val="0"/>
      <w:marTop w:val="0"/>
      <w:marBottom w:val="0"/>
      <w:divBdr>
        <w:top w:val="none" w:sz="0" w:space="0" w:color="auto"/>
        <w:left w:val="none" w:sz="0" w:space="0" w:color="auto"/>
        <w:bottom w:val="none" w:sz="0" w:space="0" w:color="auto"/>
        <w:right w:val="none" w:sz="0" w:space="0" w:color="auto"/>
      </w:divBdr>
    </w:div>
    <w:div w:id="350912471">
      <w:bodyDiv w:val="1"/>
      <w:marLeft w:val="0"/>
      <w:marRight w:val="0"/>
      <w:marTop w:val="0"/>
      <w:marBottom w:val="0"/>
      <w:divBdr>
        <w:top w:val="none" w:sz="0" w:space="0" w:color="auto"/>
        <w:left w:val="none" w:sz="0" w:space="0" w:color="auto"/>
        <w:bottom w:val="none" w:sz="0" w:space="0" w:color="auto"/>
        <w:right w:val="none" w:sz="0" w:space="0" w:color="auto"/>
      </w:divBdr>
    </w:div>
    <w:div w:id="356853232">
      <w:bodyDiv w:val="1"/>
      <w:marLeft w:val="0"/>
      <w:marRight w:val="0"/>
      <w:marTop w:val="0"/>
      <w:marBottom w:val="0"/>
      <w:divBdr>
        <w:top w:val="none" w:sz="0" w:space="0" w:color="auto"/>
        <w:left w:val="none" w:sz="0" w:space="0" w:color="auto"/>
        <w:bottom w:val="none" w:sz="0" w:space="0" w:color="auto"/>
        <w:right w:val="none" w:sz="0" w:space="0" w:color="auto"/>
      </w:divBdr>
    </w:div>
    <w:div w:id="421950796">
      <w:bodyDiv w:val="1"/>
      <w:marLeft w:val="0"/>
      <w:marRight w:val="0"/>
      <w:marTop w:val="0"/>
      <w:marBottom w:val="0"/>
      <w:divBdr>
        <w:top w:val="none" w:sz="0" w:space="0" w:color="auto"/>
        <w:left w:val="none" w:sz="0" w:space="0" w:color="auto"/>
        <w:bottom w:val="none" w:sz="0" w:space="0" w:color="auto"/>
        <w:right w:val="none" w:sz="0" w:space="0" w:color="auto"/>
      </w:divBdr>
    </w:div>
    <w:div w:id="469514224">
      <w:bodyDiv w:val="1"/>
      <w:marLeft w:val="0"/>
      <w:marRight w:val="0"/>
      <w:marTop w:val="0"/>
      <w:marBottom w:val="0"/>
      <w:divBdr>
        <w:top w:val="none" w:sz="0" w:space="0" w:color="auto"/>
        <w:left w:val="none" w:sz="0" w:space="0" w:color="auto"/>
        <w:bottom w:val="none" w:sz="0" w:space="0" w:color="auto"/>
        <w:right w:val="none" w:sz="0" w:space="0" w:color="auto"/>
      </w:divBdr>
    </w:div>
    <w:div w:id="478615572">
      <w:bodyDiv w:val="1"/>
      <w:marLeft w:val="0"/>
      <w:marRight w:val="0"/>
      <w:marTop w:val="0"/>
      <w:marBottom w:val="0"/>
      <w:divBdr>
        <w:top w:val="none" w:sz="0" w:space="0" w:color="auto"/>
        <w:left w:val="none" w:sz="0" w:space="0" w:color="auto"/>
        <w:bottom w:val="none" w:sz="0" w:space="0" w:color="auto"/>
        <w:right w:val="none" w:sz="0" w:space="0" w:color="auto"/>
      </w:divBdr>
    </w:div>
    <w:div w:id="490215278">
      <w:bodyDiv w:val="1"/>
      <w:marLeft w:val="0"/>
      <w:marRight w:val="0"/>
      <w:marTop w:val="0"/>
      <w:marBottom w:val="0"/>
      <w:divBdr>
        <w:top w:val="none" w:sz="0" w:space="0" w:color="auto"/>
        <w:left w:val="none" w:sz="0" w:space="0" w:color="auto"/>
        <w:bottom w:val="none" w:sz="0" w:space="0" w:color="auto"/>
        <w:right w:val="none" w:sz="0" w:space="0" w:color="auto"/>
      </w:divBdr>
    </w:div>
    <w:div w:id="502207376">
      <w:bodyDiv w:val="1"/>
      <w:marLeft w:val="0"/>
      <w:marRight w:val="0"/>
      <w:marTop w:val="0"/>
      <w:marBottom w:val="0"/>
      <w:divBdr>
        <w:top w:val="none" w:sz="0" w:space="0" w:color="auto"/>
        <w:left w:val="none" w:sz="0" w:space="0" w:color="auto"/>
        <w:bottom w:val="none" w:sz="0" w:space="0" w:color="auto"/>
        <w:right w:val="none" w:sz="0" w:space="0" w:color="auto"/>
      </w:divBdr>
    </w:div>
    <w:div w:id="548033761">
      <w:bodyDiv w:val="1"/>
      <w:marLeft w:val="0"/>
      <w:marRight w:val="0"/>
      <w:marTop w:val="0"/>
      <w:marBottom w:val="0"/>
      <w:divBdr>
        <w:top w:val="none" w:sz="0" w:space="0" w:color="auto"/>
        <w:left w:val="none" w:sz="0" w:space="0" w:color="auto"/>
        <w:bottom w:val="none" w:sz="0" w:space="0" w:color="auto"/>
        <w:right w:val="none" w:sz="0" w:space="0" w:color="auto"/>
      </w:divBdr>
    </w:div>
    <w:div w:id="567156074">
      <w:bodyDiv w:val="1"/>
      <w:marLeft w:val="0"/>
      <w:marRight w:val="0"/>
      <w:marTop w:val="0"/>
      <w:marBottom w:val="0"/>
      <w:divBdr>
        <w:top w:val="none" w:sz="0" w:space="0" w:color="auto"/>
        <w:left w:val="none" w:sz="0" w:space="0" w:color="auto"/>
        <w:bottom w:val="none" w:sz="0" w:space="0" w:color="auto"/>
        <w:right w:val="none" w:sz="0" w:space="0" w:color="auto"/>
      </w:divBdr>
    </w:div>
    <w:div w:id="571277568">
      <w:bodyDiv w:val="1"/>
      <w:marLeft w:val="0"/>
      <w:marRight w:val="0"/>
      <w:marTop w:val="0"/>
      <w:marBottom w:val="0"/>
      <w:divBdr>
        <w:top w:val="none" w:sz="0" w:space="0" w:color="auto"/>
        <w:left w:val="none" w:sz="0" w:space="0" w:color="auto"/>
        <w:bottom w:val="none" w:sz="0" w:space="0" w:color="auto"/>
        <w:right w:val="none" w:sz="0" w:space="0" w:color="auto"/>
      </w:divBdr>
    </w:div>
    <w:div w:id="632904083">
      <w:bodyDiv w:val="1"/>
      <w:marLeft w:val="0"/>
      <w:marRight w:val="0"/>
      <w:marTop w:val="0"/>
      <w:marBottom w:val="0"/>
      <w:divBdr>
        <w:top w:val="none" w:sz="0" w:space="0" w:color="auto"/>
        <w:left w:val="none" w:sz="0" w:space="0" w:color="auto"/>
        <w:bottom w:val="none" w:sz="0" w:space="0" w:color="auto"/>
        <w:right w:val="none" w:sz="0" w:space="0" w:color="auto"/>
      </w:divBdr>
    </w:div>
    <w:div w:id="634683247">
      <w:bodyDiv w:val="1"/>
      <w:marLeft w:val="0"/>
      <w:marRight w:val="0"/>
      <w:marTop w:val="0"/>
      <w:marBottom w:val="0"/>
      <w:divBdr>
        <w:top w:val="none" w:sz="0" w:space="0" w:color="auto"/>
        <w:left w:val="none" w:sz="0" w:space="0" w:color="auto"/>
        <w:bottom w:val="none" w:sz="0" w:space="0" w:color="auto"/>
        <w:right w:val="none" w:sz="0" w:space="0" w:color="auto"/>
      </w:divBdr>
    </w:div>
    <w:div w:id="657660790">
      <w:bodyDiv w:val="1"/>
      <w:marLeft w:val="0"/>
      <w:marRight w:val="0"/>
      <w:marTop w:val="0"/>
      <w:marBottom w:val="0"/>
      <w:divBdr>
        <w:top w:val="none" w:sz="0" w:space="0" w:color="auto"/>
        <w:left w:val="none" w:sz="0" w:space="0" w:color="auto"/>
        <w:bottom w:val="none" w:sz="0" w:space="0" w:color="auto"/>
        <w:right w:val="none" w:sz="0" w:space="0" w:color="auto"/>
      </w:divBdr>
    </w:div>
    <w:div w:id="663314347">
      <w:bodyDiv w:val="1"/>
      <w:marLeft w:val="0"/>
      <w:marRight w:val="0"/>
      <w:marTop w:val="0"/>
      <w:marBottom w:val="0"/>
      <w:divBdr>
        <w:top w:val="none" w:sz="0" w:space="0" w:color="auto"/>
        <w:left w:val="none" w:sz="0" w:space="0" w:color="auto"/>
        <w:bottom w:val="none" w:sz="0" w:space="0" w:color="auto"/>
        <w:right w:val="none" w:sz="0" w:space="0" w:color="auto"/>
      </w:divBdr>
    </w:div>
    <w:div w:id="667706679">
      <w:bodyDiv w:val="1"/>
      <w:marLeft w:val="0"/>
      <w:marRight w:val="0"/>
      <w:marTop w:val="0"/>
      <w:marBottom w:val="0"/>
      <w:divBdr>
        <w:top w:val="none" w:sz="0" w:space="0" w:color="auto"/>
        <w:left w:val="none" w:sz="0" w:space="0" w:color="auto"/>
        <w:bottom w:val="none" w:sz="0" w:space="0" w:color="auto"/>
        <w:right w:val="none" w:sz="0" w:space="0" w:color="auto"/>
      </w:divBdr>
    </w:div>
    <w:div w:id="668869052">
      <w:bodyDiv w:val="1"/>
      <w:marLeft w:val="0"/>
      <w:marRight w:val="0"/>
      <w:marTop w:val="0"/>
      <w:marBottom w:val="0"/>
      <w:divBdr>
        <w:top w:val="none" w:sz="0" w:space="0" w:color="auto"/>
        <w:left w:val="none" w:sz="0" w:space="0" w:color="auto"/>
        <w:bottom w:val="none" w:sz="0" w:space="0" w:color="auto"/>
        <w:right w:val="none" w:sz="0" w:space="0" w:color="auto"/>
      </w:divBdr>
    </w:div>
    <w:div w:id="676809608">
      <w:bodyDiv w:val="1"/>
      <w:marLeft w:val="0"/>
      <w:marRight w:val="0"/>
      <w:marTop w:val="0"/>
      <w:marBottom w:val="0"/>
      <w:divBdr>
        <w:top w:val="none" w:sz="0" w:space="0" w:color="auto"/>
        <w:left w:val="none" w:sz="0" w:space="0" w:color="auto"/>
        <w:bottom w:val="none" w:sz="0" w:space="0" w:color="auto"/>
        <w:right w:val="none" w:sz="0" w:space="0" w:color="auto"/>
      </w:divBdr>
    </w:div>
    <w:div w:id="688873140">
      <w:bodyDiv w:val="1"/>
      <w:marLeft w:val="0"/>
      <w:marRight w:val="0"/>
      <w:marTop w:val="0"/>
      <w:marBottom w:val="0"/>
      <w:divBdr>
        <w:top w:val="none" w:sz="0" w:space="0" w:color="auto"/>
        <w:left w:val="none" w:sz="0" w:space="0" w:color="auto"/>
        <w:bottom w:val="none" w:sz="0" w:space="0" w:color="auto"/>
        <w:right w:val="none" w:sz="0" w:space="0" w:color="auto"/>
      </w:divBdr>
    </w:div>
    <w:div w:id="735468981">
      <w:bodyDiv w:val="1"/>
      <w:marLeft w:val="0"/>
      <w:marRight w:val="0"/>
      <w:marTop w:val="0"/>
      <w:marBottom w:val="0"/>
      <w:divBdr>
        <w:top w:val="none" w:sz="0" w:space="0" w:color="auto"/>
        <w:left w:val="none" w:sz="0" w:space="0" w:color="auto"/>
        <w:bottom w:val="none" w:sz="0" w:space="0" w:color="auto"/>
        <w:right w:val="none" w:sz="0" w:space="0" w:color="auto"/>
      </w:divBdr>
    </w:div>
    <w:div w:id="763648388">
      <w:bodyDiv w:val="1"/>
      <w:marLeft w:val="0"/>
      <w:marRight w:val="0"/>
      <w:marTop w:val="0"/>
      <w:marBottom w:val="0"/>
      <w:divBdr>
        <w:top w:val="none" w:sz="0" w:space="0" w:color="auto"/>
        <w:left w:val="none" w:sz="0" w:space="0" w:color="auto"/>
        <w:bottom w:val="none" w:sz="0" w:space="0" w:color="auto"/>
        <w:right w:val="none" w:sz="0" w:space="0" w:color="auto"/>
      </w:divBdr>
    </w:div>
    <w:div w:id="766850594">
      <w:bodyDiv w:val="1"/>
      <w:marLeft w:val="0"/>
      <w:marRight w:val="0"/>
      <w:marTop w:val="0"/>
      <w:marBottom w:val="0"/>
      <w:divBdr>
        <w:top w:val="none" w:sz="0" w:space="0" w:color="auto"/>
        <w:left w:val="none" w:sz="0" w:space="0" w:color="auto"/>
        <w:bottom w:val="none" w:sz="0" w:space="0" w:color="auto"/>
        <w:right w:val="none" w:sz="0" w:space="0" w:color="auto"/>
      </w:divBdr>
    </w:div>
    <w:div w:id="795756553">
      <w:bodyDiv w:val="1"/>
      <w:marLeft w:val="0"/>
      <w:marRight w:val="0"/>
      <w:marTop w:val="0"/>
      <w:marBottom w:val="0"/>
      <w:divBdr>
        <w:top w:val="none" w:sz="0" w:space="0" w:color="auto"/>
        <w:left w:val="none" w:sz="0" w:space="0" w:color="auto"/>
        <w:bottom w:val="none" w:sz="0" w:space="0" w:color="auto"/>
        <w:right w:val="none" w:sz="0" w:space="0" w:color="auto"/>
      </w:divBdr>
    </w:div>
    <w:div w:id="823738948">
      <w:bodyDiv w:val="1"/>
      <w:marLeft w:val="0"/>
      <w:marRight w:val="0"/>
      <w:marTop w:val="0"/>
      <w:marBottom w:val="0"/>
      <w:divBdr>
        <w:top w:val="none" w:sz="0" w:space="0" w:color="auto"/>
        <w:left w:val="none" w:sz="0" w:space="0" w:color="auto"/>
        <w:bottom w:val="none" w:sz="0" w:space="0" w:color="auto"/>
        <w:right w:val="none" w:sz="0" w:space="0" w:color="auto"/>
      </w:divBdr>
    </w:div>
    <w:div w:id="854610771">
      <w:bodyDiv w:val="1"/>
      <w:marLeft w:val="0"/>
      <w:marRight w:val="0"/>
      <w:marTop w:val="0"/>
      <w:marBottom w:val="0"/>
      <w:divBdr>
        <w:top w:val="none" w:sz="0" w:space="0" w:color="auto"/>
        <w:left w:val="none" w:sz="0" w:space="0" w:color="auto"/>
        <w:bottom w:val="none" w:sz="0" w:space="0" w:color="auto"/>
        <w:right w:val="none" w:sz="0" w:space="0" w:color="auto"/>
      </w:divBdr>
    </w:div>
    <w:div w:id="870149609">
      <w:bodyDiv w:val="1"/>
      <w:marLeft w:val="0"/>
      <w:marRight w:val="0"/>
      <w:marTop w:val="0"/>
      <w:marBottom w:val="0"/>
      <w:divBdr>
        <w:top w:val="none" w:sz="0" w:space="0" w:color="auto"/>
        <w:left w:val="none" w:sz="0" w:space="0" w:color="auto"/>
        <w:bottom w:val="none" w:sz="0" w:space="0" w:color="auto"/>
        <w:right w:val="none" w:sz="0" w:space="0" w:color="auto"/>
      </w:divBdr>
    </w:div>
    <w:div w:id="880164389">
      <w:bodyDiv w:val="1"/>
      <w:marLeft w:val="0"/>
      <w:marRight w:val="0"/>
      <w:marTop w:val="0"/>
      <w:marBottom w:val="0"/>
      <w:divBdr>
        <w:top w:val="none" w:sz="0" w:space="0" w:color="auto"/>
        <w:left w:val="none" w:sz="0" w:space="0" w:color="auto"/>
        <w:bottom w:val="none" w:sz="0" w:space="0" w:color="auto"/>
        <w:right w:val="none" w:sz="0" w:space="0" w:color="auto"/>
      </w:divBdr>
    </w:div>
    <w:div w:id="900872855">
      <w:bodyDiv w:val="1"/>
      <w:marLeft w:val="0"/>
      <w:marRight w:val="0"/>
      <w:marTop w:val="0"/>
      <w:marBottom w:val="0"/>
      <w:divBdr>
        <w:top w:val="none" w:sz="0" w:space="0" w:color="auto"/>
        <w:left w:val="none" w:sz="0" w:space="0" w:color="auto"/>
        <w:bottom w:val="none" w:sz="0" w:space="0" w:color="auto"/>
        <w:right w:val="none" w:sz="0" w:space="0" w:color="auto"/>
      </w:divBdr>
    </w:div>
    <w:div w:id="907033280">
      <w:bodyDiv w:val="1"/>
      <w:marLeft w:val="0"/>
      <w:marRight w:val="0"/>
      <w:marTop w:val="0"/>
      <w:marBottom w:val="0"/>
      <w:divBdr>
        <w:top w:val="none" w:sz="0" w:space="0" w:color="auto"/>
        <w:left w:val="none" w:sz="0" w:space="0" w:color="auto"/>
        <w:bottom w:val="none" w:sz="0" w:space="0" w:color="auto"/>
        <w:right w:val="none" w:sz="0" w:space="0" w:color="auto"/>
      </w:divBdr>
    </w:div>
    <w:div w:id="975530973">
      <w:bodyDiv w:val="1"/>
      <w:marLeft w:val="0"/>
      <w:marRight w:val="0"/>
      <w:marTop w:val="0"/>
      <w:marBottom w:val="0"/>
      <w:divBdr>
        <w:top w:val="none" w:sz="0" w:space="0" w:color="auto"/>
        <w:left w:val="none" w:sz="0" w:space="0" w:color="auto"/>
        <w:bottom w:val="none" w:sz="0" w:space="0" w:color="auto"/>
        <w:right w:val="none" w:sz="0" w:space="0" w:color="auto"/>
      </w:divBdr>
    </w:div>
    <w:div w:id="977686637">
      <w:bodyDiv w:val="1"/>
      <w:marLeft w:val="0"/>
      <w:marRight w:val="0"/>
      <w:marTop w:val="0"/>
      <w:marBottom w:val="0"/>
      <w:divBdr>
        <w:top w:val="none" w:sz="0" w:space="0" w:color="auto"/>
        <w:left w:val="none" w:sz="0" w:space="0" w:color="auto"/>
        <w:bottom w:val="none" w:sz="0" w:space="0" w:color="auto"/>
        <w:right w:val="none" w:sz="0" w:space="0" w:color="auto"/>
      </w:divBdr>
    </w:div>
    <w:div w:id="1009066171">
      <w:bodyDiv w:val="1"/>
      <w:marLeft w:val="0"/>
      <w:marRight w:val="0"/>
      <w:marTop w:val="0"/>
      <w:marBottom w:val="0"/>
      <w:divBdr>
        <w:top w:val="none" w:sz="0" w:space="0" w:color="auto"/>
        <w:left w:val="none" w:sz="0" w:space="0" w:color="auto"/>
        <w:bottom w:val="none" w:sz="0" w:space="0" w:color="auto"/>
        <w:right w:val="none" w:sz="0" w:space="0" w:color="auto"/>
      </w:divBdr>
    </w:div>
    <w:div w:id="1021012725">
      <w:bodyDiv w:val="1"/>
      <w:marLeft w:val="0"/>
      <w:marRight w:val="0"/>
      <w:marTop w:val="0"/>
      <w:marBottom w:val="0"/>
      <w:divBdr>
        <w:top w:val="none" w:sz="0" w:space="0" w:color="auto"/>
        <w:left w:val="none" w:sz="0" w:space="0" w:color="auto"/>
        <w:bottom w:val="none" w:sz="0" w:space="0" w:color="auto"/>
        <w:right w:val="none" w:sz="0" w:space="0" w:color="auto"/>
      </w:divBdr>
    </w:div>
    <w:div w:id="1028793811">
      <w:bodyDiv w:val="1"/>
      <w:marLeft w:val="0"/>
      <w:marRight w:val="0"/>
      <w:marTop w:val="0"/>
      <w:marBottom w:val="0"/>
      <w:divBdr>
        <w:top w:val="none" w:sz="0" w:space="0" w:color="auto"/>
        <w:left w:val="none" w:sz="0" w:space="0" w:color="auto"/>
        <w:bottom w:val="none" w:sz="0" w:space="0" w:color="auto"/>
        <w:right w:val="none" w:sz="0" w:space="0" w:color="auto"/>
      </w:divBdr>
    </w:div>
    <w:div w:id="1029139665">
      <w:bodyDiv w:val="1"/>
      <w:marLeft w:val="0"/>
      <w:marRight w:val="0"/>
      <w:marTop w:val="0"/>
      <w:marBottom w:val="0"/>
      <w:divBdr>
        <w:top w:val="none" w:sz="0" w:space="0" w:color="auto"/>
        <w:left w:val="none" w:sz="0" w:space="0" w:color="auto"/>
        <w:bottom w:val="none" w:sz="0" w:space="0" w:color="auto"/>
        <w:right w:val="none" w:sz="0" w:space="0" w:color="auto"/>
      </w:divBdr>
    </w:div>
    <w:div w:id="1087117459">
      <w:bodyDiv w:val="1"/>
      <w:marLeft w:val="0"/>
      <w:marRight w:val="0"/>
      <w:marTop w:val="0"/>
      <w:marBottom w:val="0"/>
      <w:divBdr>
        <w:top w:val="none" w:sz="0" w:space="0" w:color="auto"/>
        <w:left w:val="none" w:sz="0" w:space="0" w:color="auto"/>
        <w:bottom w:val="none" w:sz="0" w:space="0" w:color="auto"/>
        <w:right w:val="none" w:sz="0" w:space="0" w:color="auto"/>
      </w:divBdr>
    </w:div>
    <w:div w:id="1164005599">
      <w:bodyDiv w:val="1"/>
      <w:marLeft w:val="0"/>
      <w:marRight w:val="0"/>
      <w:marTop w:val="0"/>
      <w:marBottom w:val="0"/>
      <w:divBdr>
        <w:top w:val="none" w:sz="0" w:space="0" w:color="auto"/>
        <w:left w:val="none" w:sz="0" w:space="0" w:color="auto"/>
        <w:bottom w:val="none" w:sz="0" w:space="0" w:color="auto"/>
        <w:right w:val="none" w:sz="0" w:space="0" w:color="auto"/>
      </w:divBdr>
    </w:div>
    <w:div w:id="1179396044">
      <w:bodyDiv w:val="1"/>
      <w:marLeft w:val="0"/>
      <w:marRight w:val="0"/>
      <w:marTop w:val="0"/>
      <w:marBottom w:val="0"/>
      <w:divBdr>
        <w:top w:val="none" w:sz="0" w:space="0" w:color="auto"/>
        <w:left w:val="none" w:sz="0" w:space="0" w:color="auto"/>
        <w:bottom w:val="none" w:sz="0" w:space="0" w:color="auto"/>
        <w:right w:val="none" w:sz="0" w:space="0" w:color="auto"/>
      </w:divBdr>
    </w:div>
    <w:div w:id="1184322572">
      <w:bodyDiv w:val="1"/>
      <w:marLeft w:val="0"/>
      <w:marRight w:val="0"/>
      <w:marTop w:val="0"/>
      <w:marBottom w:val="0"/>
      <w:divBdr>
        <w:top w:val="none" w:sz="0" w:space="0" w:color="auto"/>
        <w:left w:val="none" w:sz="0" w:space="0" w:color="auto"/>
        <w:bottom w:val="none" w:sz="0" w:space="0" w:color="auto"/>
        <w:right w:val="none" w:sz="0" w:space="0" w:color="auto"/>
      </w:divBdr>
    </w:div>
    <w:div w:id="1185941434">
      <w:bodyDiv w:val="1"/>
      <w:marLeft w:val="0"/>
      <w:marRight w:val="0"/>
      <w:marTop w:val="0"/>
      <w:marBottom w:val="0"/>
      <w:divBdr>
        <w:top w:val="none" w:sz="0" w:space="0" w:color="auto"/>
        <w:left w:val="none" w:sz="0" w:space="0" w:color="auto"/>
        <w:bottom w:val="none" w:sz="0" w:space="0" w:color="auto"/>
        <w:right w:val="none" w:sz="0" w:space="0" w:color="auto"/>
      </w:divBdr>
    </w:div>
    <w:div w:id="1189445626">
      <w:bodyDiv w:val="1"/>
      <w:marLeft w:val="0"/>
      <w:marRight w:val="0"/>
      <w:marTop w:val="0"/>
      <w:marBottom w:val="0"/>
      <w:divBdr>
        <w:top w:val="none" w:sz="0" w:space="0" w:color="auto"/>
        <w:left w:val="none" w:sz="0" w:space="0" w:color="auto"/>
        <w:bottom w:val="none" w:sz="0" w:space="0" w:color="auto"/>
        <w:right w:val="none" w:sz="0" w:space="0" w:color="auto"/>
      </w:divBdr>
    </w:div>
    <w:div w:id="1254703107">
      <w:bodyDiv w:val="1"/>
      <w:marLeft w:val="0"/>
      <w:marRight w:val="0"/>
      <w:marTop w:val="0"/>
      <w:marBottom w:val="0"/>
      <w:divBdr>
        <w:top w:val="none" w:sz="0" w:space="0" w:color="auto"/>
        <w:left w:val="none" w:sz="0" w:space="0" w:color="auto"/>
        <w:bottom w:val="none" w:sz="0" w:space="0" w:color="auto"/>
        <w:right w:val="none" w:sz="0" w:space="0" w:color="auto"/>
      </w:divBdr>
    </w:div>
    <w:div w:id="1290746960">
      <w:bodyDiv w:val="1"/>
      <w:marLeft w:val="0"/>
      <w:marRight w:val="0"/>
      <w:marTop w:val="0"/>
      <w:marBottom w:val="0"/>
      <w:divBdr>
        <w:top w:val="none" w:sz="0" w:space="0" w:color="auto"/>
        <w:left w:val="none" w:sz="0" w:space="0" w:color="auto"/>
        <w:bottom w:val="none" w:sz="0" w:space="0" w:color="auto"/>
        <w:right w:val="none" w:sz="0" w:space="0" w:color="auto"/>
      </w:divBdr>
    </w:div>
    <w:div w:id="1308903168">
      <w:bodyDiv w:val="1"/>
      <w:marLeft w:val="0"/>
      <w:marRight w:val="0"/>
      <w:marTop w:val="0"/>
      <w:marBottom w:val="0"/>
      <w:divBdr>
        <w:top w:val="none" w:sz="0" w:space="0" w:color="auto"/>
        <w:left w:val="none" w:sz="0" w:space="0" w:color="auto"/>
        <w:bottom w:val="none" w:sz="0" w:space="0" w:color="auto"/>
        <w:right w:val="none" w:sz="0" w:space="0" w:color="auto"/>
      </w:divBdr>
    </w:div>
    <w:div w:id="1329094031">
      <w:bodyDiv w:val="1"/>
      <w:marLeft w:val="0"/>
      <w:marRight w:val="0"/>
      <w:marTop w:val="0"/>
      <w:marBottom w:val="0"/>
      <w:divBdr>
        <w:top w:val="none" w:sz="0" w:space="0" w:color="auto"/>
        <w:left w:val="none" w:sz="0" w:space="0" w:color="auto"/>
        <w:bottom w:val="none" w:sz="0" w:space="0" w:color="auto"/>
        <w:right w:val="none" w:sz="0" w:space="0" w:color="auto"/>
      </w:divBdr>
    </w:div>
    <w:div w:id="1380713592">
      <w:bodyDiv w:val="1"/>
      <w:marLeft w:val="0"/>
      <w:marRight w:val="0"/>
      <w:marTop w:val="0"/>
      <w:marBottom w:val="0"/>
      <w:divBdr>
        <w:top w:val="none" w:sz="0" w:space="0" w:color="auto"/>
        <w:left w:val="none" w:sz="0" w:space="0" w:color="auto"/>
        <w:bottom w:val="none" w:sz="0" w:space="0" w:color="auto"/>
        <w:right w:val="none" w:sz="0" w:space="0" w:color="auto"/>
      </w:divBdr>
    </w:div>
    <w:div w:id="1393892809">
      <w:bodyDiv w:val="1"/>
      <w:marLeft w:val="0"/>
      <w:marRight w:val="0"/>
      <w:marTop w:val="0"/>
      <w:marBottom w:val="0"/>
      <w:divBdr>
        <w:top w:val="none" w:sz="0" w:space="0" w:color="auto"/>
        <w:left w:val="none" w:sz="0" w:space="0" w:color="auto"/>
        <w:bottom w:val="none" w:sz="0" w:space="0" w:color="auto"/>
        <w:right w:val="none" w:sz="0" w:space="0" w:color="auto"/>
      </w:divBdr>
    </w:div>
    <w:div w:id="1399090566">
      <w:bodyDiv w:val="1"/>
      <w:marLeft w:val="0"/>
      <w:marRight w:val="0"/>
      <w:marTop w:val="0"/>
      <w:marBottom w:val="0"/>
      <w:divBdr>
        <w:top w:val="none" w:sz="0" w:space="0" w:color="auto"/>
        <w:left w:val="none" w:sz="0" w:space="0" w:color="auto"/>
        <w:bottom w:val="none" w:sz="0" w:space="0" w:color="auto"/>
        <w:right w:val="none" w:sz="0" w:space="0" w:color="auto"/>
      </w:divBdr>
    </w:div>
    <w:div w:id="1440875924">
      <w:bodyDiv w:val="1"/>
      <w:marLeft w:val="0"/>
      <w:marRight w:val="0"/>
      <w:marTop w:val="0"/>
      <w:marBottom w:val="0"/>
      <w:divBdr>
        <w:top w:val="none" w:sz="0" w:space="0" w:color="auto"/>
        <w:left w:val="none" w:sz="0" w:space="0" w:color="auto"/>
        <w:bottom w:val="none" w:sz="0" w:space="0" w:color="auto"/>
        <w:right w:val="none" w:sz="0" w:space="0" w:color="auto"/>
      </w:divBdr>
    </w:div>
    <w:div w:id="1457023563">
      <w:bodyDiv w:val="1"/>
      <w:marLeft w:val="0"/>
      <w:marRight w:val="0"/>
      <w:marTop w:val="0"/>
      <w:marBottom w:val="0"/>
      <w:divBdr>
        <w:top w:val="none" w:sz="0" w:space="0" w:color="auto"/>
        <w:left w:val="none" w:sz="0" w:space="0" w:color="auto"/>
        <w:bottom w:val="none" w:sz="0" w:space="0" w:color="auto"/>
        <w:right w:val="none" w:sz="0" w:space="0" w:color="auto"/>
      </w:divBdr>
    </w:div>
    <w:div w:id="1482119620">
      <w:bodyDiv w:val="1"/>
      <w:marLeft w:val="0"/>
      <w:marRight w:val="0"/>
      <w:marTop w:val="0"/>
      <w:marBottom w:val="0"/>
      <w:divBdr>
        <w:top w:val="none" w:sz="0" w:space="0" w:color="auto"/>
        <w:left w:val="none" w:sz="0" w:space="0" w:color="auto"/>
        <w:bottom w:val="none" w:sz="0" w:space="0" w:color="auto"/>
        <w:right w:val="none" w:sz="0" w:space="0" w:color="auto"/>
      </w:divBdr>
    </w:div>
    <w:div w:id="1505510160">
      <w:bodyDiv w:val="1"/>
      <w:marLeft w:val="0"/>
      <w:marRight w:val="0"/>
      <w:marTop w:val="0"/>
      <w:marBottom w:val="0"/>
      <w:divBdr>
        <w:top w:val="none" w:sz="0" w:space="0" w:color="auto"/>
        <w:left w:val="none" w:sz="0" w:space="0" w:color="auto"/>
        <w:bottom w:val="none" w:sz="0" w:space="0" w:color="auto"/>
        <w:right w:val="none" w:sz="0" w:space="0" w:color="auto"/>
      </w:divBdr>
    </w:div>
    <w:div w:id="1528911782">
      <w:bodyDiv w:val="1"/>
      <w:marLeft w:val="0"/>
      <w:marRight w:val="0"/>
      <w:marTop w:val="0"/>
      <w:marBottom w:val="0"/>
      <w:divBdr>
        <w:top w:val="none" w:sz="0" w:space="0" w:color="auto"/>
        <w:left w:val="none" w:sz="0" w:space="0" w:color="auto"/>
        <w:bottom w:val="none" w:sz="0" w:space="0" w:color="auto"/>
        <w:right w:val="none" w:sz="0" w:space="0" w:color="auto"/>
      </w:divBdr>
    </w:div>
    <w:div w:id="1536961649">
      <w:bodyDiv w:val="1"/>
      <w:marLeft w:val="0"/>
      <w:marRight w:val="0"/>
      <w:marTop w:val="0"/>
      <w:marBottom w:val="0"/>
      <w:divBdr>
        <w:top w:val="none" w:sz="0" w:space="0" w:color="auto"/>
        <w:left w:val="none" w:sz="0" w:space="0" w:color="auto"/>
        <w:bottom w:val="none" w:sz="0" w:space="0" w:color="auto"/>
        <w:right w:val="none" w:sz="0" w:space="0" w:color="auto"/>
      </w:divBdr>
    </w:div>
    <w:div w:id="1573270315">
      <w:bodyDiv w:val="1"/>
      <w:marLeft w:val="0"/>
      <w:marRight w:val="0"/>
      <w:marTop w:val="0"/>
      <w:marBottom w:val="0"/>
      <w:divBdr>
        <w:top w:val="none" w:sz="0" w:space="0" w:color="auto"/>
        <w:left w:val="none" w:sz="0" w:space="0" w:color="auto"/>
        <w:bottom w:val="none" w:sz="0" w:space="0" w:color="auto"/>
        <w:right w:val="none" w:sz="0" w:space="0" w:color="auto"/>
      </w:divBdr>
    </w:div>
    <w:div w:id="1599831671">
      <w:bodyDiv w:val="1"/>
      <w:marLeft w:val="0"/>
      <w:marRight w:val="0"/>
      <w:marTop w:val="0"/>
      <w:marBottom w:val="0"/>
      <w:divBdr>
        <w:top w:val="none" w:sz="0" w:space="0" w:color="auto"/>
        <w:left w:val="none" w:sz="0" w:space="0" w:color="auto"/>
        <w:bottom w:val="none" w:sz="0" w:space="0" w:color="auto"/>
        <w:right w:val="none" w:sz="0" w:space="0" w:color="auto"/>
      </w:divBdr>
    </w:div>
    <w:div w:id="1614555733">
      <w:bodyDiv w:val="1"/>
      <w:marLeft w:val="0"/>
      <w:marRight w:val="0"/>
      <w:marTop w:val="0"/>
      <w:marBottom w:val="0"/>
      <w:divBdr>
        <w:top w:val="none" w:sz="0" w:space="0" w:color="auto"/>
        <w:left w:val="none" w:sz="0" w:space="0" w:color="auto"/>
        <w:bottom w:val="none" w:sz="0" w:space="0" w:color="auto"/>
        <w:right w:val="none" w:sz="0" w:space="0" w:color="auto"/>
      </w:divBdr>
    </w:div>
    <w:div w:id="1640762612">
      <w:bodyDiv w:val="1"/>
      <w:marLeft w:val="0"/>
      <w:marRight w:val="0"/>
      <w:marTop w:val="0"/>
      <w:marBottom w:val="0"/>
      <w:divBdr>
        <w:top w:val="none" w:sz="0" w:space="0" w:color="auto"/>
        <w:left w:val="none" w:sz="0" w:space="0" w:color="auto"/>
        <w:bottom w:val="none" w:sz="0" w:space="0" w:color="auto"/>
        <w:right w:val="none" w:sz="0" w:space="0" w:color="auto"/>
      </w:divBdr>
    </w:div>
    <w:div w:id="1677416253">
      <w:bodyDiv w:val="1"/>
      <w:marLeft w:val="0"/>
      <w:marRight w:val="0"/>
      <w:marTop w:val="0"/>
      <w:marBottom w:val="0"/>
      <w:divBdr>
        <w:top w:val="none" w:sz="0" w:space="0" w:color="auto"/>
        <w:left w:val="none" w:sz="0" w:space="0" w:color="auto"/>
        <w:bottom w:val="none" w:sz="0" w:space="0" w:color="auto"/>
        <w:right w:val="none" w:sz="0" w:space="0" w:color="auto"/>
      </w:divBdr>
    </w:div>
    <w:div w:id="1677918944">
      <w:bodyDiv w:val="1"/>
      <w:marLeft w:val="0"/>
      <w:marRight w:val="0"/>
      <w:marTop w:val="0"/>
      <w:marBottom w:val="0"/>
      <w:divBdr>
        <w:top w:val="none" w:sz="0" w:space="0" w:color="auto"/>
        <w:left w:val="none" w:sz="0" w:space="0" w:color="auto"/>
        <w:bottom w:val="none" w:sz="0" w:space="0" w:color="auto"/>
        <w:right w:val="none" w:sz="0" w:space="0" w:color="auto"/>
      </w:divBdr>
    </w:div>
    <w:div w:id="1695377565">
      <w:bodyDiv w:val="1"/>
      <w:marLeft w:val="0"/>
      <w:marRight w:val="0"/>
      <w:marTop w:val="0"/>
      <w:marBottom w:val="0"/>
      <w:divBdr>
        <w:top w:val="none" w:sz="0" w:space="0" w:color="auto"/>
        <w:left w:val="none" w:sz="0" w:space="0" w:color="auto"/>
        <w:bottom w:val="none" w:sz="0" w:space="0" w:color="auto"/>
        <w:right w:val="none" w:sz="0" w:space="0" w:color="auto"/>
      </w:divBdr>
    </w:div>
    <w:div w:id="1806265797">
      <w:bodyDiv w:val="1"/>
      <w:marLeft w:val="0"/>
      <w:marRight w:val="0"/>
      <w:marTop w:val="0"/>
      <w:marBottom w:val="0"/>
      <w:divBdr>
        <w:top w:val="none" w:sz="0" w:space="0" w:color="auto"/>
        <w:left w:val="none" w:sz="0" w:space="0" w:color="auto"/>
        <w:bottom w:val="none" w:sz="0" w:space="0" w:color="auto"/>
        <w:right w:val="none" w:sz="0" w:space="0" w:color="auto"/>
      </w:divBdr>
    </w:div>
    <w:div w:id="1824270181">
      <w:bodyDiv w:val="1"/>
      <w:marLeft w:val="0"/>
      <w:marRight w:val="0"/>
      <w:marTop w:val="0"/>
      <w:marBottom w:val="0"/>
      <w:divBdr>
        <w:top w:val="none" w:sz="0" w:space="0" w:color="auto"/>
        <w:left w:val="none" w:sz="0" w:space="0" w:color="auto"/>
        <w:bottom w:val="none" w:sz="0" w:space="0" w:color="auto"/>
        <w:right w:val="none" w:sz="0" w:space="0" w:color="auto"/>
      </w:divBdr>
      <w:divsChild>
        <w:div w:id="160856669">
          <w:marLeft w:val="0"/>
          <w:marRight w:val="0"/>
          <w:marTop w:val="0"/>
          <w:marBottom w:val="0"/>
          <w:divBdr>
            <w:top w:val="none" w:sz="0" w:space="0" w:color="auto"/>
            <w:left w:val="none" w:sz="0" w:space="0" w:color="auto"/>
            <w:bottom w:val="none" w:sz="0" w:space="0" w:color="auto"/>
            <w:right w:val="none" w:sz="0" w:space="0" w:color="auto"/>
          </w:divBdr>
          <w:divsChild>
            <w:div w:id="635532600">
              <w:marLeft w:val="0"/>
              <w:marRight w:val="0"/>
              <w:marTop w:val="0"/>
              <w:marBottom w:val="0"/>
              <w:divBdr>
                <w:top w:val="none" w:sz="0" w:space="0" w:color="auto"/>
                <w:left w:val="none" w:sz="0" w:space="0" w:color="auto"/>
                <w:bottom w:val="none" w:sz="0" w:space="0" w:color="auto"/>
                <w:right w:val="none" w:sz="0" w:space="0" w:color="auto"/>
              </w:divBdr>
              <w:divsChild>
                <w:div w:id="1804999599">
                  <w:marLeft w:val="0"/>
                  <w:marRight w:val="0"/>
                  <w:marTop w:val="0"/>
                  <w:marBottom w:val="0"/>
                  <w:divBdr>
                    <w:top w:val="none" w:sz="0" w:space="0" w:color="auto"/>
                    <w:left w:val="none" w:sz="0" w:space="0" w:color="auto"/>
                    <w:bottom w:val="none" w:sz="0" w:space="0" w:color="auto"/>
                    <w:right w:val="none" w:sz="0" w:space="0" w:color="auto"/>
                  </w:divBdr>
                  <w:divsChild>
                    <w:div w:id="1407412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506111">
      <w:bodyDiv w:val="1"/>
      <w:marLeft w:val="0"/>
      <w:marRight w:val="0"/>
      <w:marTop w:val="0"/>
      <w:marBottom w:val="0"/>
      <w:divBdr>
        <w:top w:val="none" w:sz="0" w:space="0" w:color="auto"/>
        <w:left w:val="none" w:sz="0" w:space="0" w:color="auto"/>
        <w:bottom w:val="none" w:sz="0" w:space="0" w:color="auto"/>
        <w:right w:val="none" w:sz="0" w:space="0" w:color="auto"/>
      </w:divBdr>
    </w:div>
    <w:div w:id="1884706778">
      <w:bodyDiv w:val="1"/>
      <w:marLeft w:val="0"/>
      <w:marRight w:val="0"/>
      <w:marTop w:val="0"/>
      <w:marBottom w:val="0"/>
      <w:divBdr>
        <w:top w:val="none" w:sz="0" w:space="0" w:color="auto"/>
        <w:left w:val="none" w:sz="0" w:space="0" w:color="auto"/>
        <w:bottom w:val="none" w:sz="0" w:space="0" w:color="auto"/>
        <w:right w:val="none" w:sz="0" w:space="0" w:color="auto"/>
      </w:divBdr>
    </w:div>
    <w:div w:id="1909681016">
      <w:bodyDiv w:val="1"/>
      <w:marLeft w:val="0"/>
      <w:marRight w:val="0"/>
      <w:marTop w:val="0"/>
      <w:marBottom w:val="0"/>
      <w:divBdr>
        <w:top w:val="none" w:sz="0" w:space="0" w:color="auto"/>
        <w:left w:val="none" w:sz="0" w:space="0" w:color="auto"/>
        <w:bottom w:val="none" w:sz="0" w:space="0" w:color="auto"/>
        <w:right w:val="none" w:sz="0" w:space="0" w:color="auto"/>
      </w:divBdr>
    </w:div>
    <w:div w:id="1919825252">
      <w:bodyDiv w:val="1"/>
      <w:marLeft w:val="0"/>
      <w:marRight w:val="0"/>
      <w:marTop w:val="0"/>
      <w:marBottom w:val="0"/>
      <w:divBdr>
        <w:top w:val="none" w:sz="0" w:space="0" w:color="auto"/>
        <w:left w:val="none" w:sz="0" w:space="0" w:color="auto"/>
        <w:bottom w:val="none" w:sz="0" w:space="0" w:color="auto"/>
        <w:right w:val="none" w:sz="0" w:space="0" w:color="auto"/>
      </w:divBdr>
    </w:div>
    <w:div w:id="1932809494">
      <w:bodyDiv w:val="1"/>
      <w:marLeft w:val="0"/>
      <w:marRight w:val="0"/>
      <w:marTop w:val="0"/>
      <w:marBottom w:val="0"/>
      <w:divBdr>
        <w:top w:val="none" w:sz="0" w:space="0" w:color="auto"/>
        <w:left w:val="none" w:sz="0" w:space="0" w:color="auto"/>
        <w:bottom w:val="none" w:sz="0" w:space="0" w:color="auto"/>
        <w:right w:val="none" w:sz="0" w:space="0" w:color="auto"/>
      </w:divBdr>
    </w:div>
    <w:div w:id="2040355237">
      <w:bodyDiv w:val="1"/>
      <w:marLeft w:val="0"/>
      <w:marRight w:val="0"/>
      <w:marTop w:val="0"/>
      <w:marBottom w:val="0"/>
      <w:divBdr>
        <w:top w:val="none" w:sz="0" w:space="0" w:color="auto"/>
        <w:left w:val="none" w:sz="0" w:space="0" w:color="auto"/>
        <w:bottom w:val="none" w:sz="0" w:space="0" w:color="auto"/>
        <w:right w:val="none" w:sz="0" w:space="0" w:color="auto"/>
      </w:divBdr>
      <w:divsChild>
        <w:div w:id="903612613">
          <w:marLeft w:val="0"/>
          <w:marRight w:val="0"/>
          <w:marTop w:val="0"/>
          <w:marBottom w:val="0"/>
          <w:divBdr>
            <w:top w:val="none" w:sz="0" w:space="0" w:color="auto"/>
            <w:left w:val="none" w:sz="0" w:space="0" w:color="auto"/>
            <w:bottom w:val="none" w:sz="0" w:space="0" w:color="auto"/>
            <w:right w:val="none" w:sz="0" w:space="0" w:color="auto"/>
          </w:divBdr>
          <w:divsChild>
            <w:div w:id="146677473">
              <w:marLeft w:val="0"/>
              <w:marRight w:val="0"/>
              <w:marTop w:val="0"/>
              <w:marBottom w:val="0"/>
              <w:divBdr>
                <w:top w:val="none" w:sz="0" w:space="0" w:color="auto"/>
                <w:left w:val="none" w:sz="0" w:space="0" w:color="auto"/>
                <w:bottom w:val="none" w:sz="0" w:space="0" w:color="auto"/>
                <w:right w:val="none" w:sz="0" w:space="0" w:color="auto"/>
              </w:divBdr>
              <w:divsChild>
                <w:div w:id="600644193">
                  <w:marLeft w:val="0"/>
                  <w:marRight w:val="0"/>
                  <w:marTop w:val="0"/>
                  <w:marBottom w:val="0"/>
                  <w:divBdr>
                    <w:top w:val="none" w:sz="0" w:space="0" w:color="auto"/>
                    <w:left w:val="none" w:sz="0" w:space="0" w:color="auto"/>
                    <w:bottom w:val="none" w:sz="0" w:space="0" w:color="auto"/>
                    <w:right w:val="none" w:sz="0" w:space="0" w:color="auto"/>
                  </w:divBdr>
                  <w:divsChild>
                    <w:div w:id="970748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5349807">
      <w:bodyDiv w:val="1"/>
      <w:marLeft w:val="0"/>
      <w:marRight w:val="0"/>
      <w:marTop w:val="0"/>
      <w:marBottom w:val="0"/>
      <w:divBdr>
        <w:top w:val="none" w:sz="0" w:space="0" w:color="auto"/>
        <w:left w:val="none" w:sz="0" w:space="0" w:color="auto"/>
        <w:bottom w:val="none" w:sz="0" w:space="0" w:color="auto"/>
        <w:right w:val="none" w:sz="0" w:space="0" w:color="auto"/>
      </w:divBdr>
    </w:div>
    <w:div w:id="2076929098">
      <w:bodyDiv w:val="1"/>
      <w:marLeft w:val="0"/>
      <w:marRight w:val="0"/>
      <w:marTop w:val="0"/>
      <w:marBottom w:val="0"/>
      <w:divBdr>
        <w:top w:val="none" w:sz="0" w:space="0" w:color="auto"/>
        <w:left w:val="none" w:sz="0" w:space="0" w:color="auto"/>
        <w:bottom w:val="none" w:sz="0" w:space="0" w:color="auto"/>
        <w:right w:val="none" w:sz="0" w:space="0" w:color="auto"/>
      </w:divBdr>
    </w:div>
    <w:div w:id="2091536244">
      <w:bodyDiv w:val="1"/>
      <w:marLeft w:val="0"/>
      <w:marRight w:val="0"/>
      <w:marTop w:val="0"/>
      <w:marBottom w:val="0"/>
      <w:divBdr>
        <w:top w:val="none" w:sz="0" w:space="0" w:color="auto"/>
        <w:left w:val="none" w:sz="0" w:space="0" w:color="auto"/>
        <w:bottom w:val="none" w:sz="0" w:space="0" w:color="auto"/>
        <w:right w:val="none" w:sz="0" w:space="0" w:color="auto"/>
      </w:divBdr>
    </w:div>
    <w:div w:id="2096123062">
      <w:bodyDiv w:val="1"/>
      <w:marLeft w:val="0"/>
      <w:marRight w:val="0"/>
      <w:marTop w:val="0"/>
      <w:marBottom w:val="0"/>
      <w:divBdr>
        <w:top w:val="none" w:sz="0" w:space="0" w:color="auto"/>
        <w:left w:val="none" w:sz="0" w:space="0" w:color="auto"/>
        <w:bottom w:val="none" w:sz="0" w:space="0" w:color="auto"/>
        <w:right w:val="none" w:sz="0" w:space="0" w:color="auto"/>
      </w:divBdr>
    </w:div>
    <w:div w:id="2097897402">
      <w:bodyDiv w:val="1"/>
      <w:marLeft w:val="0"/>
      <w:marRight w:val="0"/>
      <w:marTop w:val="0"/>
      <w:marBottom w:val="0"/>
      <w:divBdr>
        <w:top w:val="none" w:sz="0" w:space="0" w:color="auto"/>
        <w:left w:val="none" w:sz="0" w:space="0" w:color="auto"/>
        <w:bottom w:val="none" w:sz="0" w:space="0" w:color="auto"/>
        <w:right w:val="none" w:sz="0" w:space="0" w:color="auto"/>
      </w:divBdr>
    </w:div>
    <w:div w:id="2098206838">
      <w:bodyDiv w:val="1"/>
      <w:marLeft w:val="0"/>
      <w:marRight w:val="0"/>
      <w:marTop w:val="0"/>
      <w:marBottom w:val="0"/>
      <w:divBdr>
        <w:top w:val="none" w:sz="0" w:space="0" w:color="auto"/>
        <w:left w:val="none" w:sz="0" w:space="0" w:color="auto"/>
        <w:bottom w:val="none" w:sz="0" w:space="0" w:color="auto"/>
        <w:right w:val="none" w:sz="0" w:space="0" w:color="auto"/>
      </w:divBdr>
    </w:div>
    <w:div w:id="2102405181">
      <w:bodyDiv w:val="1"/>
      <w:marLeft w:val="0"/>
      <w:marRight w:val="0"/>
      <w:marTop w:val="0"/>
      <w:marBottom w:val="0"/>
      <w:divBdr>
        <w:top w:val="none" w:sz="0" w:space="0" w:color="auto"/>
        <w:left w:val="none" w:sz="0" w:space="0" w:color="auto"/>
        <w:bottom w:val="none" w:sz="0" w:space="0" w:color="auto"/>
        <w:right w:val="none" w:sz="0" w:space="0" w:color="auto"/>
      </w:divBdr>
    </w:div>
    <w:div w:id="2105029749">
      <w:bodyDiv w:val="1"/>
      <w:marLeft w:val="0"/>
      <w:marRight w:val="0"/>
      <w:marTop w:val="0"/>
      <w:marBottom w:val="0"/>
      <w:divBdr>
        <w:top w:val="none" w:sz="0" w:space="0" w:color="auto"/>
        <w:left w:val="none" w:sz="0" w:space="0" w:color="auto"/>
        <w:bottom w:val="none" w:sz="0" w:space="0" w:color="auto"/>
        <w:right w:val="none" w:sz="0" w:space="0" w:color="auto"/>
      </w:divBdr>
    </w:div>
    <w:div w:id="2132241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2944</Words>
  <Characters>17842</Characters>
  <Application>Microsoft Office Word</Application>
  <DocSecurity>0</DocSecurity>
  <Lines>237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Davies</dc:creator>
  <cp:keywords/>
  <dc:description/>
  <cp:lastModifiedBy>Natalia Davies</cp:lastModifiedBy>
  <cp:revision>46</cp:revision>
  <dcterms:created xsi:type="dcterms:W3CDTF">2025-02-17T14:02:00Z</dcterms:created>
  <dcterms:modified xsi:type="dcterms:W3CDTF">2025-02-27T22:56:00Z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56b8ee0f-72bf-4bc5-b669-bb3e7478bc5d</vt:lpwstr>
  </property>
</Properties>
</file>