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2A58A" w14:textId="77777777" w:rsidR="006E2EA2" w:rsidRPr="008F026B" w:rsidRDefault="006E2EA2" w:rsidP="008F026B">
      <w:pPr>
        <w:spacing w:line="480" w:lineRule="auto"/>
      </w:pPr>
    </w:p>
    <w:p w14:paraId="67457E24" w14:textId="77777777" w:rsidR="006E2EA2" w:rsidRPr="008F026B" w:rsidRDefault="006E2EA2" w:rsidP="008F026B">
      <w:pPr>
        <w:spacing w:line="480" w:lineRule="auto"/>
      </w:pPr>
    </w:p>
    <w:p w14:paraId="70051134" w14:textId="77777777" w:rsidR="006E2EA2" w:rsidRPr="008F026B" w:rsidRDefault="006E2EA2" w:rsidP="008F026B">
      <w:pPr>
        <w:spacing w:line="480" w:lineRule="auto"/>
      </w:pPr>
    </w:p>
    <w:p w14:paraId="0D71E7D6" w14:textId="77777777" w:rsidR="006E2EA2" w:rsidRPr="008F026B" w:rsidRDefault="006E2EA2" w:rsidP="008F026B">
      <w:pPr>
        <w:spacing w:line="480" w:lineRule="auto"/>
      </w:pPr>
    </w:p>
    <w:p w14:paraId="65D7BE9A" w14:textId="77777777" w:rsidR="006E2EA2" w:rsidRPr="008F026B" w:rsidRDefault="006E2EA2" w:rsidP="008F026B">
      <w:pPr>
        <w:spacing w:line="480" w:lineRule="auto"/>
      </w:pPr>
    </w:p>
    <w:p w14:paraId="20B80D30" w14:textId="77777777" w:rsidR="006E2EA2" w:rsidRPr="008F026B" w:rsidRDefault="006E2EA2" w:rsidP="008F026B">
      <w:pPr>
        <w:spacing w:line="480" w:lineRule="auto"/>
      </w:pPr>
    </w:p>
    <w:p w14:paraId="4FDEABD9" w14:textId="77777777" w:rsidR="007838B8" w:rsidRPr="008F026B" w:rsidRDefault="007838B8" w:rsidP="008F026B">
      <w:pPr>
        <w:spacing w:line="480" w:lineRule="auto"/>
      </w:pPr>
    </w:p>
    <w:p w14:paraId="2C7393A0" w14:textId="77777777" w:rsidR="006E2EA2" w:rsidRPr="008F026B" w:rsidRDefault="006E2EA2" w:rsidP="008F026B">
      <w:pPr>
        <w:spacing w:line="480" w:lineRule="auto"/>
      </w:pPr>
    </w:p>
    <w:p w14:paraId="68F33B43" w14:textId="77777777" w:rsidR="006E2EA2" w:rsidRPr="008F026B" w:rsidRDefault="006E2EA2" w:rsidP="008F026B">
      <w:pPr>
        <w:spacing w:line="480" w:lineRule="auto"/>
      </w:pPr>
    </w:p>
    <w:p w14:paraId="563566E2" w14:textId="5F486D04" w:rsidR="006E2EA2" w:rsidRDefault="00085DDA" w:rsidP="008F026B">
      <w:pPr>
        <w:tabs>
          <w:tab w:val="left" w:pos="4136"/>
        </w:tabs>
        <w:spacing w:line="480" w:lineRule="auto"/>
        <w:jc w:val="center"/>
      </w:pPr>
      <w:r>
        <w:t>Assignment 2</w:t>
      </w:r>
      <w:r>
        <w:t xml:space="preserve"> </w:t>
      </w:r>
    </w:p>
    <w:p w14:paraId="0AF8B8B0" w14:textId="1B34D996" w:rsidR="00085DDA" w:rsidRPr="00085DDA" w:rsidRDefault="00085DDA" w:rsidP="008F026B">
      <w:pPr>
        <w:tabs>
          <w:tab w:val="left" w:pos="4136"/>
        </w:tabs>
        <w:spacing w:line="480" w:lineRule="auto"/>
        <w:jc w:val="center"/>
        <w:rPr>
          <w:lang w:val="en-GB"/>
        </w:rPr>
      </w:pPr>
      <w:r w:rsidRPr="00085DDA">
        <w:rPr>
          <w:lang w:val="en-GB"/>
        </w:rPr>
        <w:t>Module:</w:t>
      </w:r>
      <w:r>
        <w:rPr>
          <w:lang w:val="en-GB"/>
        </w:rPr>
        <w:t xml:space="preserve"> </w:t>
      </w:r>
      <w:r w:rsidRPr="00085DDA">
        <w:rPr>
          <w:lang w:val="en-GB"/>
        </w:rPr>
        <w:t>International Meetings Management f</w:t>
      </w:r>
      <w:r>
        <w:rPr>
          <w:lang w:val="en-GB"/>
        </w:rPr>
        <w:t>or the Hotel Industry</w:t>
      </w:r>
    </w:p>
    <w:p w14:paraId="0D470609" w14:textId="696160C6" w:rsidR="00085DDA" w:rsidRPr="00085DDA" w:rsidRDefault="00085DDA" w:rsidP="008F026B">
      <w:pPr>
        <w:tabs>
          <w:tab w:val="left" w:pos="4136"/>
        </w:tabs>
        <w:spacing w:line="480" w:lineRule="auto"/>
        <w:jc w:val="center"/>
        <w:rPr>
          <w:lang w:val="en-GB"/>
        </w:rPr>
      </w:pPr>
      <w:r w:rsidRPr="00085DDA">
        <w:rPr>
          <w:lang w:val="en-GB"/>
        </w:rPr>
        <w:t>Module Code:BMIH6007</w:t>
      </w:r>
    </w:p>
    <w:p w14:paraId="59B8DB5E" w14:textId="558C13E7" w:rsidR="005B02B5" w:rsidRDefault="00085DDA" w:rsidP="008F026B">
      <w:pPr>
        <w:tabs>
          <w:tab w:val="left" w:pos="4136"/>
        </w:tabs>
        <w:spacing w:line="480" w:lineRule="auto"/>
        <w:jc w:val="center"/>
      </w:pPr>
      <w:r>
        <w:t>Name of Student: Julian Gjoka</w:t>
      </w:r>
    </w:p>
    <w:p w14:paraId="2671975F" w14:textId="326BAC56" w:rsidR="00085DDA" w:rsidRDefault="00085DDA" w:rsidP="008F026B">
      <w:pPr>
        <w:tabs>
          <w:tab w:val="left" w:pos="4136"/>
        </w:tabs>
        <w:spacing w:line="480" w:lineRule="auto"/>
        <w:jc w:val="center"/>
      </w:pPr>
      <w:r>
        <w:t>Student Number:2230507</w:t>
      </w:r>
    </w:p>
    <w:p w14:paraId="4A3CB3E9" w14:textId="7CA4172E" w:rsidR="00085DDA" w:rsidRPr="008F026B" w:rsidRDefault="00085DDA" w:rsidP="008F026B">
      <w:pPr>
        <w:tabs>
          <w:tab w:val="left" w:pos="4136"/>
        </w:tabs>
        <w:spacing w:line="480" w:lineRule="auto"/>
        <w:jc w:val="center"/>
      </w:pPr>
      <w:r>
        <w:t>Lecturers Name: Christopher Wilkin</w:t>
      </w:r>
    </w:p>
    <w:p w14:paraId="23C49B3D" w14:textId="50AE1A1E" w:rsidR="006E2EA2" w:rsidRPr="008F026B" w:rsidRDefault="006E2EA2" w:rsidP="008F026B">
      <w:pPr>
        <w:tabs>
          <w:tab w:val="left" w:pos="4136"/>
        </w:tabs>
        <w:spacing w:line="480" w:lineRule="auto"/>
        <w:jc w:val="center"/>
      </w:pPr>
    </w:p>
    <w:p w14:paraId="488430D3" w14:textId="77777777" w:rsidR="00370195" w:rsidRDefault="00085DDA" w:rsidP="00BF6252">
      <w:pPr>
        <w:tabs>
          <w:tab w:val="left" w:pos="4136"/>
        </w:tabs>
        <w:spacing w:line="480" w:lineRule="auto"/>
        <w:jc w:val="center"/>
      </w:pPr>
      <w:r w:rsidRPr="008F026B">
        <w:br w:type="page"/>
      </w:r>
    </w:p>
    <w:p w14:paraId="1251FB4D" w14:textId="77777777" w:rsidR="00370195" w:rsidRDefault="00085DDA" w:rsidP="00370195">
      <w:pPr>
        <w:pStyle w:val="Heading1"/>
      </w:pPr>
      <w:bookmarkStart w:id="0" w:name="_Toc191489426"/>
      <w:r>
        <w:lastRenderedPageBreak/>
        <w:t>Executive Summary</w:t>
      </w:r>
      <w:bookmarkEnd w:id="0"/>
      <w:r>
        <w:t xml:space="preserve"> </w:t>
      </w:r>
    </w:p>
    <w:p w14:paraId="6E227AFB" w14:textId="77777777" w:rsidR="00161FBB" w:rsidRPr="00161FBB" w:rsidRDefault="00085DDA" w:rsidP="00161FBB">
      <w:pPr>
        <w:spacing w:line="480" w:lineRule="auto"/>
      </w:pPr>
      <w:r w:rsidRPr="00126C9D">
        <w:t>The 2025 Inclusion Summit is a defining moment of EDI in the industries. The summit is scheduled to take place in London, at the ICC London, in October 2025, and will gather 500 participants, such as corporate leaders, policymakers, academics and advocates. Keynote addresses, panel discussions and networking time are among program items that will take place at the event, which will be used to cultivate collaboration and spur action decisions to address the problem. The planning process is guided by the Even</w:t>
      </w:r>
      <w:r w:rsidRPr="00126C9D">
        <w:t xml:space="preserve">t Management Body of Knowledge (EMBOK) framework and this planning is done in a strategic and unified manner. Budgeting (£45,000), staffing and resource management are put under the Administration domain whereas design focuses on planning the scope of engaging attendee experience via a thoughtful program and immersive environment within what </w:t>
      </w:r>
      <w:r>
        <w:t>is called t</w:t>
      </w:r>
      <w:r w:rsidRPr="00126C9D">
        <w:t>he Design domain. The digital platforms and industry partnerships leverage the Marketing Strategy to attract Attendees and secure Sponsorships which bring an</w:t>
      </w:r>
      <w:r w:rsidRPr="00126C9D">
        <w:t xml:space="preserve"> additional £20,000 to the budget. These operations cover venue management, vendor coordination, and participant services all to execute without a hitch. The Health, Safety, and Risk Management plan is robust for health, and safety, and should also include any potential disturbances such as hybrid delivery or backup contingency measures. The impact of the summit does not stop with the event itself, as it brings together knowledge and will result in long-lasting networks. A structured project timeline, detai</w:t>
      </w:r>
      <w:r w:rsidRPr="00126C9D">
        <w:t>led task allocation and the use of the EMBOK matrix ensure a good-balanced and good quality accomplished event. It's not just the Inclusion Summit 2025, instead, it is a catalyst of behaviour and change in the building of more inclusive workplaces and societies for years to come.</w:t>
      </w:r>
    </w:p>
    <w:p w14:paraId="3BD4F05C" w14:textId="77777777" w:rsidR="00370195" w:rsidRDefault="00085DDA" w:rsidP="00370195">
      <w:pPr>
        <w:rPr>
          <w:b/>
          <w:bCs/>
          <w:i/>
          <w:iCs/>
        </w:rPr>
      </w:pPr>
      <w:r>
        <w:rPr>
          <w:b/>
          <w:bCs/>
          <w:i/>
          <w:iCs/>
        </w:rPr>
        <w:lastRenderedPageBreak/>
        <w:t xml:space="preserve">Table of Contents </w:t>
      </w:r>
    </w:p>
    <w:sdt>
      <w:sdtPr>
        <w:rPr>
          <w:rFonts w:ascii="Times New Roman" w:eastAsia="Times New Roman" w:hAnsi="Times New Roman" w:cs="Times New Roman"/>
          <w:color w:val="auto"/>
          <w:sz w:val="24"/>
          <w:szCs w:val="24"/>
        </w:rPr>
        <w:id w:val="-2061691289"/>
        <w:docPartObj>
          <w:docPartGallery w:val="Table of Contents"/>
          <w:docPartUnique/>
        </w:docPartObj>
      </w:sdtPr>
      <w:sdtEndPr>
        <w:rPr>
          <w:b/>
          <w:bCs/>
          <w:noProof/>
        </w:rPr>
      </w:sdtEndPr>
      <w:sdtContent>
        <w:p w14:paraId="7315D8F4" w14:textId="77777777" w:rsidR="00126C9D" w:rsidRDefault="00126C9D">
          <w:pPr>
            <w:pStyle w:val="TOCHeading"/>
          </w:pPr>
        </w:p>
        <w:p w14:paraId="2830F92F" w14:textId="77777777" w:rsidR="00126C9D" w:rsidRDefault="00085DDA">
          <w:pPr>
            <w:pStyle w:val="TOC1"/>
            <w:tabs>
              <w:tab w:val="right" w:leader="dot" w:pos="8601"/>
            </w:tabs>
            <w:rPr>
              <w:noProof/>
            </w:rPr>
          </w:pPr>
          <w:r>
            <w:fldChar w:fldCharType="begin"/>
          </w:r>
          <w:r>
            <w:instrText xml:space="preserve"> TOC \o "1-3" \h \z \u </w:instrText>
          </w:r>
          <w:r>
            <w:fldChar w:fldCharType="separate"/>
          </w:r>
          <w:hyperlink w:anchor="_Toc191489426" w:history="1">
            <w:r w:rsidR="00126C9D" w:rsidRPr="00465AEE">
              <w:rPr>
                <w:rStyle w:val="Hyperlink"/>
                <w:noProof/>
              </w:rPr>
              <w:t>Executive Summary</w:t>
            </w:r>
            <w:r w:rsidR="00126C9D">
              <w:rPr>
                <w:noProof/>
                <w:webHidden/>
              </w:rPr>
              <w:tab/>
            </w:r>
            <w:r w:rsidR="00126C9D">
              <w:rPr>
                <w:noProof/>
                <w:webHidden/>
              </w:rPr>
              <w:fldChar w:fldCharType="begin"/>
            </w:r>
            <w:r w:rsidR="00126C9D">
              <w:rPr>
                <w:noProof/>
                <w:webHidden/>
              </w:rPr>
              <w:instrText xml:space="preserve"> PAGEREF _Toc191489426 \h </w:instrText>
            </w:r>
            <w:r w:rsidR="00126C9D">
              <w:rPr>
                <w:noProof/>
                <w:webHidden/>
              </w:rPr>
            </w:r>
            <w:r w:rsidR="00126C9D">
              <w:rPr>
                <w:noProof/>
                <w:webHidden/>
              </w:rPr>
              <w:fldChar w:fldCharType="separate"/>
            </w:r>
            <w:r w:rsidR="00126C9D">
              <w:rPr>
                <w:noProof/>
                <w:webHidden/>
              </w:rPr>
              <w:t>2</w:t>
            </w:r>
            <w:r w:rsidR="00126C9D">
              <w:rPr>
                <w:noProof/>
                <w:webHidden/>
              </w:rPr>
              <w:fldChar w:fldCharType="end"/>
            </w:r>
          </w:hyperlink>
        </w:p>
        <w:p w14:paraId="79D45351" w14:textId="77777777" w:rsidR="00126C9D" w:rsidRDefault="00126C9D">
          <w:pPr>
            <w:pStyle w:val="TOC1"/>
            <w:tabs>
              <w:tab w:val="right" w:leader="dot" w:pos="8601"/>
            </w:tabs>
            <w:rPr>
              <w:noProof/>
            </w:rPr>
          </w:pPr>
          <w:hyperlink w:anchor="_Toc191489427" w:history="1">
            <w:r w:rsidRPr="00465AEE">
              <w:rPr>
                <w:rStyle w:val="Hyperlink"/>
                <w:noProof/>
              </w:rPr>
              <w:t>Introduction</w:t>
            </w:r>
            <w:r>
              <w:rPr>
                <w:noProof/>
                <w:webHidden/>
              </w:rPr>
              <w:tab/>
            </w:r>
            <w:r>
              <w:rPr>
                <w:noProof/>
                <w:webHidden/>
              </w:rPr>
              <w:fldChar w:fldCharType="begin"/>
            </w:r>
            <w:r>
              <w:rPr>
                <w:noProof/>
                <w:webHidden/>
              </w:rPr>
              <w:instrText xml:space="preserve"> PAGEREF _Toc191489427 \h </w:instrText>
            </w:r>
            <w:r>
              <w:rPr>
                <w:noProof/>
                <w:webHidden/>
              </w:rPr>
            </w:r>
            <w:r>
              <w:rPr>
                <w:noProof/>
                <w:webHidden/>
              </w:rPr>
              <w:fldChar w:fldCharType="separate"/>
            </w:r>
            <w:r>
              <w:rPr>
                <w:noProof/>
                <w:webHidden/>
              </w:rPr>
              <w:t>4</w:t>
            </w:r>
            <w:r>
              <w:rPr>
                <w:noProof/>
                <w:webHidden/>
              </w:rPr>
              <w:fldChar w:fldCharType="end"/>
            </w:r>
          </w:hyperlink>
        </w:p>
        <w:p w14:paraId="618D430F" w14:textId="77777777" w:rsidR="00126C9D" w:rsidRDefault="00126C9D">
          <w:pPr>
            <w:pStyle w:val="TOC1"/>
            <w:tabs>
              <w:tab w:val="right" w:leader="dot" w:pos="8601"/>
            </w:tabs>
            <w:rPr>
              <w:noProof/>
            </w:rPr>
          </w:pPr>
          <w:hyperlink w:anchor="_Toc191489428" w:history="1">
            <w:r w:rsidRPr="00465AEE">
              <w:rPr>
                <w:rStyle w:val="Hyperlink"/>
                <w:noProof/>
              </w:rPr>
              <w:t>The Event Cycle</w:t>
            </w:r>
            <w:r>
              <w:rPr>
                <w:noProof/>
                <w:webHidden/>
              </w:rPr>
              <w:tab/>
            </w:r>
            <w:r>
              <w:rPr>
                <w:noProof/>
                <w:webHidden/>
              </w:rPr>
              <w:fldChar w:fldCharType="begin"/>
            </w:r>
            <w:r>
              <w:rPr>
                <w:noProof/>
                <w:webHidden/>
              </w:rPr>
              <w:instrText xml:space="preserve"> PAGEREF _Toc191489428 \h </w:instrText>
            </w:r>
            <w:r>
              <w:rPr>
                <w:noProof/>
                <w:webHidden/>
              </w:rPr>
            </w:r>
            <w:r>
              <w:rPr>
                <w:noProof/>
                <w:webHidden/>
              </w:rPr>
              <w:fldChar w:fldCharType="separate"/>
            </w:r>
            <w:r>
              <w:rPr>
                <w:noProof/>
                <w:webHidden/>
              </w:rPr>
              <w:t>5</w:t>
            </w:r>
            <w:r>
              <w:rPr>
                <w:noProof/>
                <w:webHidden/>
              </w:rPr>
              <w:fldChar w:fldCharType="end"/>
            </w:r>
          </w:hyperlink>
        </w:p>
        <w:p w14:paraId="03528160" w14:textId="77777777" w:rsidR="00126C9D" w:rsidRDefault="00126C9D">
          <w:pPr>
            <w:pStyle w:val="TOC2"/>
            <w:tabs>
              <w:tab w:val="right" w:leader="dot" w:pos="8601"/>
            </w:tabs>
            <w:rPr>
              <w:noProof/>
            </w:rPr>
          </w:pPr>
          <w:hyperlink w:anchor="_Toc191489429" w:history="1">
            <w:r w:rsidRPr="00465AEE">
              <w:rPr>
                <w:rStyle w:val="Hyperlink"/>
                <w:noProof/>
              </w:rPr>
              <w:t>Design Phase</w:t>
            </w:r>
            <w:r>
              <w:rPr>
                <w:noProof/>
                <w:webHidden/>
              </w:rPr>
              <w:tab/>
            </w:r>
            <w:r>
              <w:rPr>
                <w:noProof/>
                <w:webHidden/>
              </w:rPr>
              <w:fldChar w:fldCharType="begin"/>
            </w:r>
            <w:r>
              <w:rPr>
                <w:noProof/>
                <w:webHidden/>
              </w:rPr>
              <w:instrText xml:space="preserve"> PAGEREF _Toc191489429 \h </w:instrText>
            </w:r>
            <w:r>
              <w:rPr>
                <w:noProof/>
                <w:webHidden/>
              </w:rPr>
            </w:r>
            <w:r>
              <w:rPr>
                <w:noProof/>
                <w:webHidden/>
              </w:rPr>
              <w:fldChar w:fldCharType="separate"/>
            </w:r>
            <w:r>
              <w:rPr>
                <w:noProof/>
                <w:webHidden/>
              </w:rPr>
              <w:t>5</w:t>
            </w:r>
            <w:r>
              <w:rPr>
                <w:noProof/>
                <w:webHidden/>
              </w:rPr>
              <w:fldChar w:fldCharType="end"/>
            </w:r>
          </w:hyperlink>
        </w:p>
        <w:p w14:paraId="0F39FB12" w14:textId="77777777" w:rsidR="00126C9D" w:rsidRDefault="00126C9D">
          <w:pPr>
            <w:pStyle w:val="TOC2"/>
            <w:tabs>
              <w:tab w:val="right" w:leader="dot" w:pos="8601"/>
            </w:tabs>
            <w:rPr>
              <w:noProof/>
            </w:rPr>
          </w:pPr>
          <w:hyperlink w:anchor="_Toc191489430" w:history="1">
            <w:r w:rsidRPr="00465AEE">
              <w:rPr>
                <w:rStyle w:val="Hyperlink"/>
                <w:noProof/>
              </w:rPr>
              <w:t>Planning Phase</w:t>
            </w:r>
            <w:r>
              <w:rPr>
                <w:noProof/>
                <w:webHidden/>
              </w:rPr>
              <w:tab/>
            </w:r>
            <w:r>
              <w:rPr>
                <w:noProof/>
                <w:webHidden/>
              </w:rPr>
              <w:fldChar w:fldCharType="begin"/>
            </w:r>
            <w:r>
              <w:rPr>
                <w:noProof/>
                <w:webHidden/>
              </w:rPr>
              <w:instrText xml:space="preserve"> PAGEREF _Toc191489430 \h </w:instrText>
            </w:r>
            <w:r>
              <w:rPr>
                <w:noProof/>
                <w:webHidden/>
              </w:rPr>
            </w:r>
            <w:r>
              <w:rPr>
                <w:noProof/>
                <w:webHidden/>
              </w:rPr>
              <w:fldChar w:fldCharType="separate"/>
            </w:r>
            <w:r>
              <w:rPr>
                <w:noProof/>
                <w:webHidden/>
              </w:rPr>
              <w:t>5</w:t>
            </w:r>
            <w:r>
              <w:rPr>
                <w:noProof/>
                <w:webHidden/>
              </w:rPr>
              <w:fldChar w:fldCharType="end"/>
            </w:r>
          </w:hyperlink>
        </w:p>
        <w:p w14:paraId="3E61A80D" w14:textId="77777777" w:rsidR="00126C9D" w:rsidRDefault="00126C9D">
          <w:pPr>
            <w:pStyle w:val="TOC2"/>
            <w:tabs>
              <w:tab w:val="right" w:leader="dot" w:pos="8601"/>
            </w:tabs>
            <w:rPr>
              <w:noProof/>
            </w:rPr>
          </w:pPr>
          <w:hyperlink w:anchor="_Toc191489431" w:history="1">
            <w:r w:rsidRPr="00465AEE">
              <w:rPr>
                <w:rStyle w:val="Hyperlink"/>
                <w:noProof/>
              </w:rPr>
              <w:t>Implementation Phase</w:t>
            </w:r>
            <w:r>
              <w:rPr>
                <w:noProof/>
                <w:webHidden/>
              </w:rPr>
              <w:tab/>
            </w:r>
            <w:r>
              <w:rPr>
                <w:noProof/>
                <w:webHidden/>
              </w:rPr>
              <w:fldChar w:fldCharType="begin"/>
            </w:r>
            <w:r>
              <w:rPr>
                <w:noProof/>
                <w:webHidden/>
              </w:rPr>
              <w:instrText xml:space="preserve"> PAGEREF _Toc191489431 \h </w:instrText>
            </w:r>
            <w:r>
              <w:rPr>
                <w:noProof/>
                <w:webHidden/>
              </w:rPr>
            </w:r>
            <w:r>
              <w:rPr>
                <w:noProof/>
                <w:webHidden/>
              </w:rPr>
              <w:fldChar w:fldCharType="separate"/>
            </w:r>
            <w:r>
              <w:rPr>
                <w:noProof/>
                <w:webHidden/>
              </w:rPr>
              <w:t>5</w:t>
            </w:r>
            <w:r>
              <w:rPr>
                <w:noProof/>
                <w:webHidden/>
              </w:rPr>
              <w:fldChar w:fldCharType="end"/>
            </w:r>
          </w:hyperlink>
        </w:p>
        <w:p w14:paraId="4378C247" w14:textId="77777777" w:rsidR="00126C9D" w:rsidRDefault="00126C9D">
          <w:pPr>
            <w:pStyle w:val="TOC2"/>
            <w:tabs>
              <w:tab w:val="right" w:leader="dot" w:pos="8601"/>
            </w:tabs>
            <w:rPr>
              <w:noProof/>
            </w:rPr>
          </w:pPr>
          <w:hyperlink w:anchor="_Toc191489432" w:history="1">
            <w:r w:rsidRPr="00465AEE">
              <w:rPr>
                <w:rStyle w:val="Hyperlink"/>
                <w:noProof/>
              </w:rPr>
              <w:t>Evaluation Phase</w:t>
            </w:r>
            <w:r>
              <w:rPr>
                <w:noProof/>
                <w:webHidden/>
              </w:rPr>
              <w:tab/>
            </w:r>
            <w:r>
              <w:rPr>
                <w:noProof/>
                <w:webHidden/>
              </w:rPr>
              <w:fldChar w:fldCharType="begin"/>
            </w:r>
            <w:r>
              <w:rPr>
                <w:noProof/>
                <w:webHidden/>
              </w:rPr>
              <w:instrText xml:space="preserve"> PAGEREF _Toc191489432 \h </w:instrText>
            </w:r>
            <w:r>
              <w:rPr>
                <w:noProof/>
                <w:webHidden/>
              </w:rPr>
            </w:r>
            <w:r>
              <w:rPr>
                <w:noProof/>
                <w:webHidden/>
              </w:rPr>
              <w:fldChar w:fldCharType="separate"/>
            </w:r>
            <w:r>
              <w:rPr>
                <w:noProof/>
                <w:webHidden/>
              </w:rPr>
              <w:t>5</w:t>
            </w:r>
            <w:r>
              <w:rPr>
                <w:noProof/>
                <w:webHidden/>
              </w:rPr>
              <w:fldChar w:fldCharType="end"/>
            </w:r>
          </w:hyperlink>
        </w:p>
        <w:p w14:paraId="0AC2098B" w14:textId="77777777" w:rsidR="00126C9D" w:rsidRDefault="00126C9D">
          <w:pPr>
            <w:pStyle w:val="TOC1"/>
            <w:tabs>
              <w:tab w:val="right" w:leader="dot" w:pos="8601"/>
            </w:tabs>
            <w:rPr>
              <w:noProof/>
            </w:rPr>
          </w:pPr>
          <w:hyperlink w:anchor="_Toc191489433" w:history="1">
            <w:r w:rsidRPr="00465AEE">
              <w:rPr>
                <w:rStyle w:val="Hyperlink"/>
                <w:noProof/>
              </w:rPr>
              <w:t>The Event Concept</w:t>
            </w:r>
            <w:r>
              <w:rPr>
                <w:noProof/>
                <w:webHidden/>
              </w:rPr>
              <w:tab/>
            </w:r>
            <w:r>
              <w:rPr>
                <w:noProof/>
                <w:webHidden/>
              </w:rPr>
              <w:fldChar w:fldCharType="begin"/>
            </w:r>
            <w:r>
              <w:rPr>
                <w:noProof/>
                <w:webHidden/>
              </w:rPr>
              <w:instrText xml:space="preserve"> PAGEREF _Toc191489433 \h </w:instrText>
            </w:r>
            <w:r>
              <w:rPr>
                <w:noProof/>
                <w:webHidden/>
              </w:rPr>
            </w:r>
            <w:r>
              <w:rPr>
                <w:noProof/>
                <w:webHidden/>
              </w:rPr>
              <w:fldChar w:fldCharType="separate"/>
            </w:r>
            <w:r>
              <w:rPr>
                <w:noProof/>
                <w:webHidden/>
              </w:rPr>
              <w:t>6</w:t>
            </w:r>
            <w:r>
              <w:rPr>
                <w:noProof/>
                <w:webHidden/>
              </w:rPr>
              <w:fldChar w:fldCharType="end"/>
            </w:r>
          </w:hyperlink>
        </w:p>
        <w:p w14:paraId="50F4D49D" w14:textId="77777777" w:rsidR="00126C9D" w:rsidRDefault="00126C9D">
          <w:pPr>
            <w:pStyle w:val="TOC2"/>
            <w:tabs>
              <w:tab w:val="right" w:leader="dot" w:pos="8601"/>
            </w:tabs>
            <w:rPr>
              <w:noProof/>
            </w:rPr>
          </w:pPr>
          <w:hyperlink w:anchor="_Toc191489434" w:history="1">
            <w:r w:rsidRPr="00465AEE">
              <w:rPr>
                <w:rStyle w:val="Hyperlink"/>
                <w:noProof/>
              </w:rPr>
              <w:t>Itinerary Overview</w:t>
            </w:r>
            <w:r>
              <w:rPr>
                <w:noProof/>
                <w:webHidden/>
              </w:rPr>
              <w:tab/>
            </w:r>
            <w:r>
              <w:rPr>
                <w:noProof/>
                <w:webHidden/>
              </w:rPr>
              <w:fldChar w:fldCharType="begin"/>
            </w:r>
            <w:r>
              <w:rPr>
                <w:noProof/>
                <w:webHidden/>
              </w:rPr>
              <w:instrText xml:space="preserve"> PAGEREF _Toc191489434 \h </w:instrText>
            </w:r>
            <w:r>
              <w:rPr>
                <w:noProof/>
                <w:webHidden/>
              </w:rPr>
            </w:r>
            <w:r>
              <w:rPr>
                <w:noProof/>
                <w:webHidden/>
              </w:rPr>
              <w:fldChar w:fldCharType="separate"/>
            </w:r>
            <w:r>
              <w:rPr>
                <w:noProof/>
                <w:webHidden/>
              </w:rPr>
              <w:t>6</w:t>
            </w:r>
            <w:r>
              <w:rPr>
                <w:noProof/>
                <w:webHidden/>
              </w:rPr>
              <w:fldChar w:fldCharType="end"/>
            </w:r>
          </w:hyperlink>
        </w:p>
        <w:p w14:paraId="5B8D70F0" w14:textId="77777777" w:rsidR="00126C9D" w:rsidRDefault="00126C9D">
          <w:pPr>
            <w:pStyle w:val="TOC2"/>
            <w:tabs>
              <w:tab w:val="right" w:leader="dot" w:pos="8601"/>
            </w:tabs>
            <w:rPr>
              <w:noProof/>
            </w:rPr>
          </w:pPr>
          <w:hyperlink w:anchor="_Toc191489435" w:history="1">
            <w:r w:rsidRPr="00465AEE">
              <w:rPr>
                <w:rStyle w:val="Hyperlink"/>
                <w:noProof/>
              </w:rPr>
              <w:t>Delegate Experience</w:t>
            </w:r>
            <w:r>
              <w:rPr>
                <w:noProof/>
                <w:webHidden/>
              </w:rPr>
              <w:tab/>
            </w:r>
            <w:r>
              <w:rPr>
                <w:noProof/>
                <w:webHidden/>
              </w:rPr>
              <w:fldChar w:fldCharType="begin"/>
            </w:r>
            <w:r>
              <w:rPr>
                <w:noProof/>
                <w:webHidden/>
              </w:rPr>
              <w:instrText xml:space="preserve"> PAGEREF _Toc191489435 \h </w:instrText>
            </w:r>
            <w:r>
              <w:rPr>
                <w:noProof/>
                <w:webHidden/>
              </w:rPr>
            </w:r>
            <w:r>
              <w:rPr>
                <w:noProof/>
                <w:webHidden/>
              </w:rPr>
              <w:fldChar w:fldCharType="separate"/>
            </w:r>
            <w:r>
              <w:rPr>
                <w:noProof/>
                <w:webHidden/>
              </w:rPr>
              <w:t>7</w:t>
            </w:r>
            <w:r>
              <w:rPr>
                <w:noProof/>
                <w:webHidden/>
              </w:rPr>
              <w:fldChar w:fldCharType="end"/>
            </w:r>
          </w:hyperlink>
        </w:p>
        <w:p w14:paraId="5C328239" w14:textId="77777777" w:rsidR="00126C9D" w:rsidRDefault="00126C9D">
          <w:pPr>
            <w:pStyle w:val="TOC1"/>
            <w:tabs>
              <w:tab w:val="right" w:leader="dot" w:pos="8601"/>
            </w:tabs>
            <w:rPr>
              <w:noProof/>
            </w:rPr>
          </w:pPr>
          <w:hyperlink w:anchor="_Toc191489436" w:history="1">
            <w:r w:rsidRPr="00465AEE">
              <w:rPr>
                <w:rStyle w:val="Hyperlink"/>
                <w:noProof/>
              </w:rPr>
              <w:t>Aim and Objectives</w:t>
            </w:r>
            <w:r>
              <w:rPr>
                <w:noProof/>
                <w:webHidden/>
              </w:rPr>
              <w:tab/>
            </w:r>
            <w:r>
              <w:rPr>
                <w:noProof/>
                <w:webHidden/>
              </w:rPr>
              <w:fldChar w:fldCharType="begin"/>
            </w:r>
            <w:r>
              <w:rPr>
                <w:noProof/>
                <w:webHidden/>
              </w:rPr>
              <w:instrText xml:space="preserve"> PAGEREF _Toc191489436 \h </w:instrText>
            </w:r>
            <w:r>
              <w:rPr>
                <w:noProof/>
                <w:webHidden/>
              </w:rPr>
            </w:r>
            <w:r>
              <w:rPr>
                <w:noProof/>
                <w:webHidden/>
              </w:rPr>
              <w:fldChar w:fldCharType="separate"/>
            </w:r>
            <w:r>
              <w:rPr>
                <w:noProof/>
                <w:webHidden/>
              </w:rPr>
              <w:t>7</w:t>
            </w:r>
            <w:r>
              <w:rPr>
                <w:noProof/>
                <w:webHidden/>
              </w:rPr>
              <w:fldChar w:fldCharType="end"/>
            </w:r>
          </w:hyperlink>
        </w:p>
        <w:p w14:paraId="18BAB926" w14:textId="77777777" w:rsidR="00126C9D" w:rsidRDefault="00126C9D">
          <w:pPr>
            <w:pStyle w:val="TOC2"/>
            <w:tabs>
              <w:tab w:val="right" w:leader="dot" w:pos="8601"/>
            </w:tabs>
            <w:rPr>
              <w:noProof/>
            </w:rPr>
          </w:pPr>
          <w:hyperlink w:anchor="_Toc191489437" w:history="1">
            <w:r w:rsidRPr="00465AEE">
              <w:rPr>
                <w:rStyle w:val="Hyperlink"/>
                <w:noProof/>
              </w:rPr>
              <w:t>Event Aim</w:t>
            </w:r>
            <w:r>
              <w:rPr>
                <w:noProof/>
                <w:webHidden/>
              </w:rPr>
              <w:tab/>
            </w:r>
            <w:r>
              <w:rPr>
                <w:noProof/>
                <w:webHidden/>
              </w:rPr>
              <w:fldChar w:fldCharType="begin"/>
            </w:r>
            <w:r>
              <w:rPr>
                <w:noProof/>
                <w:webHidden/>
              </w:rPr>
              <w:instrText xml:space="preserve"> PAGEREF _Toc191489437 \h </w:instrText>
            </w:r>
            <w:r>
              <w:rPr>
                <w:noProof/>
                <w:webHidden/>
              </w:rPr>
            </w:r>
            <w:r>
              <w:rPr>
                <w:noProof/>
                <w:webHidden/>
              </w:rPr>
              <w:fldChar w:fldCharType="separate"/>
            </w:r>
            <w:r>
              <w:rPr>
                <w:noProof/>
                <w:webHidden/>
              </w:rPr>
              <w:t>7</w:t>
            </w:r>
            <w:r>
              <w:rPr>
                <w:noProof/>
                <w:webHidden/>
              </w:rPr>
              <w:fldChar w:fldCharType="end"/>
            </w:r>
          </w:hyperlink>
        </w:p>
        <w:p w14:paraId="4E5DA49F" w14:textId="77777777" w:rsidR="00126C9D" w:rsidRDefault="00126C9D">
          <w:pPr>
            <w:pStyle w:val="TOC2"/>
            <w:tabs>
              <w:tab w:val="right" w:leader="dot" w:pos="8601"/>
            </w:tabs>
            <w:rPr>
              <w:noProof/>
            </w:rPr>
          </w:pPr>
          <w:hyperlink w:anchor="_Toc191489438" w:history="1">
            <w:r w:rsidRPr="00465AEE">
              <w:rPr>
                <w:rStyle w:val="Hyperlink"/>
                <w:noProof/>
              </w:rPr>
              <w:t>SMART Objectives</w:t>
            </w:r>
            <w:r>
              <w:rPr>
                <w:noProof/>
                <w:webHidden/>
              </w:rPr>
              <w:tab/>
            </w:r>
            <w:r>
              <w:rPr>
                <w:noProof/>
                <w:webHidden/>
              </w:rPr>
              <w:fldChar w:fldCharType="begin"/>
            </w:r>
            <w:r>
              <w:rPr>
                <w:noProof/>
                <w:webHidden/>
              </w:rPr>
              <w:instrText xml:space="preserve"> PAGEREF _Toc191489438 \h </w:instrText>
            </w:r>
            <w:r>
              <w:rPr>
                <w:noProof/>
                <w:webHidden/>
              </w:rPr>
            </w:r>
            <w:r>
              <w:rPr>
                <w:noProof/>
                <w:webHidden/>
              </w:rPr>
              <w:fldChar w:fldCharType="separate"/>
            </w:r>
            <w:r>
              <w:rPr>
                <w:noProof/>
                <w:webHidden/>
              </w:rPr>
              <w:t>7</w:t>
            </w:r>
            <w:r>
              <w:rPr>
                <w:noProof/>
                <w:webHidden/>
              </w:rPr>
              <w:fldChar w:fldCharType="end"/>
            </w:r>
          </w:hyperlink>
        </w:p>
        <w:p w14:paraId="79813BFA" w14:textId="77777777" w:rsidR="00126C9D" w:rsidRDefault="00126C9D">
          <w:pPr>
            <w:pStyle w:val="TOC1"/>
            <w:tabs>
              <w:tab w:val="right" w:leader="dot" w:pos="8601"/>
            </w:tabs>
            <w:rPr>
              <w:noProof/>
            </w:rPr>
          </w:pPr>
          <w:hyperlink w:anchor="_Toc191489439" w:history="1">
            <w:r w:rsidRPr="00465AEE">
              <w:rPr>
                <w:rStyle w:val="Hyperlink"/>
                <w:noProof/>
              </w:rPr>
              <w:t>Event Management</w:t>
            </w:r>
            <w:r>
              <w:rPr>
                <w:noProof/>
                <w:webHidden/>
              </w:rPr>
              <w:tab/>
            </w:r>
            <w:r>
              <w:rPr>
                <w:noProof/>
                <w:webHidden/>
              </w:rPr>
              <w:fldChar w:fldCharType="begin"/>
            </w:r>
            <w:r>
              <w:rPr>
                <w:noProof/>
                <w:webHidden/>
              </w:rPr>
              <w:instrText xml:space="preserve"> PAGEREF _Toc191489439 \h </w:instrText>
            </w:r>
            <w:r>
              <w:rPr>
                <w:noProof/>
                <w:webHidden/>
              </w:rPr>
            </w:r>
            <w:r>
              <w:rPr>
                <w:noProof/>
                <w:webHidden/>
              </w:rPr>
              <w:fldChar w:fldCharType="separate"/>
            </w:r>
            <w:r>
              <w:rPr>
                <w:noProof/>
                <w:webHidden/>
              </w:rPr>
              <w:t>8</w:t>
            </w:r>
            <w:r>
              <w:rPr>
                <w:noProof/>
                <w:webHidden/>
              </w:rPr>
              <w:fldChar w:fldCharType="end"/>
            </w:r>
          </w:hyperlink>
        </w:p>
        <w:p w14:paraId="6DE6EC50" w14:textId="77777777" w:rsidR="00126C9D" w:rsidRDefault="00126C9D">
          <w:pPr>
            <w:pStyle w:val="TOC1"/>
            <w:tabs>
              <w:tab w:val="right" w:leader="dot" w:pos="8601"/>
            </w:tabs>
            <w:rPr>
              <w:noProof/>
            </w:rPr>
          </w:pPr>
          <w:hyperlink w:anchor="_Toc191489440" w:history="1">
            <w:r w:rsidRPr="00465AEE">
              <w:rPr>
                <w:rStyle w:val="Hyperlink"/>
                <w:noProof/>
              </w:rPr>
              <w:t>Event Budget</w:t>
            </w:r>
            <w:r>
              <w:rPr>
                <w:noProof/>
                <w:webHidden/>
              </w:rPr>
              <w:tab/>
            </w:r>
            <w:r>
              <w:rPr>
                <w:noProof/>
                <w:webHidden/>
              </w:rPr>
              <w:fldChar w:fldCharType="begin"/>
            </w:r>
            <w:r>
              <w:rPr>
                <w:noProof/>
                <w:webHidden/>
              </w:rPr>
              <w:instrText xml:space="preserve"> PAGEREF _Toc191489440 \h </w:instrText>
            </w:r>
            <w:r>
              <w:rPr>
                <w:noProof/>
                <w:webHidden/>
              </w:rPr>
            </w:r>
            <w:r>
              <w:rPr>
                <w:noProof/>
                <w:webHidden/>
              </w:rPr>
              <w:fldChar w:fldCharType="separate"/>
            </w:r>
            <w:r>
              <w:rPr>
                <w:noProof/>
                <w:webHidden/>
              </w:rPr>
              <w:t>10</w:t>
            </w:r>
            <w:r>
              <w:rPr>
                <w:noProof/>
                <w:webHidden/>
              </w:rPr>
              <w:fldChar w:fldCharType="end"/>
            </w:r>
          </w:hyperlink>
        </w:p>
        <w:p w14:paraId="4F04BB10" w14:textId="77777777" w:rsidR="00126C9D" w:rsidRDefault="00126C9D">
          <w:pPr>
            <w:pStyle w:val="TOC1"/>
            <w:tabs>
              <w:tab w:val="right" w:leader="dot" w:pos="8601"/>
            </w:tabs>
            <w:rPr>
              <w:noProof/>
            </w:rPr>
          </w:pPr>
          <w:hyperlink w:anchor="_Toc191489441" w:history="1">
            <w:r w:rsidRPr="00465AEE">
              <w:rPr>
                <w:rStyle w:val="Hyperlink"/>
                <w:noProof/>
              </w:rPr>
              <w:t>Industry Trends, Issues, and Impacts</w:t>
            </w:r>
            <w:r>
              <w:rPr>
                <w:noProof/>
                <w:webHidden/>
              </w:rPr>
              <w:tab/>
            </w:r>
            <w:r>
              <w:rPr>
                <w:noProof/>
                <w:webHidden/>
              </w:rPr>
              <w:fldChar w:fldCharType="begin"/>
            </w:r>
            <w:r>
              <w:rPr>
                <w:noProof/>
                <w:webHidden/>
              </w:rPr>
              <w:instrText xml:space="preserve"> PAGEREF _Toc191489441 \h </w:instrText>
            </w:r>
            <w:r>
              <w:rPr>
                <w:noProof/>
                <w:webHidden/>
              </w:rPr>
            </w:r>
            <w:r>
              <w:rPr>
                <w:noProof/>
                <w:webHidden/>
              </w:rPr>
              <w:fldChar w:fldCharType="separate"/>
            </w:r>
            <w:r>
              <w:rPr>
                <w:noProof/>
                <w:webHidden/>
              </w:rPr>
              <w:t>11</w:t>
            </w:r>
            <w:r>
              <w:rPr>
                <w:noProof/>
                <w:webHidden/>
              </w:rPr>
              <w:fldChar w:fldCharType="end"/>
            </w:r>
          </w:hyperlink>
        </w:p>
        <w:p w14:paraId="0389345A" w14:textId="77777777" w:rsidR="00126C9D" w:rsidRDefault="00126C9D">
          <w:pPr>
            <w:pStyle w:val="TOC1"/>
            <w:tabs>
              <w:tab w:val="right" w:leader="dot" w:pos="8601"/>
            </w:tabs>
            <w:rPr>
              <w:noProof/>
            </w:rPr>
          </w:pPr>
          <w:hyperlink w:anchor="_Toc191489442" w:history="1">
            <w:r w:rsidRPr="00465AEE">
              <w:rPr>
                <w:rStyle w:val="Hyperlink"/>
                <w:noProof/>
              </w:rPr>
              <w:t>Situational and Cultural Considerations</w:t>
            </w:r>
            <w:r>
              <w:rPr>
                <w:noProof/>
                <w:webHidden/>
              </w:rPr>
              <w:tab/>
            </w:r>
            <w:r>
              <w:rPr>
                <w:noProof/>
                <w:webHidden/>
              </w:rPr>
              <w:fldChar w:fldCharType="begin"/>
            </w:r>
            <w:r>
              <w:rPr>
                <w:noProof/>
                <w:webHidden/>
              </w:rPr>
              <w:instrText xml:space="preserve"> PAGEREF _Toc191489442 \h </w:instrText>
            </w:r>
            <w:r>
              <w:rPr>
                <w:noProof/>
                <w:webHidden/>
              </w:rPr>
            </w:r>
            <w:r>
              <w:rPr>
                <w:noProof/>
                <w:webHidden/>
              </w:rPr>
              <w:fldChar w:fldCharType="separate"/>
            </w:r>
            <w:r>
              <w:rPr>
                <w:noProof/>
                <w:webHidden/>
              </w:rPr>
              <w:t>13</w:t>
            </w:r>
            <w:r>
              <w:rPr>
                <w:noProof/>
                <w:webHidden/>
              </w:rPr>
              <w:fldChar w:fldCharType="end"/>
            </w:r>
          </w:hyperlink>
        </w:p>
        <w:p w14:paraId="41AA0483" w14:textId="77777777" w:rsidR="00126C9D" w:rsidRDefault="00126C9D">
          <w:pPr>
            <w:pStyle w:val="TOC1"/>
            <w:tabs>
              <w:tab w:val="right" w:leader="dot" w:pos="8601"/>
            </w:tabs>
            <w:rPr>
              <w:noProof/>
            </w:rPr>
          </w:pPr>
          <w:hyperlink w:anchor="_Toc191489443" w:history="1">
            <w:r w:rsidRPr="00465AEE">
              <w:rPr>
                <w:rStyle w:val="Hyperlink"/>
                <w:noProof/>
              </w:rPr>
              <w:t>Conclusion</w:t>
            </w:r>
            <w:r>
              <w:rPr>
                <w:noProof/>
                <w:webHidden/>
              </w:rPr>
              <w:tab/>
            </w:r>
            <w:r>
              <w:rPr>
                <w:noProof/>
                <w:webHidden/>
              </w:rPr>
              <w:fldChar w:fldCharType="begin"/>
            </w:r>
            <w:r>
              <w:rPr>
                <w:noProof/>
                <w:webHidden/>
              </w:rPr>
              <w:instrText xml:space="preserve"> PAGEREF _Toc191489443 \h </w:instrText>
            </w:r>
            <w:r>
              <w:rPr>
                <w:noProof/>
                <w:webHidden/>
              </w:rPr>
            </w:r>
            <w:r>
              <w:rPr>
                <w:noProof/>
                <w:webHidden/>
              </w:rPr>
              <w:fldChar w:fldCharType="separate"/>
            </w:r>
            <w:r>
              <w:rPr>
                <w:noProof/>
                <w:webHidden/>
              </w:rPr>
              <w:t>14</w:t>
            </w:r>
            <w:r>
              <w:rPr>
                <w:noProof/>
                <w:webHidden/>
              </w:rPr>
              <w:fldChar w:fldCharType="end"/>
            </w:r>
          </w:hyperlink>
        </w:p>
        <w:p w14:paraId="327BE8B0" w14:textId="77777777" w:rsidR="00126C9D" w:rsidRDefault="00126C9D">
          <w:pPr>
            <w:pStyle w:val="TOC1"/>
            <w:tabs>
              <w:tab w:val="right" w:leader="dot" w:pos="8601"/>
            </w:tabs>
            <w:rPr>
              <w:noProof/>
            </w:rPr>
          </w:pPr>
          <w:hyperlink w:anchor="_Toc191489444" w:history="1">
            <w:r w:rsidRPr="00465AEE">
              <w:rPr>
                <w:rStyle w:val="Hyperlink"/>
                <w:noProof/>
              </w:rPr>
              <w:t>Bibliography</w:t>
            </w:r>
            <w:r>
              <w:rPr>
                <w:noProof/>
                <w:webHidden/>
              </w:rPr>
              <w:tab/>
            </w:r>
            <w:r>
              <w:rPr>
                <w:noProof/>
                <w:webHidden/>
              </w:rPr>
              <w:fldChar w:fldCharType="begin"/>
            </w:r>
            <w:r>
              <w:rPr>
                <w:noProof/>
                <w:webHidden/>
              </w:rPr>
              <w:instrText xml:space="preserve"> PAGEREF _Toc191489444 \h </w:instrText>
            </w:r>
            <w:r>
              <w:rPr>
                <w:noProof/>
                <w:webHidden/>
              </w:rPr>
            </w:r>
            <w:r>
              <w:rPr>
                <w:noProof/>
                <w:webHidden/>
              </w:rPr>
              <w:fldChar w:fldCharType="separate"/>
            </w:r>
            <w:r>
              <w:rPr>
                <w:noProof/>
                <w:webHidden/>
              </w:rPr>
              <w:t>16</w:t>
            </w:r>
            <w:r>
              <w:rPr>
                <w:noProof/>
                <w:webHidden/>
              </w:rPr>
              <w:fldChar w:fldCharType="end"/>
            </w:r>
          </w:hyperlink>
        </w:p>
        <w:p w14:paraId="569A6C45" w14:textId="77777777" w:rsidR="00126C9D" w:rsidRDefault="00085DDA">
          <w:r>
            <w:rPr>
              <w:b/>
              <w:bCs/>
              <w:noProof/>
            </w:rPr>
            <w:fldChar w:fldCharType="end"/>
          </w:r>
        </w:p>
      </w:sdtContent>
    </w:sdt>
    <w:p w14:paraId="7D388614" w14:textId="77777777" w:rsidR="00126C9D" w:rsidRDefault="00126C9D" w:rsidP="00126C9D"/>
    <w:p w14:paraId="7C7CA67F" w14:textId="77777777" w:rsidR="00126C9D" w:rsidRDefault="00126C9D" w:rsidP="00126C9D"/>
    <w:p w14:paraId="550C5271" w14:textId="77777777" w:rsidR="00126C9D" w:rsidRDefault="00126C9D" w:rsidP="00126C9D"/>
    <w:p w14:paraId="54C3A014" w14:textId="77777777" w:rsidR="00126C9D" w:rsidRDefault="00126C9D" w:rsidP="00126C9D"/>
    <w:p w14:paraId="6FE0EFBC" w14:textId="77777777" w:rsidR="00126C9D" w:rsidRDefault="00126C9D" w:rsidP="00126C9D"/>
    <w:p w14:paraId="235A02A6" w14:textId="77777777" w:rsidR="00126C9D" w:rsidRDefault="00126C9D" w:rsidP="00126C9D"/>
    <w:p w14:paraId="4F245DD1" w14:textId="77777777" w:rsidR="00126C9D" w:rsidRDefault="00126C9D" w:rsidP="00126C9D"/>
    <w:p w14:paraId="412FE7A7" w14:textId="77777777" w:rsidR="00126C9D" w:rsidRDefault="00126C9D" w:rsidP="00126C9D"/>
    <w:p w14:paraId="65D6CB81" w14:textId="77777777" w:rsidR="00126C9D" w:rsidRDefault="00126C9D" w:rsidP="00126C9D"/>
    <w:p w14:paraId="7C4A0BE5" w14:textId="77777777" w:rsidR="00126C9D" w:rsidRDefault="00126C9D" w:rsidP="00126C9D"/>
    <w:p w14:paraId="3FB74FF2" w14:textId="77777777" w:rsidR="00126C9D" w:rsidRDefault="00126C9D" w:rsidP="00126C9D"/>
    <w:p w14:paraId="7682C536" w14:textId="77777777" w:rsidR="00126C9D" w:rsidRDefault="00126C9D" w:rsidP="00126C9D"/>
    <w:p w14:paraId="11D4A1B4" w14:textId="77777777" w:rsidR="00126C9D" w:rsidRDefault="00126C9D" w:rsidP="00126C9D"/>
    <w:p w14:paraId="254C3E40" w14:textId="77777777" w:rsidR="00126C9D" w:rsidRDefault="00126C9D" w:rsidP="00126C9D"/>
    <w:p w14:paraId="78FCD824" w14:textId="77777777" w:rsidR="00126C9D" w:rsidRDefault="00126C9D" w:rsidP="00126C9D"/>
    <w:p w14:paraId="16FCD471" w14:textId="77777777" w:rsidR="00126C9D" w:rsidRPr="002B6F45" w:rsidRDefault="00126C9D" w:rsidP="00126C9D"/>
    <w:p w14:paraId="7C6EB429" w14:textId="77777777" w:rsidR="000F759D" w:rsidRPr="008F026B" w:rsidRDefault="00085DDA" w:rsidP="00BF6252">
      <w:pPr>
        <w:tabs>
          <w:tab w:val="left" w:pos="4136"/>
        </w:tabs>
        <w:spacing w:line="480" w:lineRule="auto"/>
        <w:jc w:val="center"/>
      </w:pPr>
      <w:r>
        <w:lastRenderedPageBreak/>
        <w:t xml:space="preserve">Assignment 2: </w:t>
      </w:r>
      <w:r w:rsidRPr="00BF6252">
        <w:t>International Meetings Management Report</w:t>
      </w:r>
    </w:p>
    <w:p w14:paraId="3E02832E" w14:textId="77777777" w:rsidR="009E40B5" w:rsidRPr="008F026B" w:rsidRDefault="009E40B5" w:rsidP="008F026B">
      <w:pPr>
        <w:spacing w:line="480" w:lineRule="auto"/>
      </w:pPr>
    </w:p>
    <w:p w14:paraId="016F3FFA" w14:textId="77777777" w:rsidR="003960FC" w:rsidRDefault="00085DDA" w:rsidP="008F026B">
      <w:pPr>
        <w:pStyle w:val="Heading1"/>
      </w:pPr>
      <w:bookmarkStart w:id="1" w:name="_Toc191489427"/>
      <w:r w:rsidRPr="008F026B">
        <w:t>Introduction</w:t>
      </w:r>
      <w:bookmarkEnd w:id="1"/>
    </w:p>
    <w:p w14:paraId="23F5F924" w14:textId="77777777" w:rsidR="00300430" w:rsidRPr="00300430" w:rsidRDefault="00085DDA" w:rsidP="00300430">
      <w:pPr>
        <w:spacing w:line="480" w:lineRule="auto"/>
      </w:pPr>
      <w:r>
        <w:tab/>
        <w:t xml:space="preserve">The Inclusion Summit 2025 is an international hospitality event with a mission to contribute to the promotion of Equality, Diversity and Inclusion (EDI) in the industry. The event about workplace diversity reflects that it is getting global attention workforce diversity, and it is intended to be a hub for industry leaders, HR managers, policymakers, and hospitality professionals to meet and discuss best practices and take appropriate steps for the included work policies </w:t>
      </w:r>
      <w:r w:rsidR="00DF2E9A">
        <w:fldChar w:fldCharType="begin"/>
      </w:r>
      <w:r w:rsidR="0097626F">
        <w:instrText xml:space="preserve"> ADDIN ZOTERO_ITEM CSL_CITATION {"citationID":"WYEjPcoQ","properties":{"formattedCitation":"(Kiradoo, 2022)","plainCitation":"(Kiradoo, 2022)","noteIndex":0},"citationItems":[{"id":1,"uris":["http://zotero.org/users/local/LBvdT8Sh/items/JC5SN9MT","http://zotero.org/users/10384683/items/JC5SN9MT"],"itemData":{"id":1,"type":"article","abstract":"This research paper explores the critical issue of diversity, equity, and inclusion (DEI) in the workplace and the strategies that can be employed to achieve and sustain a diverse workforce. The research paper is based on a comprehensive review of relevant literature, including peer-reviewed articles, reports, and other relevant documents. The paper aims to contribute to the existing body of knowledge by offering practical recommendations for organisations seeking to enhance DEI in their workplaces. The research methods employed in this study involve a systematic literature review that includes a comprehensive search of electronic databases. The review process was guided by inclusion and exclusion criteria that ensured the selection of relevant and high-quality literature. The study's findings suggest that organisations can implement various strategies to enhance DEI in the workplace. These strategies include setting DEI goals, providing diversity training, promoting inclusive leadership, implementing flexible work arrangements, and leveraging technology to support DEI initiatives. Additionally, organisations must establish an inclusive culture that recognises and values individual differences, promotes fairness and respect, and provides equal opportunities for all employees. In conclusion, this research paper emphasises the importance of DEI in the workplace and the need for organisations to develop and implement strategies that foster a diverse and inclusive workforce. The study's findings offer practical recommendations that can guide organisations in achieving and sustaining DEI. Ultimately, organisations prioritising DEI will likely enjoy significant benefits, including increased employee engagement, improved organisational performance, and enhanced innovation and creativity.","event-place":"Rochester, NY","genre":"SSRN Scholarly Paper","language":"en","number":"4392136","publisher":"Social Science Research Network","publisher-place":"Rochester, NY","source":"papers.ssrn.com","title":"Diversity, Equity, and Inclusion in the Workplace: Strategies for Achieving and Sustaining a Diverse Workforce","title-short":"Diversity, Equity, and Inclusion in the Workplace","URL":"https://papers.ssrn.com/abstract=4392136","author":[{"family":"Kiradoo","given":"Giriraj"}],"accessed":{"date-parts":[["2025",2,2]]},"issued":{"date-parts":[["2022",12,20]]}}}],"schema":"https://github.com/citation-style-language/schema/raw/master/csl-citation.json"} </w:instrText>
      </w:r>
      <w:r w:rsidR="00DF2E9A">
        <w:fldChar w:fldCharType="separate"/>
      </w:r>
      <w:r w:rsidR="00DF2E9A" w:rsidRPr="00DF2E9A">
        <w:t>(Kiradoo, 2022)</w:t>
      </w:r>
      <w:r w:rsidR="00DF2E9A">
        <w:fldChar w:fldCharType="end"/>
      </w:r>
      <w:r>
        <w:t>. In the hospitality industry, one of the aspects that encompass this crucial aspect of economic development is the issue of the diffusion of jobs within segmented labour markets and the diversity of the workers of this sector and their clients</w:t>
      </w:r>
      <w:r w:rsidR="003D5CA4">
        <w:t xml:space="preserve"> </w:t>
      </w:r>
      <w:r w:rsidR="003D5CA4">
        <w:fldChar w:fldCharType="begin"/>
      </w:r>
      <w:r w:rsidR="0097626F">
        <w:instrText xml:space="preserve"> ADDIN ZOTERO_ITEM CSL_CITATION {"citationID":"TSGkbTTH","properties":{"formattedCitation":"(Lee and Park, 2023)","plainCitation":"(Lee and Park, 2023)","noteIndex":0},"citationItems":[{"id":3,"uris":["http://zotero.org/users/local/LBvdT8Sh/items/GI2BGUKJ","http://zotero.org/users/10384683/items/GI2BGUKJ"],"itemData":{"id":3,"type":"article-journal","abstract":"Building on a mixed-method approach, this study examines the practices engaged in creating value propositions in the exhibition industry from the perspective of service-dominant (S-D) logic, which regards the offering of value propositions as service innovation and an essential prerequisite for value cocreation. Consequently, a five-factor structure with 40 measures underlying the practices of offering value propositions is developed and validated. The extant tourism literature on the meetings, incentives, conventions, and exhibitions (MICE) industry mainly examines value cocreation issues while overlooking the concept of value propositions. This study contributes to the S-D logic literature by extending the theoretical understanding from value cocreation to value proposition. The findings of this study present important dimensions and attributes that are involved in creating value propositions for service innovation. Exhibition service providers can use these findings as a blueprint for service innovation project management and as a checklist for assessing their innovation competency.","container-title":"Tourism Management","DOI":"10.1016/j.tourman.2023.104780","ISSN":"0261-5177","journalAbbreviation":"Tourism Management","page":"104780","source":"ScienceDirect","title":"Scale development for the practices involved in creating value propositions in the exhibition industry: Service-dominant logic with a mixed-methods approach","title-short":"Scale development for the practices involved in creating value propositions in the exhibition industry","volume":"99","author":[{"family":"Lee","given":"Jin-Soo"},{"family":"Park","given":"Sangwon"}],"issued":{"date-parts":[["2023",12,1]]}}}],"schema":"https://github.com/citation-style-language/schema/raw/master/csl-citation.json"} </w:instrText>
      </w:r>
      <w:r w:rsidR="003D5CA4">
        <w:fldChar w:fldCharType="separate"/>
      </w:r>
      <w:r w:rsidR="003D5CA4" w:rsidRPr="003D5CA4">
        <w:t>(Lee and Park, 2023)</w:t>
      </w:r>
      <w:r w:rsidR="003D5CA4">
        <w:fldChar w:fldCharType="end"/>
      </w:r>
      <w:r>
        <w:t>.</w:t>
      </w:r>
      <w:r w:rsidR="00DF2E9A">
        <w:t xml:space="preserve"> </w:t>
      </w:r>
      <w:r>
        <w:t>Most likely, the summit will be held in London, UK, a city of international business and hospitality, and a very linkable city, thus being very 'accessible', multicultural, and with an excellent quality of infrastructure to support large events. The hospitality executives, HR managers, event organizers and policymakers are the primary audience, while the secondary participants are the hospitality students, educators and NGOs working for EDI.</w:t>
      </w:r>
      <w:r w:rsidR="003D5CA4">
        <w:t xml:space="preserve"> </w:t>
      </w:r>
      <w:r>
        <w:t>The event is carefully planned so that the timing corresponds to</w:t>
      </w:r>
      <w:r>
        <w:t xml:space="preserve"> critical business trends</w:t>
      </w:r>
      <w:r w:rsidR="003D5CA4">
        <w:t xml:space="preserve"> of t</w:t>
      </w:r>
      <w:r>
        <w:t>he increasing demands for corporations to be responsible, diverse, and profitable through inclusive hiring practices. Keynotes, panel sessions, networking, and interactive workshops will provide attendees with actionable approaches for creating diversity in their organizations on the agenda</w:t>
      </w:r>
      <w:r w:rsidR="002F2598">
        <w:t xml:space="preserve"> </w:t>
      </w:r>
      <w:r w:rsidR="002F2598">
        <w:fldChar w:fldCharType="begin"/>
      </w:r>
      <w:r w:rsidR="0097626F">
        <w:instrText xml:space="preserve"> ADDIN ZOTERO_ITEM CSL_CITATION {"citationID":"emk8jPxX","properties":{"formattedCitation":"(Dalkir, 2024)","plainCitation":"(Dalkir, 2024)","noteIndex":0},"citationItems":[{"id":5,"uris":["http://zotero.org/users/local/LBvdT8Sh/items/D2JRJEYY","http://zotero.org/users/10384683/items/D2JRJEYY"],"itemData":{"id":5,"type":"book","abstract":"Handbook of Inclusive Knowledge Management: Ensuring Inclusivity, Diversity, and Equity in Knowledge Processing Activities examines the role that diversity, equity and inclusivity (DEI) plays in the field and discipline of knowledge management (KM). With the premise that DEI is the inclusion and equal treatment of all types of people, things and viewpoints, the book aims to increase awareness of DEI among KM practitioners and researchers. It is a starting point for adopting knowledge processing activities that ensure all knowledge voices are represented in knowledge creation and capture. The book explains how this valuable knowledge can be shared and disseminated so that there is equitable access as well as knowledge. The focus of this handbook is on inclusivity in KM, its current state, specific challenges and an exploration of the best path forward.Currently, inclusivity does not appear to be on many KM road maps, and this book provides insights into the state-of-the-art of inclusivity in KM. In alignment with the book’s central theme, it presents a diverse range of perspectives that includes KM researchers, KM educators and KM practitioners. Addressing different stages of knowledge processing, as well as the KM bookends of KM culture, KM competencies and KM governance, the book features in-depth case studies to illustrate how inclusivity can be integrated into KM. The handbook concludes with concrete recommendations on how to integrate inclusivity into KM in organizations. Reviewing both the theory and practice of inclusive KM, the book helps readers gain actionable insights into an inclusive KM approach that includes standards, guidelines and checklists.","ISBN":"978-1-04-027015-8","language":"en","note":"Google-Books-ID: weYwEQAAQBAJ","number-of-pages":"206","publisher":"CRC Press","source":"Google Books","title":"Handbook of Inclusive Knowledge Management: Ensuring Inclusivity, Diversity, and Equity in Knowledge Processing Activities","title-short":"Handbook of Inclusive Knowledge Management","author":[{"family":"Dalkir","given":"Kimiz"}],"issued":{"date-parts":[["2024",12,27]]}}}],"schema":"https://github.com/citation-style-language/schema/raw/master/csl-citation.json"} </w:instrText>
      </w:r>
      <w:r w:rsidR="002F2598">
        <w:fldChar w:fldCharType="separate"/>
      </w:r>
      <w:r w:rsidR="002F2598" w:rsidRPr="002F2598">
        <w:t>(Dalkir, 2024)</w:t>
      </w:r>
      <w:r w:rsidR="002F2598">
        <w:fldChar w:fldCharType="end"/>
      </w:r>
      <w:r>
        <w:t>.</w:t>
      </w:r>
      <w:r w:rsidR="002F2598">
        <w:t xml:space="preserve"> </w:t>
      </w:r>
      <w:r>
        <w:t xml:space="preserve">Inclusion Summit 2025 provides a critical gap highlighting the growing need for EDI-focused industry events and no other specifically for the </w:t>
      </w:r>
      <w:r>
        <w:lastRenderedPageBreak/>
        <w:t>accommodation and hospitality industry when it comes to diversity. It offers the opportunity for professionals to learn, collaborate and effectively drive change that helps an inclusive and sustainable industry.</w:t>
      </w:r>
    </w:p>
    <w:p w14:paraId="2E63B113" w14:textId="77777777" w:rsidR="00BF6252" w:rsidRDefault="00085DDA" w:rsidP="00BF6252">
      <w:pPr>
        <w:pStyle w:val="Heading1"/>
      </w:pPr>
      <w:bookmarkStart w:id="2" w:name="_Toc191489428"/>
      <w:r>
        <w:t>The Event Cycle</w:t>
      </w:r>
      <w:bookmarkEnd w:id="2"/>
      <w:r>
        <w:t xml:space="preserve"> </w:t>
      </w:r>
    </w:p>
    <w:p w14:paraId="418CE076" w14:textId="77777777" w:rsidR="002F2598" w:rsidRDefault="00085DDA" w:rsidP="002F2598">
      <w:pPr>
        <w:spacing w:line="480" w:lineRule="auto"/>
      </w:pPr>
      <w:r>
        <w:rPr>
          <w:b/>
          <w:bCs/>
        </w:rPr>
        <w:tab/>
      </w:r>
      <w:r w:rsidRPr="002F2598">
        <w:t xml:space="preserve">The Event Cycle is a way of planning, executing and evaluating an event. The five key phases of it are research, planning, design, implementation, and evaluation </w:t>
      </w:r>
      <w:r>
        <w:fldChar w:fldCharType="begin"/>
      </w:r>
      <w:r w:rsidR="0097626F">
        <w:instrText xml:space="preserve"> ADDIN ZOTERO_ITEM CSL_CITATION {"citationID":"ni7hgbfK","properties":{"formattedCitation":"(Liu-Lastres, 2022)","plainCitation":"(Liu-Lastres, 2022)","noteIndex":0},"citationItems":[{"id":7,"uris":["http://zotero.org/users/local/LBvdT8Sh/items/32H2SU89","http://zotero.org/users/10384683/items/32H2SU89"],"itemData":{"id":7,"type":"article-journal","abstract":"Crisis communication is an essential component of crisis management in hospitality and tourism. Yet few studies have offered a clear impression of the state of knowledge in this area. As one of the early conceptual attempts, this study aims to contribute to the existing knowledge by analyzing, comparing and synthesizing the literature in crisis communication and hospitality and tourism research. This study also proposes a transactional and dynamic crisis communication model that lays the conceptual foundation for future research.,This study was guided by a theory synthesis approach and analyzed the related literature. More specifically, this study conducted a rapid review of the general crisis communication research and a conventional, systematic review of crisis communication research in hospitality and tourism. Based on the review findings, this study further develops a transactive and dynamic crisis communication model in hospitality and tourism, which is fundamental for future studies in this area.,The findings of this study are presented through a literature review of general crisis communication research and crisis communication research in hospitality and tourism and the development of a transactive and dynamic crisis communication model in hospitality and tourism.,This study reviews the literature and develops an integrated model for crisis communication in hospitality and tourism. The findings of this study lay the conceptual foundation for crisis communication in hospitality and tourism and reveal future research venues.,By offering a state-of-the-art review and developing an integrated conceptual model, the findings of this study can help bridge the gaps between academics and practices as well as serve as references for practitioners to identify and develop effective crisis responses.,This paper represents an early effort to review crisis communication research in hospitality and tourism and conceptualize the subject area through an integrated model. The findings of this study contribute to the further conceptual development of crisis communication in hospitality and tourism.","archive_location":"world","container-title":"International Journal of Contemporary Hospitality Management","DOI":"10.1108/IJCHM-11-2021-1404","ISSN":"0959-6119","issue":"5","language":"en","note":"publisher: Emerald Publishing Limited","page":"1959-1983","source":"www.emerald.com","title":"Beyond simple messaging: a review of crisis communication research in hospitality and tourism","title-short":"Beyond simple messaging","volume":"34","author":[{"family":"Liu-Lastres","given":"Bingjie"}],"issued":{"date-parts":[["2022",3,8]]}}}],"schema":"https://github.com/citation-style-language/schema/raw/master/csl-citation.json"} </w:instrText>
      </w:r>
      <w:r>
        <w:fldChar w:fldCharType="separate"/>
      </w:r>
      <w:r w:rsidRPr="002F2598">
        <w:t>(Liu-Lastres, 2022)</w:t>
      </w:r>
      <w:r>
        <w:fldChar w:fldCharType="end"/>
      </w:r>
      <w:r w:rsidRPr="002F2598">
        <w:t>.</w:t>
      </w:r>
    </w:p>
    <w:p w14:paraId="548BD3B0" w14:textId="77777777" w:rsidR="002F2598" w:rsidRDefault="00085DDA" w:rsidP="002F2598">
      <w:pPr>
        <w:spacing w:line="480" w:lineRule="auto"/>
        <w:ind w:firstLine="720"/>
      </w:pPr>
      <w:r w:rsidRPr="002F2598">
        <w:t>Stakeholder Interview, Competitor analysis, and market demand assessment to determine gaps in existing EDI-focused hospitality events in the research phase.</w:t>
      </w:r>
    </w:p>
    <w:p w14:paraId="1344EDBE" w14:textId="77777777" w:rsidR="002F2598" w:rsidRDefault="00085DDA" w:rsidP="002F2598">
      <w:pPr>
        <w:pStyle w:val="Heading2"/>
      </w:pPr>
      <w:bookmarkStart w:id="3" w:name="_Toc191489429"/>
      <w:r>
        <w:t>Design Phase</w:t>
      </w:r>
      <w:bookmarkEnd w:id="3"/>
    </w:p>
    <w:p w14:paraId="56614D97" w14:textId="77777777" w:rsidR="002F2598" w:rsidRDefault="00085DDA" w:rsidP="002F2598">
      <w:pPr>
        <w:spacing w:line="480" w:lineRule="auto"/>
        <w:ind w:firstLine="720"/>
      </w:pPr>
      <w:r>
        <w:t xml:space="preserve">This phase involved establishing the concept of the Inclusion Summit 2025 in London, securing the location, and establishing an ideal program with keynote speakers, panel discussions, and networking sessions. </w:t>
      </w:r>
    </w:p>
    <w:p w14:paraId="6DEA8334" w14:textId="77777777" w:rsidR="002F2598" w:rsidRDefault="00085DDA" w:rsidP="002F2598">
      <w:pPr>
        <w:pStyle w:val="Heading2"/>
      </w:pPr>
      <w:bookmarkStart w:id="4" w:name="_Toc191489430"/>
      <w:r>
        <w:t>Planning Phase</w:t>
      </w:r>
      <w:bookmarkEnd w:id="4"/>
    </w:p>
    <w:p w14:paraId="58B84A90" w14:textId="77777777" w:rsidR="002F2598" w:rsidRDefault="00085DDA" w:rsidP="002F2598">
      <w:pPr>
        <w:spacing w:line="480" w:lineRule="auto"/>
        <w:ind w:firstLine="720"/>
      </w:pPr>
      <w:r>
        <w:t xml:space="preserve">Budgeting, sponsorship attraction, vendor selection, and risk assessment; two main contingency plans related to COVID-19 for a virtual/hybrid option were developed. </w:t>
      </w:r>
    </w:p>
    <w:p w14:paraId="31116D13" w14:textId="77777777" w:rsidR="002F2598" w:rsidRDefault="00085DDA" w:rsidP="002F2598">
      <w:pPr>
        <w:pStyle w:val="Heading2"/>
      </w:pPr>
      <w:bookmarkStart w:id="5" w:name="_Toc191489431"/>
      <w:r>
        <w:t>Implementation Phase</w:t>
      </w:r>
      <w:bookmarkEnd w:id="5"/>
    </w:p>
    <w:p w14:paraId="049247ED" w14:textId="77777777" w:rsidR="002F2598" w:rsidRDefault="00085DDA" w:rsidP="002F2598">
      <w:pPr>
        <w:spacing w:line="480" w:lineRule="auto"/>
        <w:ind w:firstLine="720"/>
      </w:pPr>
      <w:r>
        <w:t xml:space="preserve">Essentially, on-site management and coordination of logistics while troubleshooting was done in real time during the event itself. </w:t>
      </w:r>
    </w:p>
    <w:p w14:paraId="7ADDF04A" w14:textId="77777777" w:rsidR="002F2598" w:rsidRDefault="00085DDA" w:rsidP="002F2598">
      <w:pPr>
        <w:pStyle w:val="Heading2"/>
      </w:pPr>
      <w:bookmarkStart w:id="6" w:name="_Toc191489432"/>
      <w:r>
        <w:t>Evaluation Phase</w:t>
      </w:r>
      <w:bookmarkEnd w:id="6"/>
    </w:p>
    <w:p w14:paraId="2F5832A2" w14:textId="77777777" w:rsidR="002F2598" w:rsidRDefault="00085DDA" w:rsidP="002F2598">
      <w:pPr>
        <w:spacing w:line="480" w:lineRule="auto"/>
        <w:ind w:firstLine="720"/>
      </w:pPr>
      <w:r>
        <w:t xml:space="preserve">This phase incorporates the post-event feedback mechanism; surveys from participants, and impact evaluation to measure success and future improvement. </w:t>
      </w:r>
    </w:p>
    <w:p w14:paraId="659B2C1E" w14:textId="77777777" w:rsidR="002F2598" w:rsidRPr="002F2598" w:rsidRDefault="00085DDA" w:rsidP="002F2598">
      <w:pPr>
        <w:spacing w:line="480" w:lineRule="auto"/>
        <w:ind w:firstLine="720"/>
      </w:pPr>
      <w:r>
        <w:lastRenderedPageBreak/>
        <w:t xml:space="preserve">The application of this model </w:t>
      </w:r>
      <w:r>
        <w:t>guarantees that event delivery will be carried out in a structured and strategic manner, consistent with industry best practices while enhancing stakeholder engagement.</w:t>
      </w:r>
    </w:p>
    <w:p w14:paraId="0CF86EBE" w14:textId="77777777" w:rsidR="00BF6252" w:rsidRDefault="00085DDA" w:rsidP="00BF6252">
      <w:pPr>
        <w:pStyle w:val="Heading1"/>
      </w:pPr>
      <w:bookmarkStart w:id="7" w:name="_Toc191489433"/>
      <w:r>
        <w:t>The Event Concept</w:t>
      </w:r>
      <w:bookmarkEnd w:id="7"/>
      <w:r>
        <w:t xml:space="preserve"> </w:t>
      </w:r>
    </w:p>
    <w:p w14:paraId="31BD1B75" w14:textId="77777777" w:rsidR="00F20411" w:rsidRDefault="00085DDA" w:rsidP="00F20411">
      <w:pPr>
        <w:spacing w:line="480" w:lineRule="auto"/>
      </w:pPr>
      <w:r>
        <w:tab/>
        <w:t xml:space="preserve">The Inclusion Summit 2025 aims to offer an immersive and </w:t>
      </w:r>
      <w:r>
        <w:t>impactful experience to all attendees, based on functional tangible steps to Equality, Diversity and Inclusion (EDI) in Hospitality. The event schedule provides a good mix of expert insights, interactive sessions and networking opportunities.</w:t>
      </w:r>
    </w:p>
    <w:p w14:paraId="3ED32654" w14:textId="77777777" w:rsidR="00F20411" w:rsidRDefault="00085DDA" w:rsidP="00F20411">
      <w:pPr>
        <w:pStyle w:val="Heading2"/>
      </w:pPr>
      <w:bookmarkStart w:id="8" w:name="_Toc191489434"/>
      <w:r>
        <w:t>Itinerary Overview</w:t>
      </w:r>
      <w:bookmarkEnd w:id="8"/>
    </w:p>
    <w:p w14:paraId="457241A7" w14:textId="77777777" w:rsidR="00F20411" w:rsidRDefault="00085DDA" w:rsidP="00F20411">
      <w:pPr>
        <w:pStyle w:val="ListParagraph"/>
        <w:numPr>
          <w:ilvl w:val="0"/>
          <w:numId w:val="11"/>
        </w:numPr>
        <w:spacing w:line="480" w:lineRule="auto"/>
      </w:pPr>
      <w:r>
        <w:t>Registration and Networking Session @ 08:30 – 09:30</w:t>
      </w:r>
    </w:p>
    <w:p w14:paraId="4B4D750A" w14:textId="77777777" w:rsidR="00F20411" w:rsidRDefault="00085DDA" w:rsidP="00F20411">
      <w:pPr>
        <w:spacing w:line="480" w:lineRule="auto"/>
      </w:pPr>
      <w:r>
        <w:t>It is an informal networking and they check in, and they receive event materials.</w:t>
      </w:r>
    </w:p>
    <w:p w14:paraId="758FE482" w14:textId="77777777" w:rsidR="00F20411" w:rsidRDefault="00085DDA" w:rsidP="00F20411">
      <w:pPr>
        <w:pStyle w:val="ListParagraph"/>
        <w:numPr>
          <w:ilvl w:val="0"/>
          <w:numId w:val="11"/>
        </w:numPr>
        <w:spacing w:line="480" w:lineRule="auto"/>
      </w:pPr>
      <w:r>
        <w:t>09:30 – 10:30 | Opening Keynote: The Business Case for EDI in Hospitality</w:t>
      </w:r>
    </w:p>
    <w:p w14:paraId="2C3E544D" w14:textId="77777777" w:rsidR="00F20411" w:rsidRDefault="00085DDA" w:rsidP="00F20411">
      <w:pPr>
        <w:spacing w:line="480" w:lineRule="auto"/>
      </w:pPr>
      <w:r>
        <w:t>Industry-leading presenter shares data-driven insights on building growth and financial success through the power of being inclusive.</w:t>
      </w:r>
    </w:p>
    <w:p w14:paraId="6E34D839" w14:textId="77777777" w:rsidR="00F20411" w:rsidRDefault="00085DDA" w:rsidP="00F20411">
      <w:pPr>
        <w:pStyle w:val="ListParagraph"/>
        <w:numPr>
          <w:ilvl w:val="0"/>
          <w:numId w:val="11"/>
        </w:numPr>
        <w:spacing w:line="480" w:lineRule="auto"/>
      </w:pPr>
      <w:r>
        <w:t>Breakout Panels &amp; Workshops – 10:45 – 12:00</w:t>
      </w:r>
    </w:p>
    <w:p w14:paraId="7C580321" w14:textId="77777777" w:rsidR="00F20411" w:rsidRDefault="00085DDA" w:rsidP="00F20411">
      <w:pPr>
        <w:spacing w:line="480" w:lineRule="auto"/>
      </w:pPr>
      <w:r>
        <w:t>Panel 1: Strategies for Inclusive Hiring &amp; Workplace Equity</w:t>
      </w:r>
    </w:p>
    <w:p w14:paraId="577D1614" w14:textId="77777777" w:rsidR="00F20411" w:rsidRDefault="00085DDA" w:rsidP="00F20411">
      <w:pPr>
        <w:spacing w:line="480" w:lineRule="auto"/>
      </w:pPr>
      <w:r>
        <w:t>Panel 2: Cultural Competency in Guest Services</w:t>
      </w:r>
    </w:p>
    <w:p w14:paraId="74C4D84D" w14:textId="77777777" w:rsidR="00F20411" w:rsidRDefault="00085DDA" w:rsidP="00F20411">
      <w:pPr>
        <w:spacing w:line="480" w:lineRule="auto"/>
      </w:pPr>
      <w:r>
        <w:t>This workshop, Building Inclusive Leadership in Hospitality, was conducted.</w:t>
      </w:r>
    </w:p>
    <w:p w14:paraId="3EAAF669" w14:textId="77777777" w:rsidR="00F20411" w:rsidRDefault="00085DDA" w:rsidP="00F20411">
      <w:pPr>
        <w:pStyle w:val="ListParagraph"/>
        <w:numPr>
          <w:ilvl w:val="0"/>
          <w:numId w:val="11"/>
        </w:numPr>
        <w:spacing w:line="480" w:lineRule="auto"/>
      </w:pPr>
      <w:r>
        <w:t>12:00 – 13:30 | Lunch &amp; Networking</w:t>
      </w:r>
    </w:p>
    <w:p w14:paraId="3FBBFE79" w14:textId="77777777" w:rsidR="00F20411" w:rsidRDefault="00085DDA" w:rsidP="00F20411">
      <w:pPr>
        <w:spacing w:line="480" w:lineRule="auto"/>
      </w:pPr>
      <w:r>
        <w:t>Attendees have the opportunity to discuss with peers and experts in the industry.</w:t>
      </w:r>
    </w:p>
    <w:p w14:paraId="2A1E4A1D" w14:textId="77777777" w:rsidR="00F20411" w:rsidRDefault="00085DDA" w:rsidP="00F20411">
      <w:pPr>
        <w:pStyle w:val="ListParagraph"/>
        <w:numPr>
          <w:ilvl w:val="0"/>
          <w:numId w:val="11"/>
        </w:numPr>
        <w:spacing w:line="480" w:lineRule="auto"/>
      </w:pPr>
      <w:r>
        <w:t>13:30 – 14:30 | Diversity &amp; Inclusion Case Studies</w:t>
      </w:r>
    </w:p>
    <w:p w14:paraId="670E126D" w14:textId="77777777" w:rsidR="00F20411" w:rsidRDefault="00085DDA" w:rsidP="00F20411">
      <w:pPr>
        <w:spacing w:line="480" w:lineRule="auto"/>
      </w:pPr>
      <w:r>
        <w:t>EDIs from Hilton, Marriott, and Accor are presented and the impacts are measurable.</w:t>
      </w:r>
    </w:p>
    <w:p w14:paraId="21E5BBE9" w14:textId="77777777" w:rsidR="00F20411" w:rsidRDefault="00085DDA" w:rsidP="00F20411">
      <w:pPr>
        <w:pStyle w:val="ListParagraph"/>
        <w:numPr>
          <w:ilvl w:val="0"/>
          <w:numId w:val="11"/>
        </w:numPr>
        <w:spacing w:line="480" w:lineRule="auto"/>
      </w:pPr>
      <w:r>
        <w:t>14:45 – 15:30 | Interactive Q&amp;A Sessions</w:t>
      </w:r>
    </w:p>
    <w:p w14:paraId="0566AB18" w14:textId="77777777" w:rsidR="00F20411" w:rsidRDefault="00085DDA" w:rsidP="00F20411">
      <w:pPr>
        <w:spacing w:line="480" w:lineRule="auto"/>
      </w:pPr>
      <w:r>
        <w:lastRenderedPageBreak/>
        <w:t>The attendance is composed of top industry leaders and HR professionals who address attendee’s concerns and provide expert advice.</w:t>
      </w:r>
    </w:p>
    <w:p w14:paraId="4EBE7C34" w14:textId="77777777" w:rsidR="00F20411" w:rsidRDefault="00085DDA" w:rsidP="00F20411">
      <w:pPr>
        <w:pStyle w:val="ListParagraph"/>
        <w:numPr>
          <w:ilvl w:val="0"/>
          <w:numId w:val="11"/>
        </w:numPr>
        <w:spacing w:line="480" w:lineRule="auto"/>
      </w:pPr>
      <w:r>
        <w:t>15:45 – 16:30 | Closing Ceremony &amp; Future Commitments</w:t>
      </w:r>
    </w:p>
    <w:p w14:paraId="7CAFB17A" w14:textId="77777777" w:rsidR="00F20411" w:rsidRDefault="00085DDA" w:rsidP="00F20411">
      <w:pPr>
        <w:spacing w:line="480" w:lineRule="auto"/>
      </w:pPr>
      <w:r>
        <w:t>Summary of key takeaways, announcement of post-event resources, and commitments from industry leaders.</w:t>
      </w:r>
    </w:p>
    <w:p w14:paraId="7B38864F" w14:textId="77777777" w:rsidR="00F20411" w:rsidRDefault="00085DDA" w:rsidP="00F20411">
      <w:pPr>
        <w:pStyle w:val="Heading2"/>
      </w:pPr>
      <w:bookmarkStart w:id="9" w:name="_Toc191489435"/>
      <w:r>
        <w:t>Delegate Experience</w:t>
      </w:r>
      <w:bookmarkEnd w:id="9"/>
    </w:p>
    <w:p w14:paraId="4285819B" w14:textId="77777777" w:rsidR="00F20411" w:rsidRPr="00F20411" w:rsidRDefault="00085DDA" w:rsidP="00F20411">
      <w:pPr>
        <w:spacing w:line="480" w:lineRule="auto"/>
        <w:ind w:firstLine="720"/>
      </w:pPr>
      <w:r>
        <w:t>Among other things, attendees will hear from industry leaders of Marriott and Hilton, take part in hands-on workshops, and discuss EDI challenges and solutions. At the end of these two days, they will walk away with a clear action plan for incorporating inclusivity initiatives at their workplaces, a broader professional network, and a greater appreciation for how diversity manages to drive innovation.</w:t>
      </w:r>
    </w:p>
    <w:p w14:paraId="16C9E95C" w14:textId="77777777" w:rsidR="00BF6252" w:rsidRDefault="00085DDA" w:rsidP="00BF6252">
      <w:pPr>
        <w:pStyle w:val="Heading1"/>
      </w:pPr>
      <w:bookmarkStart w:id="10" w:name="_Toc191489436"/>
      <w:r>
        <w:t>Aim and Objectives</w:t>
      </w:r>
      <w:bookmarkEnd w:id="10"/>
      <w:r>
        <w:t xml:space="preserve"> </w:t>
      </w:r>
    </w:p>
    <w:p w14:paraId="5B0A1DED" w14:textId="77777777" w:rsidR="00F20411" w:rsidRDefault="00085DDA" w:rsidP="00F20411">
      <w:pPr>
        <w:pStyle w:val="Heading2"/>
      </w:pPr>
      <w:bookmarkStart w:id="11" w:name="_Toc191489437"/>
      <w:r>
        <w:t>Event Aim</w:t>
      </w:r>
      <w:bookmarkEnd w:id="11"/>
      <w:r>
        <w:t xml:space="preserve"> </w:t>
      </w:r>
    </w:p>
    <w:p w14:paraId="2E2AED15" w14:textId="77777777" w:rsidR="00F20411" w:rsidRDefault="00085DDA" w:rsidP="00F20411">
      <w:pPr>
        <w:spacing w:line="480" w:lineRule="auto"/>
      </w:pPr>
      <w:r>
        <w:tab/>
        <w:t>Inclusion Summit 2025's main objective is to help the hospitality industry gather experience, strategic planning and networking in the areas of creating inclusive workplaces.</w:t>
      </w:r>
    </w:p>
    <w:p w14:paraId="3FD60C41" w14:textId="77777777" w:rsidR="00D65179" w:rsidRDefault="00085DDA" w:rsidP="00D65179">
      <w:pPr>
        <w:pStyle w:val="Heading2"/>
      </w:pPr>
      <w:bookmarkStart w:id="12" w:name="_Toc191489438"/>
      <w:r>
        <w:t>SMART Objectives</w:t>
      </w:r>
      <w:bookmarkEnd w:id="12"/>
    </w:p>
    <w:p w14:paraId="11A0FA59" w14:textId="77777777" w:rsidR="00D65179" w:rsidRPr="00D65179" w:rsidRDefault="00085DDA" w:rsidP="00D65179">
      <w:pPr>
        <w:spacing w:line="480" w:lineRule="auto"/>
      </w:pPr>
      <w:r>
        <w:tab/>
        <w:t xml:space="preserve">The SMART objectives are as follows: </w:t>
      </w:r>
    </w:p>
    <w:p w14:paraId="67B0EEEA" w14:textId="77777777" w:rsidR="00D65179" w:rsidRDefault="00085DDA" w:rsidP="00D65179">
      <w:pPr>
        <w:pStyle w:val="ListParagraph"/>
        <w:numPr>
          <w:ilvl w:val="0"/>
          <w:numId w:val="11"/>
        </w:numPr>
        <w:spacing w:line="480" w:lineRule="auto"/>
      </w:pPr>
      <w:r>
        <w:t xml:space="preserve">The focus and importance of EDI would be increased by 25% industry-wide over six months via keynote addresses, workshops, and published resources after the event. </w:t>
      </w:r>
    </w:p>
    <w:p w14:paraId="09CA64E6" w14:textId="77777777" w:rsidR="00D65179" w:rsidRDefault="00085DDA" w:rsidP="00D65179">
      <w:pPr>
        <w:pStyle w:val="ListParagraph"/>
        <w:numPr>
          <w:ilvl w:val="0"/>
          <w:numId w:val="11"/>
        </w:numPr>
        <w:spacing w:line="480" w:lineRule="auto"/>
      </w:pPr>
      <w:r>
        <w:t>Facilitated networking opportunities would be provided for at least 200 industry-wide professionals through structured networking sessions and discussion forums.</w:t>
      </w:r>
    </w:p>
    <w:p w14:paraId="348D6F85" w14:textId="77777777" w:rsidR="00D65179" w:rsidRDefault="00085DDA" w:rsidP="00D65179">
      <w:pPr>
        <w:pStyle w:val="ListParagraph"/>
        <w:numPr>
          <w:ilvl w:val="0"/>
          <w:numId w:val="11"/>
        </w:numPr>
        <w:spacing w:line="480" w:lineRule="auto"/>
      </w:pPr>
      <w:r>
        <w:lastRenderedPageBreak/>
        <w:t xml:space="preserve">80% of attendees will leave with a concrete action plan for implementing diversity and inclusion strategies for their organizations. </w:t>
      </w:r>
    </w:p>
    <w:p w14:paraId="30FC225A" w14:textId="77777777" w:rsidR="00D65179" w:rsidRPr="00D65179" w:rsidRDefault="00085DDA" w:rsidP="00D65179">
      <w:pPr>
        <w:spacing w:line="480" w:lineRule="auto"/>
        <w:ind w:firstLine="720"/>
      </w:pPr>
      <w:r>
        <w:t>By achieving the above objectives, the event will help boost visible improvements in workplace inclusivity and create a well-founded sustainable framework for EDI best practices for the hospitality industry moving forward.</w:t>
      </w:r>
    </w:p>
    <w:p w14:paraId="53BE92C9" w14:textId="77777777" w:rsidR="00BF6252" w:rsidRDefault="00085DDA" w:rsidP="00BF6252">
      <w:pPr>
        <w:pStyle w:val="Heading1"/>
      </w:pPr>
      <w:bookmarkStart w:id="13" w:name="_Toc191489439"/>
      <w:r>
        <w:t>Event Management</w:t>
      </w:r>
      <w:bookmarkEnd w:id="13"/>
      <w:r>
        <w:t xml:space="preserve"> </w:t>
      </w:r>
    </w:p>
    <w:p w14:paraId="51121CC8" w14:textId="77777777" w:rsidR="00931902" w:rsidRDefault="00085DDA" w:rsidP="00931902">
      <w:pPr>
        <w:spacing w:line="480" w:lineRule="auto"/>
      </w:pPr>
      <w:r>
        <w:tab/>
        <w:t xml:space="preserve">Meticulous operational planning is necessary to execute the Inclusion Summit 2025 successfully and aligned with its aim of hosting services within the hospitality business that aim at promoting Equality, Diversity and Inclusion (EDI). Important factors in the choice of the venue included the centre to which ICC London provides convenient transport links, and its capacity to seat 500 attendees </w:t>
      </w:r>
      <w:r>
        <w:fldChar w:fldCharType="begin"/>
      </w:r>
      <w:r w:rsidR="0097626F">
        <w:instrText xml:space="preserve"> ADDIN ZOTERO_ITEM CSL_CITATION {"citationID":"RebPFuyj","properties":{"formattedCitation":"(Niu and Silva, 2021)","plainCitation":"(Niu and Silva, 2021)","noteIndex":0},"citationItems":[{"id":13,"uris":["http://zotero.org/users/local/LBvdT8Sh/items/DMJ82VHR","http://zotero.org/users/10384683/items/DMJ82VHR"],"itemData":{"id":13,"type":"article-journal","abstract":"Delineating urban functional use plays a key role in understanding urban dynamics, evaluating planning strategies and supporting policymaking. In recent years, Points of Interest (POI) data, with precise geolocation and detailed attributes, have become the primary data source for exploring urban functional use from a bottom-up perspective, using local, highly disaggregated, big datasets. Previous studies using POI data have given insufficient consideration to the relationship among POI classes in the spatial context, and have failed to provide a straightforward means by which to classify urban functional areas. This study proposes an approach for delineating urban functional use at the scale of the Lower Layer Super Output Area (LSOA) in Greater London by integrating the Doc2Vec model, a neural network embedding method commonly used in natural language processing for vectoring words and documents from their context. In this study, the neural network vectorises both POI classes (‘Word’) and urban areas (‘Document’) based on their functional context by learning features from the spatial distribution of POIs in the city. Specifically, we first construct POI sequences based on the distribution of POI classes, and add their LSOA IDs as ‘document’ tags. By utilising these constructed POI–LSOA sequences, the Doc2Vec model trains the vectors of 574 POI classes (word vectors) and 4836 LSOAs (document vectors). The vectors of POI classes are then used in calculating the functional similarity scores based on their cosine distance, with the vectors of LSOAs grouped into clusters (i.e., functional areas) via the k-means clustering algorithm. We also identify latent functions in each cluster of LSOAs by performing topic modelling and enrichment factor. Compared with TF–IDF, LDA and Word2Vec models, the Doc2Vec model obtains the highest accuracy when classifying functional areas. This study proposes a straightforward approach in which the model directly trains vectors for urban areas, subsequently using them to classify urban functional areas. By employing the enhanced neural network model with low-cost and ubiquitous POI datasets, this study provides a potential tool with which to monitor urban dynamics in a timely and adaptive manner, thereby providing enhanced, data-driven support to urban planning, development and management.","container-title":"Computers, Environment and Urban Systems","DOI":"10.1016/j.compenvurbsys.2021.101651","ISSN":"0198-9715","journalAbbreviation":"Computers, Environment and Urban Systems","page":"101651","source":"ScienceDirect","title":"Delineating urban functional use from points of interest data with neural network embedding: A case study in Greater London","title-short":"Delineating urban functional use from points of interest data with neural network embedding","volume":"88","author":[{"family":"Niu","given":"Haifeng"},{"family":"Silva","given":"Elisabete A."}],"issued":{"date-parts":[["2021",7,1]]}}}],"schema":"https://github.com/citation-style-language/schema/raw/master/csl-citation.json"} </w:instrText>
      </w:r>
      <w:r>
        <w:fldChar w:fldCharType="separate"/>
      </w:r>
      <w:r w:rsidRPr="00931902">
        <w:t>(Niu and Silva, 2021)</w:t>
      </w:r>
      <w:r>
        <w:fldChar w:fldCharType="end"/>
      </w:r>
      <w:r>
        <w:t xml:space="preserve">. Projectors, microphones, lighting, and the appointment of proper parking facilities are all considered to constitute venue setup: such which will make it possible to enable accessible features for all the participants </w:t>
      </w:r>
      <w:r>
        <w:fldChar w:fldCharType="begin"/>
      </w:r>
      <w:r w:rsidR="0097626F">
        <w:instrText xml:space="preserve"> ADDIN ZOTERO_ITEM CSL_CITATION {"citationID":"a47ishdK","properties":{"formattedCitation":"(Al-Kodmany, 2024)","plainCitation":"(Al-Kodmany, 2024)","noteIndex":0},"citationItems":[{"id":9,"uris":["http://zotero.org/users/local/LBvdT8Sh/items/HYIUB7TE","http://zotero.org/users/10384683/items/HYIUB7TE"],"itemData":{"id":9,"type":"book","abstract":"The transformative power of urban design in shaping our experiences within high-rise cities takes center stage in Humanizing the High-Rise City: Podiums, Plazas, Parks, Pedestrian Networks, and Public Art. This captivating exploration delves into the art of turning towering skyscraper cities into vibrant havens that foster human connection, celebrate culture, and build communities. Unveiling the secrets behind the creation of urban spaces, from dynamic plazas that encourage social interaction to tranquil parks that infuse life into steel and glass, the book unfolds a narrative that resonates with the innate rhythms of humanity. Examining 20 major high-rise cities worldwide (including Chicago, New York City, Dubai, Shanghai, Hong Kong, and Singapore, among others), synthesizing extensive literature, and enriched with over 200 photographs, this book showcases projects seamlessly weaving nature, art, and connectivity into the urban fabric. These endeavors craft environments that enhance well-being and instill a profound sense of belonging amid the challenges of urban density. As the global landscape increasingly tilts toward vertical living, this book serves as a guiding light, illuminating the path to a heightened and enriched experience of high-rise urban living. This book will be useful to practitioners and students of architecture, urban planning, and urban design interested in improving high-rise cities.","ISBN":"978-1-04-005244-0","language":"en","note":"Google-Books-ID: 1uwIEQAAQBAJ","number-of-pages":"407","publisher":"Taylor &amp; Francis","source":"Google Books","title":"Humanizing the High-Rise City: Podiums, Plazas, Parks, Pedestrian Networks, and Public Art","title-short":"Humanizing the High-Rise City","author":[{"family":"Al-Kodmany","given":"Kheir"}],"issued":{"date-parts":[["2024",7,23]]}}}],"schema":"https://github.com/citation-style-language/schema/raw/master/csl-citation.json"} </w:instrText>
      </w:r>
      <w:r>
        <w:fldChar w:fldCharType="separate"/>
      </w:r>
      <w:r w:rsidRPr="00931902">
        <w:t>(Al-Kodmany, 2024)</w:t>
      </w:r>
      <w:r>
        <w:fldChar w:fldCharType="end"/>
      </w:r>
      <w:r>
        <w:t xml:space="preserve">. Scheduling, catering, risk assessment and Contingency plans for unexpected cases are the basic contents </w:t>
      </w:r>
      <w:r>
        <w:fldChar w:fldCharType="begin"/>
      </w:r>
      <w:r w:rsidR="0097626F">
        <w:instrText xml:space="preserve"> ADDIN ZOTERO_ITEM CSL_CITATION {"citationID":"uCILNuN7","properties":{"formattedCitation":"(Zaghmout {\\i{}et al.}, 2024)","plainCitation":"(Zaghmout et al., 2024)","noteIndex":0},"citationItems":[{"id":11,"uris":["http://zotero.org/users/local/LBvdT8Sh/items/TQWPIXYH","http://zotero.org/users/10384683/items/TQWPIXYH"],"itemData":{"id":11,"type":"article-journal","abstract":"This study employs a qualitative research design to explore the role of ethical leadership in fostering cultural sensitivity and inclusivity within the hospitality industry in Dubai, a global tourism hub known for its diverse workforce and international clientele. Through semi-structured interviews with 30 industry leaders, this research examines key ethical leadership practices and the challenges of balancing local cultural norms with global expectations. The analysis focuses on how ethical leadership influences employee satisfaction and guest experiences, and the findings underscore the importance of continuous training, clear ethical guidelines, and stakeholder engagement. The study offers practical recommendations for strengthening ethical leadership, contributing to the long-term success and sustainability of hospitality organizations in Dubai’s multicultural environment.","container-title":"Open Journal of Leadership","DOI":"10.4236/ojl.2024.133022","ISSN":"2167-7743","issue":"3","language":"en","license":"cc_by_4","note":"number-of-pages: 27\nnumber: 3\npublisher: Scientific Research","page":"385-411","source":"ray.yorksj.ac.uk","title":"Ethical Leadership in Dubai Hospitality Industry: Navigating Cultural Sensitivity and Inclusivity in a Globalized Market","title-short":"Ethical Leadership in Dubai Hospitality Industry","volume":"13","author":[{"family":"Zaghmout","given":"Bilal"},{"family":"Achi","given":"Francis"},{"family":"Padmini Ema","given":"Uma"},{"family":"Adeshipo","given":"Adebowale"}],"issued":{"date-parts":[["2024",9,13]]}}}],"schema":"https://github.com/citation-style-language/schema/raw/master/csl-citation.json"} </w:instrText>
      </w:r>
      <w:r>
        <w:fldChar w:fldCharType="separate"/>
      </w:r>
      <w:r w:rsidRPr="00931902">
        <w:t xml:space="preserve">(Zaghmout </w:t>
      </w:r>
      <w:r w:rsidRPr="00931902">
        <w:rPr>
          <w:i/>
          <w:iCs/>
        </w:rPr>
        <w:t>et al.</w:t>
      </w:r>
      <w:r w:rsidRPr="00931902">
        <w:t>, 2024)</w:t>
      </w:r>
      <w:r>
        <w:fldChar w:fldCharType="end"/>
      </w:r>
      <w:r>
        <w:t xml:space="preserve">. Breakfast, lunch, and refreshments will be catered, and are tailored to dietary needs, the event is meant to be inclusive. Those roles include event planners, </w:t>
      </w:r>
      <w:r>
        <w:t>technical staff, volunteers, caterers for various needs of the event, as well as security personnel. Coordinating all activities from the registration to the closing ceremony will be the responsibility of the event's workforce. The importance of attracting a diverse audience is also given by marketing efforts. The summit will use platforms such as LinkedIn, Instagram and Twitter to run targeted campaigns to address the summit's first target audience of hospitality executives, HR managers, and event organize</w:t>
      </w:r>
      <w:r>
        <w:t xml:space="preserve">rs and the second </w:t>
      </w:r>
      <w:r>
        <w:lastRenderedPageBreak/>
        <w:t>one of hospitality students, educators, policymakers, NGOs and more</w:t>
      </w:r>
      <w:r w:rsidR="006A7507">
        <w:t xml:space="preserve"> </w:t>
      </w:r>
      <w:r w:rsidR="006A7507">
        <w:fldChar w:fldCharType="begin"/>
      </w:r>
      <w:r w:rsidR="0097626F">
        <w:instrText xml:space="preserve"> ADDIN ZOTERO_ITEM CSL_CITATION {"citationID":"s0IKvv6i","properties":{"formattedCitation":"(Domenico {\\i{}et al.}, 2021)","plainCitation":"(Domenico et al., 2021)","noteIndex":0},"citationItems":[{"id":16,"uris":["http://zotero.org/users/local/LBvdT8Sh/items/QCCMRREJ","http://zotero.org/users/10384683/items/QCCMRREJ"],"itemData":{"id":16,"type":"article-journal","abstract":"There is growing concern amongst policy makers, managers and academic researchers over the role that social media plays in spreading misinformation, widely described as ‘Fake News’. However, research to date has mainly focussed on the implications of fake news for political communication and debate. There has been less focus on the implications of social media misinformation upon marketing and consumers. Given the key role of social media as a communication platform, there is a gap in our understanding of fake news through a consumer lens. We address this gap by conducting an interdisciplinary systematic review of the relevant literature. Through critical evaluation and synthesis of the literature, we identify five themes that explain the fake news phenomenon: the dissemination process, spreading channel features, outcomes, fabricated legitimacy and attitudes. Finally, we propose a theoretical framework that highlights themes’ relationships and research propositions to guide future research in this area.","container-title":"Journal of Business Research","issue":"C","language":"en","note":"publisher: Elsevier","page":"329-341","source":"ideas.repec.org","title":"Fake news, social media and marketing: A systematic review","title-short":"Fake news, social media and marketing","volume":"124","author":[{"family":"Domenico","given":"Giandomenico Di"},{"family":"Sit","given":"Jason"},{"family":"Ishizaka","given":"Alessio"},{"family":"Nunan","given":"Daniel"}],"issued":{"date-parts":[["2021"]]}}}],"schema":"https://github.com/citation-style-language/schema/raw/master/csl-citation.json"} </w:instrText>
      </w:r>
      <w:r w:rsidR="006A7507">
        <w:fldChar w:fldCharType="separate"/>
      </w:r>
      <w:r w:rsidR="006A7507" w:rsidRPr="006A7507">
        <w:t xml:space="preserve">(Domenico </w:t>
      </w:r>
      <w:r w:rsidR="006A7507" w:rsidRPr="006A7507">
        <w:rPr>
          <w:i/>
          <w:iCs/>
        </w:rPr>
        <w:t>et al.</w:t>
      </w:r>
      <w:r w:rsidR="006A7507" w:rsidRPr="006A7507">
        <w:t>, 2021)</w:t>
      </w:r>
      <w:r w:rsidR="006A7507">
        <w:fldChar w:fldCharType="end"/>
      </w:r>
      <w:r>
        <w:t xml:space="preserve">. The summit will work on strengthening its outreach and credibility with the help of partnerships with organizations such as WTTC and UNWTO, and press releases will be published to industry publications. To support the growing demand for EDI initiatives, the summit goes a step further at bridging the gap in the hospitality sector by concentrating exclusively on the use of diversity as a central strategy. Being the only direct competitor with effective marketing strategies, the Inclusion Summit 2025 is set </w:t>
      </w:r>
      <w:r>
        <w:t>on building itself as the most reliable event in the market because it talks to the changing needs of a multicultural workforce and provides a path for innovation and organization.</w:t>
      </w:r>
      <w:r w:rsidR="00FE590C">
        <w:t xml:space="preserve"> The EMBOK matrix is as follows: </w:t>
      </w:r>
    </w:p>
    <w:p w14:paraId="3EE716D9" w14:textId="77777777" w:rsidR="00057C6F" w:rsidRPr="00057C6F" w:rsidRDefault="00085DDA" w:rsidP="00057C6F">
      <w:pPr>
        <w:pStyle w:val="Caption"/>
        <w:rPr>
          <w:i w:val="0"/>
          <w:iCs w:val="0"/>
          <w:color w:val="auto"/>
          <w:sz w:val="24"/>
          <w:szCs w:val="24"/>
        </w:rPr>
      </w:pPr>
      <w:r w:rsidRPr="00057C6F">
        <w:rPr>
          <w:b/>
          <w:bCs/>
          <w:i w:val="0"/>
          <w:iCs w:val="0"/>
          <w:color w:val="auto"/>
          <w:sz w:val="24"/>
          <w:szCs w:val="24"/>
        </w:rPr>
        <w:t xml:space="preserve">Table </w:t>
      </w:r>
      <w:r w:rsidRPr="00057C6F">
        <w:rPr>
          <w:b/>
          <w:bCs/>
          <w:i w:val="0"/>
          <w:iCs w:val="0"/>
          <w:color w:val="auto"/>
          <w:sz w:val="24"/>
          <w:szCs w:val="24"/>
        </w:rPr>
        <w:fldChar w:fldCharType="begin"/>
      </w:r>
      <w:r w:rsidRPr="00057C6F">
        <w:rPr>
          <w:b/>
          <w:bCs/>
          <w:i w:val="0"/>
          <w:iCs w:val="0"/>
          <w:color w:val="auto"/>
          <w:sz w:val="24"/>
          <w:szCs w:val="24"/>
        </w:rPr>
        <w:instrText xml:space="preserve"> SEQ Table \* ARABIC </w:instrText>
      </w:r>
      <w:r w:rsidRPr="00057C6F">
        <w:rPr>
          <w:b/>
          <w:bCs/>
          <w:i w:val="0"/>
          <w:iCs w:val="0"/>
          <w:color w:val="auto"/>
          <w:sz w:val="24"/>
          <w:szCs w:val="24"/>
        </w:rPr>
        <w:fldChar w:fldCharType="separate"/>
      </w:r>
      <w:r w:rsidRPr="00057C6F">
        <w:rPr>
          <w:b/>
          <w:bCs/>
          <w:i w:val="0"/>
          <w:iCs w:val="0"/>
          <w:noProof/>
          <w:color w:val="auto"/>
          <w:sz w:val="24"/>
          <w:szCs w:val="24"/>
        </w:rPr>
        <w:t>1</w:t>
      </w:r>
      <w:r w:rsidRPr="00057C6F">
        <w:rPr>
          <w:b/>
          <w:bCs/>
          <w:i w:val="0"/>
          <w:iCs w:val="0"/>
          <w:color w:val="auto"/>
          <w:sz w:val="24"/>
          <w:szCs w:val="24"/>
        </w:rPr>
        <w:fldChar w:fldCharType="end"/>
      </w:r>
      <w:r w:rsidRPr="00057C6F">
        <w:rPr>
          <w:i w:val="0"/>
          <w:iCs w:val="0"/>
          <w:color w:val="auto"/>
          <w:sz w:val="24"/>
          <w:szCs w:val="24"/>
        </w:rPr>
        <w:t xml:space="preserve"> EMBOK Matrix</w:t>
      </w:r>
    </w:p>
    <w:p w14:paraId="426455C7" w14:textId="77777777" w:rsidR="00FE590C" w:rsidRPr="00FE590C" w:rsidRDefault="00FE590C" w:rsidP="00FE590C">
      <w:pPr>
        <w:spacing w:line="480" w:lineRule="auto"/>
        <w:rPr>
          <w:vanish/>
        </w:rPr>
      </w:pPr>
    </w:p>
    <w:tbl>
      <w:tblPr>
        <w:tblStyle w:val="TableGrid"/>
        <w:tblW w:w="0" w:type="auto"/>
        <w:tblLook w:val="04A0" w:firstRow="1" w:lastRow="0" w:firstColumn="1" w:lastColumn="0" w:noHBand="0" w:noVBand="1"/>
      </w:tblPr>
      <w:tblGrid>
        <w:gridCol w:w="1790"/>
        <w:gridCol w:w="3073"/>
        <w:gridCol w:w="3738"/>
      </w:tblGrid>
      <w:tr w:rsidR="00424181" w14:paraId="5F3FC52C" w14:textId="77777777" w:rsidTr="00FE590C">
        <w:tc>
          <w:tcPr>
            <w:tcW w:w="0" w:type="auto"/>
          </w:tcPr>
          <w:p w14:paraId="1E3B900E" w14:textId="77777777" w:rsidR="00057C6F" w:rsidRPr="00FE590C" w:rsidRDefault="00085DDA" w:rsidP="00FE590C">
            <w:pPr>
              <w:spacing w:line="480" w:lineRule="auto"/>
              <w:rPr>
                <w:b/>
                <w:bCs/>
              </w:rPr>
            </w:pPr>
            <w:r>
              <w:rPr>
                <w:b/>
                <w:bCs/>
              </w:rPr>
              <w:t xml:space="preserve">Domain </w:t>
            </w:r>
          </w:p>
        </w:tc>
        <w:tc>
          <w:tcPr>
            <w:tcW w:w="0" w:type="auto"/>
          </w:tcPr>
          <w:p w14:paraId="6E123DFA" w14:textId="77777777" w:rsidR="00057C6F" w:rsidRPr="00057C6F" w:rsidRDefault="00085DDA" w:rsidP="00FE590C">
            <w:pPr>
              <w:spacing w:line="480" w:lineRule="auto"/>
              <w:rPr>
                <w:b/>
                <w:bCs/>
              </w:rPr>
            </w:pPr>
            <w:r w:rsidRPr="00057C6F">
              <w:rPr>
                <w:b/>
                <w:bCs/>
              </w:rPr>
              <w:t>Key Functional Areas</w:t>
            </w:r>
          </w:p>
        </w:tc>
        <w:tc>
          <w:tcPr>
            <w:tcW w:w="0" w:type="auto"/>
          </w:tcPr>
          <w:p w14:paraId="4CE0984E" w14:textId="77777777" w:rsidR="00057C6F" w:rsidRPr="00FE590C" w:rsidRDefault="00085DDA" w:rsidP="00FE590C">
            <w:pPr>
              <w:spacing w:line="480" w:lineRule="auto"/>
            </w:pPr>
            <w:r w:rsidRPr="00FE590C">
              <w:rPr>
                <w:b/>
                <w:bCs/>
              </w:rPr>
              <w:t>Application to Inclusion Summit 2025</w:t>
            </w:r>
          </w:p>
        </w:tc>
      </w:tr>
      <w:tr w:rsidR="00424181" w14:paraId="158C38ED" w14:textId="77777777" w:rsidTr="00FE590C">
        <w:tc>
          <w:tcPr>
            <w:tcW w:w="0" w:type="auto"/>
            <w:hideMark/>
          </w:tcPr>
          <w:p w14:paraId="2C7C04D9" w14:textId="77777777" w:rsidR="00FE590C" w:rsidRPr="00FE590C" w:rsidRDefault="00085DDA" w:rsidP="00FE590C">
            <w:pPr>
              <w:spacing w:line="480" w:lineRule="auto"/>
            </w:pPr>
            <w:r w:rsidRPr="00FE590C">
              <w:rPr>
                <w:b/>
                <w:bCs/>
              </w:rPr>
              <w:t>Administration</w:t>
            </w:r>
          </w:p>
        </w:tc>
        <w:tc>
          <w:tcPr>
            <w:tcW w:w="0" w:type="auto"/>
            <w:hideMark/>
          </w:tcPr>
          <w:p w14:paraId="2CD2C6D5" w14:textId="77777777" w:rsidR="00FE590C" w:rsidRPr="00FE590C" w:rsidRDefault="00085DDA" w:rsidP="00FE590C">
            <w:pPr>
              <w:spacing w:line="480" w:lineRule="auto"/>
            </w:pPr>
            <w:r w:rsidRPr="00FE590C">
              <w:t>Strategic Planning, Financial Management, HR Management</w:t>
            </w:r>
          </w:p>
        </w:tc>
        <w:tc>
          <w:tcPr>
            <w:tcW w:w="0" w:type="auto"/>
            <w:hideMark/>
          </w:tcPr>
          <w:p w14:paraId="2D22B697" w14:textId="77777777" w:rsidR="00FE590C" w:rsidRPr="00FE590C" w:rsidRDefault="00085DDA" w:rsidP="00FE590C">
            <w:pPr>
              <w:spacing w:line="480" w:lineRule="auto"/>
            </w:pPr>
            <w:r w:rsidRPr="00FE590C">
              <w:t xml:space="preserve">- Developed a budget of £45,000 with contingency planning. </w:t>
            </w:r>
          </w:p>
          <w:p w14:paraId="27C39733" w14:textId="77777777" w:rsidR="00FE590C" w:rsidRPr="00FE590C" w:rsidRDefault="00085DDA" w:rsidP="00FE590C">
            <w:pPr>
              <w:spacing w:line="480" w:lineRule="auto"/>
            </w:pPr>
            <w:r w:rsidRPr="00FE590C">
              <w:t>- Staffing includes event planners, volunteers, and security teams.</w:t>
            </w:r>
          </w:p>
        </w:tc>
      </w:tr>
      <w:tr w:rsidR="00424181" w14:paraId="08D88E8B" w14:textId="77777777" w:rsidTr="00FE590C">
        <w:tc>
          <w:tcPr>
            <w:tcW w:w="0" w:type="auto"/>
          </w:tcPr>
          <w:p w14:paraId="3F7094D2" w14:textId="77777777" w:rsidR="00FE590C" w:rsidRPr="00FE590C" w:rsidRDefault="00085DDA" w:rsidP="00FE590C">
            <w:pPr>
              <w:spacing w:line="480" w:lineRule="auto"/>
              <w:rPr>
                <w:b/>
                <w:bCs/>
              </w:rPr>
            </w:pPr>
            <w:r>
              <w:rPr>
                <w:b/>
                <w:bCs/>
              </w:rPr>
              <w:t xml:space="preserve">Design </w:t>
            </w:r>
          </w:p>
        </w:tc>
        <w:tc>
          <w:tcPr>
            <w:tcW w:w="0" w:type="auto"/>
          </w:tcPr>
          <w:p w14:paraId="5D0A0305" w14:textId="77777777" w:rsidR="00FE590C" w:rsidRPr="00FE590C" w:rsidRDefault="00085DDA" w:rsidP="00FE590C">
            <w:pPr>
              <w:spacing w:line="480" w:lineRule="auto"/>
            </w:pPr>
            <w:r w:rsidRPr="00FE590C">
              <w:t>Theme Development, Program Design, Catering, Environment</w:t>
            </w:r>
          </w:p>
        </w:tc>
        <w:tc>
          <w:tcPr>
            <w:tcW w:w="0" w:type="auto"/>
          </w:tcPr>
          <w:p w14:paraId="6422C2A3" w14:textId="77777777" w:rsidR="00FE590C" w:rsidRPr="00FE590C" w:rsidRDefault="00085DDA" w:rsidP="00FE590C">
            <w:pPr>
              <w:spacing w:line="480" w:lineRule="auto"/>
            </w:pPr>
            <w:r w:rsidRPr="00FE590C">
              <w:t xml:space="preserve">- Curated the "Inclusion Summit" brand with a strong EDI theme. </w:t>
            </w:r>
          </w:p>
          <w:p w14:paraId="2491CFAB" w14:textId="77777777" w:rsidR="00FE590C" w:rsidRPr="00FE590C" w:rsidRDefault="00085DDA" w:rsidP="00FE590C">
            <w:pPr>
              <w:spacing w:line="480" w:lineRule="auto"/>
            </w:pPr>
            <w:r w:rsidRPr="00FE590C">
              <w:t>- Designed a balanced itinerary with keynotes, panels, and networking sessions.</w:t>
            </w:r>
          </w:p>
        </w:tc>
      </w:tr>
      <w:tr w:rsidR="00424181" w14:paraId="4E450A9F" w14:textId="77777777" w:rsidTr="00FE590C">
        <w:tc>
          <w:tcPr>
            <w:tcW w:w="0" w:type="auto"/>
          </w:tcPr>
          <w:p w14:paraId="76E11F8B" w14:textId="77777777" w:rsidR="00057C6F" w:rsidRDefault="00085DDA" w:rsidP="00FE590C">
            <w:pPr>
              <w:spacing w:line="480" w:lineRule="auto"/>
              <w:rPr>
                <w:b/>
                <w:bCs/>
              </w:rPr>
            </w:pPr>
            <w:r>
              <w:rPr>
                <w:b/>
                <w:bCs/>
              </w:rPr>
              <w:lastRenderedPageBreak/>
              <w:t xml:space="preserve">Marketing </w:t>
            </w:r>
          </w:p>
        </w:tc>
        <w:tc>
          <w:tcPr>
            <w:tcW w:w="0" w:type="auto"/>
          </w:tcPr>
          <w:p w14:paraId="3584086A" w14:textId="77777777" w:rsidR="00057C6F" w:rsidRPr="00FE590C" w:rsidRDefault="00085DDA" w:rsidP="00FE590C">
            <w:pPr>
              <w:spacing w:line="480" w:lineRule="auto"/>
            </w:pPr>
            <w:r w:rsidRPr="00FE590C">
              <w:t>Promotion, Sponsorship, Public Relations, Sales</w:t>
            </w:r>
          </w:p>
        </w:tc>
        <w:tc>
          <w:tcPr>
            <w:tcW w:w="0" w:type="auto"/>
          </w:tcPr>
          <w:p w14:paraId="25439A29" w14:textId="77777777" w:rsidR="00057C6F" w:rsidRPr="00FE590C" w:rsidRDefault="00085DDA" w:rsidP="00FE590C">
            <w:pPr>
              <w:spacing w:line="480" w:lineRule="auto"/>
            </w:pPr>
            <w:r w:rsidRPr="00FE590C">
              <w:t xml:space="preserve">- Targeted digital marketing via LinkedIn, Twitter, and Instagram. </w:t>
            </w:r>
          </w:p>
          <w:p w14:paraId="2D7DCD98" w14:textId="77777777" w:rsidR="00057C6F" w:rsidRPr="00FE590C" w:rsidRDefault="00085DDA" w:rsidP="00FE590C">
            <w:pPr>
              <w:spacing w:line="480" w:lineRule="auto"/>
            </w:pPr>
            <w:r w:rsidRPr="00FE590C">
              <w:t>- Secured £20,000 in sponsorship from industry partners like WTTC and UNWTO.</w:t>
            </w:r>
          </w:p>
        </w:tc>
      </w:tr>
      <w:tr w:rsidR="00424181" w14:paraId="5560422A" w14:textId="77777777" w:rsidTr="00262F94">
        <w:tc>
          <w:tcPr>
            <w:tcW w:w="0" w:type="auto"/>
          </w:tcPr>
          <w:p w14:paraId="49B55DC3" w14:textId="77777777" w:rsidR="00057C6F" w:rsidRDefault="00085DDA" w:rsidP="00057C6F">
            <w:pPr>
              <w:spacing w:line="480" w:lineRule="auto"/>
              <w:rPr>
                <w:b/>
                <w:bCs/>
              </w:rPr>
            </w:pPr>
            <w:r>
              <w:rPr>
                <w:b/>
                <w:bCs/>
              </w:rPr>
              <w:t xml:space="preserve">Operations </w:t>
            </w:r>
          </w:p>
        </w:tc>
        <w:tc>
          <w:tcPr>
            <w:tcW w:w="0" w:type="auto"/>
          </w:tcPr>
          <w:p w14:paraId="4DDAE02D" w14:textId="77777777" w:rsidR="00057C6F" w:rsidRPr="00085DDA" w:rsidRDefault="00085DDA" w:rsidP="00057C6F">
            <w:pPr>
              <w:spacing w:line="480" w:lineRule="auto"/>
              <w:rPr>
                <w:lang w:val="fr-FR"/>
              </w:rPr>
            </w:pPr>
            <w:r w:rsidRPr="00085DDA">
              <w:rPr>
                <w:lang w:val="fr-FR"/>
              </w:rPr>
              <w:t xml:space="preserve">Site Management, Participant Management, </w:t>
            </w:r>
            <w:proofErr w:type="spellStart"/>
            <w:r w:rsidRPr="00085DDA">
              <w:rPr>
                <w:lang w:val="fr-FR"/>
              </w:rPr>
              <w:t>Logistics</w:t>
            </w:r>
            <w:proofErr w:type="spellEnd"/>
          </w:p>
        </w:tc>
        <w:tc>
          <w:tcPr>
            <w:tcW w:w="0" w:type="auto"/>
            <w:vAlign w:val="center"/>
          </w:tcPr>
          <w:p w14:paraId="60D6EC1F" w14:textId="77777777" w:rsidR="00057C6F" w:rsidRPr="00FE590C" w:rsidRDefault="00085DDA" w:rsidP="00057C6F">
            <w:pPr>
              <w:spacing w:line="480" w:lineRule="auto"/>
            </w:pPr>
            <w:r w:rsidRPr="00FE590C">
              <w:t xml:space="preserve">- Chose ICC London for its capacity and accessibility. </w:t>
            </w:r>
          </w:p>
          <w:p w14:paraId="302D4FEF" w14:textId="77777777" w:rsidR="00057C6F" w:rsidRPr="00FE590C" w:rsidRDefault="00085DDA" w:rsidP="00057C6F">
            <w:pPr>
              <w:spacing w:line="480" w:lineRule="auto"/>
            </w:pPr>
            <w:r w:rsidRPr="00FE590C">
              <w:t>- Managed registration, vendor selection, and on-site coordination.</w:t>
            </w:r>
          </w:p>
        </w:tc>
      </w:tr>
      <w:tr w:rsidR="00424181" w14:paraId="354D98BA" w14:textId="77777777" w:rsidTr="00262F94">
        <w:tc>
          <w:tcPr>
            <w:tcW w:w="0" w:type="auto"/>
          </w:tcPr>
          <w:p w14:paraId="68D723E4" w14:textId="77777777" w:rsidR="00057C6F" w:rsidRDefault="00085DDA" w:rsidP="00057C6F">
            <w:pPr>
              <w:spacing w:line="480" w:lineRule="auto"/>
              <w:rPr>
                <w:b/>
                <w:bCs/>
              </w:rPr>
            </w:pPr>
            <w:r>
              <w:rPr>
                <w:b/>
                <w:bCs/>
              </w:rPr>
              <w:t xml:space="preserve">Risk </w:t>
            </w:r>
          </w:p>
        </w:tc>
        <w:tc>
          <w:tcPr>
            <w:tcW w:w="0" w:type="auto"/>
          </w:tcPr>
          <w:p w14:paraId="2088CB7B" w14:textId="77777777" w:rsidR="00057C6F" w:rsidRPr="00FE590C" w:rsidRDefault="00085DDA" w:rsidP="00057C6F">
            <w:pPr>
              <w:spacing w:line="480" w:lineRule="auto"/>
            </w:pPr>
            <w:r w:rsidRPr="00FE590C">
              <w:t xml:space="preserve">Compliance, Safety &amp; </w:t>
            </w:r>
            <w:r w:rsidRPr="00FE590C">
              <w:t>Security, Emergency Planning</w:t>
            </w:r>
          </w:p>
        </w:tc>
        <w:tc>
          <w:tcPr>
            <w:tcW w:w="0" w:type="auto"/>
            <w:vAlign w:val="center"/>
          </w:tcPr>
          <w:p w14:paraId="3AF2E581" w14:textId="77777777" w:rsidR="00057C6F" w:rsidRPr="00FE590C" w:rsidRDefault="00085DDA" w:rsidP="00057C6F">
            <w:pPr>
              <w:spacing w:line="480" w:lineRule="auto"/>
            </w:pPr>
            <w:r w:rsidRPr="00FE590C">
              <w:t xml:space="preserve">- Developed contingency plans for COVID-19 (hybrid/virtual options). </w:t>
            </w:r>
          </w:p>
          <w:p w14:paraId="135B6C12" w14:textId="77777777" w:rsidR="00057C6F" w:rsidRPr="00FE590C" w:rsidRDefault="00085DDA" w:rsidP="00057C6F">
            <w:pPr>
              <w:spacing w:line="480" w:lineRule="auto"/>
            </w:pPr>
            <w:r w:rsidRPr="00FE590C">
              <w:t>- Risk assessment for venue safety and crowd management.</w:t>
            </w:r>
          </w:p>
        </w:tc>
      </w:tr>
    </w:tbl>
    <w:p w14:paraId="7CE8D528" w14:textId="77777777" w:rsidR="00FE590C" w:rsidRPr="00FE590C" w:rsidRDefault="00FE590C" w:rsidP="00FE590C">
      <w:pPr>
        <w:spacing w:line="480" w:lineRule="auto"/>
        <w:rPr>
          <w:vanish/>
        </w:rPr>
      </w:pPr>
    </w:p>
    <w:p w14:paraId="0B466B93" w14:textId="77777777" w:rsidR="00FE590C" w:rsidRPr="00FE590C" w:rsidRDefault="00FE590C" w:rsidP="00FE590C">
      <w:pPr>
        <w:spacing w:line="480" w:lineRule="auto"/>
        <w:rPr>
          <w:vanish/>
        </w:rPr>
      </w:pPr>
    </w:p>
    <w:p w14:paraId="2799AC9D" w14:textId="77777777" w:rsidR="00FE590C" w:rsidRPr="00FE590C" w:rsidRDefault="00FE590C" w:rsidP="00FE590C">
      <w:pPr>
        <w:spacing w:line="480" w:lineRule="auto"/>
        <w:rPr>
          <w:vanish/>
        </w:rPr>
      </w:pPr>
    </w:p>
    <w:p w14:paraId="4D7FBE14" w14:textId="77777777" w:rsidR="00FE590C" w:rsidRPr="00FE590C" w:rsidRDefault="00FE590C" w:rsidP="00FE590C">
      <w:pPr>
        <w:spacing w:line="480" w:lineRule="auto"/>
        <w:rPr>
          <w:vanish/>
        </w:rPr>
      </w:pPr>
    </w:p>
    <w:p w14:paraId="38ABE433" w14:textId="77777777" w:rsidR="00FE590C" w:rsidRPr="00931902" w:rsidRDefault="00FE590C" w:rsidP="00931902">
      <w:pPr>
        <w:spacing w:line="480" w:lineRule="auto"/>
      </w:pPr>
    </w:p>
    <w:p w14:paraId="355E57B0" w14:textId="77777777" w:rsidR="00BF6252" w:rsidRDefault="00085DDA" w:rsidP="00BF6252">
      <w:pPr>
        <w:pStyle w:val="Heading1"/>
      </w:pPr>
      <w:bookmarkStart w:id="14" w:name="_Toc191489440"/>
      <w:r>
        <w:t>Event Budget</w:t>
      </w:r>
      <w:bookmarkEnd w:id="14"/>
      <w:r>
        <w:t xml:space="preserve"> </w:t>
      </w:r>
    </w:p>
    <w:p w14:paraId="7F56C8A2" w14:textId="77777777" w:rsidR="00D72E5E" w:rsidRDefault="00085DDA" w:rsidP="00D72E5E">
      <w:pPr>
        <w:spacing w:line="480" w:lineRule="auto"/>
      </w:pPr>
      <w:r>
        <w:tab/>
        <w:t>Inclusion Summit 2025's budget has been methodically crafted to facilitate the financial sufficiency and profitability of the event as well as an A+ level experience for all the attendees while balancing the decision for interest, which in this case is the return of the investment. Key expense categories shall be allotted proportionally to the total projected cost of £45,000 for the event. The large venue cost of £20,000, at the cost of the International Conference Centre located in London which provides s</w:t>
      </w:r>
      <w:r>
        <w:t xml:space="preserve">tate-of-the-art facilities and good accessibility, is the main expenditure. Breakfasts, lunches and refreshments at the event have been catered for £10,000 to cater for dietary preferences. </w:t>
      </w:r>
      <w:r>
        <w:lastRenderedPageBreak/>
        <w:t>To scale the campaign reach, marketing expenses are budgeted for £5000 for digital campaigns, press releases and collaborations with WTTC and UNWTO to name a few. However, the cost of staffing is £7,000 for event planners and technical staff, volunteers and security people who make the event's execution hassle-free. More</w:t>
      </w:r>
      <w:r>
        <w:t>over, miscellaneous costs of £3,000 cover contingency and other costs that are not foreseeable.</w:t>
      </w:r>
    </w:p>
    <w:p w14:paraId="3F5BFCEA" w14:textId="77777777" w:rsidR="00D72E5E" w:rsidRDefault="00085DDA" w:rsidP="00D72E5E">
      <w:pPr>
        <w:spacing w:line="480" w:lineRule="auto"/>
        <w:ind w:firstLine="720"/>
      </w:pPr>
      <w:r>
        <w:t xml:space="preserve">For the revenue side, </w:t>
      </w:r>
      <w:r w:rsidR="00295BA6">
        <w:t>there is</w:t>
      </w:r>
      <w:r>
        <w:t xml:space="preserve"> £95,000 total revenue, mainly tickets and sponsorship. It is expected to rake in £75,000 after ticket sales have opened, with 500 tickets priced at £150 each. In addition, the event will benefit from the support of partnerships with key industry sponsors worth an additional £20,000 bringing the event’s financial position to a robust level. Given that every cost has been accounted for the event is projected to make a net profit of £50,000, which means that the event is economically viable.</w:t>
      </w:r>
    </w:p>
    <w:p w14:paraId="470285D5" w14:textId="77777777" w:rsidR="006A7507" w:rsidRPr="006A7507" w:rsidRDefault="00085DDA" w:rsidP="00D72E5E">
      <w:pPr>
        <w:spacing w:line="480" w:lineRule="auto"/>
        <w:ind w:firstLine="720"/>
      </w:pPr>
      <w:r>
        <w:t>In addition to assuring financial sustainability and matching the strategic planning for the event, this robust budget plan assures the planner's financial success. With a focus on Costs vs. Expected revenue Inclusion Summit 2025 will be able to achieve its goals of Equality, Diversity and Inclusion in the Hospitality Industry while maintaining the price to a point where we can deliver a high-quality impactful experience to our attendees. It also means that the event’s long-term success is guaranteed by the</w:t>
      </w:r>
      <w:r>
        <w:t xml:space="preserve"> significant profit margin available for reinvestment in future initiatives.</w:t>
      </w:r>
    </w:p>
    <w:p w14:paraId="46D51AA3" w14:textId="77777777" w:rsidR="00BF6252" w:rsidRDefault="00085DDA" w:rsidP="00BF6252">
      <w:pPr>
        <w:pStyle w:val="Heading1"/>
      </w:pPr>
      <w:bookmarkStart w:id="15" w:name="_Toc191489441"/>
      <w:r w:rsidRPr="00BF6252">
        <w:t>Industry Trends, Issues, and Impacts</w:t>
      </w:r>
      <w:bookmarkEnd w:id="15"/>
    </w:p>
    <w:p w14:paraId="786BCC62" w14:textId="77777777" w:rsidR="004067F4" w:rsidRDefault="00085DDA" w:rsidP="003F769F">
      <w:pPr>
        <w:spacing w:line="480" w:lineRule="auto"/>
      </w:pPr>
      <w:r>
        <w:tab/>
        <w:t xml:space="preserve">Increasing awareness of Equality, Diversity, and Inclusion as a competitive over a compliance priority is </w:t>
      </w:r>
      <w:r>
        <w:t xml:space="preserve">mixing up the hospitality industry into a transformative shift. Part of the most noticeable trends is the increased demand that corporations establish </w:t>
      </w:r>
      <w:r>
        <w:lastRenderedPageBreak/>
        <w:t>inclusive workplaces since consumers and staff members also are increasingly interested in corporations with strong social responsibility commitment</w:t>
      </w:r>
      <w:r w:rsidR="004E554C">
        <w:t xml:space="preserve"> </w:t>
      </w:r>
      <w:r w:rsidR="0097626F">
        <w:fldChar w:fldCharType="begin"/>
      </w:r>
      <w:r w:rsidR="0097626F">
        <w:instrText xml:space="preserve"> ADDIN ZOTERO_ITEM CSL_CITATION {"citationID":"8n4amFW5","properties":{"formattedCitation":"(Pfajfar {\\i{}et al.}, 2022)","plainCitation":"(Pfajfar et al., 2022)","noteIndex":0},"citationItems":[{"id":13106,"uris":["http://zotero.org/users/10384683/items/LFS5Q53A"],"itemData":{"id":13106,"type":"article-journal","abstract":"Despite extensive corporate social responsibility (CSR) literature most of research has examined corporate performance as its only outcome. We aim to fill this gap by assessing companies' perceptions of their CSR activities’ benefits for society and specific stakeholders. We discuss societal trends such as diversity and inclusion embedded in employee-focused CSR conceptualization as a prerequisite for the perception of CSR’s societal impact. We bring together CSR and relationship marketing theories to test a conceptual model on a sample of 411 business-to-business (B2B) companies. The results confirm a positive relationship between employee-oriented CSR and the perceived usefulness of CSR actions for society, customers and employees (but not suppliers). In order to maximize relationship quality, CSR activities should be targeted at specific stakeholders (customers and employees) and not at society at large. Finally, differences are observed between SMEs and large B2B firms with opposite perceptions of antecedents and outcomes of relationship quality.","container-title":"Journal of Business Research","DOI":"10.1016/j.jbusres.2022.01.051","ISSN":"0148-2963","journalAbbreviation":"Journal of Business Research","page":"46-61","source":"ScienceDirect","title":"Value of corporate social responsibility for multiple stakeholders and social impact – Relationship marketing perspective","volume":"143","author":[{"family":"Pfajfar","given":"Gregor"},{"family":"Shoham","given":"Aviv"},{"family":"Małecka","given":"Agnieszka"},{"family":"Zalaznik","given":"Maja"}],"issued":{"date-parts":[["2022",4,1]]}}}],"schema":"https://github.com/citation-style-language/schema/raw/master/csl-citation.json"} </w:instrText>
      </w:r>
      <w:r w:rsidR="0097626F">
        <w:fldChar w:fldCharType="separate"/>
      </w:r>
      <w:r w:rsidR="0097626F" w:rsidRPr="0097626F">
        <w:t xml:space="preserve">(Pfajfar </w:t>
      </w:r>
      <w:r w:rsidR="0097626F" w:rsidRPr="0097626F">
        <w:rPr>
          <w:i/>
          <w:iCs/>
        </w:rPr>
        <w:t>et al.</w:t>
      </w:r>
      <w:r w:rsidR="0097626F" w:rsidRPr="0097626F">
        <w:t>, 2022)</w:t>
      </w:r>
      <w:r w:rsidR="0097626F">
        <w:fldChar w:fldCharType="end"/>
      </w:r>
      <w:r>
        <w:t xml:space="preserve">. The current workforce is so diverse that, with globalization and digital connectivity, businesses must create strategic EDI policies to attract and keep the most talented workers. Along with the </w:t>
      </w:r>
      <w:r>
        <w:t>rise of Gen Z and millennial workers concentrating on inclusive work cultures, there's a constant increase in demand for equity-led leadership in the hospitality arena</w:t>
      </w:r>
      <w:r w:rsidR="009E3C01">
        <w:t xml:space="preserve"> </w:t>
      </w:r>
      <w:r w:rsidR="009E3C01">
        <w:fldChar w:fldCharType="begin"/>
      </w:r>
      <w:r w:rsidR="009E3C01">
        <w:instrText xml:space="preserve"> ADDIN ZOTERO_ITEM CSL_CITATION {"citationID":"alSiaULZ","properties":{"formattedCitation":"(Sakdiyakorn, Golubovskaya and Solnet, 2021)","plainCitation":"(Sakdiyakorn, Golubovskaya and Solnet, 2021)","noteIndex":0},"citationItems":[{"id":13109,"uris":["http://zotero.org/users/10384683/items/7IMKM7TH"],"itemData":{"id":13109,"type":"article-journal","abstract":"This paper offers insights into Generation Z (Gen Z), using the collective consciousness as an underlying mechanism that shapes generationally distinct human values and behaviors. Written life narratives of 125 Gen Z, University students in Thailand, were used to identify links and commonalities between shared experiences, human values and work behaviors. A combination of major national and global events, personal events, social and technological vehicles played a key role in shaping Gen Z’s collective consciousness, leading to a number of salient human values, including universalism, benevolence, self-direction, achievement and security. The links between collective consciousness and values offer a pathway to a more accurate understanding about generational groups and their corresponding work behaviors. Implications for managers and policy are offered which can facilitate attraction, retention and engagement of Gen Z in the 2020s workplace. Impacts of COVID-19 are addressed and suggestions offered in relation to potential impacts on this generation in a work context.","container-title":"International Journal of Hospitality Management","DOI":"10.1016/j.ijhm.2020.102822","ISSN":"0278-4319","journalAbbreviation":"International Journal of Hospitality Management","page":"102822","source":"ScienceDirect","title":"Understanding Generation Z through collective consciousness: Impacts for hospitality work and employment","title-short":"Understanding Generation Z through collective consciousness","volume":"94","author":[{"family":"Sakdiyakorn","given":"Malinvisa"},{"family":"Golubovskaya","given":"Maria"},{"family":"Solnet","given":"David"}],"issued":{"date-parts":[["2021",4,1]]}}}],"schema":"https://github.com/citation-style-language/schema/raw/master/csl-citation.json"} </w:instrText>
      </w:r>
      <w:r w:rsidR="009E3C01">
        <w:fldChar w:fldCharType="separate"/>
      </w:r>
      <w:r w:rsidR="009E3C01" w:rsidRPr="009E3C01">
        <w:t>(Sakdiyakorn, Golubovskaya and Solnet, 2021)</w:t>
      </w:r>
      <w:r w:rsidR="009E3C01">
        <w:fldChar w:fldCharType="end"/>
      </w:r>
      <w:r>
        <w:t>.</w:t>
      </w:r>
    </w:p>
    <w:p w14:paraId="5A8CBE64" w14:textId="77777777" w:rsidR="00BA67FF" w:rsidRDefault="00085DDA" w:rsidP="00BA67FF">
      <w:pPr>
        <w:spacing w:line="480" w:lineRule="auto"/>
        <w:ind w:firstLine="720"/>
      </w:pPr>
      <w:r>
        <w:t>However, several challenges persist. Although EDI is well recognized as an important factor, several hospitality firms find it difficult to integrate institutional policies into long-established organizational routines. However, there are still critical issues of unconscious bias in hiring, wage disparities and underrepresentation of minority groups in leadership roles</w:t>
      </w:r>
      <w:r w:rsidR="003E073F">
        <w:t xml:space="preserve"> </w:t>
      </w:r>
      <w:r w:rsidR="003E073F">
        <w:fldChar w:fldCharType="begin"/>
      </w:r>
      <w:r w:rsidR="003E073F">
        <w:instrText xml:space="preserve"> ADDIN ZOTERO_ITEM CSL_CITATION {"citationID":"u5vKbUPt","properties":{"formattedCitation":"(Evans and Maley, 2021)","plainCitation":"(Evans and Maley, 2021)","noteIndex":0},"citationItems":[{"id":13111,"uris":["http://zotero.org/users/10384683/items/BXK6BDXZ"],"itemData":{"id":13111,"type":"article-journal","abstract":"This research examines the reasons that Australian corporations are not doing more to progress gender balance in senior leadership, given the wealth of evidence about the economic benefits. It draws on the findings of a qualitative study of the perceptions of 15 women in key senior positions, which highlight that despite Australian Workplace Gender Equality legislation, unconscious bias remains a significant obstacle to women reaching top leadership positions. The findings provide insight into the regimes that support the enduring gender order in contemporary Australian business and reinforce men’s continued dominance in its organisational hierarchies. Building on the successes of the Australian public sector, the researchers propose a National Strategic Action Plan for Gender Equality to address the current inequities in four key policy areas with the most compelling economic case: women in politics, women’s leadership in organisations, reducing the gender pay gap, and labour market participation.","container-title":"Asia Pacific Journal of Human Resources","DOI":"10.1111/1744-7941.12262","ISSN":"1744-7941","issue":"2","language":"en","license":"© 2020 Australian HR Institute","note":"_eprint: https://onlinelibrary.wiley.com/doi/pdf/10.1111/1744-7941.12262","page":"204-226","source":"Wiley Online Library","title":"Barriers to women in senior leadership: how unconscious bias is holding back Australia’s economy","title-short":"Barriers to women in senior leadership","volume":"59","author":[{"family":"Evans","given":"Kathryn J"},{"family":"Maley","given":"Jane F"}],"issued":{"date-parts":[["2021"]]}}}],"schema":"https://github.com/citation-style-language/schema/raw/master/csl-citation.json"} </w:instrText>
      </w:r>
      <w:r w:rsidR="003E073F">
        <w:fldChar w:fldCharType="separate"/>
      </w:r>
      <w:r w:rsidR="003E073F" w:rsidRPr="003E073F">
        <w:t>(Evans and Maley, 2021)</w:t>
      </w:r>
      <w:r w:rsidR="003E073F">
        <w:fldChar w:fldCharType="end"/>
      </w:r>
      <w:r>
        <w:t>. Additionally, after the COVID-19 pandemic has created high economic pressure, some companies have focused on reducing costs to the detriment of diversity initiatives, which can incur long-term reputational damage.</w:t>
      </w:r>
    </w:p>
    <w:p w14:paraId="6470E6A8" w14:textId="77777777" w:rsidR="00465DA8" w:rsidRDefault="00085DDA" w:rsidP="00465DA8">
      <w:pPr>
        <w:spacing w:line="480" w:lineRule="auto"/>
        <w:ind w:firstLine="720"/>
      </w:pPr>
      <w:r>
        <w:t xml:space="preserve">These trends have a huge impact. Companies that use inclusive hiring practices and culturally competent guest services see higher employee satisfaction, stronger customer loyalty, and better brand reputation. In an industry where differentiation is achieved through customer experience, such teams are known to be more innovative and adaptable as per studies. Also, legislative changes in various places – including the UK's gender pay gap reporting as well as the </w:t>
      </w:r>
      <w:r w:rsidR="00CE10C4">
        <w:t>anti-discrimination</w:t>
      </w:r>
      <w:r>
        <w:t xml:space="preserve"> laws – are driving companies to be accountable</w:t>
      </w:r>
      <w:r w:rsidR="001C65ED">
        <w:t xml:space="preserve"> </w:t>
      </w:r>
      <w:r w:rsidR="001C65ED">
        <w:fldChar w:fldCharType="begin"/>
      </w:r>
      <w:r w:rsidR="001C65ED">
        <w:instrText xml:space="preserve"> ADDIN ZOTERO_ITEM CSL_CITATION {"citationID":"1zSD48gU","properties":{"formattedCitation":"(Grabham, 2023)","plainCitation":"(Grabham, 2023)","noteIndex":0},"citationItems":[{"id":13113,"uris":["http://zotero.org/users/10384683/items/6VF8IHPQ"],"itemData":{"id":13113,"type":"article-journal","abstract":"‘The Future of Legal Gender’ project has assessed the potential implications for feminist legal scholarship and activism of decertifying sex/gender. Decertification refers to the state moving away from officially determining or registering sex/gender. This article explores the potential impact of such moves on equal pay law and gender pay gap reporting. Equal pay and gender pay gap reporting laws provide an important focus for the project because they aim to address structural dynamics associated with persistent pay inequality that women experience across occupations in the United Kingdom. These legal measures illuminate gendering as a large-scale social problem widely understood to operate structurally and systemically. What effect, then, could decertifying sex/gender have on the law and conceptual power of equal pay? Might decertification undermine the structure of equal pay law, with all hard-won gains it has brought for women? Or is it possible to imagine that decertification could accompany a more inclusive and effective legal architecture for equal pay?","container-title":"Feminist Legal Studies","DOI":"10.1007/s10691-022-09516-3","ISSN":"1572-8455","issue":"1","journalAbbreviation":"Fem Leg Stud","language":"en","page":"67-93","source":"Springer Link","title":"Decertifying Gender: The Challenge of Equal Pay","title-short":"Decertifying Gender","volume":"31","author":[{"family":"Grabham","given":"Emily"}],"issued":{"date-parts":[["2023",4,1]]}}}],"schema":"https://github.com/citation-style-language/schema/raw/master/csl-citation.json"} </w:instrText>
      </w:r>
      <w:r w:rsidR="001C65ED">
        <w:fldChar w:fldCharType="separate"/>
      </w:r>
      <w:r w:rsidR="001C65ED" w:rsidRPr="001C65ED">
        <w:t>(Grabham, 2023)</w:t>
      </w:r>
      <w:r w:rsidR="001C65ED">
        <w:fldChar w:fldCharType="end"/>
      </w:r>
      <w:r>
        <w:t>.</w:t>
      </w:r>
    </w:p>
    <w:p w14:paraId="5A4D9D30" w14:textId="77777777" w:rsidR="003F769F" w:rsidRPr="003F769F" w:rsidRDefault="00085DDA" w:rsidP="00465DA8">
      <w:pPr>
        <w:spacing w:line="480" w:lineRule="auto"/>
        <w:ind w:firstLine="720"/>
      </w:pPr>
      <w:r>
        <w:lastRenderedPageBreak/>
        <w:t xml:space="preserve">Equipped with actionable strategies for inclusion, the Inclusion Summit 2025 is poised to tackle these issues head-on. The event will help bridge knowledge gaps and showcase successful case studies to support long-term transformation so that diversity is a priority in the way the hospitality landscape </w:t>
      </w:r>
      <w:r w:rsidR="00465DA8">
        <w:t>evolves</w:t>
      </w:r>
      <w:r>
        <w:t>.</w:t>
      </w:r>
    </w:p>
    <w:p w14:paraId="6E941253" w14:textId="77777777" w:rsidR="00BF6252" w:rsidRDefault="00085DDA" w:rsidP="00BF6252">
      <w:pPr>
        <w:pStyle w:val="Heading1"/>
      </w:pPr>
      <w:bookmarkStart w:id="16" w:name="_Toc191489442"/>
      <w:r w:rsidRPr="00BF6252">
        <w:t>Situational and Cultural Considerations</w:t>
      </w:r>
      <w:bookmarkEnd w:id="16"/>
      <w:r w:rsidR="00D65179">
        <w:t xml:space="preserve"> </w:t>
      </w:r>
    </w:p>
    <w:p w14:paraId="418FFCD4" w14:textId="77777777" w:rsidR="003F7D1B" w:rsidRDefault="00085DDA" w:rsidP="00413A94">
      <w:pPr>
        <w:spacing w:line="480" w:lineRule="auto"/>
      </w:pPr>
      <w:r>
        <w:tab/>
        <w:t>The factors that play a key role in determining the success of the Inclusion Summit 2025 are considered situational and cultural considerations, which is compounded by the fact that the hospitality industry is a global one and diverse. London is a multicultural hub and claims to have a huge presence of international hospitality businesses making it an ideal location for the host city as it will make the reach of the audience a diverse one with easy accessibility</w:t>
      </w:r>
      <w:r w:rsidR="006F0B08">
        <w:t xml:space="preserve"> </w:t>
      </w:r>
      <w:r w:rsidR="006F0B08">
        <w:fldChar w:fldCharType="begin"/>
      </w:r>
      <w:r w:rsidR="006F0B08">
        <w:instrText xml:space="preserve"> ADDIN ZOTERO_ITEM CSL_CITATION {"citationID":"IzcOax5e","properties":{"formattedCitation":"(Rae and Sangray, 2024)","plainCitation":"(Rae and Sangray, 2024)","noteIndex":0},"citationItems":[{"id":13115,"uris":["http://zotero.org/users/10384683/items/C26E8MNZ"],"itemData":{"id":13115,"type":"chapter","abstract":"Leicester is a Midlands city in the UK of around 368 000 people. In the 50 years between 1972 and 2022, it was transformed by the arrival and settlement of multiple ethnic minority groups. This created a unique multicultural community for a city of its size. The case study explores how Leicester has developed as an intercultural creative economy. It relates the story of the Ugandan Asians arriving in 1972, and the background of migration from the Indian subcontinent and other migration flows. It describes multicultural development and demographic changes over the 50 years to 2022. It discusses issues and changes in public policy and community relations that resolved conflicts and tensions. The main focus is the development of intercultural entrepreneurship, based on the diverse ethnic microcultures that settled in Leicester and the ways in which their activities have burgeoned in the creative economy and social spaces, enabling innovation and the urban transformation from a monoculture in 1972 to the highly diverse city of today. This convergence of interculturality enabled Leicester to become energized through intercultural entrepreneurship, creating a unique international identity, and attracting students, migrants and entrepreneurs worldwide. Despite lockdowns in the COVID-19 pandemic during 2020-21, Leicester is now a globally branded city, known for its distinctive ethnic, food, music, costume, festivals and sporting cultures.","ISBN":"978-1-80392-385-7","language":"en","note":"section: Cases on Entrepreneurship and Diversity","source":"www.elgaronline.com","title":"Chapter 3: Leicester, UK: city of intercultural creativity and entrepreneurial placemaking","title-short":"Chapter 3","URL":"https://www.elgaronline.com/edcollchap/book/9781803923857/book-part-9781803923857-10.xml","author":[{"family":"Rae","given":"David"},{"family":"Sangray","given":"Sudesh"}],"accessed":{"date-parts":[["2025",2,20]]},"issued":{"date-parts":[["2024",1,19]]}}}],"schema":"https://github.com/citation-style-language/schema/raw/master/csl-citation.json"} </w:instrText>
      </w:r>
      <w:r w:rsidR="006F0B08">
        <w:fldChar w:fldCharType="separate"/>
      </w:r>
      <w:r w:rsidR="006F0B08" w:rsidRPr="006F0B08">
        <w:t>(Rae and Sangray, 2024)</w:t>
      </w:r>
      <w:r w:rsidR="006F0B08">
        <w:fldChar w:fldCharType="end"/>
      </w:r>
      <w:r>
        <w:t>. The focus on Equality, Diversity and Inclusion (EDI) of the event has also meant that cultural sensitivities must be properly accounted for and conversations and initiatives should show respect and embracing of diverse perspectives. For instance, the language barriers have to be addressed via the availability of translation services and multilingual materials which will improve the engagement of non-native English speakers</w:t>
      </w:r>
      <w:r w:rsidR="00125D59">
        <w:t xml:space="preserve"> </w:t>
      </w:r>
      <w:r w:rsidR="00125D59">
        <w:fldChar w:fldCharType="begin"/>
      </w:r>
      <w:r w:rsidR="00125D59">
        <w:instrText xml:space="preserve"> ADDIN ZOTERO_ITEM CSL_CITATION {"citationID":"SKvcK8du","properties":{"formattedCitation":"(Steigerwald {\\i{}et al.}, 2022)","plainCitation":"(Steigerwald et al., 2022)","noteIndex":0},"citationItems":[{"id":13116,"uris":["http://zotero.org/users/10384683/items/885FQEBZ"],"itemData":{"id":13116,"type":"article-journal","abstract":"Having a central scientific language remains crucial for advancing and globally sharing science. Nevertheless, maintaining one dominant language also creates barriers to accessing scientific careers and knowledge. From an interdisciplinary perspective, we describe how, when, and why to make scientific literature more readily available in multiple languages through the practice of translation. We broadly review the advantages and limitations of neural machine translation systems and propose that translation can serve as both a short- and a long-term solution for making science more resilient, accessible, globally representative, and impactful beyond the academy. We outline actions that individuals and institutions can take to support multilingual science and scientists, including structural changes that encourage and value translating scientific literature. In the long term, improvements to machine translation technologies and collective efforts to change academic norms can transform a monolingual scientific hub into a multilingual scientific network. Translations are available in the supplemental material.","container-title":"BioScience","DOI":"10.1093/biosci/biac062","ISSN":"0006-3568","issue":"10","journalAbbreviation":"BioScience","page":"988-998","source":"Silverchair","title":"Overcoming Language Barriers in Academia: Machine Translation Tools and a Vision for a Multilingual Future","title-short":"Overcoming Language Barriers in Academia","volume":"72","author":[{"family":"Steigerwald","given":"Emma"},{"family":"Ramírez-Castañeda","given":"Valeria"},{"family":"Brandt","given":"Débora Y C"},{"family":"Báldi","given":"András"},{"family":"Shapiro","given":"Julie Teresa"},{"family":"Bowker","given":"Lynne"},{"family":"Tarvin","given":"Rebecca D"}],"issued":{"date-parts":[["2022",10,1]]}}}],"schema":"https://github.com/citation-style-language/schema/raw/master/csl-citation.json"} </w:instrText>
      </w:r>
      <w:r w:rsidR="00125D59">
        <w:fldChar w:fldCharType="separate"/>
      </w:r>
      <w:r w:rsidR="00125D59" w:rsidRPr="00125D59">
        <w:t xml:space="preserve">(Steigerwald </w:t>
      </w:r>
      <w:r w:rsidR="00125D59" w:rsidRPr="00125D59">
        <w:rPr>
          <w:i/>
          <w:iCs/>
        </w:rPr>
        <w:t>et al.</w:t>
      </w:r>
      <w:r w:rsidR="00125D59" w:rsidRPr="00125D59">
        <w:t>, 2022)</w:t>
      </w:r>
      <w:r w:rsidR="00125D59">
        <w:fldChar w:fldCharType="end"/>
      </w:r>
      <w:r>
        <w:t xml:space="preserve">. Moreover, event planning including catering services must consider religious and dietary matters to make the events inclusive enough for those from different cultural and religious backgrounds. </w:t>
      </w:r>
    </w:p>
    <w:p w14:paraId="4BE32276" w14:textId="77777777" w:rsidR="007E2D69" w:rsidRDefault="00085DDA" w:rsidP="007E2D69">
      <w:pPr>
        <w:spacing w:line="480" w:lineRule="auto"/>
        <w:ind w:firstLine="720"/>
      </w:pPr>
      <w:r>
        <w:t xml:space="preserve">The increasing administrative and corporate pressure on hospitality is a key situational factor influencing the event, as the hospitality industry is urged to adopt responsible and sustainable business practices. This implies that the event must encircle discussions around ethical labour practices, workplace inclusivity, dealing with </w:t>
      </w:r>
      <w:r>
        <w:lastRenderedPageBreak/>
        <w:t>discrimination and bias, and other similar topics. Additionally, geopolitical or economic conditions, (e.g. Brexit-driven regulatory changes or advances in global economic patterns) will also impact participation and sponsorship opportunities from the international realm</w:t>
      </w:r>
      <w:r w:rsidR="00630F61">
        <w:t xml:space="preserve"> </w:t>
      </w:r>
      <w:r w:rsidR="00630F61">
        <w:fldChar w:fldCharType="begin"/>
      </w:r>
      <w:r w:rsidR="00630F61">
        <w:instrText xml:space="preserve"> ADDIN ZOTERO_ITEM CSL_CITATION {"citationID":"MprCr4EI","properties":{"formattedCitation":"(Klasen {\\i{}et al.}, 2024)","plainCitation":"(Klasen et al., 2024)","noteIndex":0},"citationItems":[{"id":13119,"uris":["http://zotero.org/users/10384683/items/XCCIU5L2"],"itemData":{"id":13119,"type":"article-journal","abstract":"Ensuring exporters can access finance is critical for governments as they look to encourage trade and drive economic growth. However, firms face challenges in securing export finance and trade credit insurance as geopolitical and trade megatrends lead to increased political, market and credit risks. In a dynamic global landscape, the role of export credit agencies (ECAs) has never been more important. Based on the ‘Futures Triangle’ analytical framework and drawing on qualitative data from 35 semi-structured interviews and expert discussions using thematic analysis, this research assesses the implications of key megatrends for ECAs. It presents new insights into the impact on strategies, products and operations: The evolution of mandates towards a ‘growth promoter’ in a ‘whole-of-government’ approach, the necessity to introduce new products and the need to balance multiple priorities such as export growth, support for small and medium-sized enterprises (SMEs), inclusive trade, climate action and impact on developing markets. The recommendations are intended to help policymakers and public finance practitioners understand and respond strategically to global changes.","container-title":"Global Policy","DOI":"10.1111/1758-5899.13417","ISSN":"1758-5899","issue":"5","language":"en","license":"© 2024 The Author(s). Global Policy published by Durham University and John Wiley &amp; Sons Ltd.","note":"_eprint: https://onlinelibrary.wiley.com/doi/pdf/10.1111/1758-5899.13417","page":"1007-1014","source":"Wiley Online Library","title":"Navigating geopolitical and trade megatrends: Public export finance in a world of change","title-short":"Navigating geopolitical and trade megatrends","volume":"15","author":[{"family":"Klasen","given":"Andreas"},{"family":"Krummaker","given":"Simone"},{"family":"Beck","given":"Julia"},{"family":"Pennington","given":"James"}],"issued":{"date-parts":[["2024"]]}}}],"schema":"https://github.com/citation-style-language/schema/raw/master/csl-citation.json"} </w:instrText>
      </w:r>
      <w:r w:rsidR="00630F61">
        <w:fldChar w:fldCharType="separate"/>
      </w:r>
      <w:r w:rsidR="00630F61" w:rsidRPr="00630F61">
        <w:t xml:space="preserve">(Klasen </w:t>
      </w:r>
      <w:r w:rsidR="00630F61" w:rsidRPr="00630F61">
        <w:rPr>
          <w:i/>
          <w:iCs/>
        </w:rPr>
        <w:t>et al.</w:t>
      </w:r>
      <w:r w:rsidR="00630F61" w:rsidRPr="00630F61">
        <w:t>, 2024)</w:t>
      </w:r>
      <w:r w:rsidR="00630F61">
        <w:fldChar w:fldCharType="end"/>
      </w:r>
      <w:r>
        <w:t xml:space="preserve">. Consequently, it is necessary to have flexible contingency plans to circumvent any disruptions unanticipated. </w:t>
      </w:r>
    </w:p>
    <w:p w14:paraId="63ADF3B7" w14:textId="77777777" w:rsidR="00413A94" w:rsidRPr="00413A94" w:rsidRDefault="00085DDA" w:rsidP="007E2D69">
      <w:pPr>
        <w:spacing w:line="480" w:lineRule="auto"/>
        <w:ind w:firstLine="720"/>
      </w:pPr>
      <w:r>
        <w:t>The summit has to culturally understand the different sociological EDI adoption levels in each region. Some organizations have well-defined diversity policies and some are at the inaugural stages. To facilitate this balanced dialogue, the event must have the edge to provide actionable insights to organizations at different maturity levels. Through a culturally aware and situationally adaptive approach, Inclusion Summit 2025 will effectively lead the way for progress that matters for the hospitality industry</w:t>
      </w:r>
      <w:r>
        <w:t xml:space="preserve"> towards inclusivity.</w:t>
      </w:r>
    </w:p>
    <w:p w14:paraId="236B8E12" w14:textId="77777777" w:rsidR="00BF6252" w:rsidRDefault="00085DDA" w:rsidP="00BF6252">
      <w:pPr>
        <w:pStyle w:val="Heading1"/>
      </w:pPr>
      <w:bookmarkStart w:id="17" w:name="_Toc191489443"/>
      <w:r>
        <w:t>Conclusion</w:t>
      </w:r>
      <w:bookmarkEnd w:id="17"/>
    </w:p>
    <w:p w14:paraId="7036132A" w14:textId="77777777" w:rsidR="00420E65" w:rsidRDefault="00085DDA" w:rsidP="00420E65">
      <w:pPr>
        <w:spacing w:line="480" w:lineRule="auto"/>
      </w:pPr>
      <w:r>
        <w:tab/>
        <w:t>In summary, for Inclusion Summit 2025 to gain successful traction, much of its importance must be placed on the situational and cultural aspects in which to stake claims for the event's genuineness in becoming truly inclusive and impactful. A multicultural London with a global presence in hospitality provides the best atmosphere to strengthen dialogues on Equality, Diversity, and Inclusion (EDI). Touching on language issues, religious and dietary considerations, and cultural differences will assist in ensu</w:t>
      </w:r>
      <w:r>
        <w:t xml:space="preserve">ring that attendees from different backgrounds feel respected and valued. Additionally, the event should contribute to emerging discussions on ethical labour practices and sustainable business strategies vis-a-vis the challenges organizations face in their various settings. </w:t>
      </w:r>
    </w:p>
    <w:p w14:paraId="658A2F29" w14:textId="77777777" w:rsidR="00420E65" w:rsidRDefault="00085DDA" w:rsidP="00420E65">
      <w:pPr>
        <w:spacing w:line="480" w:lineRule="auto"/>
        <w:ind w:firstLine="720"/>
      </w:pPr>
      <w:r>
        <w:lastRenderedPageBreak/>
        <w:t>More broadly, social, economic, environmental, and political contexts of inclusion must also be contemplated, for they may introduce potential hazards to the execution, in anticipation of which could facilitate the smooth passage of the event. By embracing EDI attitudes stretching from acknowledgement of permissibility to survival, the summit can offer ideas and solutions tailored to various organizations' EDI infrastructure. All in all, Inclusion Summit 2025 providing a forum for dialogue, promoting best p</w:t>
      </w:r>
      <w:r>
        <w:t xml:space="preserve">ractices, and encouraging collaboration across cultural and organizational borders stands a good chance of mobilizing effective change. A culturally sensitive event will be a significant contributor to an inclusive and equitable hospitality world at large. </w:t>
      </w:r>
    </w:p>
    <w:p w14:paraId="0140304F" w14:textId="77777777" w:rsidR="009F3150" w:rsidRPr="009F3150" w:rsidRDefault="009F3150" w:rsidP="009F3150">
      <w:pPr>
        <w:spacing w:line="480" w:lineRule="auto"/>
      </w:pPr>
    </w:p>
    <w:p w14:paraId="1689F635" w14:textId="77777777" w:rsidR="00BF6252" w:rsidRPr="00BF6252" w:rsidRDefault="00BF6252" w:rsidP="00BF6252"/>
    <w:p w14:paraId="45B708E0" w14:textId="77777777" w:rsidR="00DC3420" w:rsidRDefault="00085DDA" w:rsidP="00C67C8B">
      <w:pPr>
        <w:rPr>
          <w:color w:val="000000" w:themeColor="text1"/>
        </w:rPr>
      </w:pPr>
      <w:r>
        <w:rPr>
          <w:color w:val="000000" w:themeColor="text1"/>
        </w:rPr>
        <w:br w:type="page"/>
      </w:r>
    </w:p>
    <w:p w14:paraId="19DC5281" w14:textId="77777777" w:rsidR="00DC3420" w:rsidRDefault="00085DDA" w:rsidP="00C67C8B">
      <w:pPr>
        <w:pStyle w:val="Heading1"/>
      </w:pPr>
      <w:bookmarkStart w:id="18" w:name="_Toc191489444"/>
      <w:r>
        <w:lastRenderedPageBreak/>
        <w:t>Bibliography</w:t>
      </w:r>
      <w:bookmarkEnd w:id="18"/>
    </w:p>
    <w:sdt>
      <w:sdtPr>
        <w:id w:val="111145805"/>
        <w:bibliography/>
      </w:sdtPr>
      <w:sdtEndPr/>
      <w:sdtContent>
        <w:p w14:paraId="3455E7D8" w14:textId="77777777" w:rsidR="00630F61" w:rsidRPr="00630F61" w:rsidRDefault="00085DDA" w:rsidP="00630F61">
          <w:pPr>
            <w:pStyle w:val="Bibliography"/>
          </w:pPr>
          <w:r>
            <w:fldChar w:fldCharType="begin"/>
          </w:r>
          <w:r>
            <w:instrText xml:space="preserve"> ADDIN ZOTERO_BIBL {"uncited":[],"omitted":[],"custom":[]} CSL_BIBLIOGRAPHY </w:instrText>
          </w:r>
          <w:r>
            <w:fldChar w:fldCharType="separate"/>
          </w:r>
          <w:r w:rsidRPr="00630F61">
            <w:t xml:space="preserve">Al-Kodmany, K. (2024) </w:t>
          </w:r>
          <w:r w:rsidRPr="00630F61">
            <w:rPr>
              <w:i/>
              <w:iCs/>
            </w:rPr>
            <w:t>Humanizing the High-Rise City: Podiums, Plazas, Parks, Pedestrian Networks, and Public Art</w:t>
          </w:r>
          <w:r w:rsidRPr="00630F61">
            <w:t>. Taylor &amp; Francis.</w:t>
          </w:r>
        </w:p>
        <w:p w14:paraId="5EAC2029" w14:textId="77777777" w:rsidR="00630F61" w:rsidRPr="00630F61" w:rsidRDefault="00085DDA" w:rsidP="00630F61">
          <w:pPr>
            <w:pStyle w:val="Bibliography"/>
          </w:pPr>
          <w:r w:rsidRPr="00630F61">
            <w:t xml:space="preserve">Dalkir, K. (2024) </w:t>
          </w:r>
          <w:r w:rsidRPr="00630F61">
            <w:rPr>
              <w:i/>
              <w:iCs/>
            </w:rPr>
            <w:t>Handbook of Inclusive Knowledge Management: Ensuring Inclusivity, Diversity, and Equity in Knowledge Processing Activities</w:t>
          </w:r>
          <w:r w:rsidRPr="00630F61">
            <w:t>. CRC Press.</w:t>
          </w:r>
        </w:p>
        <w:p w14:paraId="0C5AA4CE" w14:textId="77777777" w:rsidR="00630F61" w:rsidRPr="00630F61" w:rsidRDefault="00085DDA" w:rsidP="00630F61">
          <w:pPr>
            <w:pStyle w:val="Bibliography"/>
          </w:pPr>
          <w:r w:rsidRPr="00630F61">
            <w:t xml:space="preserve">Domenico, G.D., Sit, J., Ishizaka, A. and Nunan, D. (2021) ‘Fake news, social media and marketing: A systematic review’, </w:t>
          </w:r>
          <w:r w:rsidRPr="00630F61">
            <w:rPr>
              <w:i/>
              <w:iCs/>
            </w:rPr>
            <w:t>Journal of Business Research</w:t>
          </w:r>
          <w:r w:rsidRPr="00630F61">
            <w:t>, 124(C), pp. 329–341.</w:t>
          </w:r>
        </w:p>
        <w:p w14:paraId="0C71397F" w14:textId="77777777" w:rsidR="00630F61" w:rsidRPr="00630F61" w:rsidRDefault="00085DDA" w:rsidP="00630F61">
          <w:pPr>
            <w:pStyle w:val="Bibliography"/>
          </w:pPr>
          <w:r w:rsidRPr="00630F61">
            <w:t xml:space="preserve">Evans, K.J. and Maley, J.F. (2021) ‘Barriers to women in senior leadership: how unconscious bias is holding back Australia’s economy’, </w:t>
          </w:r>
          <w:r w:rsidRPr="00630F61">
            <w:rPr>
              <w:i/>
              <w:iCs/>
            </w:rPr>
            <w:t>Asia Pacific Journal of Human Resources</w:t>
          </w:r>
          <w:r w:rsidRPr="00630F61">
            <w:t>, 59(2), pp. 204–226. Available at: https://doi.org/10.1111/1744-7941.12262.</w:t>
          </w:r>
        </w:p>
        <w:p w14:paraId="6EB77BA0" w14:textId="77777777" w:rsidR="00630F61" w:rsidRPr="00630F61" w:rsidRDefault="00085DDA" w:rsidP="00630F61">
          <w:pPr>
            <w:pStyle w:val="Bibliography"/>
          </w:pPr>
          <w:r w:rsidRPr="00630F61">
            <w:t xml:space="preserve">Grabham, E. (2023) ‘Decertifying Gender: The Challenge of Equal Pay’, </w:t>
          </w:r>
          <w:r w:rsidRPr="00630F61">
            <w:rPr>
              <w:i/>
              <w:iCs/>
            </w:rPr>
            <w:t>Feminist Legal Studies</w:t>
          </w:r>
          <w:r w:rsidRPr="00630F61">
            <w:t>, 31(1), pp. 67–93. Available at: https://doi.org/10.1007/s10691-022-09516-3.</w:t>
          </w:r>
        </w:p>
        <w:p w14:paraId="100E95B3" w14:textId="77777777" w:rsidR="00630F61" w:rsidRPr="00630F61" w:rsidRDefault="00085DDA" w:rsidP="00630F61">
          <w:pPr>
            <w:pStyle w:val="Bibliography"/>
          </w:pPr>
          <w:r w:rsidRPr="00630F61">
            <w:t>Kiradoo, G. (2022) ‘Diversity, Equity, and Inclusion in the Workplace: Strategies for Achieving and Sustaining a Diverse Workforce’. Rochester, NY: Social Science Research Network. Available at: https://papers.ssrn.com/abstract=4392136 (Accessed: 2 February 2025).</w:t>
          </w:r>
        </w:p>
        <w:p w14:paraId="1A91AF26" w14:textId="77777777" w:rsidR="00630F61" w:rsidRPr="00630F61" w:rsidRDefault="00085DDA" w:rsidP="00630F61">
          <w:pPr>
            <w:pStyle w:val="Bibliography"/>
          </w:pPr>
          <w:r w:rsidRPr="00630F61">
            <w:t xml:space="preserve">Klasen, A., Krummaker, S., Beck, J. and Pennington, J. (2024) ‘Navigating geopolitical and trade megatrends: Public export finance in a world of change’, </w:t>
          </w:r>
          <w:r w:rsidRPr="00630F61">
            <w:rPr>
              <w:i/>
              <w:iCs/>
            </w:rPr>
            <w:t>Global Policy</w:t>
          </w:r>
          <w:r w:rsidRPr="00630F61">
            <w:t>, 15(5), pp. 1007–1014. Available at: https://doi.org/10.1111/1758-5899.13417.</w:t>
          </w:r>
        </w:p>
        <w:p w14:paraId="61F90458" w14:textId="77777777" w:rsidR="00630F61" w:rsidRPr="00630F61" w:rsidRDefault="00085DDA" w:rsidP="00630F61">
          <w:pPr>
            <w:pStyle w:val="Bibliography"/>
          </w:pPr>
          <w:r w:rsidRPr="00630F61">
            <w:t xml:space="preserve">Lee, J.-S. and Park, S. (2023) ‘Scale development for the practices involved in creating value propositions in the exhibition industry: Service-dominant logic with a mixed-methods approach’, </w:t>
          </w:r>
          <w:r w:rsidRPr="00630F61">
            <w:rPr>
              <w:i/>
              <w:iCs/>
            </w:rPr>
            <w:t>Tourism Management</w:t>
          </w:r>
          <w:r w:rsidRPr="00630F61">
            <w:t xml:space="preserve">, 99, p. 104780. Available at: </w:t>
          </w:r>
          <w:r w:rsidRPr="00630F61">
            <w:t>https://doi.org/10.1016/j.tourman.2023.104780.</w:t>
          </w:r>
        </w:p>
        <w:p w14:paraId="29287F02" w14:textId="77777777" w:rsidR="00630F61" w:rsidRPr="00630F61" w:rsidRDefault="00085DDA" w:rsidP="00630F61">
          <w:pPr>
            <w:pStyle w:val="Bibliography"/>
          </w:pPr>
          <w:r w:rsidRPr="00630F61">
            <w:t xml:space="preserve">Liu-Lastres, B. (2022) ‘Beyond simple messaging: a review of crisis communication research in hospitality and tourism’, </w:t>
          </w:r>
          <w:r w:rsidRPr="00630F61">
            <w:rPr>
              <w:i/>
              <w:iCs/>
            </w:rPr>
            <w:t>International Journal of Contemporary Hospitality Management</w:t>
          </w:r>
          <w:r w:rsidRPr="00630F61">
            <w:t>, 34(5), pp. 1959–1983. Available at: https://doi.org/10.1108/IJCHM-11-2021-1404.</w:t>
          </w:r>
        </w:p>
        <w:p w14:paraId="119D3DCE" w14:textId="77777777" w:rsidR="00630F61" w:rsidRPr="00630F61" w:rsidRDefault="00085DDA" w:rsidP="00630F61">
          <w:pPr>
            <w:pStyle w:val="Bibliography"/>
          </w:pPr>
          <w:r w:rsidRPr="00630F61">
            <w:t xml:space="preserve">Niu, H. and Silva, E.A. (2021) ‘Delineating urban functional use from points of interest data with neural network embedding: A case study in Greater London’, </w:t>
          </w:r>
          <w:r w:rsidRPr="00630F61">
            <w:rPr>
              <w:i/>
              <w:iCs/>
            </w:rPr>
            <w:t>Computers, Environment and Urban Systems</w:t>
          </w:r>
          <w:r w:rsidRPr="00630F61">
            <w:t>, 88, p. 101651. Available at: https://doi.org/10.1016/j.compenvurbsys.2021.101651.</w:t>
          </w:r>
        </w:p>
        <w:p w14:paraId="5858C5A7" w14:textId="77777777" w:rsidR="00630F61" w:rsidRPr="00630F61" w:rsidRDefault="00085DDA" w:rsidP="00630F61">
          <w:pPr>
            <w:pStyle w:val="Bibliography"/>
          </w:pPr>
          <w:r w:rsidRPr="00630F61">
            <w:t xml:space="preserve">Pfajfar, G., Shoham, A., Małecka, A. and Zalaznik, M. (2022) ‘Value of corporate social responsibility for multiple stakeholders and social impact – Relationship marketing perspective’, </w:t>
          </w:r>
          <w:r w:rsidRPr="00630F61">
            <w:rPr>
              <w:i/>
              <w:iCs/>
            </w:rPr>
            <w:t>Journal of Business Research</w:t>
          </w:r>
          <w:r w:rsidRPr="00630F61">
            <w:t>, 143, pp. 46–61. Available at: https://doi.org/10.1016/j.jbusres.2022.01.051.</w:t>
          </w:r>
        </w:p>
        <w:p w14:paraId="60A36BE3" w14:textId="77777777" w:rsidR="00630F61" w:rsidRPr="00630F61" w:rsidRDefault="00085DDA" w:rsidP="00630F61">
          <w:pPr>
            <w:pStyle w:val="Bibliography"/>
          </w:pPr>
          <w:r w:rsidRPr="00630F61">
            <w:lastRenderedPageBreak/>
            <w:t>Rae, D. and Sangray, S. (2024) ‘Chapter 3: Leicester, UK: city of intercultural creativity and entrepreneurial placemaking’, in. Available at: https://www.elgaronline.com/edcollchap/book/9781803923857/book-part-9781803923857-10.xml (Accessed: 20 February 2025).</w:t>
          </w:r>
        </w:p>
        <w:p w14:paraId="786EC398" w14:textId="77777777" w:rsidR="00630F61" w:rsidRPr="00630F61" w:rsidRDefault="00085DDA" w:rsidP="00630F61">
          <w:pPr>
            <w:pStyle w:val="Bibliography"/>
          </w:pPr>
          <w:r w:rsidRPr="00630F61">
            <w:t xml:space="preserve">Sakdiyakorn, M., Golubovskaya, M. and Solnet, D. (2021) ‘Understanding Generation Z through collective consciousness: Impacts for hospitality work and employment’, </w:t>
          </w:r>
          <w:r w:rsidRPr="00630F61">
            <w:rPr>
              <w:i/>
              <w:iCs/>
            </w:rPr>
            <w:t>International Journal of Hospitality Management</w:t>
          </w:r>
          <w:r w:rsidRPr="00630F61">
            <w:t>, 94, p. 102822. Available at: https://doi.org/10.1016/j.ijhm.2020.102822.</w:t>
          </w:r>
        </w:p>
        <w:p w14:paraId="4C52A025" w14:textId="77777777" w:rsidR="00630F61" w:rsidRPr="00630F61" w:rsidRDefault="00085DDA" w:rsidP="00630F61">
          <w:pPr>
            <w:pStyle w:val="Bibliography"/>
          </w:pPr>
          <w:r w:rsidRPr="00630F61">
            <w:t xml:space="preserve">Steigerwald, E., Ramírez-Castañeda, V., Brandt, D.Y.C., Báldi, A., Shapiro, J.T., Bowker, L. and Tarvin, R.D. (2022) ‘Overcoming Language Barriers in Academia: Machine Translation Tools and a Vision for a Multilingual Future’, </w:t>
          </w:r>
          <w:r w:rsidRPr="00630F61">
            <w:rPr>
              <w:i/>
              <w:iCs/>
            </w:rPr>
            <w:t>BioScience</w:t>
          </w:r>
          <w:r w:rsidRPr="00630F61">
            <w:t>, 72(10), pp. 988–998. Available at: https://doi.org/10.1093/biosci/biac062.</w:t>
          </w:r>
        </w:p>
        <w:p w14:paraId="18D68416" w14:textId="77777777" w:rsidR="00630F61" w:rsidRPr="00630F61" w:rsidRDefault="00085DDA" w:rsidP="00630F61">
          <w:pPr>
            <w:pStyle w:val="Bibliography"/>
          </w:pPr>
          <w:r w:rsidRPr="00630F61">
            <w:t xml:space="preserve">Zaghmout, B., Achi, F., Padmini Ema, U. and Adeshipo, A. (2024) ‘Ethical Leadership in Dubai Hospitality Industry: Navigating Cultural Sensitivity and Inclusivity in a Globalized Market’, </w:t>
          </w:r>
          <w:r w:rsidRPr="00630F61">
            <w:rPr>
              <w:i/>
              <w:iCs/>
            </w:rPr>
            <w:t>Open Journal of Leadership</w:t>
          </w:r>
          <w:r w:rsidRPr="00630F61">
            <w:t>, 13(3), pp. 385–411. Available at: https://doi.org/10.4236/ojl.2024.133022.</w:t>
          </w:r>
        </w:p>
        <w:p w14:paraId="7895EEE5" w14:textId="77777777" w:rsidR="00DC3420" w:rsidRPr="00DC3420" w:rsidRDefault="00085DDA" w:rsidP="00BF6252">
          <w:pPr>
            <w:pStyle w:val="Bibliography"/>
            <w:spacing w:line="480" w:lineRule="auto"/>
            <w:ind w:left="720" w:hanging="720"/>
            <w:rPr>
              <w:color w:val="000000" w:themeColor="text1"/>
            </w:rPr>
          </w:pPr>
          <w:r>
            <w:fldChar w:fldCharType="end"/>
          </w:r>
        </w:p>
      </w:sdtContent>
    </w:sdt>
    <w:p w14:paraId="2AFABC28" w14:textId="77777777" w:rsidR="00577513" w:rsidRPr="008F026B" w:rsidRDefault="00577513" w:rsidP="008F026B">
      <w:pPr>
        <w:spacing w:line="480" w:lineRule="auto"/>
      </w:pPr>
    </w:p>
    <w:sectPr w:rsidR="00577513" w:rsidRPr="008F026B" w:rsidSect="00AF5531">
      <w:headerReference w:type="default" r:id="rId8"/>
      <w:headerReference w:type="first" r:id="rId9"/>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93CD8" w14:textId="77777777" w:rsidR="00085DDA" w:rsidRDefault="00085DDA">
      <w:r>
        <w:separator/>
      </w:r>
    </w:p>
  </w:endnote>
  <w:endnote w:type="continuationSeparator" w:id="0">
    <w:p w14:paraId="1FBD6A32" w14:textId="77777777" w:rsidR="00085DDA" w:rsidRDefault="00085D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C8072" w14:textId="77777777" w:rsidR="00085DDA" w:rsidRDefault="00085DDA">
      <w:r>
        <w:separator/>
      </w:r>
    </w:p>
  </w:footnote>
  <w:footnote w:type="continuationSeparator" w:id="0">
    <w:p w14:paraId="5578DA02" w14:textId="77777777" w:rsidR="00085DDA" w:rsidRDefault="00085D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197D1" w14:textId="77777777" w:rsidR="00BC283E" w:rsidRPr="00050744" w:rsidRDefault="00085DDA" w:rsidP="006E2EA2">
    <w:pPr>
      <w:pStyle w:val="Header"/>
      <w:jc w:val="right"/>
    </w:pPr>
    <w:r>
      <w:t>International Meetings Management Report</w:t>
    </w:r>
    <w:r w:rsidR="00272A4E">
      <w:t xml:space="preserve"> </w:t>
    </w:r>
    <w:r w:rsidR="00AF34E9" w:rsidRPr="00050744">
      <w:rPr>
        <w:rStyle w:val="PageNumber"/>
      </w:rPr>
      <w:fldChar w:fldCharType="begin"/>
    </w:r>
    <w:r w:rsidR="00AF34E9" w:rsidRPr="00050744">
      <w:rPr>
        <w:rStyle w:val="PageNumber"/>
      </w:rPr>
      <w:instrText xml:space="preserve"> PAGE </w:instrText>
    </w:r>
    <w:r w:rsidR="00AF34E9" w:rsidRPr="00050744">
      <w:rPr>
        <w:rStyle w:val="PageNumber"/>
      </w:rPr>
      <w:fldChar w:fldCharType="separate"/>
    </w:r>
    <w:r w:rsidR="00B10C88">
      <w:rPr>
        <w:rStyle w:val="PageNumber"/>
        <w:noProof/>
      </w:rPr>
      <w:t>14</w:t>
    </w:r>
    <w:r w:rsidR="00AF34E9" w:rsidRPr="00050744">
      <w:rPr>
        <w:rStyle w:val="PageNumber"/>
      </w:rPr>
      <w:fldChar w:fldCharType="end"/>
    </w:r>
  </w:p>
  <w:p w14:paraId="45AA075D" w14:textId="77777777" w:rsidR="00B86751" w:rsidRDefault="00B8675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1DFE3" w14:textId="77777777" w:rsidR="00C67C8B" w:rsidRPr="008F026B" w:rsidRDefault="00085DDA" w:rsidP="00C67C8B">
    <w:pPr>
      <w:spacing w:line="480" w:lineRule="auto"/>
      <w:rPr>
        <w:i/>
      </w:rPr>
    </w:pPr>
    <w:r w:rsidRPr="008F026B">
      <w:t xml:space="preserve">RUNNING HEAD: </w:t>
    </w:r>
    <w:r w:rsidR="00BF6252">
      <w:t xml:space="preserve">INTERNATIONAL MEETINGS MANAGEMENT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6D79EF"/>
    <w:multiLevelType w:val="hybridMultilevel"/>
    <w:tmpl w:val="2AE4E714"/>
    <w:lvl w:ilvl="0" w:tplc="BD5616BC">
      <w:start w:val="1"/>
      <w:numFmt w:val="bullet"/>
      <w:lvlText w:val=""/>
      <w:lvlJc w:val="left"/>
      <w:pPr>
        <w:ind w:left="720" w:hanging="360"/>
      </w:pPr>
      <w:rPr>
        <w:rFonts w:ascii="Symbol" w:hAnsi="Symbol" w:hint="default"/>
      </w:rPr>
    </w:lvl>
    <w:lvl w:ilvl="1" w:tplc="7CF8D71C" w:tentative="1">
      <w:start w:val="1"/>
      <w:numFmt w:val="bullet"/>
      <w:lvlText w:val="o"/>
      <w:lvlJc w:val="left"/>
      <w:pPr>
        <w:ind w:left="1440" w:hanging="360"/>
      </w:pPr>
      <w:rPr>
        <w:rFonts w:ascii="Courier New" w:hAnsi="Courier New" w:cs="Courier New" w:hint="default"/>
      </w:rPr>
    </w:lvl>
    <w:lvl w:ilvl="2" w:tplc="CF7080B2" w:tentative="1">
      <w:start w:val="1"/>
      <w:numFmt w:val="bullet"/>
      <w:lvlText w:val=""/>
      <w:lvlJc w:val="left"/>
      <w:pPr>
        <w:ind w:left="2160" w:hanging="360"/>
      </w:pPr>
      <w:rPr>
        <w:rFonts w:ascii="Wingdings" w:hAnsi="Wingdings" w:hint="default"/>
      </w:rPr>
    </w:lvl>
    <w:lvl w:ilvl="3" w:tplc="918ADE8E" w:tentative="1">
      <w:start w:val="1"/>
      <w:numFmt w:val="bullet"/>
      <w:lvlText w:val=""/>
      <w:lvlJc w:val="left"/>
      <w:pPr>
        <w:ind w:left="2880" w:hanging="360"/>
      </w:pPr>
      <w:rPr>
        <w:rFonts w:ascii="Symbol" w:hAnsi="Symbol" w:hint="default"/>
      </w:rPr>
    </w:lvl>
    <w:lvl w:ilvl="4" w:tplc="6DAE0A6A" w:tentative="1">
      <w:start w:val="1"/>
      <w:numFmt w:val="bullet"/>
      <w:lvlText w:val="o"/>
      <w:lvlJc w:val="left"/>
      <w:pPr>
        <w:ind w:left="3600" w:hanging="360"/>
      </w:pPr>
      <w:rPr>
        <w:rFonts w:ascii="Courier New" w:hAnsi="Courier New" w:cs="Courier New" w:hint="default"/>
      </w:rPr>
    </w:lvl>
    <w:lvl w:ilvl="5" w:tplc="C8BA1E6E" w:tentative="1">
      <w:start w:val="1"/>
      <w:numFmt w:val="bullet"/>
      <w:lvlText w:val=""/>
      <w:lvlJc w:val="left"/>
      <w:pPr>
        <w:ind w:left="4320" w:hanging="360"/>
      </w:pPr>
      <w:rPr>
        <w:rFonts w:ascii="Wingdings" w:hAnsi="Wingdings" w:hint="default"/>
      </w:rPr>
    </w:lvl>
    <w:lvl w:ilvl="6" w:tplc="CCD0DB92" w:tentative="1">
      <w:start w:val="1"/>
      <w:numFmt w:val="bullet"/>
      <w:lvlText w:val=""/>
      <w:lvlJc w:val="left"/>
      <w:pPr>
        <w:ind w:left="5040" w:hanging="360"/>
      </w:pPr>
      <w:rPr>
        <w:rFonts w:ascii="Symbol" w:hAnsi="Symbol" w:hint="default"/>
      </w:rPr>
    </w:lvl>
    <w:lvl w:ilvl="7" w:tplc="15C21A8A" w:tentative="1">
      <w:start w:val="1"/>
      <w:numFmt w:val="bullet"/>
      <w:lvlText w:val="o"/>
      <w:lvlJc w:val="left"/>
      <w:pPr>
        <w:ind w:left="5760" w:hanging="360"/>
      </w:pPr>
      <w:rPr>
        <w:rFonts w:ascii="Courier New" w:hAnsi="Courier New" w:cs="Courier New" w:hint="default"/>
      </w:rPr>
    </w:lvl>
    <w:lvl w:ilvl="8" w:tplc="96D26D64" w:tentative="1">
      <w:start w:val="1"/>
      <w:numFmt w:val="bullet"/>
      <w:lvlText w:val=""/>
      <w:lvlJc w:val="left"/>
      <w:pPr>
        <w:ind w:left="6480" w:hanging="360"/>
      </w:pPr>
      <w:rPr>
        <w:rFonts w:ascii="Wingdings" w:hAnsi="Wingdings" w:hint="default"/>
      </w:rPr>
    </w:lvl>
  </w:abstractNum>
  <w:num w:numId="1" w16cid:durableId="1409157255">
    <w:abstractNumId w:val="9"/>
  </w:num>
  <w:num w:numId="2" w16cid:durableId="1636063707">
    <w:abstractNumId w:val="7"/>
  </w:num>
  <w:num w:numId="3" w16cid:durableId="1650212940">
    <w:abstractNumId w:val="6"/>
  </w:num>
  <w:num w:numId="4" w16cid:durableId="835455373">
    <w:abstractNumId w:val="5"/>
  </w:num>
  <w:num w:numId="5" w16cid:durableId="645353612">
    <w:abstractNumId w:val="4"/>
  </w:num>
  <w:num w:numId="6" w16cid:durableId="621308466">
    <w:abstractNumId w:val="8"/>
  </w:num>
  <w:num w:numId="7" w16cid:durableId="321591611">
    <w:abstractNumId w:val="3"/>
  </w:num>
  <w:num w:numId="8" w16cid:durableId="1097022292">
    <w:abstractNumId w:val="2"/>
  </w:num>
  <w:num w:numId="9" w16cid:durableId="1495335413">
    <w:abstractNumId w:val="1"/>
  </w:num>
  <w:num w:numId="10" w16cid:durableId="944533971">
    <w:abstractNumId w:val="0"/>
  </w:num>
  <w:num w:numId="11" w16cid:durableId="11621582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rQUAA+TcWCwAAAA="/>
  </w:docVars>
  <w:rsids>
    <w:rsidRoot w:val="008A6AFF"/>
    <w:rsid w:val="00017A15"/>
    <w:rsid w:val="00017B84"/>
    <w:rsid w:val="00017F74"/>
    <w:rsid w:val="0004181A"/>
    <w:rsid w:val="00050744"/>
    <w:rsid w:val="00055017"/>
    <w:rsid w:val="000578D5"/>
    <w:rsid w:val="00057C6F"/>
    <w:rsid w:val="00065E43"/>
    <w:rsid w:val="000721B8"/>
    <w:rsid w:val="00085DDA"/>
    <w:rsid w:val="0009039B"/>
    <w:rsid w:val="00092655"/>
    <w:rsid w:val="00094BC4"/>
    <w:rsid w:val="00095CC5"/>
    <w:rsid w:val="000A1527"/>
    <w:rsid w:val="000B546E"/>
    <w:rsid w:val="000C43D6"/>
    <w:rsid w:val="000C529E"/>
    <w:rsid w:val="000F3678"/>
    <w:rsid w:val="000F3E3D"/>
    <w:rsid w:val="000F5D3E"/>
    <w:rsid w:val="000F759D"/>
    <w:rsid w:val="00112DF7"/>
    <w:rsid w:val="00125D59"/>
    <w:rsid w:val="00126C9D"/>
    <w:rsid w:val="0013681C"/>
    <w:rsid w:val="00161FBB"/>
    <w:rsid w:val="0017127F"/>
    <w:rsid w:val="00173D9C"/>
    <w:rsid w:val="00182180"/>
    <w:rsid w:val="0018567A"/>
    <w:rsid w:val="001861A2"/>
    <w:rsid w:val="00186C83"/>
    <w:rsid w:val="00195BD7"/>
    <w:rsid w:val="001B5108"/>
    <w:rsid w:val="001C1791"/>
    <w:rsid w:val="001C2402"/>
    <w:rsid w:val="001C2460"/>
    <w:rsid w:val="001C3DBA"/>
    <w:rsid w:val="001C65ED"/>
    <w:rsid w:val="001D134A"/>
    <w:rsid w:val="001E49C0"/>
    <w:rsid w:val="001E6002"/>
    <w:rsid w:val="00220EBE"/>
    <w:rsid w:val="0022119E"/>
    <w:rsid w:val="002227A3"/>
    <w:rsid w:val="00226BAA"/>
    <w:rsid w:val="002357A9"/>
    <w:rsid w:val="00236A8B"/>
    <w:rsid w:val="002476AA"/>
    <w:rsid w:val="0026343D"/>
    <w:rsid w:val="00264B1B"/>
    <w:rsid w:val="00272A4E"/>
    <w:rsid w:val="00272FB1"/>
    <w:rsid w:val="00280F32"/>
    <w:rsid w:val="0028301A"/>
    <w:rsid w:val="00287AFC"/>
    <w:rsid w:val="00295BA6"/>
    <w:rsid w:val="002A582D"/>
    <w:rsid w:val="002B0E3C"/>
    <w:rsid w:val="002B6F45"/>
    <w:rsid w:val="002C31D7"/>
    <w:rsid w:val="002C53A3"/>
    <w:rsid w:val="002D270C"/>
    <w:rsid w:val="002E0153"/>
    <w:rsid w:val="002E35E2"/>
    <w:rsid w:val="002E3C4E"/>
    <w:rsid w:val="002E41AF"/>
    <w:rsid w:val="002F1D50"/>
    <w:rsid w:val="002F1EC8"/>
    <w:rsid w:val="002F2598"/>
    <w:rsid w:val="00300430"/>
    <w:rsid w:val="00307391"/>
    <w:rsid w:val="003103C7"/>
    <w:rsid w:val="00317335"/>
    <w:rsid w:val="00327025"/>
    <w:rsid w:val="00330694"/>
    <w:rsid w:val="0033167D"/>
    <w:rsid w:val="0033503C"/>
    <w:rsid w:val="00344D4F"/>
    <w:rsid w:val="00351654"/>
    <w:rsid w:val="00355A28"/>
    <w:rsid w:val="00360028"/>
    <w:rsid w:val="00363339"/>
    <w:rsid w:val="00364E0B"/>
    <w:rsid w:val="003672DF"/>
    <w:rsid w:val="00370195"/>
    <w:rsid w:val="0037130F"/>
    <w:rsid w:val="0038312E"/>
    <w:rsid w:val="00393EF3"/>
    <w:rsid w:val="003960FC"/>
    <w:rsid w:val="003D0B26"/>
    <w:rsid w:val="003D5CA4"/>
    <w:rsid w:val="003E073F"/>
    <w:rsid w:val="003E1EB6"/>
    <w:rsid w:val="003E413D"/>
    <w:rsid w:val="003E5379"/>
    <w:rsid w:val="003E6CBE"/>
    <w:rsid w:val="003F2C54"/>
    <w:rsid w:val="003F4EC3"/>
    <w:rsid w:val="003F5A63"/>
    <w:rsid w:val="003F769F"/>
    <w:rsid w:val="003F7D1B"/>
    <w:rsid w:val="00401331"/>
    <w:rsid w:val="0040366B"/>
    <w:rsid w:val="004067F4"/>
    <w:rsid w:val="00412BEF"/>
    <w:rsid w:val="00413354"/>
    <w:rsid w:val="00413A94"/>
    <w:rsid w:val="00414E60"/>
    <w:rsid w:val="00420E65"/>
    <w:rsid w:val="00424181"/>
    <w:rsid w:val="00424E97"/>
    <w:rsid w:val="00431219"/>
    <w:rsid w:val="00437294"/>
    <w:rsid w:val="00444A42"/>
    <w:rsid w:val="00451B41"/>
    <w:rsid w:val="00465AEE"/>
    <w:rsid w:val="00465DA8"/>
    <w:rsid w:val="004703B9"/>
    <w:rsid w:val="00473D31"/>
    <w:rsid w:val="00486512"/>
    <w:rsid w:val="00486911"/>
    <w:rsid w:val="00491946"/>
    <w:rsid w:val="00491B1E"/>
    <w:rsid w:val="004922BC"/>
    <w:rsid w:val="00495545"/>
    <w:rsid w:val="004A0900"/>
    <w:rsid w:val="004A47D8"/>
    <w:rsid w:val="004A4F79"/>
    <w:rsid w:val="004B7E41"/>
    <w:rsid w:val="004C3C14"/>
    <w:rsid w:val="004D20CF"/>
    <w:rsid w:val="004D2924"/>
    <w:rsid w:val="004E554C"/>
    <w:rsid w:val="004E70E8"/>
    <w:rsid w:val="004F71AC"/>
    <w:rsid w:val="00504CCB"/>
    <w:rsid w:val="00506603"/>
    <w:rsid w:val="00532588"/>
    <w:rsid w:val="0053797E"/>
    <w:rsid w:val="0055128A"/>
    <w:rsid w:val="00551EBE"/>
    <w:rsid w:val="0056105A"/>
    <w:rsid w:val="0056154B"/>
    <w:rsid w:val="005617EF"/>
    <w:rsid w:val="00573E0D"/>
    <w:rsid w:val="00576B3A"/>
    <w:rsid w:val="00577513"/>
    <w:rsid w:val="00580A3B"/>
    <w:rsid w:val="005831CB"/>
    <w:rsid w:val="00590CFC"/>
    <w:rsid w:val="00592BE6"/>
    <w:rsid w:val="005A19CD"/>
    <w:rsid w:val="005A6A03"/>
    <w:rsid w:val="005A6CCE"/>
    <w:rsid w:val="005B02B5"/>
    <w:rsid w:val="005C1AAD"/>
    <w:rsid w:val="005C1C18"/>
    <w:rsid w:val="005C2919"/>
    <w:rsid w:val="005D09C3"/>
    <w:rsid w:val="005D2648"/>
    <w:rsid w:val="005D7314"/>
    <w:rsid w:val="005F1A6D"/>
    <w:rsid w:val="005F47AF"/>
    <w:rsid w:val="0060010C"/>
    <w:rsid w:val="00620078"/>
    <w:rsid w:val="00630F61"/>
    <w:rsid w:val="00635E15"/>
    <w:rsid w:val="0064456C"/>
    <w:rsid w:val="00645424"/>
    <w:rsid w:val="00646DA5"/>
    <w:rsid w:val="006556FC"/>
    <w:rsid w:val="00686854"/>
    <w:rsid w:val="00691D8D"/>
    <w:rsid w:val="006957A4"/>
    <w:rsid w:val="006A2A81"/>
    <w:rsid w:val="006A7507"/>
    <w:rsid w:val="006B6F07"/>
    <w:rsid w:val="006C1834"/>
    <w:rsid w:val="006C396E"/>
    <w:rsid w:val="006D5A8D"/>
    <w:rsid w:val="006D5E78"/>
    <w:rsid w:val="006E2EA2"/>
    <w:rsid w:val="006F0B08"/>
    <w:rsid w:val="006F517D"/>
    <w:rsid w:val="00711866"/>
    <w:rsid w:val="00711F62"/>
    <w:rsid w:val="007251D0"/>
    <w:rsid w:val="007374DF"/>
    <w:rsid w:val="00747565"/>
    <w:rsid w:val="00764269"/>
    <w:rsid w:val="007716D3"/>
    <w:rsid w:val="007838B8"/>
    <w:rsid w:val="00784DB1"/>
    <w:rsid w:val="007A7C5B"/>
    <w:rsid w:val="007B18F0"/>
    <w:rsid w:val="007B7AE1"/>
    <w:rsid w:val="007D086B"/>
    <w:rsid w:val="007D1CF9"/>
    <w:rsid w:val="007D3E2A"/>
    <w:rsid w:val="007E2D69"/>
    <w:rsid w:val="00813DFB"/>
    <w:rsid w:val="00821F3E"/>
    <w:rsid w:val="008315DB"/>
    <w:rsid w:val="00837AD8"/>
    <w:rsid w:val="008423D8"/>
    <w:rsid w:val="008510DA"/>
    <w:rsid w:val="0086290F"/>
    <w:rsid w:val="00886ACD"/>
    <w:rsid w:val="00894AD8"/>
    <w:rsid w:val="008A3762"/>
    <w:rsid w:val="008A4FF9"/>
    <w:rsid w:val="008A5A02"/>
    <w:rsid w:val="008A6AFF"/>
    <w:rsid w:val="008C6813"/>
    <w:rsid w:val="008E016D"/>
    <w:rsid w:val="008F026B"/>
    <w:rsid w:val="008F13BB"/>
    <w:rsid w:val="008F77FE"/>
    <w:rsid w:val="00902DAB"/>
    <w:rsid w:val="009035AA"/>
    <w:rsid w:val="00912BEC"/>
    <w:rsid w:val="009132A3"/>
    <w:rsid w:val="009143B3"/>
    <w:rsid w:val="00921B4B"/>
    <w:rsid w:val="009274A7"/>
    <w:rsid w:val="00931902"/>
    <w:rsid w:val="00937FA7"/>
    <w:rsid w:val="00943011"/>
    <w:rsid w:val="009531B8"/>
    <w:rsid w:val="009678F7"/>
    <w:rsid w:val="00972E25"/>
    <w:rsid w:val="0097626F"/>
    <w:rsid w:val="00990515"/>
    <w:rsid w:val="0099793B"/>
    <w:rsid w:val="009B318A"/>
    <w:rsid w:val="009B33BA"/>
    <w:rsid w:val="009B4250"/>
    <w:rsid w:val="009B74B0"/>
    <w:rsid w:val="009C3BED"/>
    <w:rsid w:val="009C6E4F"/>
    <w:rsid w:val="009E305C"/>
    <w:rsid w:val="009E3C01"/>
    <w:rsid w:val="009E40B5"/>
    <w:rsid w:val="009F3150"/>
    <w:rsid w:val="00A04BB6"/>
    <w:rsid w:val="00A32E2F"/>
    <w:rsid w:val="00A3742E"/>
    <w:rsid w:val="00A429A4"/>
    <w:rsid w:val="00A5248F"/>
    <w:rsid w:val="00A66A56"/>
    <w:rsid w:val="00A70AC8"/>
    <w:rsid w:val="00A91C39"/>
    <w:rsid w:val="00A954AE"/>
    <w:rsid w:val="00A9681E"/>
    <w:rsid w:val="00AC1E2B"/>
    <w:rsid w:val="00AD336C"/>
    <w:rsid w:val="00AE3F51"/>
    <w:rsid w:val="00AF34E9"/>
    <w:rsid w:val="00AF5531"/>
    <w:rsid w:val="00B027D8"/>
    <w:rsid w:val="00B070E8"/>
    <w:rsid w:val="00B07396"/>
    <w:rsid w:val="00B10C88"/>
    <w:rsid w:val="00B1659B"/>
    <w:rsid w:val="00B34769"/>
    <w:rsid w:val="00B37AC6"/>
    <w:rsid w:val="00B42E3E"/>
    <w:rsid w:val="00B50C14"/>
    <w:rsid w:val="00B52224"/>
    <w:rsid w:val="00B64F03"/>
    <w:rsid w:val="00B820C9"/>
    <w:rsid w:val="00B858F1"/>
    <w:rsid w:val="00B86751"/>
    <w:rsid w:val="00BA67FF"/>
    <w:rsid w:val="00BC1AE7"/>
    <w:rsid w:val="00BC283E"/>
    <w:rsid w:val="00BC437B"/>
    <w:rsid w:val="00BC6A9C"/>
    <w:rsid w:val="00BD2BE8"/>
    <w:rsid w:val="00BF6252"/>
    <w:rsid w:val="00BF65F4"/>
    <w:rsid w:val="00C04F3F"/>
    <w:rsid w:val="00C17F00"/>
    <w:rsid w:val="00C362B6"/>
    <w:rsid w:val="00C53D81"/>
    <w:rsid w:val="00C67C8B"/>
    <w:rsid w:val="00C713AC"/>
    <w:rsid w:val="00C72C69"/>
    <w:rsid w:val="00C72FD5"/>
    <w:rsid w:val="00C84CAD"/>
    <w:rsid w:val="00C85B63"/>
    <w:rsid w:val="00C9523D"/>
    <w:rsid w:val="00CB00EB"/>
    <w:rsid w:val="00CC427D"/>
    <w:rsid w:val="00CD1ED3"/>
    <w:rsid w:val="00CD3F0C"/>
    <w:rsid w:val="00CE10C4"/>
    <w:rsid w:val="00CE6C99"/>
    <w:rsid w:val="00CF1CED"/>
    <w:rsid w:val="00CF2B8A"/>
    <w:rsid w:val="00CF517F"/>
    <w:rsid w:val="00CF6C12"/>
    <w:rsid w:val="00D01CC2"/>
    <w:rsid w:val="00D114CF"/>
    <w:rsid w:val="00D224D5"/>
    <w:rsid w:val="00D41461"/>
    <w:rsid w:val="00D57754"/>
    <w:rsid w:val="00D65179"/>
    <w:rsid w:val="00D72E5E"/>
    <w:rsid w:val="00D81435"/>
    <w:rsid w:val="00D81B6E"/>
    <w:rsid w:val="00DC3420"/>
    <w:rsid w:val="00DD2EFE"/>
    <w:rsid w:val="00DD7745"/>
    <w:rsid w:val="00DD78B0"/>
    <w:rsid w:val="00DF089C"/>
    <w:rsid w:val="00DF0B29"/>
    <w:rsid w:val="00DF2E9A"/>
    <w:rsid w:val="00DF45C9"/>
    <w:rsid w:val="00E0171A"/>
    <w:rsid w:val="00E02F1C"/>
    <w:rsid w:val="00E14ED2"/>
    <w:rsid w:val="00E17671"/>
    <w:rsid w:val="00E246FD"/>
    <w:rsid w:val="00E401E2"/>
    <w:rsid w:val="00E70FC9"/>
    <w:rsid w:val="00E933E2"/>
    <w:rsid w:val="00EA57A7"/>
    <w:rsid w:val="00EB05BD"/>
    <w:rsid w:val="00EC7D80"/>
    <w:rsid w:val="00EE40B8"/>
    <w:rsid w:val="00EE4F1B"/>
    <w:rsid w:val="00EF0D46"/>
    <w:rsid w:val="00EF1736"/>
    <w:rsid w:val="00EF238F"/>
    <w:rsid w:val="00EF3B7E"/>
    <w:rsid w:val="00EF5096"/>
    <w:rsid w:val="00F01FA1"/>
    <w:rsid w:val="00F11E02"/>
    <w:rsid w:val="00F125B3"/>
    <w:rsid w:val="00F15869"/>
    <w:rsid w:val="00F20411"/>
    <w:rsid w:val="00F347DB"/>
    <w:rsid w:val="00F3524E"/>
    <w:rsid w:val="00F3716C"/>
    <w:rsid w:val="00F471A1"/>
    <w:rsid w:val="00F5007F"/>
    <w:rsid w:val="00F522FD"/>
    <w:rsid w:val="00F7560A"/>
    <w:rsid w:val="00F8581D"/>
    <w:rsid w:val="00F858F9"/>
    <w:rsid w:val="00F901C2"/>
    <w:rsid w:val="00FA022A"/>
    <w:rsid w:val="00FA40CB"/>
    <w:rsid w:val="00FA478E"/>
    <w:rsid w:val="00FC7896"/>
    <w:rsid w:val="00FD64B4"/>
    <w:rsid w:val="00FD7DD7"/>
    <w:rsid w:val="00FE590C"/>
    <w:rsid w:val="00FF133D"/>
    <w:rsid w:val="00FF6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6F2A0"/>
  <w15:chartTrackingRefBased/>
  <w15:docId w15:val="{9A2FCD59-11D2-4A6C-8F71-D3F792768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HTML Typewriter"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pPr>
      <w:spacing w:after="240"/>
    </w:pPr>
  </w:style>
  <w:style w:type="character" w:styleId="Hyperlink">
    <w:name w:val="Hyperlink"/>
    <w:basedOn w:val="DefaultParagraphFont"/>
    <w:uiPriority w:val="99"/>
    <w:rsid w:val="00902DAB"/>
    <w:rPr>
      <w:color w:val="0563C1" w:themeColor="hyperlink"/>
      <w:u w:val="single"/>
    </w:rPr>
  </w:style>
  <w:style w:type="paragraph" w:styleId="NormalWeb">
    <w:name w:val="Normal (Web)"/>
    <w:basedOn w:val="Normal"/>
    <w:rsid w:val="00902DAB"/>
  </w:style>
  <w:style w:type="paragraph" w:styleId="ListParagraph">
    <w:name w:val="List Paragraph"/>
    <w:basedOn w:val="Normal"/>
    <w:uiPriority w:val="34"/>
    <w:qFormat/>
    <w:rsid w:val="00F20411"/>
    <w:pPr>
      <w:ind w:left="720"/>
      <w:contextualSpacing/>
    </w:pPr>
  </w:style>
  <w:style w:type="table" w:styleId="TableGrid">
    <w:name w:val="Table Grid"/>
    <w:basedOn w:val="TableNormal"/>
    <w:rsid w:val="00FE59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057C6F"/>
    <w:pPr>
      <w:spacing w:after="200"/>
    </w:pPr>
    <w:rPr>
      <w:i/>
      <w:iCs/>
      <w:color w:val="44546A" w:themeColor="text2"/>
      <w:sz w:val="18"/>
      <w:szCs w:val="18"/>
    </w:rPr>
  </w:style>
  <w:style w:type="paragraph" w:styleId="TOCHeading">
    <w:name w:val="TOC Heading"/>
    <w:basedOn w:val="Heading1"/>
    <w:next w:val="Normal"/>
    <w:uiPriority w:val="39"/>
    <w:unhideWhenUsed/>
    <w:qFormat/>
    <w:rsid w:val="00126C9D"/>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rsid w:val="00126C9D"/>
    <w:pPr>
      <w:spacing w:after="100"/>
    </w:pPr>
  </w:style>
  <w:style w:type="paragraph" w:styleId="TOC2">
    <w:name w:val="toc 2"/>
    <w:basedOn w:val="Normal"/>
    <w:next w:val="Normal"/>
    <w:autoRedefine/>
    <w:uiPriority w:val="39"/>
    <w:rsid w:val="00126C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s>
</file>

<file path=customXml/itemProps1.xml><?xml version="1.0" encoding="utf-8"?>
<ds:datastoreItem xmlns:ds="http://schemas.openxmlformats.org/officeDocument/2006/customXml" ds:itemID="{F54D30D6-1AE2-417E-83BF-65439919D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3425</Words>
  <Characters>57733</Characters>
  <Application>Microsoft Office Word</Application>
  <DocSecurity>0</DocSecurity>
  <Lines>481</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Alexandra Gjoka</cp:lastModifiedBy>
  <cp:revision>2</cp:revision>
  <dcterms:created xsi:type="dcterms:W3CDTF">2025-02-28T03:03:00Z</dcterms:created>
  <dcterms:modified xsi:type="dcterms:W3CDTF">2025-02-28T03:03:00Z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id="Co84LeP2"/&gt;&lt;style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