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36D65" w14:textId="0DD345D2" w:rsidR="00102534" w:rsidRPr="00102534" w:rsidRDefault="00102534" w:rsidP="00102534">
      <w:pPr>
        <w:spacing w:line="360" w:lineRule="auto"/>
        <w:jc w:val="both"/>
        <w:rPr>
          <w:rFonts w:ascii="Arial" w:eastAsia="Arial" w:hAnsi="Arial" w:cs="Arial"/>
          <w:b/>
          <w:bCs/>
        </w:rPr>
      </w:pPr>
      <w:r w:rsidRPr="00102534">
        <w:rPr>
          <w:rFonts w:ascii="Arial" w:eastAsia="Arial" w:hAnsi="Arial" w:cs="Arial"/>
          <w:b/>
          <w:bCs/>
        </w:rPr>
        <w:t>Section 1</w:t>
      </w:r>
      <w:r w:rsidRPr="00102534">
        <w:rPr>
          <w:rFonts w:ascii="Arial" w:eastAsia="Arial" w:hAnsi="Arial" w:cs="Arial"/>
          <w:b/>
          <w:bCs/>
        </w:rPr>
        <w:tab/>
      </w:r>
      <w:r>
        <w:rPr>
          <w:rFonts w:ascii="Arial" w:eastAsia="Arial" w:hAnsi="Arial" w:cs="Arial"/>
          <w:b/>
          <w:bCs/>
        </w:rPr>
        <w:br/>
      </w:r>
      <w:r>
        <w:rPr>
          <w:rFonts w:ascii="Arial" w:eastAsia="Arial" w:hAnsi="Arial" w:cs="Arial"/>
          <w:b/>
          <w:bCs/>
        </w:rPr>
        <w:br/>
      </w:r>
      <w:r w:rsidRPr="00102534">
        <w:rPr>
          <w:rFonts w:ascii="Arial" w:eastAsia="Arial" w:hAnsi="Arial" w:cs="Arial"/>
          <w:b/>
          <w:bCs/>
        </w:rPr>
        <w:t xml:space="preserve">Philosophical Foundations and Theoretical </w:t>
      </w:r>
      <w:r w:rsidR="00FA1EF6">
        <w:rPr>
          <w:rFonts w:ascii="Arial" w:eastAsia="Arial" w:hAnsi="Arial" w:cs="Arial"/>
          <w:b/>
          <w:bCs/>
        </w:rPr>
        <w:t>Approaches</w:t>
      </w:r>
    </w:p>
    <w:p w14:paraId="0DFFDD58"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The Foundation Phase in Wales and the Reggio Emilia approach both promote play as central to early learning, yet their educational philosophies differ significantly. The Foundation Phase is grounded in developmental constructivism, drawing on the work of Piaget and expanded through experiential models such as those proposed by Donaldson (McLachlan</w:t>
      </w:r>
      <w:r w:rsidRPr="00102534">
        <w:rPr>
          <w:rFonts w:ascii="Arial" w:eastAsia="Arial" w:hAnsi="Arial" w:cs="Arial"/>
          <w:i/>
          <w:iCs/>
        </w:rPr>
        <w:t xml:space="preserve"> et al.</w:t>
      </w:r>
      <w:r w:rsidRPr="00102534">
        <w:rPr>
          <w:rFonts w:ascii="Arial" w:eastAsia="Arial" w:hAnsi="Arial" w:cs="Arial"/>
        </w:rPr>
        <w:t xml:space="preserve">, 2018). It frames learning as a process of building knowledge through meaningful engagement with the environment, supported by adults who scaffold development (Waller </w:t>
      </w:r>
      <w:r w:rsidRPr="00102534">
        <w:rPr>
          <w:rFonts w:ascii="Arial" w:eastAsia="Arial" w:hAnsi="Arial" w:cs="Arial"/>
          <w:i/>
          <w:iCs/>
        </w:rPr>
        <w:t>et al</w:t>
      </w:r>
      <w:r w:rsidRPr="00102534">
        <w:rPr>
          <w:rFonts w:ascii="Arial" w:eastAsia="Arial" w:hAnsi="Arial" w:cs="Arial"/>
        </w:rPr>
        <w:t xml:space="preserve">., 2011; Donaldson, 2015). This aligns with the idea of structured progression, where the curriculum supports children in achieving specific learning outcomes. Play is valued, but often within the parameters of national expectations and curriculum accountability. While this approach balances child-centred values with consistency, it has been critiqued for potentially narrowing learning to standardised targets (Beckley, 2012; Dahlberg </w:t>
      </w:r>
      <w:r w:rsidRPr="00102534">
        <w:rPr>
          <w:rFonts w:ascii="Arial" w:eastAsia="Arial" w:hAnsi="Arial" w:cs="Arial"/>
          <w:i/>
          <w:iCs/>
        </w:rPr>
        <w:t>et al</w:t>
      </w:r>
      <w:r w:rsidRPr="00102534">
        <w:rPr>
          <w:rFonts w:ascii="Arial" w:eastAsia="Arial" w:hAnsi="Arial" w:cs="Arial"/>
        </w:rPr>
        <w:t>., 2007).</w:t>
      </w:r>
    </w:p>
    <w:p w14:paraId="4ACA1F16" w14:textId="77777777" w:rsidR="00102534" w:rsidRPr="00102534" w:rsidRDefault="00102534" w:rsidP="00102534">
      <w:pPr>
        <w:spacing w:line="360" w:lineRule="auto"/>
        <w:jc w:val="both"/>
        <w:rPr>
          <w:rFonts w:ascii="Arial" w:eastAsia="Arial" w:hAnsi="Arial" w:cs="Arial"/>
        </w:rPr>
      </w:pPr>
    </w:p>
    <w:p w14:paraId="2BDB2208"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Reggio Emilia, in contrast, is rooted in sociocultural theory, particularly Vygotsky, but also incorporates postmodern ideas. Malaguzzi’s philosophy positions the child as rich in potential, learning through collaboration, exploration and dialogue with others (Edwards </w:t>
      </w:r>
      <w:r w:rsidRPr="00102534">
        <w:rPr>
          <w:rFonts w:ascii="Arial" w:eastAsia="Arial" w:hAnsi="Arial" w:cs="Arial"/>
          <w:i/>
          <w:iCs/>
        </w:rPr>
        <w:t>et al</w:t>
      </w:r>
      <w:r w:rsidRPr="00102534">
        <w:rPr>
          <w:rFonts w:ascii="Arial" w:eastAsia="Arial" w:hAnsi="Arial" w:cs="Arial"/>
        </w:rPr>
        <w:t xml:space="preserve">., 2012; Rinaldi, 2006). Learning is seen not as a linear process but as emergent, contextual and co-constructed. This challenge’s fixed developmental models and promotes multiple pathways of growth, shaped by the child’s culture and environment (Dahlberg </w:t>
      </w:r>
      <w:r w:rsidRPr="00102534">
        <w:rPr>
          <w:rFonts w:ascii="Arial" w:eastAsia="Arial" w:hAnsi="Arial" w:cs="Arial"/>
          <w:i/>
          <w:iCs/>
        </w:rPr>
        <w:t>et al</w:t>
      </w:r>
      <w:r w:rsidRPr="00102534">
        <w:rPr>
          <w:rFonts w:ascii="Arial" w:eastAsia="Arial" w:hAnsi="Arial" w:cs="Arial"/>
        </w:rPr>
        <w:t xml:space="preserve">., 2007; Trevarthen </w:t>
      </w:r>
      <w:r w:rsidRPr="00102534">
        <w:rPr>
          <w:rFonts w:ascii="Arial" w:eastAsia="Arial" w:hAnsi="Arial" w:cs="Arial"/>
          <w:i/>
          <w:iCs/>
        </w:rPr>
        <w:t>et al</w:t>
      </w:r>
      <w:r w:rsidRPr="00102534">
        <w:rPr>
          <w:rFonts w:ascii="Arial" w:eastAsia="Arial" w:hAnsi="Arial" w:cs="Arial"/>
        </w:rPr>
        <w:t>., 2018). Unlike the Foundation Phase, curriculum content in Reggio is not predefined but evolves from children’s inquiries and shared investigations.</w:t>
      </w:r>
    </w:p>
    <w:p w14:paraId="69CCB1A6" w14:textId="77777777" w:rsidR="00102534" w:rsidRPr="00102534" w:rsidRDefault="00102534" w:rsidP="00102534">
      <w:pPr>
        <w:spacing w:line="360" w:lineRule="auto"/>
        <w:jc w:val="both"/>
        <w:rPr>
          <w:rFonts w:ascii="Arial" w:eastAsia="Arial" w:hAnsi="Arial" w:cs="Arial"/>
        </w:rPr>
      </w:pPr>
    </w:p>
    <w:p w14:paraId="10B55511"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The image of the child in each model further reflects these philosophical differences. The Foundation Phase promotes the “unique child” (DfE, 2024), focusing on personal interests and developmental variation (Welsh Government, 2022a). However, its structure remains linked to progression steps and assessment frameworks. Reggio, on the other hand, presents the child as a rights-holder and active contributor to their learning, capable of </w:t>
      </w:r>
      <w:r w:rsidRPr="00102534">
        <w:rPr>
          <w:rFonts w:ascii="Arial" w:eastAsia="Arial" w:hAnsi="Arial" w:cs="Arial"/>
        </w:rPr>
        <w:lastRenderedPageBreak/>
        <w:t>expressing themselves in “a hundred languages” (Rinaldi, 2006). This image transforms the adult’s role from planner and assessor to listener and co-learner, allowing more reciprocal and democratic learning relationships (McNally and Slutsky, 2017).</w:t>
      </w:r>
    </w:p>
    <w:p w14:paraId="55CEAE2D" w14:textId="77777777" w:rsidR="00102534" w:rsidRPr="00102534" w:rsidRDefault="00102534" w:rsidP="00102534">
      <w:pPr>
        <w:spacing w:line="360" w:lineRule="auto"/>
        <w:jc w:val="both"/>
        <w:rPr>
          <w:rFonts w:ascii="Arial" w:eastAsia="Arial" w:hAnsi="Arial" w:cs="Arial"/>
        </w:rPr>
      </w:pPr>
    </w:p>
    <w:p w14:paraId="178D1D95"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Ultimately, the structure of each curriculum mirrors its philosophy. The Foundation Phase offers national consistency but may limit practitioner flexibility and personalised inquiry (Thomas and Lewis, 2016). Reggio’s approach, while more responsive, depends on professional autonomy and sustained reflective practice (Rinaldi, 2006). Both value play and agency but differ in the level of freedom afforded to children and educators (Carr, 2001).</w:t>
      </w:r>
    </w:p>
    <w:p w14:paraId="20B5A22A" w14:textId="77777777" w:rsidR="00102534" w:rsidRPr="00102534" w:rsidRDefault="00102534" w:rsidP="00102534">
      <w:pPr>
        <w:spacing w:line="360" w:lineRule="auto"/>
        <w:jc w:val="both"/>
        <w:rPr>
          <w:rFonts w:ascii="Arial" w:eastAsia="Arial" w:hAnsi="Arial" w:cs="Arial"/>
        </w:rPr>
      </w:pPr>
    </w:p>
    <w:p w14:paraId="1BB49DA5" w14:textId="77777777" w:rsidR="00102534" w:rsidRDefault="00102534" w:rsidP="00102534">
      <w:pPr>
        <w:spacing w:line="360" w:lineRule="auto"/>
        <w:jc w:val="both"/>
        <w:rPr>
          <w:rFonts w:ascii="Arial" w:eastAsia="Arial" w:hAnsi="Arial" w:cs="Arial"/>
          <w:b/>
          <w:bCs/>
        </w:rPr>
      </w:pPr>
      <w:r w:rsidRPr="00102534">
        <w:rPr>
          <w:rFonts w:ascii="Arial" w:eastAsia="Arial" w:hAnsi="Arial" w:cs="Arial"/>
          <w:b/>
          <w:bCs/>
        </w:rPr>
        <w:t>Curriculum Structure and the Role of the Adult</w:t>
      </w:r>
    </w:p>
    <w:p w14:paraId="7B108579"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The structure of a curriculum reflects its view of learning and directly informs the role of the adult (McLachlan</w:t>
      </w:r>
      <w:r w:rsidRPr="00102534">
        <w:rPr>
          <w:rFonts w:ascii="Arial" w:eastAsia="Arial" w:hAnsi="Arial" w:cs="Arial"/>
          <w:i/>
          <w:iCs/>
        </w:rPr>
        <w:t xml:space="preserve"> et al.</w:t>
      </w:r>
      <w:r w:rsidRPr="00102534">
        <w:rPr>
          <w:rFonts w:ascii="Arial" w:eastAsia="Arial" w:hAnsi="Arial" w:cs="Arial"/>
        </w:rPr>
        <w:t>, 2018). In the Foundation Phase, the curriculum is statutory, outlining seven Areas of Learning supported by developmental pathways and progression steps (Welsh Government, 2022a). While it encourages experiential, play-based learning, practitioners are required to plan structured activities aligned with national outcomes. This creates a tension between promoting child-led inquiry and ensuring curriculum coverage. Adults must balance responsiveness to children’s interests with accountability for measurable progress. Thomas and Lewis (2016) note that these expectations often lead practitioners to adopt more adult-led practices than the curriculum proposes.</w:t>
      </w:r>
    </w:p>
    <w:p w14:paraId="5B7BCC11" w14:textId="77777777" w:rsidR="00102534" w:rsidRPr="00102534" w:rsidRDefault="00102534" w:rsidP="00102534">
      <w:pPr>
        <w:spacing w:line="360" w:lineRule="auto"/>
        <w:jc w:val="both"/>
        <w:rPr>
          <w:rFonts w:ascii="Arial" w:eastAsia="Arial" w:hAnsi="Arial" w:cs="Arial"/>
        </w:rPr>
      </w:pPr>
    </w:p>
    <w:p w14:paraId="43DD7E8C"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Reggio Emilia contrasts sharply by rejecting a fixed curriculum and promoting an emergent model in which learning themes develop from children's interests. Practitioners observe closely and document children's actions, using this to guide reflective, collaborative planning (Rinaldi, 2006; Edwards </w:t>
      </w:r>
      <w:r w:rsidRPr="00102534">
        <w:rPr>
          <w:rFonts w:ascii="Arial" w:eastAsia="Arial" w:hAnsi="Arial" w:cs="Arial"/>
          <w:i/>
          <w:iCs/>
        </w:rPr>
        <w:t>et al</w:t>
      </w:r>
      <w:r w:rsidRPr="00102534">
        <w:rPr>
          <w:rFonts w:ascii="Arial" w:eastAsia="Arial" w:hAnsi="Arial" w:cs="Arial"/>
        </w:rPr>
        <w:t>., 2012). The adult is positioned as a co-researcher, rather than a sharer of knowledge, responsive to children's inquiries. McNally and Slutsky (2017) argue this role change, demands a high level of professional confidence and a culture that supports educator autonomy, conditions not always present.</w:t>
      </w:r>
    </w:p>
    <w:p w14:paraId="264B089E" w14:textId="77777777" w:rsidR="00102534" w:rsidRPr="00102534" w:rsidRDefault="00102534" w:rsidP="00102534">
      <w:pPr>
        <w:spacing w:line="360" w:lineRule="auto"/>
        <w:jc w:val="both"/>
        <w:rPr>
          <w:rFonts w:ascii="Arial" w:eastAsia="Arial" w:hAnsi="Arial" w:cs="Arial"/>
        </w:rPr>
      </w:pPr>
    </w:p>
    <w:p w14:paraId="234CA9FC" w14:textId="77777777" w:rsidR="00102534" w:rsidRDefault="00102534" w:rsidP="00102534">
      <w:pPr>
        <w:spacing w:line="360" w:lineRule="auto"/>
        <w:jc w:val="both"/>
        <w:rPr>
          <w:rFonts w:ascii="Arial" w:eastAsia="Arial" w:hAnsi="Arial" w:cs="Arial"/>
        </w:rPr>
      </w:pPr>
      <w:r w:rsidRPr="00102534">
        <w:rPr>
          <w:rFonts w:ascii="Arial" w:eastAsia="Arial" w:hAnsi="Arial" w:cs="Arial"/>
        </w:rPr>
        <w:lastRenderedPageBreak/>
        <w:t xml:space="preserve">These contrasting roles carry implications for power and control in the classroom (Dahlberg </w:t>
      </w:r>
      <w:r w:rsidRPr="00102534">
        <w:rPr>
          <w:rFonts w:ascii="Arial" w:eastAsia="Arial" w:hAnsi="Arial" w:cs="Arial"/>
          <w:i/>
          <w:iCs/>
        </w:rPr>
        <w:t>et al.</w:t>
      </w:r>
      <w:r w:rsidRPr="00102534">
        <w:rPr>
          <w:rFonts w:ascii="Arial" w:eastAsia="Arial" w:hAnsi="Arial" w:cs="Arial"/>
        </w:rPr>
        <w:t>, 2007). Foundation Phase guidance defines adults as “enablers” (Welsh Government, 2023), tasked with designing rich environments and supporting holistic development. However, accountability frameworks often require practitioners to evidence progress through documentation and tracking. Maynard and Chicken (2010) highlight how this can shift the focus from child-led play to adult-steered learning. Cable, Miller and Drury (2012) reinforce this, suggesting that in high-stakes systems, educators may settle to safer, more directive strategies to meet expectations.</w:t>
      </w:r>
    </w:p>
    <w:p w14:paraId="50927034" w14:textId="77777777" w:rsidR="00102534" w:rsidRPr="00102534" w:rsidRDefault="00102534" w:rsidP="00102534">
      <w:pPr>
        <w:spacing w:line="360" w:lineRule="auto"/>
        <w:jc w:val="both"/>
        <w:rPr>
          <w:rFonts w:ascii="Arial" w:eastAsia="Arial" w:hAnsi="Arial" w:cs="Arial"/>
        </w:rPr>
      </w:pPr>
    </w:p>
    <w:p w14:paraId="4F21FC51"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In Reggio settings, power is more evenly distributed. Adults step back to allow children’s interests to lead the curriculum, supporting deeper exploration and creativity. However, this approach requires extensive reflection, professional development, and institutional trust (Carr, 2001). Without these supports, there is a risk of misinterpreting or weakening Reggio’s intent.</w:t>
      </w:r>
    </w:p>
    <w:p w14:paraId="724E343B" w14:textId="77777777" w:rsidR="00102534" w:rsidRPr="00102534" w:rsidRDefault="00102534" w:rsidP="00102534">
      <w:pPr>
        <w:spacing w:line="360" w:lineRule="auto"/>
        <w:jc w:val="both"/>
        <w:rPr>
          <w:rFonts w:ascii="Arial" w:eastAsia="Arial" w:hAnsi="Arial" w:cs="Arial"/>
        </w:rPr>
      </w:pPr>
    </w:p>
    <w:p w14:paraId="65D98C1C"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In summary, while both approaches frame adults as key facilitators of learning, the structures in which they operate differ significantly. The Foundation Phase promotes equity and consistency but often constrains practitioner autonomy. Reggio offers greater flexibility and responsiveness but depends on systemic conditions that may not be easily replicated. These differences reflect broader tensions between curriculum accountability and professional freedom.</w:t>
      </w:r>
    </w:p>
    <w:p w14:paraId="7702D6CF" w14:textId="77777777" w:rsidR="00102534" w:rsidRPr="00102534" w:rsidRDefault="00102534" w:rsidP="00102534">
      <w:pPr>
        <w:spacing w:line="360" w:lineRule="auto"/>
        <w:jc w:val="both"/>
        <w:rPr>
          <w:rFonts w:ascii="Arial" w:eastAsia="Arial" w:hAnsi="Arial" w:cs="Arial"/>
        </w:rPr>
      </w:pPr>
    </w:p>
    <w:p w14:paraId="65E10275" w14:textId="3941AE8C" w:rsidR="00102534" w:rsidRDefault="00FA1EF6" w:rsidP="00102534">
      <w:pPr>
        <w:spacing w:line="360" w:lineRule="auto"/>
        <w:jc w:val="both"/>
        <w:rPr>
          <w:rFonts w:ascii="Arial" w:eastAsia="Arial" w:hAnsi="Arial" w:cs="Arial"/>
          <w:b/>
          <w:bCs/>
        </w:rPr>
      </w:pPr>
      <w:r>
        <w:rPr>
          <w:rFonts w:ascii="Arial" w:eastAsia="Arial" w:hAnsi="Arial" w:cs="Arial"/>
          <w:b/>
          <w:bCs/>
        </w:rPr>
        <w:t>Pedagogical Approaches and the Learning Environment</w:t>
      </w:r>
    </w:p>
    <w:p w14:paraId="04283F1D"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The environment is positioned as a vital element in both the Foundation Phase and Reggio Emilia approaches, yet each conceptualises its purpose differently. In the Foundation Phase, the environment is designed to promote child-initiated play, active learning, and holistic development, with guidance encouraging the use of both indoor and outdoor spaces (Welsh Government, 2023). Provision areas aim to foster independence and choice but are ultimately organised around pre-planned learning goals. As such, environments may reflect adult intentions more than child-led discovery (File </w:t>
      </w:r>
      <w:r w:rsidRPr="00102534">
        <w:rPr>
          <w:rFonts w:ascii="Arial" w:eastAsia="Arial" w:hAnsi="Arial" w:cs="Arial"/>
          <w:i/>
          <w:iCs/>
        </w:rPr>
        <w:t>et al</w:t>
      </w:r>
      <w:r w:rsidRPr="00102534">
        <w:rPr>
          <w:rFonts w:ascii="Arial" w:eastAsia="Arial" w:hAnsi="Arial" w:cs="Arial"/>
        </w:rPr>
        <w:t xml:space="preserve">., 2012). </w:t>
      </w:r>
      <w:r w:rsidRPr="00102534">
        <w:rPr>
          <w:rFonts w:ascii="Arial" w:eastAsia="Arial" w:hAnsi="Arial" w:cs="Arial"/>
        </w:rPr>
        <w:lastRenderedPageBreak/>
        <w:t>Hodgman (2011) argues that despite aspirations for autonomy, early years settings often embed adult agendas within the design of learning spaces.</w:t>
      </w:r>
    </w:p>
    <w:p w14:paraId="230D565D" w14:textId="77777777" w:rsidR="00102534" w:rsidRPr="00102534" w:rsidRDefault="00102534" w:rsidP="00102534">
      <w:pPr>
        <w:spacing w:line="360" w:lineRule="auto"/>
        <w:jc w:val="both"/>
        <w:rPr>
          <w:rFonts w:ascii="Arial" w:eastAsia="Arial" w:hAnsi="Arial" w:cs="Arial"/>
        </w:rPr>
      </w:pPr>
    </w:p>
    <w:p w14:paraId="1709F1A3"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Reggio Emilia offers a more relational and open-ended view, referring to the environment as the “third teacher”, a co-constructor of knowledge that reflects and responds to children’s thinking (Edwards </w:t>
      </w:r>
      <w:r w:rsidRPr="00102534">
        <w:rPr>
          <w:rFonts w:ascii="Arial" w:eastAsia="Arial" w:hAnsi="Arial" w:cs="Arial"/>
          <w:i/>
          <w:iCs/>
        </w:rPr>
        <w:t>et al</w:t>
      </w:r>
      <w:r w:rsidRPr="00102534">
        <w:rPr>
          <w:rFonts w:ascii="Arial" w:eastAsia="Arial" w:hAnsi="Arial" w:cs="Arial"/>
        </w:rPr>
        <w:t>., 2012; Rinaldi, 2006). Materials are carefully arranged to provoke inquiry, creativity and exploration, not just to deliver predetermined outcomes. Ateliers (studio spaces) and loose parts play invite multiple modes of expression and interpretation. McNally and Slutsky (2017) note that in Reggio settings, spatial design is central to pedagogy, enabling children to construct meaning through interaction with their surroundings. This reflects a deeper trust in the child’s capacity to lead their learning journey (Carr, 2001).</w:t>
      </w:r>
    </w:p>
    <w:p w14:paraId="749B4314" w14:textId="77777777" w:rsidR="00102534" w:rsidRPr="00102534" w:rsidRDefault="00102534" w:rsidP="00102534">
      <w:pPr>
        <w:spacing w:line="360" w:lineRule="auto"/>
        <w:jc w:val="both"/>
        <w:rPr>
          <w:rFonts w:ascii="Arial" w:eastAsia="Arial" w:hAnsi="Arial" w:cs="Arial"/>
        </w:rPr>
      </w:pPr>
    </w:p>
    <w:p w14:paraId="7387B33C"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These differing environmental roles stem from divergent views of how learning unfolds. In the Foundation Phase, the environment supports play but is bound by curriculum expectations and progression steps, often requiring alignment with inspection or assessment standards. While this provides structure and clarity for practitioners, it may limit the extent to which the environment functions as a truly interactive learning space. In Reggio Emilia, environments evolve in response to children’s inquiries, shaped through observation, documentation, and adult-child dialogue. This dynamic process positions pedagogy as emergent and collaborative, not prescribed.</w:t>
      </w:r>
    </w:p>
    <w:p w14:paraId="7C439E75" w14:textId="77777777" w:rsidR="00102534" w:rsidRPr="00102534" w:rsidRDefault="00102534" w:rsidP="00102534">
      <w:pPr>
        <w:spacing w:line="360" w:lineRule="auto"/>
        <w:jc w:val="both"/>
        <w:rPr>
          <w:rFonts w:ascii="Arial" w:eastAsia="Arial" w:hAnsi="Arial" w:cs="Arial"/>
        </w:rPr>
      </w:pPr>
    </w:p>
    <w:p w14:paraId="37F3E767"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Critically, both models value the role of the environment, yet diverge in the level of agency afforded to children within it. The Foundation Phase promotes choice within adult-defined parameters, whereas Reggio enables children to co-shape the space and the learning that occurs within it. Canning and Reed (2012) suggest that enabling such responsive environments requires time, trust, and reflective practice, elements often constrained by the demands of outcome-driven systems. This contrast highlights broader tensions between structure and flexibility, and between adult planning and child-led exploration (Dahlberg </w:t>
      </w:r>
      <w:r w:rsidRPr="00102534">
        <w:rPr>
          <w:rFonts w:ascii="Arial" w:eastAsia="Arial" w:hAnsi="Arial" w:cs="Arial"/>
          <w:i/>
          <w:iCs/>
        </w:rPr>
        <w:t>et al</w:t>
      </w:r>
      <w:r w:rsidRPr="00102534">
        <w:rPr>
          <w:rFonts w:ascii="Arial" w:eastAsia="Arial" w:hAnsi="Arial" w:cs="Arial"/>
        </w:rPr>
        <w:t>., 2007).</w:t>
      </w:r>
    </w:p>
    <w:p w14:paraId="5E34B004" w14:textId="77777777" w:rsidR="00102534" w:rsidRPr="00102534" w:rsidRDefault="00102534" w:rsidP="00102534">
      <w:pPr>
        <w:spacing w:line="360" w:lineRule="auto"/>
        <w:jc w:val="both"/>
        <w:rPr>
          <w:rFonts w:ascii="Arial" w:eastAsia="Arial" w:hAnsi="Arial" w:cs="Arial"/>
        </w:rPr>
      </w:pPr>
    </w:p>
    <w:p w14:paraId="230135C2" w14:textId="27D1FF03" w:rsidR="00102534" w:rsidRDefault="00102534" w:rsidP="00102534">
      <w:pPr>
        <w:spacing w:line="360" w:lineRule="auto"/>
        <w:jc w:val="both"/>
        <w:rPr>
          <w:rFonts w:ascii="Arial" w:eastAsia="Arial" w:hAnsi="Arial" w:cs="Arial"/>
          <w:b/>
          <w:bCs/>
        </w:rPr>
      </w:pPr>
      <w:r w:rsidRPr="00102534">
        <w:rPr>
          <w:rFonts w:ascii="Arial" w:eastAsia="Arial" w:hAnsi="Arial" w:cs="Arial"/>
          <w:b/>
          <w:bCs/>
        </w:rPr>
        <w:lastRenderedPageBreak/>
        <w:t>Accountability and Contextual Implementation</w:t>
      </w:r>
    </w:p>
    <w:p w14:paraId="00781711" w14:textId="0B0CE057" w:rsidR="00102534" w:rsidRDefault="00102534" w:rsidP="00102534">
      <w:pPr>
        <w:spacing w:line="360" w:lineRule="auto"/>
        <w:jc w:val="both"/>
        <w:rPr>
          <w:rFonts w:ascii="Arial" w:eastAsia="Arial" w:hAnsi="Arial" w:cs="Arial"/>
        </w:rPr>
      </w:pPr>
      <w:r w:rsidRPr="00102534">
        <w:rPr>
          <w:rFonts w:ascii="Arial" w:eastAsia="Arial" w:hAnsi="Arial" w:cs="Arial"/>
        </w:rPr>
        <w:t>While both the Foundation Phase and Reggio Emilia aim to promote meaningful, play-based learning, their implementation is shaped by the systems they operate within. The Foundation Phase was introduced as a national reform in Wales to support more child-centred education. As a statutory curriculum, it ensures consistency across settings and alignment with broader goals such as the Four Purposes of the Curriculum for Wales (Donaldson, 2015; Welsh Government, 2022a). However, this structure brings</w:t>
      </w:r>
      <w:r>
        <w:rPr>
          <w:rFonts w:ascii="Arial" w:eastAsia="Arial" w:hAnsi="Arial" w:cs="Arial"/>
        </w:rPr>
        <w:t xml:space="preserve"> </w:t>
      </w:r>
      <w:r w:rsidRPr="00102534">
        <w:rPr>
          <w:rFonts w:ascii="Arial" w:eastAsia="Arial" w:hAnsi="Arial" w:cs="Arial"/>
        </w:rPr>
        <w:t>expectations for accountability and progress tracking. Practitioners are often required to evidence children’s developmental gains, which can influence how play is planned and delivered (Bonetti and Brown, 2018). Similarly, Maynard and Chicken (2010) agree that such pressures can lead to more adult led approaches, even when child led learning is intended. Waters (2016) similarly highlights inconsistencies in implementation, highlighting tensions between autonomy and policy-driven outcomes.</w:t>
      </w:r>
    </w:p>
    <w:p w14:paraId="1E532CA4" w14:textId="77777777" w:rsidR="00102534" w:rsidRPr="00102534" w:rsidRDefault="00102534" w:rsidP="00102534">
      <w:pPr>
        <w:spacing w:line="360" w:lineRule="auto"/>
        <w:jc w:val="both"/>
        <w:rPr>
          <w:rFonts w:ascii="Arial" w:eastAsia="Arial" w:hAnsi="Arial" w:cs="Arial"/>
        </w:rPr>
      </w:pPr>
    </w:p>
    <w:p w14:paraId="1A199483"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Reggio Emilia, by contrast, developed in a local Italian context shaped by civic responsibility and democratic values. It was not designed for national application, but for deep, community-based practice. Reggio operates without a fixed curriculum, relying on shared reflection, collaborative documentation, and professional trust (Rinaldi, 2006). This flexibility enables educators to respond directly to children’s ideas and interests but also presents challenges for systems governed by strict accountability mechanisms. Attempts to adopt Reggio in UK contexts have encountered barriers including inspection pressures, limited planning time, and class size constraints (Maynard and Chicken, 2010; Chicken, 2023). Thomas and Lewis (2016) suggest that even within the Welsh context, practitioners often face a disconnect between curriculum ideals and the realities of implementation, especially when systemic support is lacking.</w:t>
      </w:r>
    </w:p>
    <w:p w14:paraId="12D9CCFA" w14:textId="77777777" w:rsidR="00102534" w:rsidRPr="00102534" w:rsidRDefault="00102534" w:rsidP="00102534">
      <w:pPr>
        <w:spacing w:line="360" w:lineRule="auto"/>
        <w:jc w:val="both"/>
        <w:rPr>
          <w:rFonts w:ascii="Arial" w:eastAsia="Arial" w:hAnsi="Arial" w:cs="Arial"/>
        </w:rPr>
      </w:pPr>
    </w:p>
    <w:p w14:paraId="626314F2"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These contextual contrasts have significant implications. The Foundation Phase promotes equity and coherence at a national level, providing clear expectations across settings. However, its structured nature can limit practitioner flexibility and hinder authentic child-led experiences. Reggio, in turn, values responsiveness, creativity, and depth, but depends on favourable systemic conditions, including time for reflection, </w:t>
      </w:r>
      <w:r w:rsidRPr="00102534">
        <w:rPr>
          <w:rFonts w:ascii="Arial" w:eastAsia="Arial" w:hAnsi="Arial" w:cs="Arial"/>
        </w:rPr>
        <w:lastRenderedPageBreak/>
        <w:t>collaborative planning, and a shared pedagogical culture (Carr, 2001), which are difficult to implement in more regulated environments. Canning and Reed (2012) emphasise that meaningful curriculum change in early years education requires not only reform but sustained professional development and reflective support.</w:t>
      </w:r>
    </w:p>
    <w:p w14:paraId="3E218124" w14:textId="77777777" w:rsidR="00102534" w:rsidRPr="00102534" w:rsidRDefault="00102534" w:rsidP="00102534">
      <w:pPr>
        <w:spacing w:line="360" w:lineRule="auto"/>
        <w:jc w:val="both"/>
        <w:rPr>
          <w:rFonts w:ascii="Arial" w:eastAsia="Arial" w:hAnsi="Arial" w:cs="Arial"/>
        </w:rPr>
      </w:pPr>
    </w:p>
    <w:p w14:paraId="0E276577" w14:textId="77777777" w:rsidR="00102534" w:rsidRPr="00102534" w:rsidRDefault="00102534" w:rsidP="00102534">
      <w:pPr>
        <w:spacing w:line="360" w:lineRule="auto"/>
        <w:jc w:val="both"/>
        <w:rPr>
          <w:rFonts w:ascii="Arial" w:eastAsia="Arial" w:hAnsi="Arial" w:cs="Arial"/>
        </w:rPr>
      </w:pPr>
      <w:r w:rsidRPr="00102534">
        <w:rPr>
          <w:rFonts w:ascii="Arial" w:eastAsia="Arial" w:hAnsi="Arial" w:cs="Arial"/>
        </w:rPr>
        <w:t>In conclusion, while both approaches offer valuable models for play-based learning, their success depends on how well their principles align with the policy, cultural, and institutional environments they are applied in. What works well in one system may require significant adaptation or may lose its integrity in another.</w:t>
      </w:r>
    </w:p>
    <w:p w14:paraId="186C446C" w14:textId="77777777" w:rsidR="00102534" w:rsidRPr="00102534" w:rsidRDefault="00102534" w:rsidP="00102534">
      <w:pPr>
        <w:spacing w:line="360" w:lineRule="auto"/>
        <w:jc w:val="both"/>
        <w:rPr>
          <w:rFonts w:ascii="Arial" w:eastAsia="Arial" w:hAnsi="Arial" w:cs="Arial"/>
        </w:rPr>
      </w:pPr>
      <w:r w:rsidRPr="00102534">
        <w:rPr>
          <w:rFonts w:ascii="Arial" w:eastAsia="Arial" w:hAnsi="Arial" w:cs="Arial"/>
        </w:rPr>
        <w:br w:type="page"/>
      </w:r>
    </w:p>
    <w:p w14:paraId="676DB09D" w14:textId="3E30DAE0" w:rsidR="00102534" w:rsidRPr="00102534" w:rsidRDefault="00102534" w:rsidP="00102534">
      <w:pPr>
        <w:spacing w:line="360" w:lineRule="auto"/>
        <w:jc w:val="both"/>
        <w:rPr>
          <w:rFonts w:ascii="Arial" w:eastAsia="Arial" w:hAnsi="Arial" w:cs="Arial"/>
          <w:b/>
          <w:bCs/>
        </w:rPr>
      </w:pPr>
      <w:r w:rsidRPr="00102534">
        <w:rPr>
          <w:rFonts w:ascii="Arial" w:eastAsia="Arial" w:hAnsi="Arial" w:cs="Arial"/>
          <w:b/>
          <w:bCs/>
        </w:rPr>
        <w:lastRenderedPageBreak/>
        <w:t>Section 2</w:t>
      </w:r>
      <w:r w:rsidRPr="00102534">
        <w:rPr>
          <w:rFonts w:ascii="Arial" w:eastAsia="Arial" w:hAnsi="Arial" w:cs="Arial"/>
          <w:b/>
          <w:bCs/>
        </w:rPr>
        <w:tab/>
      </w:r>
      <w:r w:rsidRPr="00102534">
        <w:rPr>
          <w:rFonts w:ascii="Arial" w:eastAsia="Arial" w:hAnsi="Arial" w:cs="Arial"/>
        </w:rPr>
        <w:br/>
      </w:r>
      <w:r>
        <w:rPr>
          <w:rFonts w:ascii="Arial" w:eastAsia="Arial" w:hAnsi="Arial" w:cs="Arial"/>
          <w:b/>
          <w:bCs/>
        </w:rPr>
        <w:br/>
      </w:r>
      <w:r w:rsidRPr="00102534">
        <w:rPr>
          <w:rFonts w:ascii="Arial" w:eastAsia="Arial" w:hAnsi="Arial" w:cs="Arial"/>
          <w:b/>
          <w:bCs/>
        </w:rPr>
        <w:t>Framing the Unique Child in Welsh Policy</w:t>
      </w:r>
    </w:p>
    <w:p w14:paraId="19C8A35B"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The principle of the ‘Unique Child’ (Devarakonda, 2015) is central to Wales’s early years pedagogy and underpins the Foundation Phase and subsequent Curriculum for Wales reforms. It asserts that each child develops at their own pace, shaped by their individual experiences, culture, and context. The Welsh Government (2022b) states that assessment must reflect the </w:t>
      </w:r>
      <w:r w:rsidRPr="00102534">
        <w:rPr>
          <w:rFonts w:ascii="Arial" w:eastAsia="Arial" w:hAnsi="Arial" w:cs="Arial"/>
          <w:i/>
          <w:iCs/>
        </w:rPr>
        <w:t>holistic, developmental nature</w:t>
      </w:r>
      <w:r w:rsidRPr="00102534">
        <w:rPr>
          <w:rFonts w:ascii="Arial" w:eastAsia="Arial" w:hAnsi="Arial" w:cs="Arial"/>
        </w:rPr>
        <w:t xml:space="preserve"> of early learning, recognising that children’s progress can vary day to day. Rather than adhering to fixed benchmarks, the policy promotes a holistic, strengths-based view of learning where children are seen as competent, capable learners (Beckley, 2012).</w:t>
      </w:r>
    </w:p>
    <w:p w14:paraId="5FFED8AA" w14:textId="77777777" w:rsidR="00102534" w:rsidRPr="00102534" w:rsidRDefault="00102534" w:rsidP="00102534">
      <w:pPr>
        <w:spacing w:line="360" w:lineRule="auto"/>
        <w:jc w:val="both"/>
        <w:rPr>
          <w:rFonts w:ascii="Arial" w:eastAsia="Arial" w:hAnsi="Arial" w:cs="Arial"/>
        </w:rPr>
      </w:pPr>
    </w:p>
    <w:p w14:paraId="412F9122"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In theory, this approach requires assessment systems that are responsive, inclusive, and tailored to each child’s personal path (Canning and Reed, 2012). However, implementing such a vision within the national frameworks brings challenges of its own (Bonetti and Brown, 2018). As Waters (2016) notes, while Welsh policy strongly promotes autonomy and developmental appropriateness, the requirement to evidence progress often leads to standardising and reduced flexibility. Therefore, the challenge lies in assessing progress meaningfully without undermining the qualities that define the unique child, especially creativity, cultural identity, and emotional development (Devarakonda, 2015). This tension provides the critical lens through which assessment tools such as observation, the Foundation Phase Profile, and digital tracking must be evaluated.</w:t>
      </w:r>
    </w:p>
    <w:p w14:paraId="555EB957" w14:textId="77777777" w:rsidR="00102534" w:rsidRPr="00102534" w:rsidRDefault="00102534" w:rsidP="00102534">
      <w:pPr>
        <w:spacing w:line="360" w:lineRule="auto"/>
        <w:jc w:val="both"/>
        <w:rPr>
          <w:rFonts w:ascii="Arial" w:eastAsia="Arial" w:hAnsi="Arial" w:cs="Arial"/>
        </w:rPr>
      </w:pPr>
    </w:p>
    <w:p w14:paraId="58DF8C3C" w14:textId="4D7C6CE6" w:rsidR="00102534" w:rsidRDefault="00102534" w:rsidP="00102534">
      <w:pPr>
        <w:spacing w:line="360" w:lineRule="auto"/>
        <w:jc w:val="both"/>
        <w:rPr>
          <w:rFonts w:ascii="Arial" w:eastAsia="Arial" w:hAnsi="Arial" w:cs="Arial"/>
          <w:b/>
          <w:bCs/>
        </w:rPr>
      </w:pPr>
      <w:r w:rsidRPr="00102534">
        <w:rPr>
          <w:rFonts w:ascii="Arial" w:eastAsia="Arial" w:hAnsi="Arial" w:cs="Arial"/>
          <w:b/>
          <w:bCs/>
        </w:rPr>
        <w:t>Observation-Based Assessment</w:t>
      </w:r>
      <w:r w:rsidR="00FA1EF6">
        <w:rPr>
          <w:rFonts w:ascii="Arial" w:eastAsia="Arial" w:hAnsi="Arial" w:cs="Arial"/>
          <w:b/>
          <w:bCs/>
        </w:rPr>
        <w:t>: Strengths and Limitations</w:t>
      </w:r>
    </w:p>
    <w:p w14:paraId="1313AD32"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Observation is the foundation of assessment in Wales’s play-based Foundation Phase and is widely regarded as the most authentic way to capture children’s learning. Conducted during everyday activities, observations are intended to provide a holistic view of development, encompassing cognitive, social, emotional, and physical aspects, without disrupting the child’s engagement with their environment (Welsh Government, 2022b). When used skilfully, this method allows practitioners to identify emerging interests, track learning over time, and adapt provision in response. It aligns strongly with </w:t>
      </w:r>
      <w:r w:rsidRPr="00102534">
        <w:rPr>
          <w:rFonts w:ascii="Arial" w:eastAsia="Arial" w:hAnsi="Arial" w:cs="Arial"/>
        </w:rPr>
        <w:lastRenderedPageBreak/>
        <w:t>the Unique Child principle by allowing each child to be seen in context, as an individual with individual ways of expressing and developing their capabilities (Devarakonda, 2015).</w:t>
      </w:r>
    </w:p>
    <w:p w14:paraId="36CABC18" w14:textId="77777777" w:rsidR="00102534" w:rsidRPr="00102534" w:rsidRDefault="00102534" w:rsidP="00102534">
      <w:pPr>
        <w:spacing w:line="360" w:lineRule="auto"/>
        <w:jc w:val="both"/>
        <w:rPr>
          <w:rFonts w:ascii="Arial" w:eastAsia="Arial" w:hAnsi="Arial" w:cs="Arial"/>
        </w:rPr>
      </w:pPr>
    </w:p>
    <w:p w14:paraId="74E81101"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However, the success of observation as an assessment tool depends heavily on practitioner expertise. Canning and Reed (2010) emphasise that high-quality observational assessment require continued reflection, time, and confidence, supported by a pedagogical culture that values narrative meaning over checklist efficiency (File </w:t>
      </w:r>
      <w:r w:rsidRPr="00102534">
        <w:rPr>
          <w:rFonts w:ascii="Arial" w:eastAsia="Arial" w:hAnsi="Arial" w:cs="Arial"/>
          <w:i/>
          <w:iCs/>
        </w:rPr>
        <w:t>et al</w:t>
      </w:r>
      <w:r w:rsidRPr="00102534">
        <w:rPr>
          <w:rFonts w:ascii="Arial" w:eastAsia="Arial" w:hAnsi="Arial" w:cs="Arial"/>
        </w:rPr>
        <w:t xml:space="preserve">., 2012). Without appropriate training, there is a risk of superficial or inconsistent interpretations that undermine reliability. In multicultural or multilingual settings, cultural bias can further distort assessment outcomes if practitioners are not familiar to different communication styles or norms (Beckley, 2012). These concerns challenge the validity of observational data, particularly when used for summative purposes such as identifying progression steps or planning interventions (McLachlan </w:t>
      </w:r>
      <w:r w:rsidRPr="00102534">
        <w:rPr>
          <w:rFonts w:ascii="Arial" w:eastAsia="Arial" w:hAnsi="Arial" w:cs="Arial"/>
          <w:i/>
          <w:iCs/>
        </w:rPr>
        <w:t>et al.</w:t>
      </w:r>
      <w:r w:rsidRPr="00102534">
        <w:rPr>
          <w:rFonts w:ascii="Arial" w:eastAsia="Arial" w:hAnsi="Arial" w:cs="Arial"/>
        </w:rPr>
        <w:t>, 2018).</w:t>
      </w:r>
    </w:p>
    <w:p w14:paraId="573AC309" w14:textId="77777777" w:rsidR="00102534" w:rsidRPr="00102534" w:rsidRDefault="00102534" w:rsidP="00102534">
      <w:pPr>
        <w:spacing w:line="360" w:lineRule="auto"/>
        <w:jc w:val="both"/>
        <w:rPr>
          <w:rFonts w:ascii="Arial" w:eastAsia="Arial" w:hAnsi="Arial" w:cs="Arial"/>
        </w:rPr>
      </w:pPr>
    </w:p>
    <w:p w14:paraId="05E15C43" w14:textId="5211D74C" w:rsidR="00102534" w:rsidRDefault="00102534" w:rsidP="00102534">
      <w:pPr>
        <w:spacing w:line="360" w:lineRule="auto"/>
        <w:jc w:val="both"/>
        <w:rPr>
          <w:rFonts w:ascii="Arial" w:eastAsia="Arial" w:hAnsi="Arial" w:cs="Arial"/>
        </w:rPr>
      </w:pPr>
      <w:r w:rsidRPr="00102534">
        <w:rPr>
          <w:rFonts w:ascii="Arial" w:eastAsia="Arial" w:hAnsi="Arial" w:cs="Arial"/>
        </w:rPr>
        <w:t xml:space="preserve">Moreover, systemic pressures can compromise the flexibility that observation promises. Cable </w:t>
      </w:r>
      <w:r w:rsidRPr="00102534">
        <w:rPr>
          <w:rFonts w:ascii="Arial" w:eastAsia="Arial" w:hAnsi="Arial" w:cs="Arial"/>
          <w:i/>
          <w:iCs/>
        </w:rPr>
        <w:t>et al.</w:t>
      </w:r>
      <w:r w:rsidRPr="00102534">
        <w:rPr>
          <w:rFonts w:ascii="Arial" w:eastAsia="Arial" w:hAnsi="Arial" w:cs="Arial"/>
        </w:rPr>
        <w:t>, (2012) argue that accountability demands often push practitioners toward generating quantifiable evidence, leading to a tick-box mentality. When observational records are reduced to isolated statements linked to curriculum outcomes, the richness and narrative of the child’s learning journey may be lost. Instead of empowering practitioners to support the Unique Child, the process can become more about compliance, gathering ‘proof’ rather than insight. To remain valid and inclusive,</w:t>
      </w:r>
      <w:r>
        <w:rPr>
          <w:rFonts w:ascii="Arial" w:eastAsia="Arial" w:hAnsi="Arial" w:cs="Arial"/>
        </w:rPr>
        <w:t xml:space="preserve"> </w:t>
      </w:r>
      <w:r w:rsidRPr="00102534">
        <w:rPr>
          <w:rFonts w:ascii="Arial" w:eastAsia="Arial" w:hAnsi="Arial" w:cs="Arial"/>
        </w:rPr>
        <w:t>assessment must be underpinned by professional trust and reflective practice, elements that risk being overshadowed in compliance focussed cultures (Canning and Reed, 2010; Bonetti and Brown, 2018).</w:t>
      </w:r>
    </w:p>
    <w:p w14:paraId="6E71EE24" w14:textId="77777777" w:rsidR="00102534" w:rsidRPr="00102534" w:rsidRDefault="00102534" w:rsidP="00102534">
      <w:pPr>
        <w:spacing w:line="360" w:lineRule="auto"/>
        <w:jc w:val="both"/>
        <w:rPr>
          <w:rFonts w:ascii="Arial" w:eastAsia="Arial" w:hAnsi="Arial" w:cs="Arial"/>
        </w:rPr>
      </w:pPr>
    </w:p>
    <w:p w14:paraId="319D246C" w14:textId="52DD5254" w:rsidR="00102534" w:rsidRDefault="00102534" w:rsidP="00FA1EF6">
      <w:pPr>
        <w:spacing w:line="360" w:lineRule="auto"/>
        <w:jc w:val="both"/>
        <w:rPr>
          <w:rFonts w:ascii="Arial" w:eastAsia="Arial" w:hAnsi="Arial" w:cs="Arial"/>
          <w:b/>
          <w:bCs/>
        </w:rPr>
      </w:pPr>
      <w:r w:rsidRPr="00102534">
        <w:rPr>
          <w:rFonts w:ascii="Arial" w:eastAsia="Arial" w:hAnsi="Arial" w:cs="Arial"/>
          <w:b/>
          <w:bCs/>
        </w:rPr>
        <w:t xml:space="preserve">The Foundation Phase Profile </w:t>
      </w:r>
      <w:r w:rsidR="00FA1EF6">
        <w:rPr>
          <w:rFonts w:ascii="Arial" w:eastAsia="Arial" w:hAnsi="Arial" w:cs="Arial"/>
          <w:b/>
          <w:bCs/>
        </w:rPr>
        <w:t>in Practice</w:t>
      </w:r>
    </w:p>
    <w:p w14:paraId="748B11E8"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The Foundation Phase Profile (FPP) was introduced as a national tool to support baseline and ongoing assessment in the Welsh Foundation Phase. It aims to provide a consistent, observation-led method for practitioners to track children's progress across developmental domains, with a particular emphasis on well-being, social development, and communication (Welsh Government, 2022b). In line with Canning and Reed’s (2010) </w:t>
      </w:r>
      <w:r w:rsidRPr="00102534">
        <w:rPr>
          <w:rFonts w:ascii="Arial" w:eastAsia="Arial" w:hAnsi="Arial" w:cs="Arial"/>
        </w:rPr>
        <w:lastRenderedPageBreak/>
        <w:t>emphasis on meaningful, embedded observation, the FPP supports the ethos of the ‘Unique Child’, encouraging assessment that is play-based, formative, and responsive to individual development.</w:t>
      </w:r>
    </w:p>
    <w:p w14:paraId="2365F394" w14:textId="77777777" w:rsidR="00102534" w:rsidRPr="00102534" w:rsidRDefault="00102534" w:rsidP="00102534">
      <w:pPr>
        <w:spacing w:line="360" w:lineRule="auto"/>
        <w:jc w:val="both"/>
        <w:rPr>
          <w:rFonts w:ascii="Arial" w:eastAsia="Arial" w:hAnsi="Arial" w:cs="Arial"/>
        </w:rPr>
      </w:pPr>
    </w:p>
    <w:p w14:paraId="163AE6D9"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However, research into its implementation reveals a series of contradictions between policy intentions and practice realities. A Welsh Government (2022b) commissioned evaluation noted that while the FPP was perceived as holistic in theory, in practice it was often experienced as onerous and overly procedural. Practitioners reported that the need to collect large volumes of evidence across multiple strands limited their ability to remain fully present with children. As Maynard and Chicken (2010) argue, this can result in “assessment overtaking interaction,” where practitioners focus more on documentation than on pedagogy.</w:t>
      </w:r>
    </w:p>
    <w:p w14:paraId="2B3AB522" w14:textId="77777777" w:rsidR="00102534" w:rsidRPr="00102534" w:rsidRDefault="00102534" w:rsidP="00102534">
      <w:pPr>
        <w:spacing w:line="360" w:lineRule="auto"/>
        <w:jc w:val="both"/>
        <w:rPr>
          <w:rFonts w:ascii="Arial" w:eastAsia="Arial" w:hAnsi="Arial" w:cs="Arial"/>
        </w:rPr>
      </w:pPr>
    </w:p>
    <w:p w14:paraId="6CB6C628"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The pressure to evidence attainment against progression steps has, in many cases, led to a shift away from narrative, child-focused observations toward checklist-based tracking. Thomas and Lewis (2016) highlight that although the FPP aims to value individual development, the format encourages comparisons across standardised expectations, which may contradict the commitment to holistic, personalised learning. This is particularly problematic for children with Additional Learning Needs (ALN), those learning English or Welsh as an additional language, or those whose developmental path diverge from norms (Devarakonda, 2015). In such cases, assessment becomes less about supporting the child’s learning journey and more about judging their conformity to expected standards.</w:t>
      </w:r>
    </w:p>
    <w:p w14:paraId="6A607818" w14:textId="77777777" w:rsidR="00102534" w:rsidRPr="00102534" w:rsidRDefault="00102534" w:rsidP="00102534">
      <w:pPr>
        <w:spacing w:line="360" w:lineRule="auto"/>
        <w:jc w:val="both"/>
        <w:rPr>
          <w:rFonts w:ascii="Arial" w:eastAsia="Arial" w:hAnsi="Arial" w:cs="Arial"/>
        </w:rPr>
      </w:pPr>
    </w:p>
    <w:p w14:paraId="3ADCD6A1"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While the Foundation Phase Profile aims to be inclusive and developmental, its use in high-accountability settings can create tension. When assessment is used to manage performance rather than support learning, children risk being reduced to statistics (Bonetti and Brown, 2018). The value of the Profile in supporting the Unique Child depends not just on its design, but on how it is used in practice. As Canning and Reed (2012) emphasise, meaningful assessment relies on time, trust, and a culture that prioritises professional judgement over tick-boxing.</w:t>
      </w:r>
    </w:p>
    <w:p w14:paraId="0104FF6A" w14:textId="77777777" w:rsidR="00102534" w:rsidRPr="00102534" w:rsidRDefault="00102534" w:rsidP="00102534">
      <w:pPr>
        <w:spacing w:line="360" w:lineRule="auto"/>
        <w:jc w:val="both"/>
        <w:rPr>
          <w:rFonts w:ascii="Arial" w:eastAsia="Arial" w:hAnsi="Arial" w:cs="Arial"/>
        </w:rPr>
      </w:pPr>
    </w:p>
    <w:p w14:paraId="4522C01F" w14:textId="475843B5" w:rsidR="00102534" w:rsidRDefault="00102534" w:rsidP="00102534">
      <w:pPr>
        <w:spacing w:line="360" w:lineRule="auto"/>
        <w:jc w:val="both"/>
        <w:rPr>
          <w:rFonts w:ascii="Arial" w:eastAsia="Arial" w:hAnsi="Arial" w:cs="Arial"/>
          <w:b/>
          <w:bCs/>
        </w:rPr>
      </w:pPr>
      <w:r w:rsidRPr="00102534">
        <w:rPr>
          <w:rFonts w:ascii="Arial" w:eastAsia="Arial" w:hAnsi="Arial" w:cs="Arial"/>
          <w:b/>
          <w:bCs/>
        </w:rPr>
        <w:t>Digital</w:t>
      </w:r>
      <w:r w:rsidR="00FA1EF6">
        <w:rPr>
          <w:rFonts w:ascii="Arial" w:eastAsia="Arial" w:hAnsi="Arial" w:cs="Arial"/>
          <w:b/>
          <w:bCs/>
        </w:rPr>
        <w:t xml:space="preserve"> Assessment Tools: Efficiency or Oversimplification?</w:t>
      </w:r>
    </w:p>
    <w:p w14:paraId="613132BC"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Digital learning journals and assessment tools such as Tapestry and Early Excellence Assessment Tracker have become common in early years settings across Wales and wider UK practice. These tools allow practitioners to record observations, link them to curriculum outcomes, and share evidence with families in real time. In principle, this supports the ethos of personalisation and transparency, offering a window into each child’s learning journey and allowing for timely, individualised responses (Canning and Reed, 2012). Digital tools can also facilitate communication with families from diverse linguistic or cultural backgrounds, which aligns well with the Unique Child principle.</w:t>
      </w:r>
    </w:p>
    <w:p w14:paraId="1C27CEB9" w14:textId="77777777" w:rsidR="00102534" w:rsidRPr="00102534" w:rsidRDefault="00102534" w:rsidP="00102534">
      <w:pPr>
        <w:spacing w:line="360" w:lineRule="auto"/>
        <w:jc w:val="both"/>
        <w:rPr>
          <w:rFonts w:ascii="Arial" w:eastAsia="Arial" w:hAnsi="Arial" w:cs="Arial"/>
        </w:rPr>
      </w:pPr>
    </w:p>
    <w:p w14:paraId="37744F75"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However, while these technologies offer flexibility and efficiency, their impact on assessment practice is not consistently positive. Critics warn that digital systems risk reducing assessment to a data management exercise, favouring what is easily recorded over what is meaningfully understood (Bonetti and Brown, 2018). There is a danger that rich, narrative observations become fragmented into labelled statements, selected mainly to fulfil curriculum requirements rather than to inform pedagogy. This reflects wider concerns about how pressure to be accountable can gradually change how early years practice is carried out (Cable </w:t>
      </w:r>
      <w:r w:rsidRPr="00102534">
        <w:rPr>
          <w:rFonts w:ascii="Arial" w:eastAsia="Arial" w:hAnsi="Arial" w:cs="Arial"/>
          <w:i/>
          <w:iCs/>
        </w:rPr>
        <w:t>et al.</w:t>
      </w:r>
      <w:r w:rsidRPr="00102534">
        <w:rPr>
          <w:rFonts w:ascii="Arial" w:eastAsia="Arial" w:hAnsi="Arial" w:cs="Arial"/>
        </w:rPr>
        <w:t>, 2012).</w:t>
      </w:r>
    </w:p>
    <w:p w14:paraId="2927955C" w14:textId="77777777" w:rsidR="00102534" w:rsidRPr="00102534" w:rsidRDefault="00102534" w:rsidP="00102534">
      <w:pPr>
        <w:spacing w:line="360" w:lineRule="auto"/>
        <w:jc w:val="both"/>
        <w:rPr>
          <w:rFonts w:ascii="Arial" w:eastAsia="Arial" w:hAnsi="Arial" w:cs="Arial"/>
        </w:rPr>
      </w:pPr>
    </w:p>
    <w:p w14:paraId="04190A55"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Moreover, the use of digital tracking tools can distort the practitioner’s role. Instead of engaging deeply with children’s thinking and development, time and energy may be redirected toward photographing, uploading, and categorising evidence. Beckley (2012) warns that if digital systems dominate practice, the focus can shift from meaningful engagement to evidence production. Similarly, Garvis and Lemon (2016) argue that such practices may prioritise compliance over, potentially undermining relationships and emotional attunement. For children who communicate in non-verbal or culturally unfamiliar ways, the need to generate digital outputs may marginalise or misrepresent their learning.</w:t>
      </w:r>
    </w:p>
    <w:p w14:paraId="66D37FD0" w14:textId="77777777" w:rsidR="00102534" w:rsidRPr="00102534" w:rsidRDefault="00102534" w:rsidP="00102534">
      <w:pPr>
        <w:spacing w:line="360" w:lineRule="auto"/>
        <w:jc w:val="both"/>
        <w:rPr>
          <w:rFonts w:ascii="Arial" w:eastAsia="Arial" w:hAnsi="Arial" w:cs="Arial"/>
        </w:rPr>
      </w:pPr>
    </w:p>
    <w:p w14:paraId="4FAE15A7" w14:textId="77777777" w:rsidR="00102534" w:rsidRDefault="00102534" w:rsidP="00102534">
      <w:pPr>
        <w:spacing w:line="360" w:lineRule="auto"/>
        <w:jc w:val="both"/>
        <w:rPr>
          <w:rFonts w:ascii="Arial" w:eastAsia="Arial" w:hAnsi="Arial" w:cs="Arial"/>
        </w:rPr>
      </w:pPr>
      <w:r w:rsidRPr="00102534">
        <w:rPr>
          <w:rFonts w:ascii="Arial" w:eastAsia="Arial" w:hAnsi="Arial" w:cs="Arial"/>
        </w:rPr>
        <w:lastRenderedPageBreak/>
        <w:t>Finally, while these platforms are often marketed as “personalised,” their structure may still rely on standard developmental paths (McLachlan, 2018). This can slightly pressure practitioners to record what fits within the expected pathway, even if it does not fully reflect a child’s current interests or nature. To serve the Unique Child effectively, digital assessment tools should be embedded in a wider pedagogical framework that values reflection, interpretation, and narrative, not just systems of measurement.</w:t>
      </w:r>
    </w:p>
    <w:p w14:paraId="2CA9C2C5" w14:textId="77777777" w:rsidR="00102534" w:rsidRPr="00102534" w:rsidRDefault="00102534" w:rsidP="00102534">
      <w:pPr>
        <w:spacing w:line="360" w:lineRule="auto"/>
        <w:jc w:val="both"/>
        <w:rPr>
          <w:rFonts w:ascii="Arial" w:eastAsia="Arial" w:hAnsi="Arial" w:cs="Arial"/>
        </w:rPr>
      </w:pPr>
    </w:p>
    <w:p w14:paraId="6481790A" w14:textId="5CCF7463" w:rsidR="00102534" w:rsidRDefault="00102534" w:rsidP="00102534">
      <w:pPr>
        <w:spacing w:line="360" w:lineRule="auto"/>
        <w:jc w:val="both"/>
        <w:rPr>
          <w:rFonts w:ascii="Arial" w:eastAsia="Arial" w:hAnsi="Arial" w:cs="Arial"/>
          <w:b/>
          <w:bCs/>
        </w:rPr>
      </w:pPr>
      <w:r w:rsidRPr="00102534">
        <w:rPr>
          <w:rFonts w:ascii="Arial" w:eastAsia="Arial" w:hAnsi="Arial" w:cs="Arial"/>
          <w:b/>
          <w:bCs/>
        </w:rPr>
        <w:t xml:space="preserve">The </w:t>
      </w:r>
      <w:r w:rsidR="00FA1EF6">
        <w:rPr>
          <w:rFonts w:ascii="Arial" w:eastAsia="Arial" w:hAnsi="Arial" w:cs="Arial"/>
          <w:b/>
          <w:bCs/>
        </w:rPr>
        <w:t>Limits of Age and Stage Models in Inclusive Assessment</w:t>
      </w:r>
    </w:p>
    <w:p w14:paraId="560D5883"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Although developmentally informed curricula like the Foundation Phase are designed to be flexible, age/stage frameworks can inadvertently impose normative expectations that conflict with the principle of the Unique Child. Progression steps and age-based descriptors are often used to structure learning and assessment, yet they risk framing development as linear and universal. This can obscure the diversity of children’s trajectories, particularly for those with ALN, those learning English or Welsh as an additional language, and children from culturally diverse backgrounds (Devarakonda, 2015; Thomas and Lewis, 2016).</w:t>
      </w:r>
    </w:p>
    <w:p w14:paraId="1FB7E3B3" w14:textId="77777777" w:rsidR="00102534" w:rsidRPr="00102534" w:rsidRDefault="00102534" w:rsidP="00102534">
      <w:pPr>
        <w:spacing w:line="360" w:lineRule="auto"/>
        <w:jc w:val="both"/>
        <w:rPr>
          <w:rFonts w:ascii="Arial" w:eastAsia="Arial" w:hAnsi="Arial" w:cs="Arial"/>
        </w:rPr>
      </w:pPr>
    </w:p>
    <w:p w14:paraId="5909784C"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The assumption that all children should achieve certain milestones by specific ages can highlight difference and overlook strengths that fall outside of dominant models of competence. Using rigid developmental benchmarks may reduce professional judgement to a compliance task, thus limiting capacity to respond to children’s contextual experiences (Beckley, 2012; McLachlan </w:t>
      </w:r>
      <w:r w:rsidRPr="00102534">
        <w:rPr>
          <w:rFonts w:ascii="Arial" w:eastAsia="Arial" w:hAnsi="Arial" w:cs="Arial"/>
          <w:i/>
          <w:iCs/>
        </w:rPr>
        <w:t>et al.</w:t>
      </w:r>
      <w:r w:rsidRPr="00102534">
        <w:rPr>
          <w:rFonts w:ascii="Arial" w:eastAsia="Arial" w:hAnsi="Arial" w:cs="Arial"/>
        </w:rPr>
        <w:t>, 2018). Children who develop at a different pace or in culturally different ways can be seen as ‘behind’, even when they are making real progress in their own way.</w:t>
      </w:r>
    </w:p>
    <w:p w14:paraId="615EFC1E" w14:textId="77777777" w:rsidR="00102534" w:rsidRPr="00102534" w:rsidRDefault="00102534" w:rsidP="00102534">
      <w:pPr>
        <w:spacing w:line="360" w:lineRule="auto"/>
        <w:jc w:val="both"/>
        <w:rPr>
          <w:rFonts w:ascii="Arial" w:eastAsia="Arial" w:hAnsi="Arial" w:cs="Arial"/>
        </w:rPr>
      </w:pPr>
    </w:p>
    <w:p w14:paraId="5B58EC3A"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In the Curriculum for Wales, progression steps are intended to be flexible and non-prescriptive. However, Waters (2016) and MacDonald (2018) both note that practitioners often experience pressure to use them as fixed targets due to external accountability systems and inspection frameworks. This pressure risks undermining the personalised, inclusive objectives of the curriculum. When assessments are used to compare children </w:t>
      </w:r>
      <w:r w:rsidRPr="00102534">
        <w:rPr>
          <w:rFonts w:ascii="Arial" w:eastAsia="Arial" w:hAnsi="Arial" w:cs="Arial"/>
        </w:rPr>
        <w:lastRenderedPageBreak/>
        <w:t xml:space="preserve">to normative scales, rather than understanding individual growth, the risk of exclusion increases (Dahlberg </w:t>
      </w:r>
      <w:r w:rsidRPr="00102534">
        <w:rPr>
          <w:rFonts w:ascii="Arial" w:eastAsia="Arial" w:hAnsi="Arial" w:cs="Arial"/>
          <w:i/>
          <w:iCs/>
        </w:rPr>
        <w:t>et al</w:t>
      </w:r>
      <w:r w:rsidRPr="00102534">
        <w:rPr>
          <w:rFonts w:ascii="Arial" w:eastAsia="Arial" w:hAnsi="Arial" w:cs="Arial"/>
        </w:rPr>
        <w:t>., 2007).</w:t>
      </w:r>
    </w:p>
    <w:p w14:paraId="78AA58EF" w14:textId="77777777" w:rsidR="00102534" w:rsidRPr="00102534" w:rsidRDefault="00102534" w:rsidP="00102534">
      <w:pPr>
        <w:spacing w:line="360" w:lineRule="auto"/>
        <w:jc w:val="both"/>
        <w:rPr>
          <w:rFonts w:ascii="Arial" w:eastAsia="Arial" w:hAnsi="Arial" w:cs="Arial"/>
        </w:rPr>
      </w:pPr>
    </w:p>
    <w:p w14:paraId="7D6B4721" w14:textId="77777777" w:rsidR="00102534" w:rsidRPr="00102534" w:rsidRDefault="00102534" w:rsidP="00102534">
      <w:pPr>
        <w:spacing w:line="360" w:lineRule="auto"/>
        <w:jc w:val="both"/>
        <w:rPr>
          <w:rFonts w:ascii="Arial" w:eastAsia="Arial" w:hAnsi="Arial" w:cs="Arial"/>
          <w:b/>
          <w:bCs/>
        </w:rPr>
      </w:pPr>
      <w:r w:rsidRPr="00102534">
        <w:rPr>
          <w:rFonts w:ascii="Arial" w:eastAsia="Arial" w:hAnsi="Arial" w:cs="Arial"/>
        </w:rPr>
        <w:t>To be truly inclusive, practitioners need to look beyond fixed ideas of what progress should look like. That means recognising the importance of emotional, social and creative development, even when it doesn’t fit into well-ordered, age-based boxes. As Devarakonda (2015) asserts, meaningful assessment begins with recognition of each child’s background, identity, and way of being, not with external standards imposed upon them.</w:t>
      </w:r>
    </w:p>
    <w:p w14:paraId="1794C9EE" w14:textId="77777777" w:rsidR="00102534" w:rsidRPr="00102534" w:rsidRDefault="00102534" w:rsidP="00102534">
      <w:pPr>
        <w:spacing w:line="360" w:lineRule="auto"/>
        <w:jc w:val="both"/>
        <w:rPr>
          <w:rFonts w:ascii="Arial" w:eastAsia="Arial" w:hAnsi="Arial" w:cs="Arial"/>
          <w:b/>
          <w:bCs/>
        </w:rPr>
      </w:pPr>
      <w:r w:rsidRPr="00102534">
        <w:rPr>
          <w:rFonts w:ascii="Arial" w:eastAsia="Arial" w:hAnsi="Arial" w:cs="Arial"/>
          <w:b/>
          <w:bCs/>
        </w:rPr>
        <w:br w:type="page"/>
      </w:r>
    </w:p>
    <w:p w14:paraId="3268C179" w14:textId="2456EA1E" w:rsidR="00102534" w:rsidRPr="00102534" w:rsidRDefault="00102534" w:rsidP="00102534">
      <w:pPr>
        <w:spacing w:line="360" w:lineRule="auto"/>
        <w:jc w:val="both"/>
        <w:rPr>
          <w:rFonts w:ascii="Arial" w:eastAsia="Arial" w:hAnsi="Arial" w:cs="Arial"/>
          <w:b/>
          <w:bCs/>
        </w:rPr>
      </w:pPr>
      <w:r w:rsidRPr="00102534">
        <w:rPr>
          <w:rFonts w:ascii="Arial" w:eastAsia="Arial" w:hAnsi="Arial" w:cs="Arial"/>
          <w:b/>
          <w:bCs/>
        </w:rPr>
        <w:lastRenderedPageBreak/>
        <w:t>Section 3</w:t>
      </w:r>
      <w:r w:rsidRPr="00102534">
        <w:rPr>
          <w:rFonts w:ascii="Arial" w:eastAsia="Arial" w:hAnsi="Arial" w:cs="Arial"/>
          <w:b/>
          <w:bCs/>
        </w:rPr>
        <w:tab/>
      </w:r>
      <w:r w:rsidRPr="00102534">
        <w:rPr>
          <w:rFonts w:ascii="Arial" w:eastAsia="Arial" w:hAnsi="Arial" w:cs="Arial"/>
          <w:b/>
          <w:bCs/>
        </w:rPr>
        <w:br/>
      </w:r>
      <w:r>
        <w:rPr>
          <w:rFonts w:ascii="Arial" w:eastAsia="Arial" w:hAnsi="Arial" w:cs="Arial"/>
          <w:b/>
          <w:bCs/>
        </w:rPr>
        <w:br/>
      </w:r>
      <w:r w:rsidRPr="00102534">
        <w:rPr>
          <w:rFonts w:ascii="Arial" w:eastAsia="Arial" w:hAnsi="Arial" w:cs="Arial"/>
          <w:b/>
          <w:bCs/>
        </w:rPr>
        <w:t xml:space="preserve">What if </w:t>
      </w:r>
      <w:r w:rsidR="00FA1EF6">
        <w:rPr>
          <w:rFonts w:ascii="Arial" w:eastAsia="Arial" w:hAnsi="Arial" w:cs="Arial"/>
          <w:b/>
          <w:bCs/>
        </w:rPr>
        <w:t>T</w:t>
      </w:r>
      <w:r w:rsidRPr="00102534">
        <w:rPr>
          <w:rFonts w:ascii="Arial" w:eastAsia="Arial" w:hAnsi="Arial" w:cs="Arial"/>
          <w:b/>
          <w:bCs/>
        </w:rPr>
        <w:t xml:space="preserve">hey </w:t>
      </w:r>
      <w:r w:rsidR="00FA1EF6">
        <w:rPr>
          <w:rFonts w:ascii="Arial" w:eastAsia="Arial" w:hAnsi="Arial" w:cs="Arial"/>
          <w:b/>
          <w:bCs/>
        </w:rPr>
        <w:t>J</w:t>
      </w:r>
      <w:r w:rsidRPr="00102534">
        <w:rPr>
          <w:rFonts w:ascii="Arial" w:eastAsia="Arial" w:hAnsi="Arial" w:cs="Arial"/>
          <w:b/>
          <w:bCs/>
        </w:rPr>
        <w:t xml:space="preserve">ust </w:t>
      </w:r>
      <w:r w:rsidR="00FA1EF6">
        <w:rPr>
          <w:rFonts w:ascii="Arial" w:eastAsia="Arial" w:hAnsi="Arial" w:cs="Arial"/>
          <w:b/>
          <w:bCs/>
        </w:rPr>
        <w:t>D</w:t>
      </w:r>
      <w:r w:rsidRPr="00102534">
        <w:rPr>
          <w:rFonts w:ascii="Arial" w:eastAsia="Arial" w:hAnsi="Arial" w:cs="Arial"/>
          <w:b/>
          <w:bCs/>
        </w:rPr>
        <w:t xml:space="preserve">on’t </w:t>
      </w:r>
      <w:r w:rsidR="00FA1EF6">
        <w:rPr>
          <w:rFonts w:ascii="Arial" w:eastAsia="Arial" w:hAnsi="Arial" w:cs="Arial"/>
          <w:b/>
          <w:bCs/>
        </w:rPr>
        <w:t>K</w:t>
      </w:r>
      <w:r w:rsidRPr="00102534">
        <w:rPr>
          <w:rFonts w:ascii="Arial" w:eastAsia="Arial" w:hAnsi="Arial" w:cs="Arial"/>
          <w:b/>
          <w:bCs/>
        </w:rPr>
        <w:t xml:space="preserve">now </w:t>
      </w:r>
      <w:r w:rsidR="00FA1EF6">
        <w:rPr>
          <w:rFonts w:ascii="Arial" w:eastAsia="Arial" w:hAnsi="Arial" w:cs="Arial"/>
          <w:b/>
          <w:bCs/>
        </w:rPr>
        <w:t>H</w:t>
      </w:r>
      <w:r w:rsidRPr="00102534">
        <w:rPr>
          <w:rFonts w:ascii="Arial" w:eastAsia="Arial" w:hAnsi="Arial" w:cs="Arial"/>
          <w:b/>
          <w:bCs/>
        </w:rPr>
        <w:t>ow?</w:t>
      </w:r>
    </w:p>
    <w:p w14:paraId="009E76A2"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As early years practitioners, we recognise how powerful parental engagement can be. When families are involved in their child’s learning, children tend to thrive across emotional, social and academic development. Yet in many settings, particularly those with high levels of English as an Additional Language (EAL) or cultural diversity, we see low turnout at events, limited home-school communication, or what appears to be disengagement.</w:t>
      </w:r>
    </w:p>
    <w:p w14:paraId="05E8B712" w14:textId="77777777" w:rsidR="00102534" w:rsidRPr="00102534" w:rsidRDefault="00102534" w:rsidP="00102534">
      <w:pPr>
        <w:spacing w:line="360" w:lineRule="auto"/>
        <w:jc w:val="both"/>
        <w:rPr>
          <w:rFonts w:ascii="Arial" w:eastAsia="Arial" w:hAnsi="Arial" w:cs="Arial"/>
        </w:rPr>
      </w:pPr>
    </w:p>
    <w:p w14:paraId="5A39E1EB" w14:textId="540225BF" w:rsidR="00102534" w:rsidRDefault="00102534" w:rsidP="00102534">
      <w:pPr>
        <w:spacing w:line="360" w:lineRule="auto"/>
        <w:jc w:val="both"/>
        <w:rPr>
          <w:rFonts w:ascii="Arial" w:eastAsia="Arial" w:hAnsi="Arial" w:cs="Arial"/>
        </w:rPr>
      </w:pPr>
      <w:r w:rsidRPr="00102534">
        <w:rPr>
          <w:rFonts w:ascii="Arial" w:eastAsia="Arial" w:hAnsi="Arial" w:cs="Arial"/>
        </w:rPr>
        <w:t>The common explanation is that parents do not prioritise education. But is that the full picture? Have we assumed that families already know what engagement looks like, without ever showing them?</w:t>
      </w:r>
    </w:p>
    <w:p w14:paraId="48757539" w14:textId="77777777" w:rsidR="00102534" w:rsidRPr="00102534" w:rsidRDefault="00102534" w:rsidP="00102534">
      <w:pPr>
        <w:spacing w:line="360" w:lineRule="auto"/>
        <w:jc w:val="both"/>
        <w:rPr>
          <w:rFonts w:ascii="Arial" w:eastAsia="Arial" w:hAnsi="Arial" w:cs="Arial"/>
        </w:rPr>
      </w:pPr>
    </w:p>
    <w:p w14:paraId="799CCFA2"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This blog is not about placing blame, but rather an opportunity to reflect on how our systems might unintentionally exclude families. If we are serious about inclusion and about delivering a curriculum that supports the whole child, we need to ask whether we are building real partnerships with families or simply delivering information. That difference matters, especially in play-based learning, where outcomes rely on shared understanding and reinforcement between home and school.</w:t>
      </w:r>
    </w:p>
    <w:p w14:paraId="3F11CB6A" w14:textId="77777777" w:rsidR="00102534" w:rsidRPr="00102534" w:rsidRDefault="00102534" w:rsidP="00102534">
      <w:pPr>
        <w:spacing w:line="360" w:lineRule="auto"/>
        <w:jc w:val="both"/>
        <w:rPr>
          <w:rFonts w:ascii="Arial" w:eastAsia="Arial" w:hAnsi="Arial" w:cs="Arial"/>
        </w:rPr>
      </w:pPr>
    </w:p>
    <w:p w14:paraId="0FD6684D" w14:textId="57D9AC08" w:rsidR="00102534" w:rsidRPr="00FA1EF6" w:rsidRDefault="00FA1EF6" w:rsidP="00FA1EF6">
      <w:pPr>
        <w:spacing w:line="360" w:lineRule="auto"/>
        <w:jc w:val="both"/>
        <w:rPr>
          <w:rFonts w:ascii="Arial" w:eastAsia="Arial" w:hAnsi="Arial" w:cs="Arial"/>
          <w:b/>
          <w:bCs/>
        </w:rPr>
      </w:pPr>
      <w:r>
        <w:rPr>
          <w:rFonts w:ascii="Arial" w:eastAsia="Arial" w:hAnsi="Arial" w:cs="Arial"/>
          <w:b/>
          <w:bCs/>
        </w:rPr>
        <w:t xml:space="preserve">Helping Families </w:t>
      </w:r>
      <w:r w:rsidRPr="00FA1EF6">
        <w:rPr>
          <w:rFonts w:ascii="Arial" w:eastAsia="Arial" w:hAnsi="Arial" w:cs="Arial"/>
          <w:b/>
          <w:bCs/>
        </w:rPr>
        <w:t>Understand What Engagement Looks</w:t>
      </w:r>
    </w:p>
    <w:p w14:paraId="2F6BFB69"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In many early years’ settings, especially in multilingual or disadvantaged communities, we assume parents know what engagement looks like. We expect them to attend events, ask about their child’s progress, and reinforce learning at home. But these expectations are rarely explained. Goodall and Montgomery (2013) suggest that what schools often describe as engagement is </w:t>
      </w:r>
      <w:proofErr w:type="gramStart"/>
      <w:r w:rsidRPr="00102534">
        <w:rPr>
          <w:rFonts w:ascii="Arial" w:eastAsia="Arial" w:hAnsi="Arial" w:cs="Arial"/>
        </w:rPr>
        <w:t>actually compliance</w:t>
      </w:r>
      <w:proofErr w:type="gramEnd"/>
      <w:r w:rsidRPr="00102534">
        <w:rPr>
          <w:rFonts w:ascii="Arial" w:eastAsia="Arial" w:hAnsi="Arial" w:cs="Arial"/>
        </w:rPr>
        <w:t>: showing up when asked or responding to messages, rather than building a genuine partnership.</w:t>
      </w:r>
    </w:p>
    <w:p w14:paraId="1B83BBCA" w14:textId="77777777" w:rsidR="00102534" w:rsidRPr="00102534" w:rsidRDefault="00102534" w:rsidP="00102534">
      <w:pPr>
        <w:spacing w:line="360" w:lineRule="auto"/>
        <w:jc w:val="both"/>
        <w:rPr>
          <w:rFonts w:ascii="Arial" w:eastAsia="Arial" w:hAnsi="Arial" w:cs="Arial"/>
        </w:rPr>
      </w:pPr>
    </w:p>
    <w:p w14:paraId="5C98AFC7"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From experience, I know that many families simply don’t know how to participate in the way we expect. Language can be a barrier. Some may come from cultures where </w:t>
      </w:r>
      <w:r w:rsidRPr="00102534">
        <w:rPr>
          <w:rFonts w:ascii="Arial" w:eastAsia="Arial" w:hAnsi="Arial" w:cs="Arial"/>
        </w:rPr>
        <w:lastRenderedPageBreak/>
        <w:t>education is seen as the school’s responsibility. Others may not feel confident approaching staff or even realise they have a role to play. The Bell Foundation (2020) finds that many EAL parents want to be involved but find school systems difficult to navigate.</w:t>
      </w:r>
    </w:p>
    <w:p w14:paraId="1651D41E" w14:textId="77777777" w:rsidR="00102534" w:rsidRPr="00102534" w:rsidRDefault="00102534" w:rsidP="00102534">
      <w:pPr>
        <w:spacing w:line="360" w:lineRule="auto"/>
        <w:jc w:val="both"/>
        <w:rPr>
          <w:rFonts w:ascii="Arial" w:eastAsia="Arial" w:hAnsi="Arial" w:cs="Arial"/>
        </w:rPr>
      </w:pPr>
    </w:p>
    <w:p w14:paraId="689C4DD1"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This matters because without parental buy-in, we do the work in isolation. Children may get mixed messages between home and school, particularly about play, creativity, or emotional development, which some families may not value in the same way. More importantly, families might miss the chance to celebrate or extend their child’s progress at home. That does not just affect the curriculum, it affects the child’s sense of connection between both worlds.</w:t>
      </w:r>
    </w:p>
    <w:p w14:paraId="28CCCFB5" w14:textId="77777777" w:rsidR="00102534" w:rsidRPr="00102534" w:rsidRDefault="00102534" w:rsidP="00102534">
      <w:pPr>
        <w:spacing w:line="360" w:lineRule="auto"/>
        <w:jc w:val="both"/>
        <w:rPr>
          <w:rFonts w:ascii="Arial" w:eastAsia="Arial" w:hAnsi="Arial" w:cs="Arial"/>
        </w:rPr>
      </w:pPr>
    </w:p>
    <w:p w14:paraId="4F6233AD"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Before we interpret a lack of response as disinterest, we should ask ourselves: have we made space for participation, or just assumed it would happen?</w:t>
      </w:r>
    </w:p>
    <w:p w14:paraId="4831EA09" w14:textId="77777777" w:rsidR="00102534" w:rsidRPr="00102534" w:rsidRDefault="00102534" w:rsidP="00102534">
      <w:pPr>
        <w:spacing w:line="360" w:lineRule="auto"/>
        <w:jc w:val="both"/>
        <w:rPr>
          <w:rFonts w:ascii="Arial" w:eastAsia="Arial" w:hAnsi="Arial" w:cs="Arial"/>
        </w:rPr>
      </w:pPr>
    </w:p>
    <w:p w14:paraId="05654B25" w14:textId="4F54E831" w:rsidR="00102534" w:rsidRDefault="00FA1EF6" w:rsidP="00102534">
      <w:pPr>
        <w:spacing w:line="360" w:lineRule="auto"/>
        <w:jc w:val="both"/>
        <w:rPr>
          <w:rFonts w:ascii="Arial" w:eastAsia="Arial" w:hAnsi="Arial" w:cs="Arial"/>
          <w:b/>
          <w:bCs/>
        </w:rPr>
      </w:pPr>
      <w:r>
        <w:rPr>
          <w:rFonts w:ascii="Arial" w:eastAsia="Arial" w:hAnsi="Arial" w:cs="Arial"/>
          <w:b/>
          <w:bCs/>
        </w:rPr>
        <w:t>Why Curriculum Needs Parents</w:t>
      </w:r>
    </w:p>
    <w:p w14:paraId="1A006F02" w14:textId="2D869168" w:rsidR="00102534" w:rsidRPr="00102534" w:rsidRDefault="00102534" w:rsidP="00102534">
      <w:pPr>
        <w:spacing w:line="360" w:lineRule="auto"/>
        <w:jc w:val="both"/>
        <w:rPr>
          <w:rFonts w:ascii="Arial" w:eastAsia="Arial" w:hAnsi="Arial" w:cs="Arial"/>
        </w:rPr>
      </w:pPr>
      <w:r w:rsidRPr="00102534">
        <w:rPr>
          <w:rFonts w:ascii="Arial" w:eastAsia="Arial" w:hAnsi="Arial" w:cs="Arial"/>
        </w:rPr>
        <w:t>With the introduction of the Curriculum for Wales, there is a renewed focus on holistic development, play-based learning, and the “Unique Child” principle. But when families do not understand how play supports literacy or emotional development, they may struggle to reinforce learning at home or unintentionally undermine it.</w:t>
      </w:r>
    </w:p>
    <w:p w14:paraId="1DAF6BC8"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Parental involvement is linked to better outcomes in cognition, behaviour and school readiness (Goodall, 2017a). But involvement is not just about attending meetings. It is about building a shared understanding of what learning looks like. In play-based settings, this learning is often subtle, child-led and grounded in relationships, which makes it even more important for families to see its value.</w:t>
      </w:r>
    </w:p>
    <w:p w14:paraId="364618FA" w14:textId="77777777" w:rsidR="00102534" w:rsidRPr="00102534" w:rsidRDefault="00102534" w:rsidP="00102534">
      <w:pPr>
        <w:spacing w:line="360" w:lineRule="auto"/>
        <w:jc w:val="both"/>
        <w:rPr>
          <w:rFonts w:ascii="Arial" w:eastAsia="Arial" w:hAnsi="Arial" w:cs="Arial"/>
        </w:rPr>
      </w:pPr>
    </w:p>
    <w:p w14:paraId="6DC69924" w14:textId="77777777" w:rsidR="00102534" w:rsidRPr="00102534" w:rsidRDefault="00102534" w:rsidP="00102534">
      <w:pPr>
        <w:spacing w:line="360" w:lineRule="auto"/>
        <w:jc w:val="both"/>
        <w:rPr>
          <w:rFonts w:ascii="Arial" w:eastAsia="Arial" w:hAnsi="Arial" w:cs="Arial"/>
        </w:rPr>
      </w:pPr>
      <w:r w:rsidRPr="00102534">
        <w:rPr>
          <w:rFonts w:ascii="Arial" w:eastAsia="Arial" w:hAnsi="Arial" w:cs="Arial"/>
        </w:rPr>
        <w:t xml:space="preserve">When parents don’t see play as purposeful, they may push for more traditional outcomes, memorising letters, doing worksheets, or attending tutoring. I’ve worked with families who feel their child is falling behind if they’re not “doing work” at home. This mismatch can create pressure, not just for the child, but for practitioners who </w:t>
      </w:r>
      <w:proofErr w:type="gramStart"/>
      <w:r w:rsidRPr="00102534">
        <w:rPr>
          <w:rFonts w:ascii="Arial" w:eastAsia="Arial" w:hAnsi="Arial" w:cs="Arial"/>
        </w:rPr>
        <w:t>have to</w:t>
      </w:r>
      <w:proofErr w:type="gramEnd"/>
      <w:r w:rsidRPr="00102534">
        <w:rPr>
          <w:rFonts w:ascii="Arial" w:eastAsia="Arial" w:hAnsi="Arial" w:cs="Arial"/>
        </w:rPr>
        <w:t xml:space="preserve"> explain and defend play as a legitimate and effective approach to learning.</w:t>
      </w:r>
    </w:p>
    <w:p w14:paraId="76EDF0D6" w14:textId="77777777" w:rsidR="00102534" w:rsidRDefault="00102534" w:rsidP="00102534">
      <w:pPr>
        <w:spacing w:line="360" w:lineRule="auto"/>
        <w:jc w:val="both"/>
        <w:rPr>
          <w:rFonts w:ascii="Arial" w:eastAsia="Arial" w:hAnsi="Arial" w:cs="Arial"/>
        </w:rPr>
      </w:pPr>
      <w:r w:rsidRPr="00102534">
        <w:rPr>
          <w:rFonts w:ascii="Arial" w:eastAsia="Arial" w:hAnsi="Arial" w:cs="Arial"/>
        </w:rPr>
        <w:lastRenderedPageBreak/>
        <w:t>We talk about the Unique Child, but that idea should apply to families too. If we value every child’s perspective, we must also recognise that families bring different experiences and expectations. Assuming alignment without open dialogue risks leaving children to navigate two conflicting messages.</w:t>
      </w:r>
    </w:p>
    <w:p w14:paraId="2E6893CB" w14:textId="77777777" w:rsidR="00102534" w:rsidRPr="00102534" w:rsidRDefault="00102534" w:rsidP="00102534">
      <w:pPr>
        <w:spacing w:line="360" w:lineRule="auto"/>
        <w:jc w:val="both"/>
        <w:rPr>
          <w:rFonts w:ascii="Arial" w:eastAsia="Arial" w:hAnsi="Arial" w:cs="Arial"/>
        </w:rPr>
      </w:pPr>
    </w:p>
    <w:p w14:paraId="213D3E33" w14:textId="77777777" w:rsidR="00102534" w:rsidRPr="00102534" w:rsidRDefault="00102534" w:rsidP="00102534">
      <w:pPr>
        <w:spacing w:line="360" w:lineRule="auto"/>
        <w:jc w:val="both"/>
        <w:rPr>
          <w:rFonts w:ascii="Arial" w:eastAsia="Arial" w:hAnsi="Arial" w:cs="Arial"/>
        </w:rPr>
      </w:pPr>
      <w:r w:rsidRPr="00102534">
        <w:rPr>
          <w:rFonts w:ascii="Arial" w:eastAsia="Arial" w:hAnsi="Arial" w:cs="Arial"/>
        </w:rPr>
        <w:t>So, what can we do? We can start by making learning visible. That means showing parents what we value, not just what children produce. It means explaining things like messy play or emotional coaching in plain language. When parents understand why we do what we do, they are more likely to support it, and children benefit as a result.</w:t>
      </w:r>
    </w:p>
    <w:p w14:paraId="4587F921" w14:textId="241CDA34" w:rsidR="00102534" w:rsidRDefault="00102534" w:rsidP="00102534">
      <w:pPr>
        <w:spacing w:line="360" w:lineRule="auto"/>
        <w:jc w:val="both"/>
        <w:rPr>
          <w:rFonts w:ascii="Arial" w:eastAsia="Arial" w:hAnsi="Arial" w:cs="Arial"/>
          <w:b/>
          <w:bCs/>
        </w:rPr>
      </w:pPr>
      <w:r>
        <w:rPr>
          <w:rFonts w:ascii="Arial" w:eastAsia="Arial" w:hAnsi="Arial" w:cs="Arial"/>
          <w:b/>
          <w:bCs/>
        </w:rPr>
        <w:br/>
      </w:r>
      <w:r w:rsidR="00FA1EF6">
        <w:rPr>
          <w:rFonts w:ascii="Arial" w:eastAsia="Arial" w:hAnsi="Arial" w:cs="Arial"/>
          <w:b/>
          <w:bCs/>
        </w:rPr>
        <w:t>Turning Barriers into Bridges</w:t>
      </w:r>
    </w:p>
    <w:p w14:paraId="0C6D2F39"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Barriers to parental engagement are often not about willingness. More often, they come from a lack of confidence, unclear expectations, or unfamiliar systems. In communities where English is an additional language, or where families have little experience of UK education, school can feel like unfamiliar ground. When parents are unsure of what to do, they may hold back, not out of disinterest, but because they do not feel equipped or welcomed to take part.</w:t>
      </w:r>
    </w:p>
    <w:p w14:paraId="565A18E9" w14:textId="77777777" w:rsidR="00102534" w:rsidRPr="00102534" w:rsidRDefault="00102534" w:rsidP="00102534">
      <w:pPr>
        <w:spacing w:line="360" w:lineRule="auto"/>
        <w:jc w:val="both"/>
        <w:rPr>
          <w:rFonts w:ascii="Arial" w:eastAsia="Arial" w:hAnsi="Arial" w:cs="Arial"/>
        </w:rPr>
      </w:pPr>
    </w:p>
    <w:p w14:paraId="53B95514" w14:textId="77777777" w:rsidR="00102534" w:rsidRPr="00102534" w:rsidRDefault="00102534" w:rsidP="00102534">
      <w:pPr>
        <w:spacing w:line="360" w:lineRule="auto"/>
        <w:jc w:val="both"/>
        <w:rPr>
          <w:rFonts w:ascii="Arial" w:eastAsia="Arial" w:hAnsi="Arial" w:cs="Arial"/>
        </w:rPr>
      </w:pPr>
      <w:r w:rsidRPr="00102534">
        <w:rPr>
          <w:rFonts w:ascii="Arial" w:eastAsia="Arial" w:hAnsi="Arial" w:cs="Arial"/>
        </w:rPr>
        <w:t>In Flying Start settings, drop-off and pick-up may be the only regular point of contact between staff and parents. These moments are often missed opportunities. If a parent appears distracted or distant, it is easy to feel dismissed. But have we explained how valuable those everyday connections are? Goodall (2017b) highlights that engagement improves when practitioners take time to model, explain and build trust, even informally.</w:t>
      </w:r>
    </w:p>
    <w:p w14:paraId="0801C306"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I have seen small changes make a big difference. One setting introduced short videos in different languages showing simple ways to play at home. Another hosted regular coffee mornings where staff shared examples of how play supports learning. These approaches did not require funding, just intention, consistency and a willingness to open space for questions without judgement.</w:t>
      </w:r>
    </w:p>
    <w:p w14:paraId="4A6859D5" w14:textId="77777777" w:rsidR="00102534" w:rsidRPr="00102534" w:rsidRDefault="00102534" w:rsidP="00102534">
      <w:pPr>
        <w:spacing w:line="360" w:lineRule="auto"/>
        <w:jc w:val="both"/>
        <w:rPr>
          <w:rFonts w:ascii="Arial" w:eastAsia="Arial" w:hAnsi="Arial" w:cs="Arial"/>
        </w:rPr>
      </w:pPr>
    </w:p>
    <w:p w14:paraId="46A38017"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 xml:space="preserve">Estyn (2018) also reminds us that engagement is not about turning parents into teachers. It is about recognising the knowledge they already bring and building from it. When </w:t>
      </w:r>
      <w:r w:rsidRPr="00102534">
        <w:rPr>
          <w:rFonts w:ascii="Arial" w:eastAsia="Arial" w:hAnsi="Arial" w:cs="Arial"/>
        </w:rPr>
        <w:lastRenderedPageBreak/>
        <w:t>families feel heard, they are far more likely to stay involved, even when language or background differs.</w:t>
      </w:r>
    </w:p>
    <w:p w14:paraId="7BA14EDE" w14:textId="77777777" w:rsidR="00102534" w:rsidRPr="00102534" w:rsidRDefault="00102534" w:rsidP="00102534">
      <w:pPr>
        <w:spacing w:line="360" w:lineRule="auto"/>
        <w:jc w:val="both"/>
        <w:rPr>
          <w:rFonts w:ascii="Arial" w:eastAsia="Arial" w:hAnsi="Arial" w:cs="Arial"/>
        </w:rPr>
      </w:pPr>
    </w:p>
    <w:p w14:paraId="0975D411"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So, the question remains: are we making engagement simple, safe and meaningful, or just assuming it will happen on its own?</w:t>
      </w:r>
    </w:p>
    <w:p w14:paraId="77DACD81" w14:textId="77777777" w:rsidR="00102534" w:rsidRPr="00102534" w:rsidRDefault="00102534" w:rsidP="00102534">
      <w:pPr>
        <w:spacing w:line="360" w:lineRule="auto"/>
        <w:jc w:val="both"/>
        <w:rPr>
          <w:rFonts w:ascii="Arial" w:eastAsia="Arial" w:hAnsi="Arial" w:cs="Arial"/>
        </w:rPr>
      </w:pPr>
    </w:p>
    <w:p w14:paraId="08553E43" w14:textId="0BFBBEC2" w:rsidR="00102534" w:rsidRDefault="00FA1EF6" w:rsidP="00102534">
      <w:pPr>
        <w:spacing w:line="360" w:lineRule="auto"/>
        <w:jc w:val="both"/>
        <w:rPr>
          <w:rFonts w:ascii="Arial" w:eastAsia="Arial" w:hAnsi="Arial" w:cs="Arial"/>
          <w:b/>
          <w:bCs/>
        </w:rPr>
      </w:pPr>
      <w:r>
        <w:rPr>
          <w:rFonts w:ascii="Arial" w:eastAsia="Arial" w:hAnsi="Arial" w:cs="Arial"/>
          <w:b/>
          <w:bCs/>
        </w:rPr>
        <w:t>What Can We Do Next?</w:t>
      </w:r>
    </w:p>
    <w:p w14:paraId="494238A7"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Parental engagement is not just a box to tick, it is a relationship we build over time, and it matters more than we often realise. When parents are unsure, hesitant, or disconnected, it is worth asking whether we have made space for them to step in. The responsibility sits with us, not just to inform, but to include.</w:t>
      </w:r>
    </w:p>
    <w:p w14:paraId="770B60AD" w14:textId="77777777" w:rsidR="00102534" w:rsidRPr="00102534" w:rsidRDefault="00102534" w:rsidP="00102534">
      <w:pPr>
        <w:spacing w:line="360" w:lineRule="auto"/>
        <w:jc w:val="both"/>
        <w:rPr>
          <w:rFonts w:ascii="Arial" w:eastAsia="Arial" w:hAnsi="Arial" w:cs="Arial"/>
        </w:rPr>
      </w:pPr>
    </w:p>
    <w:p w14:paraId="0C842DDF" w14:textId="77777777" w:rsidR="00102534" w:rsidRDefault="00102534" w:rsidP="00102534">
      <w:pPr>
        <w:spacing w:line="360" w:lineRule="auto"/>
        <w:jc w:val="both"/>
        <w:rPr>
          <w:rFonts w:ascii="Arial" w:eastAsia="Arial" w:hAnsi="Arial" w:cs="Arial"/>
        </w:rPr>
      </w:pPr>
      <w:r w:rsidRPr="00102534">
        <w:rPr>
          <w:rFonts w:ascii="Arial" w:eastAsia="Arial" w:hAnsi="Arial" w:cs="Arial"/>
        </w:rPr>
        <w:t>If we want families to value what we do, we need to help them understand it. If we want engagement, we need to show what it looks like. And if we believe every child deserves the best start, then we cannot afford to leave their families behind.</w:t>
      </w:r>
    </w:p>
    <w:p w14:paraId="3A3E1F5A" w14:textId="77777777" w:rsidR="00102534" w:rsidRPr="00102534" w:rsidRDefault="00102534" w:rsidP="00102534">
      <w:pPr>
        <w:spacing w:line="360" w:lineRule="auto"/>
        <w:jc w:val="both"/>
        <w:rPr>
          <w:rFonts w:ascii="Arial" w:eastAsia="Arial" w:hAnsi="Arial" w:cs="Arial"/>
        </w:rPr>
      </w:pPr>
    </w:p>
    <w:p w14:paraId="328290FF" w14:textId="69904E09" w:rsidR="00102534" w:rsidRDefault="00102534" w:rsidP="00102534">
      <w:pPr>
        <w:spacing w:line="360" w:lineRule="auto"/>
        <w:jc w:val="both"/>
        <w:rPr>
          <w:rFonts w:ascii="Arial" w:eastAsia="Arial" w:hAnsi="Arial" w:cs="Arial"/>
        </w:rPr>
      </w:pPr>
      <w:r w:rsidRPr="00102534">
        <w:rPr>
          <w:rFonts w:ascii="Arial" w:eastAsia="Arial" w:hAnsi="Arial" w:cs="Arial"/>
        </w:rPr>
        <w:t>What will you do differently next time a parent walks through the door?</w:t>
      </w:r>
    </w:p>
    <w:p w14:paraId="600EAF52" w14:textId="77777777" w:rsidR="00102534" w:rsidRDefault="00102534">
      <w:pPr>
        <w:spacing w:after="160" w:line="259" w:lineRule="auto"/>
        <w:rPr>
          <w:rFonts w:ascii="Arial" w:eastAsia="Arial" w:hAnsi="Arial" w:cs="Arial"/>
        </w:rPr>
      </w:pPr>
      <w:r>
        <w:rPr>
          <w:rFonts w:ascii="Arial" w:eastAsia="Arial" w:hAnsi="Arial" w:cs="Arial"/>
        </w:rPr>
        <w:br w:type="page"/>
      </w:r>
    </w:p>
    <w:p w14:paraId="7B78EFB1" w14:textId="4F2257D5" w:rsidR="00102534" w:rsidRPr="00102534" w:rsidRDefault="00102534" w:rsidP="00102534">
      <w:pPr>
        <w:spacing w:after="240" w:line="360" w:lineRule="auto"/>
        <w:jc w:val="both"/>
        <w:rPr>
          <w:rFonts w:ascii="Arial" w:eastAsia="Arial" w:hAnsi="Arial" w:cs="Arial"/>
          <w:b/>
          <w:bCs/>
        </w:rPr>
      </w:pPr>
      <w:r w:rsidRPr="00102534">
        <w:rPr>
          <w:rFonts w:ascii="Arial" w:eastAsia="Arial" w:hAnsi="Arial" w:cs="Arial"/>
          <w:b/>
          <w:bCs/>
        </w:rPr>
        <w:lastRenderedPageBreak/>
        <w:t>Reference List</w:t>
      </w:r>
    </w:p>
    <w:p w14:paraId="72F79D01" w14:textId="77777777" w:rsidR="00102534" w:rsidRPr="006C4584" w:rsidRDefault="00102534" w:rsidP="00102534">
      <w:pPr>
        <w:spacing w:after="240" w:line="360" w:lineRule="auto"/>
        <w:rPr>
          <w:rFonts w:asciiTheme="minorBidi" w:hAnsiTheme="minorBidi"/>
        </w:rPr>
      </w:pPr>
      <w:r w:rsidRPr="00713CF6">
        <w:rPr>
          <w:rFonts w:asciiTheme="minorBidi" w:hAnsiTheme="minorBidi"/>
        </w:rPr>
        <w:t>Beckley</w:t>
      </w:r>
      <w:r w:rsidRPr="006C4584">
        <w:rPr>
          <w:rFonts w:asciiTheme="minorBidi" w:hAnsiTheme="minorBidi"/>
        </w:rPr>
        <w:t>, P.</w:t>
      </w:r>
      <w:r w:rsidRPr="00713CF6">
        <w:rPr>
          <w:rFonts w:asciiTheme="minorBidi" w:hAnsiTheme="minorBidi"/>
        </w:rPr>
        <w:t xml:space="preserve"> (ed.) (2012) </w:t>
      </w:r>
      <w:r w:rsidRPr="00713CF6">
        <w:rPr>
          <w:rFonts w:asciiTheme="minorBidi" w:hAnsiTheme="minorBidi"/>
          <w:i/>
          <w:iCs/>
        </w:rPr>
        <w:t xml:space="preserve">Learning in early </w:t>
      </w:r>
      <w:r w:rsidRPr="006C4584">
        <w:rPr>
          <w:rFonts w:asciiTheme="minorBidi" w:hAnsiTheme="minorBidi"/>
          <w:i/>
          <w:iCs/>
        </w:rPr>
        <w:t>childhood:</w:t>
      </w:r>
      <w:r w:rsidRPr="00713CF6">
        <w:rPr>
          <w:rFonts w:asciiTheme="minorBidi" w:hAnsiTheme="minorBidi"/>
          <w:i/>
          <w:iCs/>
        </w:rPr>
        <w:t xml:space="preserve"> a whole child approach from birth to </w:t>
      </w:r>
      <w:r w:rsidRPr="006C4584">
        <w:rPr>
          <w:rFonts w:asciiTheme="minorBidi" w:hAnsiTheme="minorBidi"/>
          <w:i/>
          <w:iCs/>
        </w:rPr>
        <w:t>8.</w:t>
      </w:r>
      <w:r w:rsidRPr="00713CF6">
        <w:rPr>
          <w:rFonts w:asciiTheme="minorBidi" w:hAnsiTheme="minorBidi"/>
        </w:rPr>
        <w:t xml:space="preserve"> Thousand Oaks, </w:t>
      </w:r>
      <w:r w:rsidRPr="006C4584">
        <w:rPr>
          <w:rFonts w:asciiTheme="minorBidi" w:hAnsiTheme="minorBidi"/>
        </w:rPr>
        <w:t>CA:</w:t>
      </w:r>
      <w:r w:rsidRPr="00713CF6">
        <w:rPr>
          <w:rFonts w:asciiTheme="minorBidi" w:hAnsiTheme="minorBidi"/>
        </w:rPr>
        <w:t xml:space="preserve"> Sage Publications.</w:t>
      </w:r>
    </w:p>
    <w:p w14:paraId="204F28E6" w14:textId="77777777" w:rsidR="00102534" w:rsidRPr="00713CF6" w:rsidRDefault="00102534" w:rsidP="00102534">
      <w:pPr>
        <w:spacing w:after="240" w:line="360" w:lineRule="auto"/>
        <w:rPr>
          <w:rFonts w:asciiTheme="minorBidi" w:hAnsiTheme="minorBidi"/>
        </w:rPr>
      </w:pPr>
      <w:r w:rsidRPr="006C4584">
        <w:rPr>
          <w:rFonts w:asciiTheme="minorBidi" w:hAnsiTheme="minorBidi"/>
        </w:rPr>
        <w:t xml:space="preserve">Bell Foundation (2020) </w:t>
      </w:r>
      <w:r w:rsidRPr="006C4584">
        <w:rPr>
          <w:rFonts w:asciiTheme="minorBidi" w:hAnsiTheme="minorBidi"/>
          <w:i/>
          <w:iCs/>
        </w:rPr>
        <w:t>Working with parents to support the learning of pupils who use EAL: Guidance for schools.</w:t>
      </w:r>
      <w:r w:rsidRPr="006C4584">
        <w:rPr>
          <w:rFonts w:asciiTheme="minorBidi" w:hAnsiTheme="minorBidi"/>
        </w:rPr>
        <w:t xml:space="preserve"> Available at: </w:t>
      </w:r>
      <w:hyperlink r:id="rId7" w:history="1">
        <w:r w:rsidRPr="006C4584">
          <w:rPr>
            <w:rStyle w:val="Hyperlink"/>
            <w:rFonts w:asciiTheme="minorBidi" w:hAnsiTheme="minorBidi"/>
          </w:rPr>
          <w:t>https://www.bell-foundation.org.uk/app/uploads/2020/09/Working-with-parents-to-support-learning-of-pupils-who-use-EAL.pdf</w:t>
        </w:r>
      </w:hyperlink>
      <w:r w:rsidRPr="006C4584">
        <w:rPr>
          <w:rFonts w:asciiTheme="minorBidi" w:hAnsiTheme="minorBidi"/>
        </w:rPr>
        <w:t xml:space="preserve"> ()Accessed: 14 June 2025).</w:t>
      </w:r>
    </w:p>
    <w:p w14:paraId="17E0CADC" w14:textId="77777777" w:rsidR="00102534" w:rsidRPr="00F8424E" w:rsidRDefault="00102534" w:rsidP="00102534">
      <w:pPr>
        <w:spacing w:after="240" w:line="360" w:lineRule="auto"/>
        <w:rPr>
          <w:rFonts w:asciiTheme="minorBidi" w:hAnsiTheme="minorBidi"/>
        </w:rPr>
      </w:pPr>
      <w:r w:rsidRPr="00F8424E">
        <w:rPr>
          <w:rFonts w:asciiTheme="minorBidi" w:hAnsiTheme="minorBidi"/>
        </w:rPr>
        <w:t xml:space="preserve">Bonetti, S. and Brown, K. (2018) </w:t>
      </w:r>
      <w:r w:rsidRPr="00F8424E">
        <w:rPr>
          <w:rFonts w:asciiTheme="minorBidi" w:hAnsiTheme="minorBidi"/>
          <w:i/>
          <w:iCs/>
        </w:rPr>
        <w:t>Structural Elements of Quality Early Years Provision: A Review of the Evidence</w:t>
      </w:r>
      <w:r w:rsidRPr="00F8424E">
        <w:rPr>
          <w:rFonts w:asciiTheme="minorBidi" w:hAnsiTheme="minorBidi"/>
        </w:rPr>
        <w:t>. London: Education Policy Institute.</w:t>
      </w:r>
      <w:r w:rsidRPr="006C4584">
        <w:rPr>
          <w:rFonts w:asciiTheme="minorBidi" w:hAnsiTheme="minorBidi"/>
        </w:rPr>
        <w:t xml:space="preserve"> Available at: </w:t>
      </w:r>
      <w:hyperlink r:id="rId8" w:history="1">
        <w:r w:rsidRPr="005A6759">
          <w:rPr>
            <w:rStyle w:val="Hyperlink"/>
            <w:rFonts w:asciiTheme="minorBidi" w:hAnsiTheme="minorBidi"/>
          </w:rPr>
          <w:t>https://epi.org.uk/wp-content/uploads/2018/08/Early-years-structural-quality-review_EPI.pdf</w:t>
        </w:r>
      </w:hyperlink>
      <w:r w:rsidRPr="005A6759">
        <w:rPr>
          <w:rFonts w:asciiTheme="minorBidi" w:hAnsiTheme="minorBidi"/>
        </w:rPr>
        <w:t>.</w:t>
      </w:r>
      <w:r w:rsidRPr="006C4584">
        <w:rPr>
          <w:rFonts w:asciiTheme="minorBidi" w:hAnsiTheme="minorBidi"/>
        </w:rPr>
        <w:t xml:space="preserve"> (Accessed: 10 June 2025)</w:t>
      </w:r>
    </w:p>
    <w:p w14:paraId="25D32274" w14:textId="77777777" w:rsidR="00102534" w:rsidRPr="0021180C" w:rsidRDefault="00102534" w:rsidP="00102534">
      <w:pPr>
        <w:spacing w:after="240" w:line="360" w:lineRule="auto"/>
        <w:rPr>
          <w:rFonts w:asciiTheme="minorBidi" w:hAnsiTheme="minorBidi"/>
        </w:rPr>
      </w:pPr>
      <w:r w:rsidRPr="0021180C">
        <w:rPr>
          <w:rFonts w:asciiTheme="minorBidi" w:hAnsiTheme="minorBidi"/>
        </w:rPr>
        <w:t xml:space="preserve">Cable, C., Miller, L. and Drury, R. (2012) </w:t>
      </w:r>
      <w:r w:rsidRPr="0021180C">
        <w:rPr>
          <w:rFonts w:asciiTheme="minorBidi" w:hAnsiTheme="minorBidi"/>
          <w:i/>
          <w:iCs/>
        </w:rPr>
        <w:t>Extending Professional Practice in the Early Years</w:t>
      </w:r>
      <w:r w:rsidRPr="0021180C">
        <w:rPr>
          <w:rFonts w:asciiTheme="minorBidi" w:hAnsiTheme="minorBidi"/>
        </w:rPr>
        <w:t>. London: SAGE.</w:t>
      </w:r>
    </w:p>
    <w:p w14:paraId="2FDD8F63" w14:textId="77777777" w:rsidR="00102534" w:rsidRPr="00F8424E" w:rsidRDefault="00102534" w:rsidP="00102534">
      <w:pPr>
        <w:spacing w:after="240" w:line="360" w:lineRule="auto"/>
        <w:rPr>
          <w:rFonts w:asciiTheme="minorBidi" w:hAnsiTheme="minorBidi"/>
          <w:i/>
          <w:iCs/>
        </w:rPr>
      </w:pPr>
      <w:r w:rsidRPr="006C4584">
        <w:rPr>
          <w:rFonts w:asciiTheme="minorBidi" w:hAnsiTheme="minorBidi"/>
        </w:rPr>
        <w:t>Canning, N. and Reed, M. (2010)</w:t>
      </w:r>
      <w:r w:rsidRPr="006C4584">
        <w:rPr>
          <w:rFonts w:asciiTheme="minorBidi" w:hAnsiTheme="minorBidi"/>
          <w:i/>
          <w:iCs/>
        </w:rPr>
        <w:t xml:space="preserve"> Reflective practice in the early years</w:t>
      </w:r>
      <w:r w:rsidRPr="006C4584">
        <w:rPr>
          <w:rFonts w:asciiTheme="minorBidi" w:hAnsiTheme="minorBidi"/>
        </w:rPr>
        <w:t>.</w:t>
      </w:r>
      <w:r w:rsidRPr="006C4584">
        <w:rPr>
          <w:rFonts w:asciiTheme="minorBidi" w:hAnsiTheme="minorBidi"/>
          <w:i/>
          <w:iCs/>
        </w:rPr>
        <w:t xml:space="preserve"> </w:t>
      </w:r>
      <w:r w:rsidRPr="006C4584">
        <w:rPr>
          <w:rFonts w:asciiTheme="minorBidi" w:hAnsiTheme="minorBidi"/>
        </w:rPr>
        <w:t xml:space="preserve">London:  SAGE. </w:t>
      </w:r>
    </w:p>
    <w:p w14:paraId="61D29B3C" w14:textId="77777777" w:rsidR="00102534" w:rsidRPr="006C4584" w:rsidRDefault="00102534" w:rsidP="00102534">
      <w:pPr>
        <w:spacing w:after="240" w:line="360" w:lineRule="auto"/>
        <w:rPr>
          <w:rFonts w:asciiTheme="minorBidi" w:hAnsiTheme="minorBidi"/>
        </w:rPr>
      </w:pPr>
      <w:r w:rsidRPr="00F8424E">
        <w:rPr>
          <w:rFonts w:asciiTheme="minorBidi" w:hAnsiTheme="minorBidi"/>
        </w:rPr>
        <w:t>Canning, N. and Reed, M.</w:t>
      </w:r>
      <w:r w:rsidRPr="006C4584">
        <w:rPr>
          <w:rFonts w:asciiTheme="minorBidi" w:hAnsiTheme="minorBidi"/>
        </w:rPr>
        <w:t xml:space="preserve"> </w:t>
      </w:r>
      <w:r w:rsidRPr="00B67C37">
        <w:rPr>
          <w:rFonts w:asciiTheme="minorBidi" w:hAnsiTheme="minorBidi"/>
        </w:rPr>
        <w:t xml:space="preserve">(2012) </w:t>
      </w:r>
      <w:r w:rsidRPr="00B67C37">
        <w:rPr>
          <w:rFonts w:asciiTheme="minorBidi" w:hAnsiTheme="minorBidi"/>
          <w:i/>
          <w:iCs/>
        </w:rPr>
        <w:t>Implementing quality improvement and change in the early years</w:t>
      </w:r>
      <w:r w:rsidRPr="00B67C37">
        <w:rPr>
          <w:rFonts w:asciiTheme="minorBidi" w:hAnsiTheme="minorBidi"/>
        </w:rPr>
        <w:t>. London</w:t>
      </w:r>
      <w:r w:rsidRPr="006C4584">
        <w:rPr>
          <w:rFonts w:asciiTheme="minorBidi" w:hAnsiTheme="minorBidi"/>
        </w:rPr>
        <w:t>:</w:t>
      </w:r>
      <w:r w:rsidRPr="00B67C37">
        <w:rPr>
          <w:rFonts w:asciiTheme="minorBidi" w:hAnsiTheme="minorBidi"/>
        </w:rPr>
        <w:t xml:space="preserve"> S</w:t>
      </w:r>
      <w:r w:rsidRPr="006C4584">
        <w:rPr>
          <w:rFonts w:asciiTheme="minorBidi" w:hAnsiTheme="minorBidi"/>
        </w:rPr>
        <w:t>AGE.</w:t>
      </w:r>
    </w:p>
    <w:p w14:paraId="679A3791" w14:textId="77777777" w:rsidR="00102534" w:rsidRPr="00F8424E" w:rsidRDefault="00102534" w:rsidP="00102534">
      <w:pPr>
        <w:spacing w:after="240" w:line="360" w:lineRule="auto"/>
        <w:rPr>
          <w:rFonts w:asciiTheme="minorBidi" w:hAnsiTheme="minorBidi"/>
        </w:rPr>
      </w:pPr>
      <w:r w:rsidRPr="006C4584">
        <w:rPr>
          <w:rFonts w:asciiTheme="minorBidi" w:hAnsiTheme="minorBidi"/>
        </w:rPr>
        <w:t xml:space="preserve">Carr, M. (2001) </w:t>
      </w:r>
      <w:r w:rsidRPr="006C4584">
        <w:rPr>
          <w:rFonts w:asciiTheme="minorBidi" w:hAnsiTheme="minorBidi"/>
          <w:i/>
          <w:iCs/>
        </w:rPr>
        <w:t>Assessment in Early Childhood Settings: Learning Stories.</w:t>
      </w:r>
      <w:r w:rsidRPr="006C4584">
        <w:rPr>
          <w:rFonts w:asciiTheme="minorBidi" w:hAnsiTheme="minorBidi"/>
        </w:rPr>
        <w:t xml:space="preserve"> London: SAGE.</w:t>
      </w:r>
    </w:p>
    <w:p w14:paraId="2252AFA9" w14:textId="77777777" w:rsidR="00102534" w:rsidRPr="0021180C" w:rsidRDefault="00102534" w:rsidP="00102534">
      <w:pPr>
        <w:spacing w:after="240" w:line="360" w:lineRule="auto"/>
        <w:rPr>
          <w:rFonts w:asciiTheme="minorBidi" w:hAnsiTheme="minorBidi"/>
        </w:rPr>
      </w:pPr>
      <w:r w:rsidRPr="0021180C">
        <w:rPr>
          <w:rFonts w:asciiTheme="minorBidi" w:hAnsiTheme="minorBidi"/>
        </w:rPr>
        <w:t xml:space="preserve">Chicken, S. (2023) ‘Doing Reggio? Exploring the complexity of curriculum migration through a comparison of Reggio Emilia, Italy and the EYFS, England’, </w:t>
      </w:r>
      <w:r w:rsidRPr="0021180C">
        <w:rPr>
          <w:rFonts w:asciiTheme="minorBidi" w:hAnsiTheme="minorBidi"/>
          <w:i/>
          <w:iCs/>
        </w:rPr>
        <w:t>Global Studies of Childhood</w:t>
      </w:r>
      <w:r w:rsidRPr="0021180C">
        <w:rPr>
          <w:rFonts w:asciiTheme="minorBidi" w:hAnsiTheme="minorBidi"/>
        </w:rPr>
        <w:t xml:space="preserve">, 13(4), pp. 322–340. </w:t>
      </w:r>
      <w:hyperlink r:id="rId9" w:history="1">
        <w:r w:rsidRPr="006C4584">
          <w:rPr>
            <w:rStyle w:val="Hyperlink"/>
            <w:rFonts w:asciiTheme="minorBidi" w:hAnsiTheme="minorBidi"/>
          </w:rPr>
          <w:t>https://doi.org/10.1177/20436106211068041</w:t>
        </w:r>
      </w:hyperlink>
      <w:r w:rsidRPr="006C4584">
        <w:rPr>
          <w:rFonts w:asciiTheme="minorBidi" w:hAnsiTheme="minorBidi"/>
        </w:rPr>
        <w:t xml:space="preserve"> </w:t>
      </w:r>
    </w:p>
    <w:p w14:paraId="5929B525" w14:textId="77777777" w:rsidR="00102534" w:rsidRPr="0021180C" w:rsidRDefault="00102534" w:rsidP="00102534">
      <w:pPr>
        <w:spacing w:after="240" w:line="360" w:lineRule="auto"/>
        <w:rPr>
          <w:rFonts w:asciiTheme="minorBidi" w:hAnsiTheme="minorBidi"/>
        </w:rPr>
      </w:pPr>
      <w:r w:rsidRPr="0021180C">
        <w:rPr>
          <w:rFonts w:asciiTheme="minorBidi" w:hAnsiTheme="minorBidi"/>
        </w:rPr>
        <w:t xml:space="preserve">Dahlberg, G., Moss, P. and Pence, A. (2007) </w:t>
      </w:r>
      <w:r w:rsidRPr="0021180C">
        <w:rPr>
          <w:rFonts w:asciiTheme="minorBidi" w:hAnsiTheme="minorBidi"/>
          <w:i/>
          <w:iCs/>
        </w:rPr>
        <w:t>Beyond Quality in Early Childhood Education and Care: Languages of Evaluation</w:t>
      </w:r>
      <w:r w:rsidRPr="0021180C">
        <w:rPr>
          <w:rFonts w:asciiTheme="minorBidi" w:hAnsiTheme="minorBidi"/>
        </w:rPr>
        <w:t xml:space="preserve">. 2nd </w:t>
      </w:r>
      <w:proofErr w:type="spellStart"/>
      <w:r w:rsidRPr="0021180C">
        <w:rPr>
          <w:rFonts w:asciiTheme="minorBidi" w:hAnsiTheme="minorBidi"/>
        </w:rPr>
        <w:t>edn</w:t>
      </w:r>
      <w:proofErr w:type="spellEnd"/>
      <w:r w:rsidRPr="0021180C">
        <w:rPr>
          <w:rFonts w:asciiTheme="minorBidi" w:hAnsiTheme="minorBidi"/>
        </w:rPr>
        <w:t>. London: Routledge.</w:t>
      </w:r>
    </w:p>
    <w:p w14:paraId="3017229C" w14:textId="77777777" w:rsidR="00102534" w:rsidRPr="006C4584" w:rsidRDefault="00102534" w:rsidP="00102534">
      <w:pPr>
        <w:spacing w:after="240" w:line="360" w:lineRule="auto"/>
        <w:rPr>
          <w:rFonts w:asciiTheme="minorBidi" w:hAnsiTheme="minorBidi"/>
        </w:rPr>
      </w:pPr>
      <w:r w:rsidRPr="006C4584">
        <w:rPr>
          <w:rFonts w:asciiTheme="minorBidi" w:hAnsiTheme="minorBidi"/>
        </w:rPr>
        <w:t xml:space="preserve">Department for Education (DfE, 2024) </w:t>
      </w:r>
      <w:r w:rsidRPr="006C4584">
        <w:rPr>
          <w:rFonts w:asciiTheme="minorBidi" w:hAnsiTheme="minorBidi"/>
          <w:i/>
          <w:iCs/>
        </w:rPr>
        <w:t>Early years foundation stage statutory Framework for group and school-based providers.</w:t>
      </w:r>
      <w:r w:rsidRPr="006C4584">
        <w:rPr>
          <w:rFonts w:asciiTheme="minorBidi" w:hAnsiTheme="minorBidi"/>
        </w:rPr>
        <w:t xml:space="preserve"> Available at: </w:t>
      </w:r>
      <w:hyperlink r:id="rId10" w:history="1">
        <w:r w:rsidRPr="006C4584">
          <w:rPr>
            <w:rStyle w:val="Hyperlink"/>
            <w:rFonts w:asciiTheme="minorBidi" w:hAnsiTheme="minorBidi"/>
          </w:rPr>
          <w:t>https://assets.publishing.service.gov.uk/media/670fa42a30536cb92748328f/EYFS_statutory_framework_for_group_and_school_-_based_providers.pdf</w:t>
        </w:r>
      </w:hyperlink>
      <w:r w:rsidRPr="006C4584">
        <w:rPr>
          <w:rFonts w:asciiTheme="minorBidi" w:hAnsiTheme="minorBidi"/>
        </w:rPr>
        <w:t xml:space="preserve"> (Accessed: 11 June 2025).</w:t>
      </w:r>
    </w:p>
    <w:p w14:paraId="0297902B" w14:textId="77777777" w:rsidR="00102534" w:rsidRPr="00F8424E" w:rsidRDefault="00102534" w:rsidP="00102534">
      <w:pPr>
        <w:spacing w:after="240" w:line="360" w:lineRule="auto"/>
        <w:rPr>
          <w:rFonts w:asciiTheme="minorBidi" w:hAnsiTheme="minorBidi"/>
        </w:rPr>
      </w:pPr>
      <w:r w:rsidRPr="00F8424E">
        <w:rPr>
          <w:rFonts w:asciiTheme="minorBidi" w:hAnsiTheme="minorBidi"/>
        </w:rPr>
        <w:t>Devarakonda, C. (201</w:t>
      </w:r>
      <w:r w:rsidRPr="006C4584">
        <w:rPr>
          <w:rFonts w:asciiTheme="minorBidi" w:hAnsiTheme="minorBidi"/>
        </w:rPr>
        <w:t>5</w:t>
      </w:r>
      <w:r w:rsidRPr="00F8424E">
        <w:rPr>
          <w:rFonts w:asciiTheme="minorBidi" w:hAnsiTheme="minorBidi"/>
        </w:rPr>
        <w:t xml:space="preserve">) </w:t>
      </w:r>
      <w:r w:rsidRPr="00F8424E">
        <w:rPr>
          <w:rFonts w:asciiTheme="minorBidi" w:hAnsiTheme="minorBidi"/>
          <w:i/>
          <w:iCs/>
        </w:rPr>
        <w:t>Diversity and Inclusion in Early Childhood: An Introduction</w:t>
      </w:r>
      <w:r w:rsidRPr="00F8424E">
        <w:rPr>
          <w:rFonts w:asciiTheme="minorBidi" w:hAnsiTheme="minorBidi"/>
        </w:rPr>
        <w:t>. London: SAGE.</w:t>
      </w:r>
    </w:p>
    <w:p w14:paraId="0B827EC4" w14:textId="77777777" w:rsidR="00102534" w:rsidRPr="006C4584" w:rsidRDefault="00102534" w:rsidP="00102534">
      <w:pPr>
        <w:spacing w:after="240" w:line="360" w:lineRule="auto"/>
        <w:rPr>
          <w:rFonts w:asciiTheme="minorBidi" w:hAnsiTheme="minorBidi"/>
        </w:rPr>
      </w:pPr>
      <w:r w:rsidRPr="0021180C">
        <w:rPr>
          <w:rFonts w:asciiTheme="minorBidi" w:hAnsiTheme="minorBidi"/>
        </w:rPr>
        <w:t xml:space="preserve">Donaldson, G. (2015) </w:t>
      </w:r>
      <w:r w:rsidRPr="0021180C">
        <w:rPr>
          <w:rFonts w:asciiTheme="minorBidi" w:hAnsiTheme="minorBidi"/>
          <w:i/>
          <w:iCs/>
        </w:rPr>
        <w:t>Successful Futures: Independent Review of Curriculum and Assessment Arrangements in Wales</w:t>
      </w:r>
      <w:r w:rsidRPr="0021180C">
        <w:rPr>
          <w:rFonts w:asciiTheme="minorBidi" w:hAnsiTheme="minorBidi"/>
        </w:rPr>
        <w:t>.</w:t>
      </w:r>
      <w:r w:rsidRPr="006C4584">
        <w:rPr>
          <w:rFonts w:asciiTheme="minorBidi" w:hAnsiTheme="minorBidi"/>
        </w:rPr>
        <w:t xml:space="preserve"> Available at: </w:t>
      </w:r>
      <w:hyperlink r:id="rId11" w:history="1">
        <w:r w:rsidRPr="006C4584">
          <w:rPr>
            <w:rStyle w:val="Hyperlink"/>
            <w:rFonts w:asciiTheme="minorBidi" w:hAnsiTheme="minorBidi"/>
          </w:rPr>
          <w:t>https://www.gov.wales/sites/default/files/publications/2018-03/successful-futures.pdf</w:t>
        </w:r>
      </w:hyperlink>
      <w:r w:rsidRPr="006C4584">
        <w:rPr>
          <w:rFonts w:asciiTheme="minorBidi" w:hAnsiTheme="minorBidi"/>
        </w:rPr>
        <w:t xml:space="preserve"> (Accessed: 10 June 2025).</w:t>
      </w:r>
    </w:p>
    <w:p w14:paraId="2845E113" w14:textId="77777777" w:rsidR="00102534" w:rsidRPr="0021180C" w:rsidRDefault="00102534" w:rsidP="00102534">
      <w:pPr>
        <w:spacing w:after="240" w:line="360" w:lineRule="auto"/>
        <w:rPr>
          <w:rFonts w:asciiTheme="minorBidi" w:hAnsiTheme="minorBidi"/>
        </w:rPr>
      </w:pPr>
      <w:r w:rsidRPr="0021180C">
        <w:rPr>
          <w:rFonts w:asciiTheme="minorBidi" w:hAnsiTheme="minorBidi"/>
        </w:rPr>
        <w:t>Edwards, C., Gandini, L.</w:t>
      </w:r>
      <w:r w:rsidRPr="006C4584">
        <w:rPr>
          <w:rFonts w:asciiTheme="minorBidi" w:hAnsiTheme="minorBidi"/>
        </w:rPr>
        <w:t>,</w:t>
      </w:r>
      <w:r w:rsidRPr="0021180C">
        <w:rPr>
          <w:rFonts w:asciiTheme="minorBidi" w:hAnsiTheme="minorBidi"/>
        </w:rPr>
        <w:t xml:space="preserve"> and Forman, G. (2012) </w:t>
      </w:r>
      <w:r w:rsidRPr="0021180C">
        <w:rPr>
          <w:rFonts w:asciiTheme="minorBidi" w:hAnsiTheme="minorBidi"/>
          <w:i/>
          <w:iCs/>
        </w:rPr>
        <w:t>The Hundred Languages of Children: The Reggio Emilia Experience in Transformation</w:t>
      </w:r>
      <w:r w:rsidRPr="0021180C">
        <w:rPr>
          <w:rFonts w:asciiTheme="minorBidi" w:hAnsiTheme="minorBidi"/>
        </w:rPr>
        <w:t xml:space="preserve">. 3rd </w:t>
      </w:r>
      <w:proofErr w:type="spellStart"/>
      <w:r w:rsidRPr="0021180C">
        <w:rPr>
          <w:rFonts w:asciiTheme="minorBidi" w:hAnsiTheme="minorBidi"/>
        </w:rPr>
        <w:t>edn</w:t>
      </w:r>
      <w:proofErr w:type="spellEnd"/>
      <w:r w:rsidRPr="0021180C">
        <w:rPr>
          <w:rFonts w:asciiTheme="minorBidi" w:hAnsiTheme="minorBidi"/>
        </w:rPr>
        <w:t>. Santa Barbara, CA: Praeger.</w:t>
      </w:r>
    </w:p>
    <w:p w14:paraId="1BD86565" w14:textId="77777777" w:rsidR="00102534" w:rsidRPr="0021180C" w:rsidRDefault="00102534" w:rsidP="00102534">
      <w:pPr>
        <w:spacing w:after="240" w:line="360" w:lineRule="auto"/>
        <w:rPr>
          <w:rFonts w:asciiTheme="minorBidi" w:hAnsiTheme="minorBidi"/>
        </w:rPr>
      </w:pPr>
      <w:r w:rsidRPr="006C4584">
        <w:rPr>
          <w:rFonts w:asciiTheme="minorBidi" w:hAnsiTheme="minorBidi"/>
        </w:rPr>
        <w:t xml:space="preserve">Estyn (2018) </w:t>
      </w:r>
      <w:r w:rsidRPr="006C4584">
        <w:rPr>
          <w:rFonts w:asciiTheme="minorBidi" w:hAnsiTheme="minorBidi"/>
          <w:i/>
          <w:iCs/>
        </w:rPr>
        <w:t>Involving parents: Communication between schools and parents of school-aged children</w:t>
      </w:r>
      <w:r w:rsidRPr="006C4584">
        <w:rPr>
          <w:rFonts w:asciiTheme="minorBidi" w:hAnsiTheme="minorBidi"/>
        </w:rPr>
        <w:t xml:space="preserve">. Available at:  </w:t>
      </w:r>
      <w:hyperlink r:id="rId12" w:history="1">
        <w:r w:rsidRPr="006C4584">
          <w:rPr>
            <w:rStyle w:val="Hyperlink"/>
            <w:rFonts w:asciiTheme="minorBidi" w:hAnsiTheme="minorBidi"/>
          </w:rPr>
          <w:t>https://www.estyn.gov.wales/system/files/2020-07/Involving%2520parents%2520-%2520en.pdf</w:t>
        </w:r>
      </w:hyperlink>
      <w:r w:rsidRPr="006C4584">
        <w:rPr>
          <w:rFonts w:asciiTheme="minorBidi" w:hAnsiTheme="minorBidi"/>
        </w:rPr>
        <w:t xml:space="preserve"> (Accessed: 12 June 2025).</w:t>
      </w:r>
    </w:p>
    <w:p w14:paraId="57B69391" w14:textId="77777777" w:rsidR="00102534" w:rsidRPr="006C4584" w:rsidRDefault="00102534" w:rsidP="00102534">
      <w:pPr>
        <w:spacing w:after="240" w:line="360" w:lineRule="auto"/>
        <w:rPr>
          <w:rFonts w:asciiTheme="minorBidi" w:hAnsiTheme="minorBidi"/>
        </w:rPr>
      </w:pPr>
      <w:r w:rsidRPr="006C4584">
        <w:rPr>
          <w:rFonts w:asciiTheme="minorBidi" w:hAnsiTheme="minorBidi"/>
        </w:rPr>
        <w:t xml:space="preserve">File, N., Mueller, J.J., and Wisneski, D.B. (2012) </w:t>
      </w:r>
      <w:r w:rsidRPr="006C4584">
        <w:rPr>
          <w:rFonts w:asciiTheme="minorBidi" w:hAnsiTheme="minorBidi"/>
          <w:i/>
          <w:iCs/>
        </w:rPr>
        <w:t>Curriculum in Early Childhood Education: Re-examined, Rediscovered, Renewed</w:t>
      </w:r>
      <w:r w:rsidRPr="006C4584">
        <w:rPr>
          <w:rFonts w:asciiTheme="minorBidi" w:hAnsiTheme="minorBidi"/>
        </w:rPr>
        <w:t>. London: Routledge.</w:t>
      </w:r>
    </w:p>
    <w:p w14:paraId="124808E5" w14:textId="77777777" w:rsidR="00102534" w:rsidRPr="006C4584" w:rsidRDefault="00102534" w:rsidP="00102534">
      <w:pPr>
        <w:spacing w:after="240" w:line="360" w:lineRule="auto"/>
        <w:rPr>
          <w:rFonts w:asciiTheme="minorBidi" w:hAnsiTheme="minorBidi"/>
        </w:rPr>
      </w:pPr>
      <w:r w:rsidRPr="00F8424E">
        <w:rPr>
          <w:rFonts w:asciiTheme="minorBidi" w:hAnsiTheme="minorBidi"/>
        </w:rPr>
        <w:t xml:space="preserve">Garvis, S. and Lemon, N. </w:t>
      </w:r>
      <w:r w:rsidRPr="006C4584">
        <w:rPr>
          <w:rFonts w:asciiTheme="minorBidi" w:hAnsiTheme="minorBidi"/>
        </w:rPr>
        <w:t xml:space="preserve">(eds.) </w:t>
      </w:r>
      <w:r w:rsidRPr="00F8424E">
        <w:rPr>
          <w:rFonts w:asciiTheme="minorBidi" w:hAnsiTheme="minorBidi"/>
        </w:rPr>
        <w:t xml:space="preserve">(2016) </w:t>
      </w:r>
      <w:r w:rsidRPr="00F8424E">
        <w:rPr>
          <w:rFonts w:asciiTheme="minorBidi" w:hAnsiTheme="minorBidi"/>
          <w:i/>
          <w:iCs/>
        </w:rPr>
        <w:t>Understanding Digital Technologies and Young Children: An International Perspective</w:t>
      </w:r>
      <w:r w:rsidRPr="00F8424E">
        <w:rPr>
          <w:rFonts w:asciiTheme="minorBidi" w:hAnsiTheme="minorBidi"/>
        </w:rPr>
        <w:t>. London: Routledge.</w:t>
      </w:r>
    </w:p>
    <w:p w14:paraId="7089E193" w14:textId="77777777" w:rsidR="00102534" w:rsidRPr="006C4584" w:rsidRDefault="00102534" w:rsidP="00102534">
      <w:pPr>
        <w:spacing w:after="240" w:line="360" w:lineRule="auto"/>
        <w:rPr>
          <w:rFonts w:asciiTheme="minorBidi" w:hAnsiTheme="minorBidi"/>
        </w:rPr>
      </w:pPr>
      <w:r w:rsidRPr="006C4584">
        <w:rPr>
          <w:rFonts w:asciiTheme="minorBidi" w:hAnsiTheme="minorBidi"/>
        </w:rPr>
        <w:t xml:space="preserve">Goodall, J. (2017a) </w:t>
      </w:r>
      <w:r w:rsidRPr="006C4584">
        <w:rPr>
          <w:rFonts w:asciiTheme="minorBidi" w:hAnsiTheme="minorBidi"/>
          <w:i/>
          <w:iCs/>
        </w:rPr>
        <w:t>Narrowing the Achievement Gap: Parental Engagement with Children’s Learning</w:t>
      </w:r>
      <w:r w:rsidRPr="006C4584">
        <w:rPr>
          <w:rFonts w:asciiTheme="minorBidi" w:hAnsiTheme="minorBidi"/>
        </w:rPr>
        <w:t>. London: Routledge.</w:t>
      </w:r>
    </w:p>
    <w:p w14:paraId="749FC0EE" w14:textId="77777777" w:rsidR="00102534" w:rsidRPr="006C4584" w:rsidRDefault="00102534" w:rsidP="00102534">
      <w:pPr>
        <w:spacing w:after="240" w:line="360" w:lineRule="auto"/>
        <w:rPr>
          <w:rFonts w:asciiTheme="minorBidi" w:hAnsiTheme="minorBidi"/>
        </w:rPr>
      </w:pPr>
      <w:r w:rsidRPr="006C4584">
        <w:rPr>
          <w:rFonts w:asciiTheme="minorBidi" w:hAnsiTheme="minorBidi"/>
        </w:rPr>
        <w:t xml:space="preserve">Goodall, J. (2017b) ‘Learning-centred parental engagement: Freire reimagined’. </w:t>
      </w:r>
      <w:r w:rsidRPr="006C4584">
        <w:rPr>
          <w:rFonts w:asciiTheme="minorBidi" w:hAnsiTheme="minorBidi"/>
          <w:i/>
          <w:iCs/>
        </w:rPr>
        <w:t>Educational Review</w:t>
      </w:r>
      <w:r w:rsidRPr="006C4584">
        <w:rPr>
          <w:rFonts w:asciiTheme="minorBidi" w:hAnsiTheme="minorBidi"/>
        </w:rPr>
        <w:t>. Routledge. Taylor &amp; Francis Group</w:t>
      </w:r>
    </w:p>
    <w:p w14:paraId="2FB96652" w14:textId="77777777" w:rsidR="00102534" w:rsidRPr="006C4584" w:rsidRDefault="00102534" w:rsidP="00102534">
      <w:pPr>
        <w:spacing w:after="240" w:line="360" w:lineRule="auto"/>
        <w:rPr>
          <w:rFonts w:asciiTheme="minorBidi" w:hAnsiTheme="minorBidi"/>
        </w:rPr>
      </w:pPr>
      <w:r w:rsidRPr="006C4584">
        <w:rPr>
          <w:rFonts w:asciiTheme="minorBidi" w:hAnsiTheme="minorBidi"/>
        </w:rPr>
        <w:t>Goodall, J., and Montgomery, C. (2013) ‘Parental involvement to parental engagement: a continuum’. </w:t>
      </w:r>
      <w:r w:rsidRPr="006C4584">
        <w:rPr>
          <w:rFonts w:asciiTheme="minorBidi" w:hAnsiTheme="minorBidi"/>
          <w:i/>
          <w:iCs/>
        </w:rPr>
        <w:t>Educational Review</w:t>
      </w:r>
      <w:r w:rsidRPr="006C4584">
        <w:rPr>
          <w:rFonts w:asciiTheme="minorBidi" w:hAnsiTheme="minorBidi"/>
        </w:rPr>
        <w:t>, </w:t>
      </w:r>
      <w:r w:rsidRPr="006C4584">
        <w:rPr>
          <w:rFonts w:asciiTheme="minorBidi" w:hAnsiTheme="minorBidi"/>
          <w:i/>
          <w:iCs/>
        </w:rPr>
        <w:t>66</w:t>
      </w:r>
      <w:r w:rsidRPr="006C4584">
        <w:rPr>
          <w:rFonts w:asciiTheme="minorBidi" w:hAnsiTheme="minorBidi"/>
        </w:rPr>
        <w:t xml:space="preserve">(4), 399–410. </w:t>
      </w:r>
      <w:hyperlink r:id="rId13" w:history="1">
        <w:r w:rsidRPr="006C4584">
          <w:rPr>
            <w:rStyle w:val="Hyperlink"/>
            <w:rFonts w:asciiTheme="minorBidi" w:hAnsiTheme="minorBidi"/>
          </w:rPr>
          <w:t>https://doi.org/10.1080/00131911.2013.781576</w:t>
        </w:r>
      </w:hyperlink>
      <w:r w:rsidRPr="006C4584">
        <w:rPr>
          <w:rFonts w:asciiTheme="minorBidi" w:hAnsiTheme="minorBidi"/>
        </w:rPr>
        <w:t xml:space="preserve"> </w:t>
      </w:r>
    </w:p>
    <w:p w14:paraId="76971501" w14:textId="77777777" w:rsidR="00102534" w:rsidRPr="006C4584" w:rsidRDefault="00102534" w:rsidP="00102534">
      <w:pPr>
        <w:spacing w:after="240" w:line="360" w:lineRule="auto"/>
        <w:rPr>
          <w:rFonts w:asciiTheme="minorBidi" w:hAnsiTheme="minorBidi"/>
        </w:rPr>
      </w:pPr>
      <w:r w:rsidRPr="0021180C">
        <w:rPr>
          <w:rFonts w:asciiTheme="minorBidi" w:hAnsiTheme="minorBidi"/>
        </w:rPr>
        <w:lastRenderedPageBreak/>
        <w:t xml:space="preserve">Hodgman, L. (2011) </w:t>
      </w:r>
      <w:r w:rsidRPr="0021180C">
        <w:rPr>
          <w:rFonts w:asciiTheme="minorBidi" w:hAnsiTheme="minorBidi"/>
          <w:i/>
          <w:iCs/>
        </w:rPr>
        <w:t>Enabling Environments in the Early Years: Making Provision for High Quality and Challenging Learning Experiences</w:t>
      </w:r>
      <w:r w:rsidRPr="0021180C">
        <w:rPr>
          <w:rFonts w:asciiTheme="minorBidi" w:hAnsiTheme="minorBidi"/>
        </w:rPr>
        <w:t>. London: Practical Pre-School Books.</w:t>
      </w:r>
    </w:p>
    <w:p w14:paraId="1D0DB091" w14:textId="77777777" w:rsidR="00102534" w:rsidRPr="00F8424E" w:rsidRDefault="00102534" w:rsidP="00102534">
      <w:pPr>
        <w:spacing w:after="240" w:line="360" w:lineRule="auto"/>
        <w:rPr>
          <w:rFonts w:asciiTheme="minorBidi" w:hAnsiTheme="minorBidi"/>
        </w:rPr>
      </w:pPr>
      <w:r w:rsidRPr="00F8424E">
        <w:rPr>
          <w:rFonts w:asciiTheme="minorBidi" w:hAnsiTheme="minorBidi"/>
        </w:rPr>
        <w:t xml:space="preserve">MacDonald, N. (2018) ‘The Great Divide: Separation of Care and Education in Wales—An Examination of Policy, Reform and Research Evidence’, </w:t>
      </w:r>
      <w:r w:rsidRPr="00F8424E">
        <w:rPr>
          <w:rFonts w:asciiTheme="minorBidi" w:hAnsiTheme="minorBidi"/>
          <w:i/>
          <w:iCs/>
        </w:rPr>
        <w:t>Wales Journal of Education</w:t>
      </w:r>
      <w:r w:rsidRPr="00F8424E">
        <w:rPr>
          <w:rFonts w:asciiTheme="minorBidi" w:hAnsiTheme="minorBidi"/>
        </w:rPr>
        <w:t>, 20(2), pp. 102–117.</w:t>
      </w:r>
      <w:r w:rsidRPr="006C4584">
        <w:rPr>
          <w:rFonts w:asciiTheme="minorBidi" w:hAnsiTheme="minorBidi"/>
        </w:rPr>
        <w:t xml:space="preserve"> Available at: </w:t>
      </w:r>
      <w:hyperlink r:id="rId14" w:history="1">
        <w:r w:rsidRPr="006C4584">
          <w:rPr>
            <w:rStyle w:val="Hyperlink"/>
            <w:rFonts w:asciiTheme="minorBidi" w:hAnsiTheme="minorBidi"/>
          </w:rPr>
          <w:t>https://www.exchangewales.org/wp-content/uploads/sites/14/2020/04/7516f3_900ee85480cf4ed0b70f0b5b7258173f.pdf</w:t>
        </w:r>
      </w:hyperlink>
      <w:r w:rsidRPr="006C4584">
        <w:rPr>
          <w:rFonts w:asciiTheme="minorBidi" w:hAnsiTheme="minorBidi"/>
        </w:rPr>
        <w:t xml:space="preserve"> (Accessed: 9 June 2025).</w:t>
      </w:r>
    </w:p>
    <w:p w14:paraId="313B5F0D" w14:textId="77777777" w:rsidR="00102534" w:rsidRPr="0021180C" w:rsidRDefault="00102534" w:rsidP="00102534">
      <w:pPr>
        <w:spacing w:after="240" w:line="360" w:lineRule="auto"/>
        <w:rPr>
          <w:rFonts w:asciiTheme="minorBidi" w:hAnsiTheme="minorBidi"/>
        </w:rPr>
      </w:pPr>
      <w:r w:rsidRPr="0021180C">
        <w:rPr>
          <w:rFonts w:asciiTheme="minorBidi" w:hAnsiTheme="minorBidi"/>
        </w:rPr>
        <w:t xml:space="preserve">Maynard, T. and Chicken, S. (2010) ‘Through a Different Lens: Exploring Reggio Emilia in a Welsh Context’, </w:t>
      </w:r>
      <w:r w:rsidRPr="0021180C">
        <w:rPr>
          <w:rFonts w:asciiTheme="minorBidi" w:hAnsiTheme="minorBidi"/>
          <w:i/>
          <w:iCs/>
        </w:rPr>
        <w:t>Early Years</w:t>
      </w:r>
      <w:r w:rsidRPr="0021180C">
        <w:rPr>
          <w:rFonts w:asciiTheme="minorBidi" w:hAnsiTheme="minorBidi"/>
        </w:rPr>
        <w:t>, 30(1), pp. 29–39. https://doi.org/10.1080/09575140903443000</w:t>
      </w:r>
    </w:p>
    <w:p w14:paraId="4DBA4E4A" w14:textId="77777777" w:rsidR="00102534" w:rsidRPr="006C4584" w:rsidRDefault="00102534" w:rsidP="00102534">
      <w:pPr>
        <w:spacing w:after="240" w:line="360" w:lineRule="auto"/>
        <w:rPr>
          <w:rFonts w:asciiTheme="minorBidi" w:hAnsiTheme="minorBidi"/>
        </w:rPr>
      </w:pPr>
      <w:r w:rsidRPr="00F8424E">
        <w:rPr>
          <w:rFonts w:asciiTheme="minorBidi" w:hAnsiTheme="minorBidi"/>
        </w:rPr>
        <w:t>McLachlan, C., Fleer, M.</w:t>
      </w:r>
      <w:r w:rsidRPr="006C4584">
        <w:rPr>
          <w:rFonts w:asciiTheme="minorBidi" w:hAnsiTheme="minorBidi"/>
        </w:rPr>
        <w:t>,</w:t>
      </w:r>
      <w:r w:rsidRPr="00F8424E">
        <w:rPr>
          <w:rFonts w:asciiTheme="minorBidi" w:hAnsiTheme="minorBidi"/>
        </w:rPr>
        <w:t xml:space="preserve"> and Edwards, S. (2018) </w:t>
      </w:r>
      <w:r w:rsidRPr="00F8424E">
        <w:rPr>
          <w:rFonts w:asciiTheme="minorBidi" w:hAnsiTheme="minorBidi"/>
          <w:i/>
          <w:iCs/>
        </w:rPr>
        <w:t>Early Childhood Curriculum: Planning, Assessment and Implementation</w:t>
      </w:r>
      <w:r w:rsidRPr="00F8424E">
        <w:rPr>
          <w:rFonts w:asciiTheme="minorBidi" w:hAnsiTheme="minorBidi"/>
        </w:rPr>
        <w:t xml:space="preserve">. 3rd </w:t>
      </w:r>
      <w:proofErr w:type="spellStart"/>
      <w:r w:rsidRPr="00F8424E">
        <w:rPr>
          <w:rFonts w:asciiTheme="minorBidi" w:hAnsiTheme="minorBidi"/>
        </w:rPr>
        <w:t>edn</w:t>
      </w:r>
      <w:proofErr w:type="spellEnd"/>
      <w:r w:rsidRPr="00F8424E">
        <w:rPr>
          <w:rFonts w:asciiTheme="minorBidi" w:hAnsiTheme="minorBidi"/>
        </w:rPr>
        <w:t>. Cambridge: Cambridge University Press.</w:t>
      </w:r>
    </w:p>
    <w:p w14:paraId="7F5A3B2E" w14:textId="77777777" w:rsidR="00102534" w:rsidRPr="0021180C" w:rsidRDefault="00102534" w:rsidP="00102534">
      <w:pPr>
        <w:spacing w:after="240" w:line="360" w:lineRule="auto"/>
        <w:rPr>
          <w:rFonts w:asciiTheme="minorBidi" w:hAnsiTheme="minorBidi"/>
        </w:rPr>
      </w:pPr>
      <w:r w:rsidRPr="0021180C">
        <w:rPr>
          <w:rFonts w:asciiTheme="minorBidi" w:hAnsiTheme="minorBidi"/>
        </w:rPr>
        <w:t xml:space="preserve">McNally, S.A. and Slutsky, R. (2017) ‘Key elements of the Reggio Emilia approach and how they are interconnected to create the highly regarded system of early childhood education’, </w:t>
      </w:r>
      <w:r w:rsidRPr="0021180C">
        <w:rPr>
          <w:rFonts w:asciiTheme="minorBidi" w:hAnsiTheme="minorBidi"/>
          <w:i/>
          <w:iCs/>
        </w:rPr>
        <w:t>Early Child Development and Care</w:t>
      </w:r>
      <w:r w:rsidRPr="0021180C">
        <w:rPr>
          <w:rFonts w:asciiTheme="minorBidi" w:hAnsiTheme="minorBidi"/>
        </w:rPr>
        <w:t>, 187(12), pp. 1925–1937.</w:t>
      </w:r>
      <w:r w:rsidRPr="006C4584">
        <w:rPr>
          <w:rFonts w:asciiTheme="minorBidi" w:hAnsiTheme="minorBidi"/>
        </w:rPr>
        <w:t xml:space="preserve"> </w:t>
      </w:r>
      <w:hyperlink r:id="rId15" w:history="1">
        <w:r w:rsidRPr="0021180C">
          <w:rPr>
            <w:rStyle w:val="Hyperlink"/>
            <w:rFonts w:asciiTheme="minorBidi" w:hAnsiTheme="minorBidi"/>
          </w:rPr>
          <w:t>https://doi.org/10.1080/03004430.2016.1197920</w:t>
        </w:r>
      </w:hyperlink>
      <w:r w:rsidRPr="006C4584">
        <w:rPr>
          <w:rFonts w:asciiTheme="minorBidi" w:hAnsiTheme="minorBidi"/>
        </w:rPr>
        <w:t xml:space="preserve"> </w:t>
      </w:r>
    </w:p>
    <w:p w14:paraId="439D4CCC" w14:textId="77777777" w:rsidR="00102534" w:rsidRPr="006C4584" w:rsidRDefault="00102534" w:rsidP="00102534">
      <w:pPr>
        <w:spacing w:after="240" w:line="360" w:lineRule="auto"/>
        <w:rPr>
          <w:rFonts w:asciiTheme="minorBidi" w:hAnsiTheme="minorBidi"/>
        </w:rPr>
      </w:pPr>
      <w:r w:rsidRPr="005E45E1">
        <w:rPr>
          <w:rFonts w:asciiTheme="minorBidi" w:hAnsiTheme="minorBidi"/>
        </w:rPr>
        <w:t xml:space="preserve">Rinaldi, C. (2006) </w:t>
      </w:r>
      <w:r w:rsidRPr="005E45E1">
        <w:rPr>
          <w:rFonts w:asciiTheme="minorBidi" w:hAnsiTheme="minorBidi"/>
          <w:i/>
          <w:iCs/>
        </w:rPr>
        <w:t>In Dialogue with Reggio Emilia: Listening, Researching and Learning</w:t>
      </w:r>
      <w:r w:rsidRPr="005E45E1">
        <w:rPr>
          <w:rFonts w:asciiTheme="minorBidi" w:hAnsiTheme="minorBidi"/>
        </w:rPr>
        <w:t>. London: Routledge.</w:t>
      </w:r>
    </w:p>
    <w:p w14:paraId="0497F5F8" w14:textId="77777777" w:rsidR="00102534" w:rsidRPr="00F8424E" w:rsidRDefault="00102534" w:rsidP="00102534">
      <w:pPr>
        <w:spacing w:after="240" w:line="360" w:lineRule="auto"/>
        <w:rPr>
          <w:rFonts w:asciiTheme="minorBidi" w:hAnsiTheme="minorBidi"/>
        </w:rPr>
      </w:pPr>
      <w:r w:rsidRPr="00F8424E">
        <w:rPr>
          <w:rFonts w:asciiTheme="minorBidi" w:hAnsiTheme="minorBidi"/>
        </w:rPr>
        <w:t xml:space="preserve">Thomas, A. and Lewis, A. (2016) </w:t>
      </w:r>
      <w:r w:rsidRPr="00F8424E">
        <w:rPr>
          <w:rFonts w:asciiTheme="minorBidi" w:hAnsiTheme="minorBidi"/>
          <w:i/>
          <w:iCs/>
        </w:rPr>
        <w:t>An Introduction to the Foundation Phase: Early Years Curriculum in Wales</w:t>
      </w:r>
      <w:r w:rsidRPr="00F8424E">
        <w:rPr>
          <w:rFonts w:asciiTheme="minorBidi" w:hAnsiTheme="minorBidi"/>
        </w:rPr>
        <w:t>. London: Bloomsbury Academic.</w:t>
      </w:r>
    </w:p>
    <w:p w14:paraId="54C3E5FD" w14:textId="77777777" w:rsidR="00102534" w:rsidRPr="006C4584" w:rsidRDefault="00102534" w:rsidP="00102534">
      <w:pPr>
        <w:spacing w:after="240" w:line="360" w:lineRule="auto"/>
        <w:rPr>
          <w:rFonts w:asciiTheme="minorBidi" w:hAnsiTheme="minorBidi"/>
        </w:rPr>
      </w:pPr>
      <w:r w:rsidRPr="00355636">
        <w:rPr>
          <w:rFonts w:asciiTheme="minorBidi" w:hAnsiTheme="minorBidi"/>
        </w:rPr>
        <w:t>Trevarthen,</w:t>
      </w:r>
      <w:r w:rsidRPr="006C4584">
        <w:rPr>
          <w:rFonts w:asciiTheme="minorBidi" w:hAnsiTheme="minorBidi"/>
        </w:rPr>
        <w:t xml:space="preserve"> C.,</w:t>
      </w:r>
      <w:r w:rsidRPr="00355636">
        <w:rPr>
          <w:rFonts w:asciiTheme="minorBidi" w:hAnsiTheme="minorBidi"/>
        </w:rPr>
        <w:t xml:space="preserve"> Delafield-Butt,</w:t>
      </w:r>
      <w:r w:rsidRPr="006C4584">
        <w:rPr>
          <w:rFonts w:asciiTheme="minorBidi" w:hAnsiTheme="minorBidi"/>
        </w:rPr>
        <w:t xml:space="preserve"> J.,</w:t>
      </w:r>
      <w:r w:rsidRPr="00355636">
        <w:rPr>
          <w:rFonts w:asciiTheme="minorBidi" w:hAnsiTheme="minorBidi"/>
        </w:rPr>
        <w:t xml:space="preserve"> </w:t>
      </w:r>
      <w:r w:rsidRPr="006C4584">
        <w:rPr>
          <w:rFonts w:asciiTheme="minorBidi" w:hAnsiTheme="minorBidi"/>
        </w:rPr>
        <w:t>and</w:t>
      </w:r>
      <w:r w:rsidRPr="00355636">
        <w:rPr>
          <w:rFonts w:asciiTheme="minorBidi" w:hAnsiTheme="minorBidi"/>
        </w:rPr>
        <w:t xml:space="preserve"> Dunlop</w:t>
      </w:r>
      <w:r w:rsidRPr="006C4584">
        <w:rPr>
          <w:rFonts w:asciiTheme="minorBidi" w:hAnsiTheme="minorBidi"/>
        </w:rPr>
        <w:t>, A.W.</w:t>
      </w:r>
      <w:r w:rsidRPr="00355636">
        <w:rPr>
          <w:rFonts w:asciiTheme="minorBidi" w:hAnsiTheme="minorBidi"/>
        </w:rPr>
        <w:t xml:space="preserve"> (eds.) (2018) </w:t>
      </w:r>
      <w:r w:rsidRPr="00355636">
        <w:rPr>
          <w:rFonts w:asciiTheme="minorBidi" w:hAnsiTheme="minorBidi"/>
          <w:i/>
          <w:iCs/>
        </w:rPr>
        <w:t xml:space="preserve">The child’s </w:t>
      </w:r>
      <w:r w:rsidRPr="006C4584">
        <w:rPr>
          <w:rFonts w:asciiTheme="minorBidi" w:hAnsiTheme="minorBidi"/>
          <w:i/>
          <w:iCs/>
        </w:rPr>
        <w:t>curriculum:</w:t>
      </w:r>
      <w:r w:rsidRPr="00355636">
        <w:rPr>
          <w:rFonts w:asciiTheme="minorBidi" w:hAnsiTheme="minorBidi"/>
          <w:i/>
          <w:iCs/>
        </w:rPr>
        <w:t xml:space="preserve"> working with the natural values of young </w:t>
      </w:r>
      <w:r w:rsidRPr="006C4584">
        <w:rPr>
          <w:rFonts w:asciiTheme="minorBidi" w:hAnsiTheme="minorBidi"/>
          <w:i/>
          <w:iCs/>
        </w:rPr>
        <w:t>children.</w:t>
      </w:r>
      <w:r w:rsidRPr="00355636">
        <w:rPr>
          <w:rFonts w:asciiTheme="minorBidi" w:hAnsiTheme="minorBidi"/>
        </w:rPr>
        <w:t xml:space="preserve"> First edition. </w:t>
      </w:r>
      <w:r w:rsidRPr="006C4584">
        <w:rPr>
          <w:rFonts w:asciiTheme="minorBidi" w:hAnsiTheme="minorBidi"/>
        </w:rPr>
        <w:t>Oxford:</w:t>
      </w:r>
      <w:r w:rsidRPr="00355636">
        <w:rPr>
          <w:rFonts w:asciiTheme="minorBidi" w:hAnsiTheme="minorBidi"/>
        </w:rPr>
        <w:t xml:space="preserve"> Oxford University Press.</w:t>
      </w:r>
    </w:p>
    <w:p w14:paraId="7A5AEBE8" w14:textId="77777777" w:rsidR="00102534" w:rsidRPr="006C4584" w:rsidRDefault="00102534" w:rsidP="00102534">
      <w:pPr>
        <w:spacing w:after="240" w:line="360" w:lineRule="auto"/>
        <w:rPr>
          <w:rFonts w:asciiTheme="minorBidi" w:hAnsiTheme="minorBidi"/>
        </w:rPr>
      </w:pPr>
      <w:r w:rsidRPr="00713CF6">
        <w:rPr>
          <w:rFonts w:asciiTheme="minorBidi" w:hAnsiTheme="minorBidi"/>
        </w:rPr>
        <w:lastRenderedPageBreak/>
        <w:t>Waller,</w:t>
      </w:r>
      <w:r w:rsidRPr="006C4584">
        <w:rPr>
          <w:rFonts w:asciiTheme="minorBidi" w:hAnsiTheme="minorBidi"/>
        </w:rPr>
        <w:t xml:space="preserve"> T., </w:t>
      </w:r>
      <w:r w:rsidRPr="00713CF6">
        <w:rPr>
          <w:rFonts w:asciiTheme="minorBidi" w:hAnsiTheme="minorBidi"/>
        </w:rPr>
        <w:t>Whitmarsh,</w:t>
      </w:r>
      <w:r w:rsidRPr="006C4584">
        <w:rPr>
          <w:rFonts w:asciiTheme="minorBidi" w:hAnsiTheme="minorBidi"/>
        </w:rPr>
        <w:t xml:space="preserve"> J.,</w:t>
      </w:r>
      <w:r w:rsidRPr="00713CF6">
        <w:rPr>
          <w:rFonts w:asciiTheme="minorBidi" w:hAnsiTheme="minorBidi"/>
        </w:rPr>
        <w:t xml:space="preserve"> </w:t>
      </w:r>
      <w:r w:rsidRPr="006C4584">
        <w:rPr>
          <w:rFonts w:asciiTheme="minorBidi" w:hAnsiTheme="minorBidi"/>
        </w:rPr>
        <w:t>and</w:t>
      </w:r>
      <w:r w:rsidRPr="00713CF6">
        <w:rPr>
          <w:rFonts w:asciiTheme="minorBidi" w:hAnsiTheme="minorBidi"/>
        </w:rPr>
        <w:t xml:space="preserve"> Clarke</w:t>
      </w:r>
      <w:r w:rsidRPr="006C4584">
        <w:rPr>
          <w:rFonts w:asciiTheme="minorBidi" w:hAnsiTheme="minorBidi"/>
        </w:rPr>
        <w:t>, K.</w:t>
      </w:r>
      <w:r w:rsidRPr="00713CF6">
        <w:rPr>
          <w:rFonts w:asciiTheme="minorBidi" w:hAnsiTheme="minorBidi"/>
        </w:rPr>
        <w:t xml:space="preserve"> (eds.) (2011) </w:t>
      </w:r>
      <w:r w:rsidRPr="00713CF6">
        <w:rPr>
          <w:rFonts w:asciiTheme="minorBidi" w:hAnsiTheme="minorBidi"/>
          <w:i/>
          <w:iCs/>
        </w:rPr>
        <w:t>Making sense of theory and practice in early childhood [electronic resource</w:t>
      </w:r>
      <w:r w:rsidRPr="006C4584">
        <w:rPr>
          <w:rFonts w:asciiTheme="minorBidi" w:hAnsiTheme="minorBidi"/>
          <w:i/>
          <w:iCs/>
        </w:rPr>
        <w:t>]:</w:t>
      </w:r>
      <w:r w:rsidRPr="00713CF6">
        <w:rPr>
          <w:rFonts w:asciiTheme="minorBidi" w:hAnsiTheme="minorBidi"/>
          <w:i/>
          <w:iCs/>
        </w:rPr>
        <w:t xml:space="preserve"> the power of </w:t>
      </w:r>
      <w:r w:rsidRPr="006C4584">
        <w:rPr>
          <w:rFonts w:asciiTheme="minorBidi" w:hAnsiTheme="minorBidi"/>
          <w:i/>
          <w:iCs/>
        </w:rPr>
        <w:t>ideas.</w:t>
      </w:r>
      <w:r w:rsidRPr="00713CF6">
        <w:rPr>
          <w:rFonts w:asciiTheme="minorBidi" w:hAnsiTheme="minorBidi"/>
        </w:rPr>
        <w:t xml:space="preserve"> Maidenhead, </w:t>
      </w:r>
      <w:r w:rsidRPr="006C4584">
        <w:rPr>
          <w:rFonts w:asciiTheme="minorBidi" w:hAnsiTheme="minorBidi"/>
        </w:rPr>
        <w:t>England:</w:t>
      </w:r>
      <w:r w:rsidRPr="00713CF6">
        <w:rPr>
          <w:rFonts w:asciiTheme="minorBidi" w:hAnsiTheme="minorBidi"/>
        </w:rPr>
        <w:t xml:space="preserve"> McGraw Hill/Open University Press.</w:t>
      </w:r>
    </w:p>
    <w:p w14:paraId="0D190AB0" w14:textId="77777777" w:rsidR="00102534" w:rsidRPr="00F8424E" w:rsidRDefault="00102534" w:rsidP="00102534">
      <w:pPr>
        <w:spacing w:after="240" w:line="360" w:lineRule="auto"/>
        <w:rPr>
          <w:rFonts w:asciiTheme="minorBidi" w:hAnsiTheme="minorBidi"/>
        </w:rPr>
      </w:pPr>
      <w:r w:rsidRPr="00F8424E">
        <w:rPr>
          <w:rFonts w:asciiTheme="minorBidi" w:hAnsiTheme="minorBidi"/>
        </w:rPr>
        <w:t xml:space="preserve">Waters, J. (2016) ‘The Foundation Phase in Wales – time to grow up?’, </w:t>
      </w:r>
      <w:r w:rsidRPr="00F8424E">
        <w:rPr>
          <w:rFonts w:asciiTheme="minorBidi" w:hAnsiTheme="minorBidi"/>
          <w:i/>
          <w:iCs/>
        </w:rPr>
        <w:t>British Educational Research Journal</w:t>
      </w:r>
      <w:r w:rsidRPr="00F8424E">
        <w:rPr>
          <w:rFonts w:asciiTheme="minorBidi" w:hAnsiTheme="minorBidi"/>
        </w:rPr>
        <w:t>, 42(3), pp. 324–337</w:t>
      </w:r>
      <w:r w:rsidRPr="006C4584">
        <w:rPr>
          <w:rFonts w:asciiTheme="minorBidi" w:hAnsiTheme="minorBidi"/>
        </w:rPr>
        <w:t xml:space="preserve">. Available at: </w:t>
      </w:r>
      <w:hyperlink r:id="rId16" w:history="1">
        <w:r w:rsidRPr="00B67C37">
          <w:rPr>
            <w:rStyle w:val="Hyperlink"/>
            <w:rFonts w:asciiTheme="minorBidi" w:hAnsiTheme="minorBidi"/>
          </w:rPr>
          <w:t>http://repository.uwtsd.ac.uk/715/1/Waters%2C%20J.%282016%29%20The%20foundation%20phase%20in%20Wales%20-%20time%20to%20grow.pdf</w:t>
        </w:r>
      </w:hyperlink>
      <w:r w:rsidRPr="00B67C37">
        <w:rPr>
          <w:rFonts w:asciiTheme="minorBidi" w:hAnsiTheme="minorBidi"/>
        </w:rPr>
        <w:t>.</w:t>
      </w:r>
      <w:r w:rsidRPr="006C4584">
        <w:rPr>
          <w:rFonts w:asciiTheme="minorBidi" w:hAnsiTheme="minorBidi"/>
        </w:rPr>
        <w:t xml:space="preserve"> (Accessed: 12 June 2025).</w:t>
      </w:r>
    </w:p>
    <w:p w14:paraId="14BBA887" w14:textId="77777777" w:rsidR="00102534" w:rsidRPr="0021180C" w:rsidRDefault="00102534" w:rsidP="00102534">
      <w:pPr>
        <w:spacing w:after="240" w:line="360" w:lineRule="auto"/>
        <w:rPr>
          <w:rFonts w:asciiTheme="minorBidi" w:hAnsiTheme="minorBidi"/>
        </w:rPr>
      </w:pPr>
      <w:r w:rsidRPr="0021180C">
        <w:rPr>
          <w:rFonts w:asciiTheme="minorBidi" w:hAnsiTheme="minorBidi"/>
        </w:rPr>
        <w:t>Welsh Government (2022</w:t>
      </w:r>
      <w:r w:rsidRPr="006C4584">
        <w:rPr>
          <w:rFonts w:asciiTheme="minorBidi" w:hAnsiTheme="minorBidi"/>
        </w:rPr>
        <w:t>a</w:t>
      </w:r>
      <w:r w:rsidRPr="0021180C">
        <w:rPr>
          <w:rFonts w:asciiTheme="minorBidi" w:hAnsiTheme="minorBidi"/>
        </w:rPr>
        <w:t xml:space="preserve">) </w:t>
      </w:r>
      <w:r w:rsidRPr="0021180C">
        <w:rPr>
          <w:rFonts w:asciiTheme="minorBidi" w:hAnsiTheme="minorBidi"/>
          <w:i/>
          <w:iCs/>
        </w:rPr>
        <w:t>Curriculum for Funded Non-Maintained Nursery Settings</w:t>
      </w:r>
      <w:r w:rsidRPr="0021180C">
        <w:rPr>
          <w:rFonts w:asciiTheme="minorBidi" w:hAnsiTheme="minorBidi"/>
        </w:rPr>
        <w:t>. Cardiff: Welsh Government. Available at:</w:t>
      </w:r>
      <w:r w:rsidRPr="006C4584">
        <w:rPr>
          <w:rFonts w:asciiTheme="minorBidi" w:hAnsiTheme="minorBidi"/>
        </w:rPr>
        <w:t xml:space="preserve"> </w:t>
      </w:r>
      <w:hyperlink r:id="rId17" w:history="1">
        <w:r w:rsidRPr="006C4584">
          <w:rPr>
            <w:rStyle w:val="Hyperlink"/>
            <w:rFonts w:asciiTheme="minorBidi" w:hAnsiTheme="minorBidi"/>
          </w:rPr>
          <w:t>https://hwb.gov.wales/curriculum-for-wales/curriculum-for-funded-non-maintained-nursery-settings</w:t>
        </w:r>
      </w:hyperlink>
      <w:r w:rsidRPr="006C4584">
        <w:rPr>
          <w:rFonts w:asciiTheme="minorBidi" w:hAnsiTheme="minorBidi"/>
        </w:rPr>
        <w:t xml:space="preserve"> </w:t>
      </w:r>
      <w:r w:rsidRPr="0021180C">
        <w:rPr>
          <w:rFonts w:asciiTheme="minorBidi" w:hAnsiTheme="minorBidi"/>
        </w:rPr>
        <w:t>(Accessed:</w:t>
      </w:r>
      <w:r w:rsidRPr="006C4584">
        <w:rPr>
          <w:rFonts w:asciiTheme="minorBidi" w:hAnsiTheme="minorBidi"/>
        </w:rPr>
        <w:t xml:space="preserve"> 10 June 2025</w:t>
      </w:r>
      <w:r w:rsidRPr="0021180C">
        <w:rPr>
          <w:rFonts w:asciiTheme="minorBidi" w:hAnsiTheme="minorBidi"/>
        </w:rPr>
        <w:t>).</w:t>
      </w:r>
    </w:p>
    <w:p w14:paraId="7E3D0B6C" w14:textId="77777777" w:rsidR="00102534" w:rsidRPr="006C4584" w:rsidRDefault="00102534" w:rsidP="00102534">
      <w:pPr>
        <w:spacing w:after="240" w:line="360" w:lineRule="auto"/>
        <w:rPr>
          <w:rFonts w:asciiTheme="minorBidi" w:hAnsiTheme="minorBidi"/>
        </w:rPr>
      </w:pPr>
      <w:r w:rsidRPr="00F8424E">
        <w:rPr>
          <w:rFonts w:asciiTheme="minorBidi" w:hAnsiTheme="minorBidi"/>
        </w:rPr>
        <w:t>Welsh Government (2022</w:t>
      </w:r>
      <w:r w:rsidRPr="006C4584">
        <w:rPr>
          <w:rFonts w:asciiTheme="minorBidi" w:hAnsiTheme="minorBidi"/>
        </w:rPr>
        <w:t>b</w:t>
      </w:r>
      <w:r w:rsidRPr="00F8424E">
        <w:rPr>
          <w:rFonts w:asciiTheme="minorBidi" w:hAnsiTheme="minorBidi"/>
        </w:rPr>
        <w:t xml:space="preserve">) </w:t>
      </w:r>
      <w:r w:rsidRPr="00F8424E">
        <w:rPr>
          <w:rFonts w:asciiTheme="minorBidi" w:hAnsiTheme="minorBidi"/>
          <w:i/>
          <w:iCs/>
        </w:rPr>
        <w:t>Research into Assessment Practices in the Foundation Phase: Summary Report</w:t>
      </w:r>
      <w:r w:rsidRPr="00F8424E">
        <w:rPr>
          <w:rFonts w:asciiTheme="minorBidi" w:hAnsiTheme="minorBidi"/>
        </w:rPr>
        <w:t>. Cardiff: Welsh Government.</w:t>
      </w:r>
    </w:p>
    <w:p w14:paraId="073AB9D4" w14:textId="0BCD2F7D" w:rsidR="00102534" w:rsidRPr="00102534" w:rsidRDefault="00102534" w:rsidP="00102534">
      <w:pPr>
        <w:spacing w:after="240" w:line="360" w:lineRule="auto"/>
        <w:rPr>
          <w:rFonts w:asciiTheme="minorBidi" w:hAnsiTheme="minorBidi"/>
        </w:rPr>
      </w:pPr>
      <w:r w:rsidRPr="0021180C">
        <w:rPr>
          <w:rFonts w:asciiTheme="minorBidi" w:hAnsiTheme="minorBidi"/>
        </w:rPr>
        <w:t xml:space="preserve">Welsh Government (2023) </w:t>
      </w:r>
      <w:r w:rsidRPr="0021180C">
        <w:rPr>
          <w:rFonts w:asciiTheme="minorBidi" w:hAnsiTheme="minorBidi"/>
          <w:i/>
          <w:iCs/>
        </w:rPr>
        <w:t>Enabling Learning: The Role of the Adult</w:t>
      </w:r>
      <w:r w:rsidRPr="0021180C">
        <w:rPr>
          <w:rFonts w:asciiTheme="minorBidi" w:hAnsiTheme="minorBidi"/>
        </w:rPr>
        <w:t>. Hwb. Available at</w:t>
      </w:r>
      <w:r w:rsidRPr="006C4584">
        <w:rPr>
          <w:rFonts w:asciiTheme="minorBidi" w:hAnsiTheme="minorBidi"/>
        </w:rPr>
        <w:t xml:space="preserve">: </w:t>
      </w:r>
      <w:hyperlink r:id="rId18" w:history="1">
        <w:r w:rsidRPr="006C4584">
          <w:rPr>
            <w:rStyle w:val="Hyperlink"/>
            <w:rFonts w:asciiTheme="minorBidi" w:hAnsiTheme="minorBidi"/>
          </w:rPr>
          <w:t>https://hwb.gov.wales/curriculum-for-wales/designing-your-curriculum/enabling-learning</w:t>
        </w:r>
      </w:hyperlink>
      <w:r w:rsidRPr="006C4584">
        <w:rPr>
          <w:rFonts w:asciiTheme="minorBidi" w:hAnsiTheme="minorBidi"/>
        </w:rPr>
        <w:t xml:space="preserve"> </w:t>
      </w:r>
      <w:r w:rsidRPr="0021180C">
        <w:rPr>
          <w:rFonts w:asciiTheme="minorBidi" w:hAnsiTheme="minorBidi"/>
        </w:rPr>
        <w:t>(Accessed:</w:t>
      </w:r>
      <w:r w:rsidRPr="006C4584">
        <w:rPr>
          <w:rFonts w:asciiTheme="minorBidi" w:hAnsiTheme="minorBidi"/>
        </w:rPr>
        <w:t xml:space="preserve"> 4 June 2025</w:t>
      </w:r>
      <w:r w:rsidRPr="0021180C">
        <w:rPr>
          <w:rFonts w:asciiTheme="minorBidi" w:hAnsiTheme="minorBidi"/>
        </w:rPr>
        <w:t>).</w:t>
      </w:r>
    </w:p>
    <w:sectPr w:rsidR="00102534" w:rsidRPr="00102534">
      <w:headerReference w:type="default" r:id="rId19"/>
      <w:footerReference w:type="even"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5F59A" w14:textId="77777777" w:rsidR="007B0BC1" w:rsidRDefault="007B0BC1">
      <w:r>
        <w:separator/>
      </w:r>
    </w:p>
  </w:endnote>
  <w:endnote w:type="continuationSeparator" w:id="0">
    <w:p w14:paraId="45287B62" w14:textId="77777777" w:rsidR="007B0BC1" w:rsidRDefault="007B0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B58C6" w14:textId="2FF80484" w:rsidR="00B302E4" w:rsidRDefault="00B302E4" w:rsidP="004E7C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550BAFFD" w14:textId="77777777" w:rsidR="00B302E4" w:rsidRDefault="00B302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25150736"/>
      <w:docPartObj>
        <w:docPartGallery w:val="Page Numbers (Bottom of Page)"/>
        <w:docPartUnique/>
      </w:docPartObj>
    </w:sdtPr>
    <w:sdtContent>
      <w:p w14:paraId="79B9533A" w14:textId="7670A451" w:rsidR="00B302E4" w:rsidRDefault="00B302E4" w:rsidP="004E7C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60A775A8" w14:paraId="17D78134" w14:textId="77777777" w:rsidTr="60A775A8">
      <w:trPr>
        <w:trHeight w:val="300"/>
      </w:trPr>
      <w:tc>
        <w:tcPr>
          <w:tcW w:w="3120" w:type="dxa"/>
        </w:tcPr>
        <w:p w14:paraId="74D27D09" w14:textId="634FEA00" w:rsidR="60A775A8" w:rsidRDefault="60A775A8" w:rsidP="60A775A8">
          <w:pPr>
            <w:pStyle w:val="Header"/>
            <w:ind w:left="-115"/>
          </w:pPr>
        </w:p>
      </w:tc>
      <w:tc>
        <w:tcPr>
          <w:tcW w:w="3120" w:type="dxa"/>
        </w:tcPr>
        <w:p w14:paraId="50C4F31B" w14:textId="719A903E" w:rsidR="60A775A8" w:rsidRDefault="60A775A8" w:rsidP="60A775A8">
          <w:pPr>
            <w:pStyle w:val="Header"/>
            <w:jc w:val="center"/>
          </w:pPr>
        </w:p>
      </w:tc>
      <w:tc>
        <w:tcPr>
          <w:tcW w:w="3120" w:type="dxa"/>
        </w:tcPr>
        <w:p w14:paraId="41AD23EF" w14:textId="20782C4E" w:rsidR="60A775A8" w:rsidRDefault="60A775A8" w:rsidP="60A775A8">
          <w:pPr>
            <w:pStyle w:val="Header"/>
            <w:ind w:right="-115"/>
            <w:jc w:val="right"/>
          </w:pPr>
        </w:p>
      </w:tc>
    </w:tr>
  </w:tbl>
  <w:p w14:paraId="6779DEBE" w14:textId="06C161F1" w:rsidR="60A775A8" w:rsidRDefault="60A775A8" w:rsidP="60A77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CDF61" w14:textId="77777777" w:rsidR="007B0BC1" w:rsidRDefault="007B0BC1">
      <w:r>
        <w:separator/>
      </w:r>
    </w:p>
  </w:footnote>
  <w:footnote w:type="continuationSeparator" w:id="0">
    <w:p w14:paraId="5974A724" w14:textId="77777777" w:rsidR="007B0BC1" w:rsidRDefault="007B0B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0A775A8" w14:paraId="3C3CB01B" w14:textId="77777777" w:rsidTr="60A775A8">
      <w:trPr>
        <w:trHeight w:val="300"/>
      </w:trPr>
      <w:tc>
        <w:tcPr>
          <w:tcW w:w="3120" w:type="dxa"/>
        </w:tcPr>
        <w:p w14:paraId="0D570317" w14:textId="4C756E4D" w:rsidR="60A775A8" w:rsidRDefault="60A775A8" w:rsidP="60A775A8">
          <w:pPr>
            <w:pStyle w:val="Header"/>
            <w:ind w:left="-115"/>
          </w:pPr>
          <w:r>
            <w:t>2307239</w:t>
          </w:r>
        </w:p>
      </w:tc>
      <w:tc>
        <w:tcPr>
          <w:tcW w:w="3120" w:type="dxa"/>
        </w:tcPr>
        <w:p w14:paraId="4B58A09E" w14:textId="07D053CE" w:rsidR="60A775A8" w:rsidRDefault="00102534" w:rsidP="00102534">
          <w:pPr>
            <w:pStyle w:val="Header"/>
            <w:jc w:val="center"/>
          </w:pPr>
          <w:r>
            <w:t>ECEY6010</w:t>
          </w:r>
        </w:p>
      </w:tc>
      <w:tc>
        <w:tcPr>
          <w:tcW w:w="3120" w:type="dxa"/>
        </w:tcPr>
        <w:p w14:paraId="4EA0A332" w14:textId="099D7612" w:rsidR="60A775A8" w:rsidRDefault="00102534" w:rsidP="00102534">
          <w:pPr>
            <w:pStyle w:val="Header"/>
            <w:ind w:right="-115"/>
            <w:jc w:val="right"/>
          </w:pPr>
          <w:r>
            <w:t>Word Count: 42</w:t>
          </w:r>
          <w:r w:rsidR="00AA07D8">
            <w:t>84</w:t>
          </w:r>
        </w:p>
      </w:tc>
    </w:tr>
  </w:tbl>
  <w:p w14:paraId="403141D5" w14:textId="6905C367" w:rsidR="60A775A8" w:rsidRDefault="60A775A8" w:rsidP="60A77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26ED2"/>
    <w:multiLevelType w:val="hybridMultilevel"/>
    <w:tmpl w:val="BD003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0A749B"/>
    <w:multiLevelType w:val="multilevel"/>
    <w:tmpl w:val="58C04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B37B98"/>
    <w:multiLevelType w:val="hybridMultilevel"/>
    <w:tmpl w:val="0500323C"/>
    <w:lvl w:ilvl="0" w:tplc="44F85A64">
      <w:numFmt w:val="bullet"/>
      <w:lvlText w:val="-"/>
      <w:lvlJc w:val="left"/>
      <w:pPr>
        <w:ind w:left="720" w:hanging="360"/>
      </w:pPr>
      <w:rPr>
        <w:rFonts w:ascii="Arial" w:eastAsia="Arial" w:hAnsi="Arial" w:cs="Aria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830E6"/>
    <w:multiLevelType w:val="hybridMultilevel"/>
    <w:tmpl w:val="332A2B34"/>
    <w:lvl w:ilvl="0" w:tplc="0E7C2E94">
      <w:start w:val="1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F00A35"/>
    <w:multiLevelType w:val="hybridMultilevel"/>
    <w:tmpl w:val="E056E80C"/>
    <w:lvl w:ilvl="0" w:tplc="C1F20C52">
      <w:start w:val="1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AF7DF0"/>
    <w:multiLevelType w:val="hybridMultilevel"/>
    <w:tmpl w:val="55C26876"/>
    <w:lvl w:ilvl="0" w:tplc="446A2A0C">
      <w:start w:val="16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1D10F4"/>
    <w:multiLevelType w:val="hybridMultilevel"/>
    <w:tmpl w:val="B88C7E62"/>
    <w:lvl w:ilvl="0" w:tplc="F98AE35A">
      <w:start w:val="1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A811F1"/>
    <w:multiLevelType w:val="multilevel"/>
    <w:tmpl w:val="DB98D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096884"/>
    <w:multiLevelType w:val="hybridMultilevel"/>
    <w:tmpl w:val="9B86CBA2"/>
    <w:lvl w:ilvl="0" w:tplc="B77A6B24">
      <w:start w:val="1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EF0D44"/>
    <w:multiLevelType w:val="hybridMultilevel"/>
    <w:tmpl w:val="8318CC98"/>
    <w:lvl w:ilvl="0" w:tplc="2618B55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8191431">
    <w:abstractNumId w:val="5"/>
  </w:num>
  <w:num w:numId="2" w16cid:durableId="802505936">
    <w:abstractNumId w:val="2"/>
  </w:num>
  <w:num w:numId="3" w16cid:durableId="24453385">
    <w:abstractNumId w:val="9"/>
  </w:num>
  <w:num w:numId="4" w16cid:durableId="1486510182">
    <w:abstractNumId w:val="3"/>
  </w:num>
  <w:num w:numId="5" w16cid:durableId="919215618">
    <w:abstractNumId w:val="4"/>
  </w:num>
  <w:num w:numId="6" w16cid:durableId="885482975">
    <w:abstractNumId w:val="8"/>
  </w:num>
  <w:num w:numId="7" w16cid:durableId="2113696635">
    <w:abstractNumId w:val="6"/>
  </w:num>
  <w:num w:numId="8" w16cid:durableId="1023555379">
    <w:abstractNumId w:val="7"/>
  </w:num>
  <w:num w:numId="9" w16cid:durableId="974722522">
    <w:abstractNumId w:val="1"/>
  </w:num>
  <w:num w:numId="10" w16cid:durableId="1253247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37B03"/>
    <w:rsid w:val="00101933"/>
    <w:rsid w:val="00102534"/>
    <w:rsid w:val="00125179"/>
    <w:rsid w:val="001906A3"/>
    <w:rsid w:val="002A67F3"/>
    <w:rsid w:val="002E35D3"/>
    <w:rsid w:val="0032192F"/>
    <w:rsid w:val="005660E6"/>
    <w:rsid w:val="007927BA"/>
    <w:rsid w:val="007B0BC1"/>
    <w:rsid w:val="00835809"/>
    <w:rsid w:val="00946FF0"/>
    <w:rsid w:val="009C1F1D"/>
    <w:rsid w:val="00A03EE5"/>
    <w:rsid w:val="00A10FB7"/>
    <w:rsid w:val="00A44C28"/>
    <w:rsid w:val="00AA07D8"/>
    <w:rsid w:val="00AF2DD1"/>
    <w:rsid w:val="00B302E4"/>
    <w:rsid w:val="00B769A5"/>
    <w:rsid w:val="00BD1490"/>
    <w:rsid w:val="00C263D5"/>
    <w:rsid w:val="00C35E3C"/>
    <w:rsid w:val="00D21C31"/>
    <w:rsid w:val="00D6117E"/>
    <w:rsid w:val="00D71B6B"/>
    <w:rsid w:val="00DE6E74"/>
    <w:rsid w:val="00E04DA4"/>
    <w:rsid w:val="00E926E7"/>
    <w:rsid w:val="00FA1EF6"/>
    <w:rsid w:val="162F46CA"/>
    <w:rsid w:val="42D83440"/>
    <w:rsid w:val="53837B03"/>
    <w:rsid w:val="5B015775"/>
    <w:rsid w:val="5D6FD4E6"/>
    <w:rsid w:val="60A775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37B03"/>
  <w15:chartTrackingRefBased/>
  <w15:docId w15:val="{3AD0A3F0-6B4F-4A84-9706-A2E567470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6A3"/>
    <w:pPr>
      <w:spacing w:after="0" w:line="240" w:lineRule="auto"/>
    </w:pPr>
    <w:rPr>
      <w:rFonts w:ascii="Times New Roman" w:eastAsia="Times New Roman" w:hAnsi="Times New Roman" w:cs="Times New Roman"/>
      <w:sz w:val="24"/>
      <w:szCs w:val="24"/>
      <w:lang w:val="en-GB" w:eastAsia="en-GB"/>
    </w:rPr>
  </w:style>
  <w:style w:type="paragraph" w:styleId="Heading2">
    <w:name w:val="heading 2"/>
    <w:basedOn w:val="Normal"/>
    <w:link w:val="Heading2Char"/>
    <w:uiPriority w:val="9"/>
    <w:qFormat/>
    <w:rsid w:val="001906A3"/>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1906A3"/>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styleId="PageNumber">
    <w:name w:val="page number"/>
    <w:basedOn w:val="DefaultParagraphFont"/>
    <w:uiPriority w:val="99"/>
    <w:semiHidden/>
    <w:unhideWhenUsed/>
    <w:rsid w:val="00B302E4"/>
  </w:style>
  <w:style w:type="paragraph" w:styleId="ListParagraph">
    <w:name w:val="List Paragraph"/>
    <w:basedOn w:val="Normal"/>
    <w:uiPriority w:val="34"/>
    <w:qFormat/>
    <w:rsid w:val="00A03EE5"/>
    <w:pPr>
      <w:ind w:left="720"/>
      <w:contextualSpacing/>
    </w:pPr>
  </w:style>
  <w:style w:type="paragraph" w:styleId="NormalWeb">
    <w:name w:val="Normal (Web)"/>
    <w:basedOn w:val="Normal"/>
    <w:uiPriority w:val="99"/>
    <w:semiHidden/>
    <w:unhideWhenUsed/>
    <w:rsid w:val="005660E6"/>
    <w:pPr>
      <w:spacing w:before="100" w:beforeAutospacing="1" w:after="100" w:afterAutospacing="1"/>
    </w:pPr>
  </w:style>
  <w:style w:type="character" w:customStyle="1" w:styleId="Heading2Char">
    <w:name w:val="Heading 2 Char"/>
    <w:basedOn w:val="DefaultParagraphFont"/>
    <w:link w:val="Heading2"/>
    <w:uiPriority w:val="9"/>
    <w:rsid w:val="001906A3"/>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1906A3"/>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1906A3"/>
    <w:rPr>
      <w:b/>
      <w:bCs/>
    </w:rPr>
  </w:style>
  <w:style w:type="character" w:styleId="Emphasis">
    <w:name w:val="Emphasis"/>
    <w:basedOn w:val="DefaultParagraphFont"/>
    <w:uiPriority w:val="20"/>
    <w:qFormat/>
    <w:rsid w:val="001906A3"/>
    <w:rPr>
      <w:i/>
      <w:iCs/>
    </w:rPr>
  </w:style>
  <w:style w:type="character" w:styleId="Hyperlink">
    <w:name w:val="Hyperlink"/>
    <w:basedOn w:val="DefaultParagraphFont"/>
    <w:uiPriority w:val="99"/>
    <w:unhideWhenUsed/>
    <w:rsid w:val="00102534"/>
    <w:rPr>
      <w:color w:val="0563C1" w:themeColor="hyperlink"/>
      <w:u w:val="single"/>
    </w:rPr>
  </w:style>
  <w:style w:type="character" w:styleId="UnresolvedMention">
    <w:name w:val="Unresolved Mention"/>
    <w:basedOn w:val="DefaultParagraphFont"/>
    <w:uiPriority w:val="99"/>
    <w:semiHidden/>
    <w:unhideWhenUsed/>
    <w:rsid w:val="001025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53226">
      <w:bodyDiv w:val="1"/>
      <w:marLeft w:val="0"/>
      <w:marRight w:val="0"/>
      <w:marTop w:val="0"/>
      <w:marBottom w:val="0"/>
      <w:divBdr>
        <w:top w:val="none" w:sz="0" w:space="0" w:color="auto"/>
        <w:left w:val="none" w:sz="0" w:space="0" w:color="auto"/>
        <w:bottom w:val="none" w:sz="0" w:space="0" w:color="auto"/>
        <w:right w:val="none" w:sz="0" w:space="0" w:color="auto"/>
      </w:divBdr>
    </w:div>
    <w:div w:id="283928398">
      <w:bodyDiv w:val="1"/>
      <w:marLeft w:val="0"/>
      <w:marRight w:val="0"/>
      <w:marTop w:val="0"/>
      <w:marBottom w:val="0"/>
      <w:divBdr>
        <w:top w:val="none" w:sz="0" w:space="0" w:color="auto"/>
        <w:left w:val="none" w:sz="0" w:space="0" w:color="auto"/>
        <w:bottom w:val="none" w:sz="0" w:space="0" w:color="auto"/>
        <w:right w:val="none" w:sz="0" w:space="0" w:color="auto"/>
      </w:divBdr>
    </w:div>
    <w:div w:id="514853823">
      <w:bodyDiv w:val="1"/>
      <w:marLeft w:val="0"/>
      <w:marRight w:val="0"/>
      <w:marTop w:val="0"/>
      <w:marBottom w:val="0"/>
      <w:divBdr>
        <w:top w:val="none" w:sz="0" w:space="0" w:color="auto"/>
        <w:left w:val="none" w:sz="0" w:space="0" w:color="auto"/>
        <w:bottom w:val="none" w:sz="0" w:space="0" w:color="auto"/>
        <w:right w:val="none" w:sz="0" w:space="0" w:color="auto"/>
      </w:divBdr>
    </w:div>
    <w:div w:id="601378806">
      <w:bodyDiv w:val="1"/>
      <w:marLeft w:val="0"/>
      <w:marRight w:val="0"/>
      <w:marTop w:val="0"/>
      <w:marBottom w:val="0"/>
      <w:divBdr>
        <w:top w:val="none" w:sz="0" w:space="0" w:color="auto"/>
        <w:left w:val="none" w:sz="0" w:space="0" w:color="auto"/>
        <w:bottom w:val="none" w:sz="0" w:space="0" w:color="auto"/>
        <w:right w:val="none" w:sz="0" w:space="0" w:color="auto"/>
      </w:divBdr>
      <w:divsChild>
        <w:div w:id="409472747">
          <w:marLeft w:val="0"/>
          <w:marRight w:val="0"/>
          <w:marTop w:val="0"/>
          <w:marBottom w:val="0"/>
          <w:divBdr>
            <w:top w:val="none" w:sz="0" w:space="0" w:color="auto"/>
            <w:left w:val="none" w:sz="0" w:space="0" w:color="auto"/>
            <w:bottom w:val="none" w:sz="0" w:space="0" w:color="auto"/>
            <w:right w:val="none" w:sz="0" w:space="0" w:color="auto"/>
          </w:divBdr>
          <w:divsChild>
            <w:div w:id="843400868">
              <w:marLeft w:val="0"/>
              <w:marRight w:val="0"/>
              <w:marTop w:val="0"/>
              <w:marBottom w:val="0"/>
              <w:divBdr>
                <w:top w:val="none" w:sz="0" w:space="0" w:color="auto"/>
                <w:left w:val="none" w:sz="0" w:space="0" w:color="auto"/>
                <w:bottom w:val="none" w:sz="0" w:space="0" w:color="auto"/>
                <w:right w:val="none" w:sz="0" w:space="0" w:color="auto"/>
              </w:divBdr>
            </w:div>
          </w:divsChild>
        </w:div>
        <w:div w:id="1237276901">
          <w:blockQuote w:val="1"/>
          <w:marLeft w:val="720"/>
          <w:marRight w:val="720"/>
          <w:marTop w:val="100"/>
          <w:marBottom w:val="100"/>
          <w:divBdr>
            <w:top w:val="none" w:sz="0" w:space="0" w:color="auto"/>
            <w:left w:val="none" w:sz="0" w:space="0" w:color="auto"/>
            <w:bottom w:val="none" w:sz="0" w:space="0" w:color="auto"/>
            <w:right w:val="none" w:sz="0" w:space="0" w:color="auto"/>
          </w:divBdr>
        </w:div>
        <w:div w:id="1022785788">
          <w:marLeft w:val="0"/>
          <w:marRight w:val="0"/>
          <w:marTop w:val="0"/>
          <w:marBottom w:val="0"/>
          <w:divBdr>
            <w:top w:val="none" w:sz="0" w:space="0" w:color="auto"/>
            <w:left w:val="none" w:sz="0" w:space="0" w:color="auto"/>
            <w:bottom w:val="none" w:sz="0" w:space="0" w:color="auto"/>
            <w:right w:val="none" w:sz="0" w:space="0" w:color="auto"/>
          </w:divBdr>
          <w:divsChild>
            <w:div w:id="387533257">
              <w:marLeft w:val="0"/>
              <w:marRight w:val="0"/>
              <w:marTop w:val="0"/>
              <w:marBottom w:val="0"/>
              <w:divBdr>
                <w:top w:val="none" w:sz="0" w:space="0" w:color="auto"/>
                <w:left w:val="none" w:sz="0" w:space="0" w:color="auto"/>
                <w:bottom w:val="none" w:sz="0" w:space="0" w:color="auto"/>
                <w:right w:val="none" w:sz="0" w:space="0" w:color="auto"/>
              </w:divBdr>
            </w:div>
          </w:divsChild>
        </w:div>
        <w:div w:id="1383597855">
          <w:marLeft w:val="0"/>
          <w:marRight w:val="0"/>
          <w:marTop w:val="0"/>
          <w:marBottom w:val="0"/>
          <w:divBdr>
            <w:top w:val="none" w:sz="0" w:space="0" w:color="auto"/>
            <w:left w:val="none" w:sz="0" w:space="0" w:color="auto"/>
            <w:bottom w:val="none" w:sz="0" w:space="0" w:color="auto"/>
            <w:right w:val="none" w:sz="0" w:space="0" w:color="auto"/>
          </w:divBdr>
          <w:divsChild>
            <w:div w:id="1364746285">
              <w:marLeft w:val="0"/>
              <w:marRight w:val="0"/>
              <w:marTop w:val="0"/>
              <w:marBottom w:val="0"/>
              <w:divBdr>
                <w:top w:val="none" w:sz="0" w:space="0" w:color="auto"/>
                <w:left w:val="none" w:sz="0" w:space="0" w:color="auto"/>
                <w:bottom w:val="none" w:sz="0" w:space="0" w:color="auto"/>
                <w:right w:val="none" w:sz="0" w:space="0" w:color="auto"/>
              </w:divBdr>
            </w:div>
          </w:divsChild>
        </w:div>
        <w:div w:id="1146899736">
          <w:blockQuote w:val="1"/>
          <w:marLeft w:val="720"/>
          <w:marRight w:val="720"/>
          <w:marTop w:val="100"/>
          <w:marBottom w:val="100"/>
          <w:divBdr>
            <w:top w:val="none" w:sz="0" w:space="0" w:color="auto"/>
            <w:left w:val="none" w:sz="0" w:space="0" w:color="auto"/>
            <w:bottom w:val="none" w:sz="0" w:space="0" w:color="auto"/>
            <w:right w:val="none" w:sz="0" w:space="0" w:color="auto"/>
          </w:divBdr>
        </w:div>
        <w:div w:id="1291941674">
          <w:marLeft w:val="0"/>
          <w:marRight w:val="0"/>
          <w:marTop w:val="0"/>
          <w:marBottom w:val="0"/>
          <w:divBdr>
            <w:top w:val="none" w:sz="0" w:space="0" w:color="auto"/>
            <w:left w:val="none" w:sz="0" w:space="0" w:color="auto"/>
            <w:bottom w:val="none" w:sz="0" w:space="0" w:color="auto"/>
            <w:right w:val="none" w:sz="0" w:space="0" w:color="auto"/>
          </w:divBdr>
          <w:divsChild>
            <w:div w:id="120895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271009">
      <w:bodyDiv w:val="1"/>
      <w:marLeft w:val="0"/>
      <w:marRight w:val="0"/>
      <w:marTop w:val="0"/>
      <w:marBottom w:val="0"/>
      <w:divBdr>
        <w:top w:val="none" w:sz="0" w:space="0" w:color="auto"/>
        <w:left w:val="none" w:sz="0" w:space="0" w:color="auto"/>
        <w:bottom w:val="none" w:sz="0" w:space="0" w:color="auto"/>
        <w:right w:val="none" w:sz="0" w:space="0" w:color="auto"/>
      </w:divBdr>
    </w:div>
    <w:div w:id="1274242964">
      <w:bodyDiv w:val="1"/>
      <w:marLeft w:val="0"/>
      <w:marRight w:val="0"/>
      <w:marTop w:val="0"/>
      <w:marBottom w:val="0"/>
      <w:divBdr>
        <w:top w:val="none" w:sz="0" w:space="0" w:color="auto"/>
        <w:left w:val="none" w:sz="0" w:space="0" w:color="auto"/>
        <w:bottom w:val="none" w:sz="0" w:space="0" w:color="auto"/>
        <w:right w:val="none" w:sz="0" w:space="0" w:color="auto"/>
      </w:divBdr>
    </w:div>
    <w:div w:id="1363625696">
      <w:bodyDiv w:val="1"/>
      <w:marLeft w:val="0"/>
      <w:marRight w:val="0"/>
      <w:marTop w:val="0"/>
      <w:marBottom w:val="0"/>
      <w:divBdr>
        <w:top w:val="none" w:sz="0" w:space="0" w:color="auto"/>
        <w:left w:val="none" w:sz="0" w:space="0" w:color="auto"/>
        <w:bottom w:val="none" w:sz="0" w:space="0" w:color="auto"/>
        <w:right w:val="none" w:sz="0" w:space="0" w:color="auto"/>
      </w:divBdr>
    </w:div>
    <w:div w:id="1630043776">
      <w:bodyDiv w:val="1"/>
      <w:marLeft w:val="0"/>
      <w:marRight w:val="0"/>
      <w:marTop w:val="0"/>
      <w:marBottom w:val="0"/>
      <w:divBdr>
        <w:top w:val="none" w:sz="0" w:space="0" w:color="auto"/>
        <w:left w:val="none" w:sz="0" w:space="0" w:color="auto"/>
        <w:bottom w:val="none" w:sz="0" w:space="0" w:color="auto"/>
        <w:right w:val="none" w:sz="0" w:space="0" w:color="auto"/>
      </w:divBdr>
    </w:div>
    <w:div w:id="1734621130">
      <w:bodyDiv w:val="1"/>
      <w:marLeft w:val="0"/>
      <w:marRight w:val="0"/>
      <w:marTop w:val="0"/>
      <w:marBottom w:val="0"/>
      <w:divBdr>
        <w:top w:val="none" w:sz="0" w:space="0" w:color="auto"/>
        <w:left w:val="none" w:sz="0" w:space="0" w:color="auto"/>
        <w:bottom w:val="none" w:sz="0" w:space="0" w:color="auto"/>
        <w:right w:val="none" w:sz="0" w:space="0" w:color="auto"/>
      </w:divBdr>
    </w:div>
    <w:div w:id="2021351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i.org.uk/wp-content/uploads/2018/08/Early-years-structural-quality-review_EPI.pdf" TargetMode="External"/><Relationship Id="rId13" Type="http://schemas.openxmlformats.org/officeDocument/2006/relationships/hyperlink" Target="https://doi.org/10.1080/00131911.2013.781576" TargetMode="External"/><Relationship Id="rId18" Type="http://schemas.openxmlformats.org/officeDocument/2006/relationships/hyperlink" Target="https://hwb.gov.wales/curriculum-for-wales/designing-your-curriculum/enabling-learning"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bell-foundation.org.uk/app/uploads/2020/09/Working-with-parents-to-support-learning-of-pupils-who-use-EAL.pdf" TargetMode="External"/><Relationship Id="rId12" Type="http://schemas.openxmlformats.org/officeDocument/2006/relationships/hyperlink" Target="https://www.estyn.gov.wales/system/files/2020-07/Involving%2520parents%2520-%2520en.pdf" TargetMode="External"/><Relationship Id="rId17" Type="http://schemas.openxmlformats.org/officeDocument/2006/relationships/hyperlink" Target="https://hwb.gov.wales/curriculum-for-wales/curriculum-for-funded-non-maintained-nursery-settings" TargetMode="External"/><Relationship Id="rId2" Type="http://schemas.openxmlformats.org/officeDocument/2006/relationships/styles" Target="styles.xml"/><Relationship Id="rId16" Type="http://schemas.openxmlformats.org/officeDocument/2006/relationships/hyperlink" Target="http://repository.uwtsd.ac.uk/715/1/Waters%2C%20J.%282016%29%20The%20foundation%20phase%20in%20Wales%20-%20time%20to%20grow.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sites/default/files/publications/2018-03/successful-futures.pdf" TargetMode="External"/><Relationship Id="rId5" Type="http://schemas.openxmlformats.org/officeDocument/2006/relationships/footnotes" Target="footnotes.xml"/><Relationship Id="rId15" Type="http://schemas.openxmlformats.org/officeDocument/2006/relationships/hyperlink" Target="https://doi.org/10.1080/03004430.2016.1197920" TargetMode="External"/><Relationship Id="rId23" Type="http://schemas.openxmlformats.org/officeDocument/2006/relationships/theme" Target="theme/theme1.xml"/><Relationship Id="rId10" Type="http://schemas.openxmlformats.org/officeDocument/2006/relationships/hyperlink" Target="https://assets.publishing.service.gov.uk/media/670fa42a30536cb92748328f/EYFS_statutory_framework_for_group_and_school_-_based_providers.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177/20436106211068041" TargetMode="External"/><Relationship Id="rId14" Type="http://schemas.openxmlformats.org/officeDocument/2006/relationships/hyperlink" Target="https://www.exchangewales.org/wp-content/uploads/sites/14/2020/04/7516f3_900ee85480cf4ed0b70f0b5b7258173f.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20</Pages>
  <Words>5564</Words>
  <Characters>31719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Subhan</dc:creator>
  <cp:keywords/>
  <dc:description/>
  <cp:lastModifiedBy>Nurul Subhan (2307239)</cp:lastModifiedBy>
  <cp:revision>4</cp:revision>
  <dcterms:created xsi:type="dcterms:W3CDTF">2025-06-15T13:26:00Z</dcterms:created>
  <dcterms:modified xsi:type="dcterms:W3CDTF">2025-06-15T13:34:00Z</dcterms:modified>
</cp:coreProperties>
</file>