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FAA7FA" w14:textId="506F2B3E" w:rsidR="0049169D" w:rsidRPr="006E5F52" w:rsidRDefault="002C1000" w:rsidP="0049169D">
      <w:pPr>
        <w:rPr>
          <w:b/>
          <w:bCs/>
          <w:i/>
          <w:iCs/>
        </w:rPr>
      </w:pPr>
      <w:r w:rsidRPr="006E5F52">
        <w:rPr>
          <w:b/>
          <w:bCs/>
          <w:i/>
          <w:iCs/>
        </w:rPr>
        <w:t xml:space="preserve">Yr2 </w:t>
      </w:r>
      <w:r>
        <w:rPr>
          <w:b/>
          <w:bCs/>
          <w:i/>
          <w:iCs/>
        </w:rPr>
        <w:t xml:space="preserve">: </w:t>
      </w:r>
      <w:r w:rsidR="0049169D" w:rsidRPr="006E5F52">
        <w:rPr>
          <w:b/>
          <w:bCs/>
          <w:i/>
          <w:iCs/>
        </w:rPr>
        <w:t xml:space="preserve">Assignment 1 </w:t>
      </w:r>
    </w:p>
    <w:p w14:paraId="438EBDDF" w14:textId="72C3C8C8" w:rsidR="0049169D" w:rsidRPr="006E5F52" w:rsidRDefault="0049169D" w:rsidP="0049169D">
      <w:pPr>
        <w:rPr>
          <w:b/>
          <w:bCs/>
          <w:i/>
          <w:iCs/>
        </w:rPr>
      </w:pPr>
      <w:r w:rsidRPr="006E5F52">
        <w:rPr>
          <w:b/>
          <w:bCs/>
          <w:i/>
          <w:iCs/>
        </w:rPr>
        <w:t xml:space="preserve">Essay one: </w:t>
      </w:r>
    </w:p>
    <w:p w14:paraId="241170D3" w14:textId="77777777" w:rsidR="006E5F52" w:rsidRDefault="0049169D" w:rsidP="0049169D">
      <w:pPr>
        <w:rPr>
          <w:b/>
          <w:bCs/>
          <w:i/>
          <w:iCs/>
        </w:rPr>
      </w:pPr>
      <w:r w:rsidRPr="006E5F52">
        <w:rPr>
          <w:b/>
          <w:bCs/>
          <w:i/>
          <w:iCs/>
        </w:rPr>
        <w:t xml:space="preserve">How have past instances of police malpractice and misconduct influenced modern professional policing? </w:t>
      </w:r>
    </w:p>
    <w:p w14:paraId="47484608" w14:textId="6D3BA40D" w:rsidR="0049169D" w:rsidRPr="006E5F52" w:rsidRDefault="0049169D" w:rsidP="0049169D">
      <w:pPr>
        <w:rPr>
          <w:b/>
          <w:bCs/>
          <w:i/>
          <w:iCs/>
        </w:rPr>
      </w:pPr>
      <w:r w:rsidRPr="006E5F52">
        <w:rPr>
          <w:b/>
          <w:bCs/>
          <w:i/>
          <w:iCs/>
        </w:rPr>
        <w:t xml:space="preserve">Support your answer with relevant evidence drawn from academic sources. </w:t>
      </w:r>
    </w:p>
    <w:p w14:paraId="3AB38AB5" w14:textId="76AC9D9A" w:rsidR="0049169D" w:rsidRDefault="0049169D" w:rsidP="0049169D">
      <w:pPr>
        <w:rPr>
          <w:b/>
          <w:bCs/>
          <w:i/>
          <w:iCs/>
        </w:rPr>
      </w:pPr>
      <w:r w:rsidRPr="006E5F52">
        <w:rPr>
          <w:b/>
          <w:bCs/>
          <w:i/>
          <w:iCs/>
        </w:rPr>
        <w:t>Word limit: 1000 words.</w:t>
      </w:r>
    </w:p>
    <w:p w14:paraId="57270817" w14:textId="754437A5" w:rsidR="00650BC9" w:rsidRPr="00650BC9" w:rsidRDefault="00650BC9" w:rsidP="00650BC9">
      <w:pPr>
        <w:pStyle w:val="p1"/>
        <w:spacing w:before="0" w:beforeAutospacing="0" w:after="210" w:afterAutospacing="0"/>
        <w:rPr>
          <w:color w:val="000000"/>
        </w:rPr>
      </w:pPr>
      <w:r w:rsidRPr="00C937CD">
        <w:rPr>
          <w:rStyle w:val="s1"/>
          <w:b/>
          <w:bCs/>
          <w:color w:val="000000"/>
        </w:rPr>
        <w:t xml:space="preserve">Word Count </w:t>
      </w:r>
      <w:r w:rsidRPr="00C937CD">
        <w:rPr>
          <w:b/>
          <w:bCs/>
        </w:rPr>
        <w:t>:</w:t>
      </w:r>
      <w:r>
        <w:t xml:space="preserve"> </w:t>
      </w:r>
      <w:r>
        <w:rPr>
          <w:rStyle w:val="s1"/>
          <w:color w:val="000000"/>
        </w:rPr>
        <w:t>1021</w:t>
      </w:r>
    </w:p>
    <w:p w14:paraId="5786E473" w14:textId="77777777" w:rsidR="0051608F" w:rsidRDefault="0051608F" w:rsidP="0051608F">
      <w:r>
        <w:t>The UK has witnessed many significant instances of police malpractice in recent years. These events have had a lasting impact on the evolution of modern professional policing in the United Kingdom, leading to critical reforms in policing policies and practices (IOPC, 2023; HMICFRS, 2023). In this essay, I will examine past instances of police malpractice and misconduct and how they have influenced modern professional policing in the UK, with a focus on the impact of the Creation of the Police and Criminal Evidence Act 1984, the Hillsborough disaster, the Stephen Lawrence case, and the Macpherson Report.</w:t>
      </w:r>
    </w:p>
    <w:p w14:paraId="6CF7057D" w14:textId="77777777" w:rsidR="0051608F" w:rsidRDefault="0051608F" w:rsidP="0051608F"/>
    <w:p w14:paraId="5B9A73F6" w14:textId="77777777" w:rsidR="0051608F" w:rsidRPr="00C10394" w:rsidRDefault="0051608F" w:rsidP="0051608F">
      <w:r w:rsidRPr="002351C9">
        <w:t>The Police and Criminal Evidence Act 1984 (PACE) sets out the code of practice for the detention, treatment, and questioning of persons by police officers. It was enacted in response to the Birmingham Six and Guildford Four cases, which exposed forced confessions and police corruption (Murphy, 2017). PACE has dramatically reduced the incidence of forced confessions and improved the standards of police interrogation.</w:t>
      </w:r>
      <w:r>
        <w:t xml:space="preserve"> </w:t>
      </w:r>
      <w:r>
        <w:rPr>
          <w:rStyle w:val="s1"/>
          <w:color w:val="000000"/>
        </w:rPr>
        <w:t>Misconduct incidents have led to significant changes in police training and policies. The Police and Criminal Evidence Act 1984 (PACE), which was enacted in response to the Birmingham Six and Guildford Four cases, sets out the code of practice for the detention, treatment, and questioning of persons by police officers (Murphy, 2017). This has dramatically reduced the incidence of forced confessions and improved the standards of police interrogation.</w:t>
      </w:r>
    </w:p>
    <w:p w14:paraId="4F5F7F68" w14:textId="77777777" w:rsidR="0051608F" w:rsidRDefault="0051608F" w:rsidP="0051608F">
      <w:pPr>
        <w:pStyle w:val="p1"/>
        <w:spacing w:before="0" w:beforeAutospacing="0" w:after="210" w:afterAutospacing="0"/>
        <w:rPr>
          <w:color w:val="000000"/>
        </w:rPr>
      </w:pPr>
      <w:r>
        <w:rPr>
          <w:rStyle w:val="s1"/>
          <w:color w:val="000000"/>
        </w:rPr>
        <w:t> </w:t>
      </w:r>
    </w:p>
    <w:p w14:paraId="1DA786DC" w14:textId="77777777" w:rsidR="0051608F" w:rsidRDefault="0051608F" w:rsidP="0051608F">
      <w:pPr>
        <w:pStyle w:val="p1"/>
        <w:spacing w:before="0" w:beforeAutospacing="0" w:after="210" w:afterAutospacing="0"/>
        <w:rPr>
          <w:color w:val="000000"/>
        </w:rPr>
      </w:pPr>
      <w:r>
        <w:rPr>
          <w:rStyle w:val="s1"/>
          <w:color w:val="000000"/>
        </w:rPr>
        <w:t>The Hillsborough disaster, which took place on April 15, 1989, has had a significant impact on modern professional policing in the UK (</w:t>
      </w:r>
      <w:proofErr w:type="spellStart"/>
      <w:r>
        <w:rPr>
          <w:rStyle w:val="s1"/>
          <w:color w:val="000000"/>
        </w:rPr>
        <w:t>Scraton</w:t>
      </w:r>
      <w:proofErr w:type="spellEnd"/>
      <w:r>
        <w:rPr>
          <w:rStyle w:val="s1"/>
          <w:color w:val="000000"/>
        </w:rPr>
        <w:t>, 2016). The incident occurred during a football match between Liverpool and Nottingham Forest at the Hillsborough Stadium in Sheffield, whereby the loss of life totalled 96 people, with hundreds more experiencing injuries from the horrific disaster. South Yorkshire Police were widely criticized for their handling of the incident, as well as their subsequent attempts to cover up their failings (</w:t>
      </w:r>
      <w:proofErr w:type="spellStart"/>
      <w:r>
        <w:rPr>
          <w:rStyle w:val="s1"/>
          <w:color w:val="000000"/>
        </w:rPr>
        <w:t>Scraton</w:t>
      </w:r>
      <w:proofErr w:type="spellEnd"/>
      <w:r>
        <w:rPr>
          <w:rStyle w:val="s1"/>
          <w:color w:val="000000"/>
        </w:rPr>
        <w:t>, 2016).</w:t>
      </w:r>
      <w:r>
        <w:rPr>
          <w:color w:val="000000"/>
        </w:rPr>
        <w:t xml:space="preserve"> </w:t>
      </w:r>
      <w:r>
        <w:rPr>
          <w:rStyle w:val="s1"/>
          <w:color w:val="000000"/>
        </w:rPr>
        <w:t xml:space="preserve">An official inquiry was launched and then led by Lord Justice Taylor, who found that police mismanagement and poor crowd control were major factors contributing to the tragedy (Taylor,1989). The Taylor Report made </w:t>
      </w:r>
      <w:proofErr w:type="gramStart"/>
      <w:r>
        <w:rPr>
          <w:rStyle w:val="s1"/>
          <w:color w:val="000000"/>
        </w:rPr>
        <w:t>a number of</w:t>
      </w:r>
      <w:proofErr w:type="gramEnd"/>
      <w:r>
        <w:rPr>
          <w:rStyle w:val="s1"/>
          <w:color w:val="000000"/>
        </w:rPr>
        <w:t xml:space="preserve"> recommendations for improving police management at football matches, including the introduction of all-seater stadiums and the improvement of police training in crowd management (Taylor, 1989). The adoption of these recommendations has greatly influenced the way in which modern professional policing approaches crowd management and large-scale events (</w:t>
      </w:r>
      <w:proofErr w:type="spellStart"/>
      <w:r>
        <w:rPr>
          <w:rStyle w:val="s1"/>
          <w:color w:val="000000"/>
        </w:rPr>
        <w:t>Scraton</w:t>
      </w:r>
      <w:proofErr w:type="spellEnd"/>
      <w:r>
        <w:rPr>
          <w:rStyle w:val="s1"/>
          <w:color w:val="000000"/>
        </w:rPr>
        <w:t>, 2016).</w:t>
      </w:r>
    </w:p>
    <w:p w14:paraId="3EED63BD" w14:textId="77777777" w:rsidR="0051608F" w:rsidRDefault="0051608F" w:rsidP="0051608F">
      <w:pPr>
        <w:pStyle w:val="p1"/>
        <w:spacing w:before="0" w:beforeAutospacing="0" w:after="210" w:afterAutospacing="0"/>
        <w:rPr>
          <w:color w:val="000000"/>
        </w:rPr>
      </w:pPr>
      <w:r>
        <w:rPr>
          <w:rStyle w:val="s1"/>
          <w:color w:val="000000"/>
        </w:rPr>
        <w:t> </w:t>
      </w:r>
    </w:p>
    <w:p w14:paraId="3CDCE693" w14:textId="75C7BD6A" w:rsidR="0051608F" w:rsidRDefault="0051608F" w:rsidP="0051608F">
      <w:pPr>
        <w:pStyle w:val="p1"/>
        <w:spacing w:before="0" w:beforeAutospacing="0" w:after="210" w:afterAutospacing="0"/>
        <w:rPr>
          <w:rStyle w:val="s1"/>
          <w:color w:val="000000"/>
        </w:rPr>
      </w:pPr>
    </w:p>
    <w:p w14:paraId="01866DE6" w14:textId="77777777" w:rsidR="0051608F" w:rsidRDefault="0051608F" w:rsidP="0051608F">
      <w:pPr>
        <w:pStyle w:val="p1"/>
        <w:spacing w:before="0" w:beforeAutospacing="0" w:after="210" w:afterAutospacing="0"/>
        <w:rPr>
          <w:color w:val="000000"/>
        </w:rPr>
      </w:pPr>
    </w:p>
    <w:p w14:paraId="1D32B187" w14:textId="77777777" w:rsidR="0051608F" w:rsidRDefault="0051608F" w:rsidP="0051608F">
      <w:pPr>
        <w:pStyle w:val="p1"/>
        <w:spacing w:before="0" w:beforeAutospacing="0" w:after="210" w:afterAutospacing="0"/>
        <w:rPr>
          <w:color w:val="000000"/>
        </w:rPr>
      </w:pPr>
      <w:r w:rsidRPr="00DA3418">
        <w:rPr>
          <w:rStyle w:val="s1"/>
          <w:color w:val="000000"/>
        </w:rPr>
        <w:lastRenderedPageBreak/>
        <w:t xml:space="preserve">The Stephen Lawrence case, a </w:t>
      </w:r>
      <w:proofErr w:type="gramStart"/>
      <w:r w:rsidRPr="00DA3418">
        <w:rPr>
          <w:rStyle w:val="s1"/>
          <w:color w:val="000000"/>
        </w:rPr>
        <w:t>much-discussed</w:t>
      </w:r>
      <w:proofErr w:type="gramEnd"/>
      <w:r w:rsidRPr="00DA3418">
        <w:rPr>
          <w:rStyle w:val="s1"/>
          <w:color w:val="000000"/>
        </w:rPr>
        <w:t xml:space="preserve"> and pivotal moment in UK policing history, raised public awareness about the issue of racism within the police force</w:t>
      </w:r>
      <w:r>
        <w:rPr>
          <w:rStyle w:val="s1"/>
          <w:color w:val="000000"/>
        </w:rPr>
        <w:t>. The case centred around that of a black teenager murdered in 1993 and the subsequent failings by police in investigating the incident. The police response to the case was flawed by accusations of incompetence and racism, with the Macpherson Report (1999) later finding that the Metropolitan Police were institutionally racist. The initial investigation by the Metropolitan Police was criticized for its slow response, lack of thoroughness, and failure to arrest the prime suspects, who were known to be white and associated with racist groups (McLaughlin, 2007). The Lawrence family and various advocacy groups accused the police of incompetence and institutional racism (</w:t>
      </w:r>
      <w:proofErr w:type="spellStart"/>
      <w:r>
        <w:rPr>
          <w:rStyle w:val="s1"/>
          <w:color w:val="000000"/>
        </w:rPr>
        <w:t>Solomos</w:t>
      </w:r>
      <w:proofErr w:type="spellEnd"/>
      <w:r>
        <w:rPr>
          <w:rStyle w:val="s1"/>
          <w:color w:val="000000"/>
        </w:rPr>
        <w:t>, 2003). This case not only raised public awareness about the issue of racism within the police force but also led to significant changes in policing practices and policy (Bowling and Phillips, 2007).</w:t>
      </w:r>
    </w:p>
    <w:p w14:paraId="3CD13886" w14:textId="77777777" w:rsidR="0051608F" w:rsidRPr="005738A2" w:rsidRDefault="0051608F" w:rsidP="0051608F">
      <w:pPr>
        <w:pStyle w:val="p1"/>
        <w:spacing w:before="0" w:beforeAutospacing="0" w:after="210" w:afterAutospacing="0"/>
        <w:rPr>
          <w:color w:val="000000"/>
        </w:rPr>
      </w:pPr>
      <w:r>
        <w:rPr>
          <w:rStyle w:val="s1"/>
          <w:color w:val="000000"/>
        </w:rPr>
        <w:t xml:space="preserve">In response to the public outcry and the Lawrence family's campaign for justice, then-Home Secretary Jack Straw ordered a public inquiry into the handling of the case in July 1997 (Bowling, 1999). February 1999, saw the publication of the Macpherson Report. </w:t>
      </w:r>
      <w:r w:rsidRPr="005738A2">
        <w:rPr>
          <w:rStyle w:val="s1"/>
          <w:color w:val="000000"/>
        </w:rPr>
        <w:t>The report made 70 recommendations aimed at tackling institutionalised racism and improving policing practices, many of which were then adopted by police forces across the UK (Bowling and Phillips, 2007).</w:t>
      </w:r>
    </w:p>
    <w:p w14:paraId="41723FAA" w14:textId="77777777" w:rsidR="0051608F" w:rsidRDefault="0051608F" w:rsidP="0051608F">
      <w:pPr>
        <w:pStyle w:val="p1"/>
        <w:spacing w:before="0" w:beforeAutospacing="0" w:after="210" w:afterAutospacing="0"/>
        <w:rPr>
          <w:color w:val="000000"/>
        </w:rPr>
      </w:pPr>
      <w:r w:rsidRPr="005738A2">
        <w:rPr>
          <w:rStyle w:val="s1"/>
          <w:color w:val="000000"/>
        </w:rPr>
        <w:t>One of the many key recommendations that were made from the Macpherson Report was the introduction of a new disciplinary code, this regarded measures to be made for discrimination and racism. This has since led to the increased scrutiny of police officers’ behaviour and a greater emphasis on professional conduct within police forces</w:t>
      </w:r>
      <w:r>
        <w:rPr>
          <w:rStyle w:val="s1"/>
          <w:color w:val="000000"/>
        </w:rPr>
        <w:t xml:space="preserve"> (Bowling and Phillips, 2007). Furthermore, the report recommended the implementation of community policing strategies. Additionally, the report called for the implementation of community policing strategies, which involve working closely with local communities to build trust and improve relationships between the police and the public (BBC News, 1999).</w:t>
      </w:r>
    </w:p>
    <w:p w14:paraId="570129C8" w14:textId="77777777" w:rsidR="0051608F" w:rsidRDefault="0051608F" w:rsidP="0051608F">
      <w:pPr>
        <w:pStyle w:val="p1"/>
        <w:spacing w:before="0" w:beforeAutospacing="0" w:after="210" w:afterAutospacing="0"/>
        <w:rPr>
          <w:color w:val="000000"/>
        </w:rPr>
      </w:pPr>
      <w:r>
        <w:rPr>
          <w:rStyle w:val="s1"/>
          <w:color w:val="000000"/>
        </w:rPr>
        <w:t xml:space="preserve">The Macpherson Report also highlighted the need for improved police training and education on issues of diversity and cultural sensitivity. As a result, there has been a significant increase in the provision of training courses and resources designed to enhance the cultural competence of police officers and reduce the likelihood of discriminatory behaviour (College </w:t>
      </w:r>
      <w:proofErr w:type="gramStart"/>
      <w:r>
        <w:rPr>
          <w:rStyle w:val="s1"/>
          <w:color w:val="000000"/>
        </w:rPr>
        <w:t>Of</w:t>
      </w:r>
      <w:proofErr w:type="gramEnd"/>
      <w:r>
        <w:rPr>
          <w:rStyle w:val="s1"/>
          <w:color w:val="000000"/>
        </w:rPr>
        <w:t xml:space="preserve"> Policing, 2021; Bowling and Phillips, 2007). This focus on training and education has become an integral part of modern professional policing, as forces seek to address the legacy of institutional racism and promote greater inclusivity and fairness within their ranks (Reiner, 2010).</w:t>
      </w:r>
    </w:p>
    <w:p w14:paraId="62ACD35E" w14:textId="77777777" w:rsidR="0051608F" w:rsidRDefault="0051608F" w:rsidP="0051608F">
      <w:pPr>
        <w:pStyle w:val="p1"/>
        <w:spacing w:before="0" w:beforeAutospacing="0" w:after="210" w:afterAutospacing="0"/>
        <w:rPr>
          <w:color w:val="000000"/>
        </w:rPr>
      </w:pPr>
      <w:r>
        <w:rPr>
          <w:rStyle w:val="s1"/>
          <w:color w:val="000000"/>
        </w:rPr>
        <w:t>Moreover, the Macpherson Report led to the establishment of the Independent Police Complaints Commission (IPCC) in 2004, which has since been replaced by the Independent Office for Police Conduct (IOPC) in 2018 (IOPC, 2021). The creation of these independent oversight bodies has been instrumental in improving public confidence in the police complaints system and ensuring that allegations of misconduct are properly investigated and addressed (IOPC, 2021).</w:t>
      </w:r>
    </w:p>
    <w:p w14:paraId="0C254557" w14:textId="77777777" w:rsidR="00265C3D" w:rsidRDefault="0051608F" w:rsidP="0051608F">
      <w:pPr>
        <w:pStyle w:val="p1"/>
        <w:spacing w:before="0" w:beforeAutospacing="0" w:after="210" w:afterAutospacing="0"/>
        <w:rPr>
          <w:rStyle w:val="s1"/>
          <w:color w:val="000000"/>
        </w:rPr>
      </w:pPr>
      <w:r>
        <w:rPr>
          <w:rStyle w:val="s1"/>
          <w:color w:val="000000"/>
        </w:rPr>
        <w:t>In conclusion, the UK's history of issues involving incidents of police malpractice and misconduct has been influential in shaping the modern professional policing landscape.</w:t>
      </w:r>
      <w:r>
        <w:rPr>
          <w:color w:val="000000"/>
        </w:rPr>
        <w:t xml:space="preserve"> </w:t>
      </w:r>
      <w:r>
        <w:rPr>
          <w:rStyle w:val="s1"/>
          <w:color w:val="000000"/>
        </w:rPr>
        <w:t>While these incidents have caused harm and eroded public trust, they have also instigated necessary reforms. The Hillsborough disaster, the Stephen Lawrence case, and the Macpherson Report have all been pivotal in driving significant reforms. These events have led to improvements in police management of large-scale events, increased emphasis on community policing strategies, and a greater focus on addressing institutional racism within police forces. Furthermore, they have contributed to the development of independent oversight bodies and more stringent disciplinary codes for police officers. Through these changes, past instances of police malpractice and misconduct have had a lasting impact on the evolution of modern professional policing in the United Kingdom.</w:t>
      </w:r>
    </w:p>
    <w:p w14:paraId="7076217B" w14:textId="77777777" w:rsidR="00650BC9" w:rsidRDefault="00650BC9" w:rsidP="00650BC9">
      <w:pPr>
        <w:pStyle w:val="p1"/>
        <w:spacing w:before="0" w:beforeAutospacing="0" w:after="210" w:afterAutospacing="0"/>
        <w:rPr>
          <w:rStyle w:val="s1"/>
          <w:color w:val="000000"/>
        </w:rPr>
      </w:pPr>
      <w:r w:rsidRPr="00C937CD">
        <w:rPr>
          <w:rStyle w:val="s1"/>
          <w:b/>
          <w:bCs/>
          <w:color w:val="000000"/>
        </w:rPr>
        <w:t xml:space="preserve">Word Count </w:t>
      </w:r>
      <w:r w:rsidRPr="00C937CD">
        <w:rPr>
          <w:b/>
          <w:bCs/>
        </w:rPr>
        <w:t>:</w:t>
      </w:r>
      <w:r>
        <w:t xml:space="preserve"> </w:t>
      </w:r>
      <w:r>
        <w:rPr>
          <w:rStyle w:val="s1"/>
          <w:color w:val="000000"/>
        </w:rPr>
        <w:t>1021</w:t>
      </w:r>
    </w:p>
    <w:p w14:paraId="117F9486" w14:textId="3AE14DE5" w:rsidR="0049169D" w:rsidRPr="006E5F52" w:rsidRDefault="0049169D" w:rsidP="00650BC9">
      <w:pPr>
        <w:pStyle w:val="p1"/>
        <w:spacing w:before="0" w:beforeAutospacing="0" w:after="210" w:afterAutospacing="0"/>
        <w:rPr>
          <w:b/>
          <w:bCs/>
          <w:i/>
          <w:iCs/>
        </w:rPr>
      </w:pPr>
      <w:r w:rsidRPr="006E5F52">
        <w:rPr>
          <w:b/>
          <w:bCs/>
          <w:i/>
          <w:iCs/>
        </w:rPr>
        <w:lastRenderedPageBreak/>
        <w:t xml:space="preserve">Essay two: </w:t>
      </w:r>
    </w:p>
    <w:p w14:paraId="66718F4D" w14:textId="77777777" w:rsidR="0049169D" w:rsidRPr="006E5F52" w:rsidRDefault="0049169D" w:rsidP="0049169D">
      <w:pPr>
        <w:rPr>
          <w:b/>
          <w:bCs/>
          <w:i/>
          <w:iCs/>
        </w:rPr>
      </w:pPr>
      <w:r w:rsidRPr="006E5F52">
        <w:rPr>
          <w:b/>
          <w:bCs/>
          <w:i/>
          <w:iCs/>
        </w:rPr>
        <w:t>How does media coverage affect policing strategies in relation to public protection incidents?</w:t>
      </w:r>
    </w:p>
    <w:p w14:paraId="2D9366C6" w14:textId="77777777" w:rsidR="0049169D" w:rsidRPr="006E5F52" w:rsidRDefault="0049169D" w:rsidP="0049169D">
      <w:pPr>
        <w:rPr>
          <w:b/>
          <w:bCs/>
          <w:i/>
          <w:iCs/>
        </w:rPr>
      </w:pPr>
      <w:r w:rsidRPr="006E5F52">
        <w:rPr>
          <w:b/>
          <w:bCs/>
          <w:i/>
          <w:iCs/>
        </w:rPr>
        <w:t xml:space="preserve">Your answer must be based on academic research, but you may </w:t>
      </w:r>
      <w:proofErr w:type="gramStart"/>
      <w:r w:rsidRPr="006E5F52">
        <w:rPr>
          <w:b/>
          <w:bCs/>
          <w:i/>
          <w:iCs/>
        </w:rPr>
        <w:t>make reference</w:t>
      </w:r>
      <w:proofErr w:type="gramEnd"/>
      <w:r w:rsidRPr="006E5F52">
        <w:rPr>
          <w:b/>
          <w:bCs/>
          <w:i/>
          <w:iCs/>
        </w:rPr>
        <w:t xml:space="preserve"> to relevant case studies. </w:t>
      </w:r>
    </w:p>
    <w:p w14:paraId="0ADA7FB1" w14:textId="78C36EC7" w:rsidR="0049169D" w:rsidRDefault="0049169D" w:rsidP="0049169D">
      <w:pPr>
        <w:rPr>
          <w:b/>
          <w:bCs/>
          <w:i/>
          <w:iCs/>
        </w:rPr>
      </w:pPr>
      <w:r w:rsidRPr="006E5F52">
        <w:rPr>
          <w:b/>
          <w:bCs/>
          <w:i/>
          <w:iCs/>
        </w:rPr>
        <w:t xml:space="preserve">Word limit: 1000 words. </w:t>
      </w:r>
    </w:p>
    <w:p w14:paraId="7C7DCB1D" w14:textId="72EC9F17" w:rsidR="00597EED" w:rsidRPr="00597EED" w:rsidRDefault="00597EED" w:rsidP="00597EED">
      <w:pPr>
        <w:tabs>
          <w:tab w:val="left" w:pos="1450"/>
        </w:tabs>
      </w:pPr>
      <w:r w:rsidRPr="00A74B12">
        <w:rPr>
          <w:b/>
          <w:bCs/>
        </w:rPr>
        <w:t>Word Count :</w:t>
      </w:r>
      <w:r>
        <w:t xml:space="preserve"> 1098</w:t>
      </w:r>
      <w:r>
        <w:tab/>
      </w:r>
    </w:p>
    <w:p w14:paraId="6B2262B1" w14:textId="77777777" w:rsidR="00597EED" w:rsidRDefault="00597EED" w:rsidP="00597EED">
      <w:pPr>
        <w:pStyle w:val="p1"/>
        <w:spacing w:before="0" w:beforeAutospacing="0" w:after="210" w:afterAutospacing="0"/>
        <w:rPr>
          <w:color w:val="000000"/>
        </w:rPr>
      </w:pPr>
      <w:r>
        <w:rPr>
          <w:rStyle w:val="s1"/>
          <w:color w:val="000000"/>
        </w:rPr>
        <w:t>The media plays a pivotal role in the shaping of public opinion regarding various aspects of society, with policing strategies being no exception. The UK has been significantly influenced by the media regarding its policing strategies and this essay will argue how the media has created public pressure for improved transparency, community engagement and accountability. I will utilise academic sources to support my claims and provide examples of specific incidents that have driven these changes. In this essay, I will explore how the influence of the media can change how UK policing strategies are implemented by focusing on the media's role in shaping public opinion, media coverage and the demand for transparency, effects of media framing and agenda setting, the amplification of risk and how this demands police response. A case study of the 2011 London riots will be used to illustrate these points.</w:t>
      </w:r>
    </w:p>
    <w:p w14:paraId="21312168" w14:textId="77777777" w:rsidR="00597EED" w:rsidRDefault="00597EED" w:rsidP="00597EED">
      <w:pPr>
        <w:pStyle w:val="p1"/>
        <w:spacing w:before="0" w:beforeAutospacing="0" w:after="210" w:afterAutospacing="0"/>
        <w:rPr>
          <w:color w:val="000000"/>
        </w:rPr>
      </w:pPr>
      <w:r>
        <w:rPr>
          <w:rStyle w:val="s1"/>
          <w:color w:val="000000"/>
        </w:rPr>
        <w:t> </w:t>
      </w:r>
    </w:p>
    <w:p w14:paraId="74DB450E" w14:textId="77777777" w:rsidR="00597EED" w:rsidRDefault="00597EED" w:rsidP="00597EED">
      <w:pPr>
        <w:pStyle w:val="p1"/>
        <w:spacing w:before="0" w:beforeAutospacing="0" w:after="210" w:afterAutospacing="0"/>
        <w:rPr>
          <w:color w:val="000000"/>
        </w:rPr>
      </w:pPr>
      <w:r>
        <w:rPr>
          <w:rStyle w:val="s2"/>
          <w:b/>
          <w:bCs/>
          <w:color w:val="000000"/>
        </w:rPr>
        <w:t>The Media's Role in Shaping Public Opinion</w:t>
      </w:r>
    </w:p>
    <w:p w14:paraId="1AF525B8" w14:textId="77777777" w:rsidR="00597EED" w:rsidRDefault="00597EED" w:rsidP="00597EED">
      <w:pPr>
        <w:pStyle w:val="p1"/>
        <w:spacing w:before="0" w:beforeAutospacing="0" w:after="210" w:afterAutospacing="0"/>
        <w:rPr>
          <w:color w:val="000000"/>
        </w:rPr>
      </w:pPr>
      <w:r>
        <w:rPr>
          <w:rStyle w:val="s1"/>
          <w:color w:val="000000"/>
        </w:rPr>
        <w:t>Media coverage of policing incidents has a deep impact on public perception (Reiner, 2010). News sites, social media platforms, and other forms of media can quickly disseminate information, images, and videos and influence public perceptions of the police and their activities (Greer, 2017). Media portrayals of the police can inspire trust and support or arouse distrust and public doubt (</w:t>
      </w:r>
      <w:proofErr w:type="spellStart"/>
      <w:r>
        <w:rPr>
          <w:rStyle w:val="s1"/>
          <w:color w:val="000000"/>
        </w:rPr>
        <w:t>Mawby</w:t>
      </w:r>
      <w:proofErr w:type="spellEnd"/>
      <w:r>
        <w:rPr>
          <w:rStyle w:val="s1"/>
          <w:color w:val="000000"/>
        </w:rPr>
        <w:t>, 2002). In addition, the media can influence police agendas and policy changes (Greer &amp; McLaughlin, 2010).</w:t>
      </w:r>
    </w:p>
    <w:p w14:paraId="49B4D298" w14:textId="77777777" w:rsidR="00597EED" w:rsidRDefault="00597EED" w:rsidP="00597EED">
      <w:pPr>
        <w:pStyle w:val="p1"/>
        <w:spacing w:before="0" w:beforeAutospacing="0" w:after="210" w:afterAutospacing="0"/>
        <w:rPr>
          <w:color w:val="000000"/>
        </w:rPr>
      </w:pPr>
      <w:r>
        <w:rPr>
          <w:rStyle w:val="s1"/>
          <w:color w:val="000000"/>
        </w:rPr>
        <w:t> </w:t>
      </w:r>
    </w:p>
    <w:p w14:paraId="38FFE763" w14:textId="77777777" w:rsidR="00597EED" w:rsidRDefault="00597EED" w:rsidP="00597EED">
      <w:pPr>
        <w:pStyle w:val="p1"/>
        <w:spacing w:before="0" w:beforeAutospacing="0" w:after="210" w:afterAutospacing="0"/>
        <w:rPr>
          <w:color w:val="000000"/>
        </w:rPr>
      </w:pPr>
      <w:r>
        <w:rPr>
          <w:rStyle w:val="s2"/>
          <w:b/>
          <w:bCs/>
          <w:color w:val="000000"/>
        </w:rPr>
        <w:t>Media Coverage and the Demand for Transparency</w:t>
      </w:r>
    </w:p>
    <w:p w14:paraId="4C5C9675" w14:textId="77777777" w:rsidR="00597EED" w:rsidRDefault="00597EED" w:rsidP="00597EED">
      <w:pPr>
        <w:pStyle w:val="p2"/>
        <w:spacing w:before="0" w:beforeAutospacing="0" w:after="210" w:afterAutospacing="0"/>
        <w:rPr>
          <w:color w:val="000000"/>
        </w:rPr>
      </w:pPr>
    </w:p>
    <w:p w14:paraId="1704EA03" w14:textId="77777777" w:rsidR="00597EED" w:rsidRDefault="00597EED" w:rsidP="00597EED">
      <w:pPr>
        <w:pStyle w:val="p1"/>
        <w:spacing w:before="0" w:beforeAutospacing="0" w:after="210" w:afterAutospacing="0"/>
        <w:rPr>
          <w:color w:val="000000"/>
        </w:rPr>
      </w:pPr>
      <w:r>
        <w:rPr>
          <w:rStyle w:val="s1"/>
          <w:color w:val="000000"/>
        </w:rPr>
        <w:t xml:space="preserve">Several high-profile public protection incidents’ have emerged within recent years that have resulted in large and extensive media coverage, namely that of the fatal shooting of Mark Duggan by London's Metropolitan Police in 2011 which acted as a catalyst to the civil unrest and riots across the boroughs of London (Dodd &amp; </w:t>
      </w:r>
      <w:proofErr w:type="spellStart"/>
      <w:r>
        <w:rPr>
          <w:rStyle w:val="s1"/>
          <w:color w:val="000000"/>
        </w:rPr>
        <w:t>Gabbatt</w:t>
      </w:r>
      <w:proofErr w:type="spellEnd"/>
      <w:r>
        <w:rPr>
          <w:rStyle w:val="s1"/>
          <w:color w:val="000000"/>
        </w:rPr>
        <w:t>, 2011). Due to the media coverage and their portrayal of the incidents that unfolded surrounding the events of Duggan’s death, it prompted public uproar and increased demands for transparency in police actions (Fenton, 2011).</w:t>
      </w:r>
    </w:p>
    <w:p w14:paraId="329230F5" w14:textId="77777777" w:rsidR="00597EED" w:rsidRDefault="00597EED" w:rsidP="00597EED">
      <w:pPr>
        <w:pStyle w:val="p1"/>
        <w:spacing w:before="0" w:beforeAutospacing="0" w:after="210" w:afterAutospacing="0"/>
        <w:rPr>
          <w:color w:val="000000"/>
        </w:rPr>
      </w:pPr>
    </w:p>
    <w:p w14:paraId="2D6D05DD" w14:textId="77777777" w:rsidR="00597EED" w:rsidRDefault="00597EED" w:rsidP="00597EED">
      <w:pPr>
        <w:pStyle w:val="p1"/>
        <w:spacing w:before="0" w:beforeAutospacing="0" w:after="210" w:afterAutospacing="0"/>
        <w:rPr>
          <w:color w:val="000000"/>
        </w:rPr>
      </w:pPr>
      <w:r>
        <w:rPr>
          <w:rStyle w:val="s1"/>
          <w:color w:val="000000"/>
        </w:rPr>
        <w:t>Due to incidents such as this, an expectation from UK Police force’ has come to increase their transparency regarding policing operations (Lumsden &amp; Black, 2017). As a result, the adoption of body-worn video cameras has been issued for each operational police officer, which has improved police-citizen interactions and reduced reports of complaints  (Ariel et al., 2016</w:t>
      </w:r>
      <w:r w:rsidRPr="00421FBB">
        <w:rPr>
          <w:rStyle w:val="s1"/>
          <w:color w:val="000000"/>
        </w:rPr>
        <w:t>). The argument could be made that the widescale implementation was a result of media coverage and pressure emphasizing the need for greater accountability within the UK police forces (</w:t>
      </w:r>
      <w:proofErr w:type="spellStart"/>
      <w:r w:rsidRPr="00421FBB">
        <w:t>Naoroz</w:t>
      </w:r>
      <w:proofErr w:type="spellEnd"/>
      <w:r w:rsidRPr="00421FBB">
        <w:t xml:space="preserve"> &amp; Cleary,2019)</w:t>
      </w:r>
    </w:p>
    <w:p w14:paraId="10F7FD68" w14:textId="23E11B61" w:rsidR="00597EED" w:rsidRPr="00597EED" w:rsidRDefault="00597EED" w:rsidP="00597EED">
      <w:pPr>
        <w:pStyle w:val="p1"/>
        <w:spacing w:before="0" w:beforeAutospacing="0" w:after="210" w:afterAutospacing="0"/>
        <w:rPr>
          <w:b/>
          <w:bCs/>
          <w:color w:val="000000"/>
        </w:rPr>
      </w:pPr>
    </w:p>
    <w:p w14:paraId="14C144C4" w14:textId="77777777" w:rsidR="00597EED" w:rsidRPr="005F43E0" w:rsidRDefault="00597EED" w:rsidP="00597EED">
      <w:pPr>
        <w:pStyle w:val="p1"/>
        <w:spacing w:before="0" w:beforeAutospacing="0" w:after="210" w:afterAutospacing="0"/>
        <w:rPr>
          <w:b/>
          <w:bCs/>
          <w:color w:val="000000"/>
        </w:rPr>
      </w:pPr>
      <w:r w:rsidRPr="005F43E0">
        <w:rPr>
          <w:rStyle w:val="s2"/>
          <w:b/>
          <w:bCs/>
          <w:color w:val="000000"/>
        </w:rPr>
        <w:t>The </w:t>
      </w:r>
      <w:r w:rsidRPr="005F43E0">
        <w:rPr>
          <w:rStyle w:val="s1"/>
          <w:b/>
          <w:bCs/>
          <w:color w:val="000000"/>
        </w:rPr>
        <w:t>Influence</w:t>
      </w:r>
      <w:r w:rsidRPr="005F43E0">
        <w:rPr>
          <w:rStyle w:val="s2"/>
          <w:b/>
          <w:bCs/>
          <w:color w:val="000000"/>
        </w:rPr>
        <w:t> of media coverage on public perception </w:t>
      </w:r>
    </w:p>
    <w:p w14:paraId="5577DFB4" w14:textId="77777777" w:rsidR="00597EED" w:rsidRDefault="00597EED" w:rsidP="00597EED">
      <w:pPr>
        <w:pStyle w:val="p1"/>
        <w:spacing w:before="0" w:beforeAutospacing="0" w:after="210" w:afterAutospacing="0"/>
        <w:rPr>
          <w:rStyle w:val="s1"/>
          <w:color w:val="000000"/>
        </w:rPr>
      </w:pPr>
      <w:r>
        <w:rPr>
          <w:rStyle w:val="s1"/>
          <w:color w:val="000000"/>
        </w:rPr>
        <w:t>Media coverage plays a significant role in shaping public perception of crime, policing, and public protection incidents. Research suggests that sensationalist media coverage can influence public opinion, leading to misconceptions about the prevalence and nature of crime (Dowler, 2003). For example, the high-profile coverage of the 'Stephen Lawrence case in the UK, which highlighted institutional racism within the police force, led to a significant shift in public perception and subsequently prompted a review of policing practices (Bowling and Phillips, 2002).</w:t>
      </w:r>
    </w:p>
    <w:p w14:paraId="72CDE7AF" w14:textId="77777777" w:rsidR="00597EED" w:rsidRDefault="00597EED" w:rsidP="00597EED">
      <w:pPr>
        <w:pStyle w:val="p1"/>
        <w:spacing w:before="0" w:beforeAutospacing="0" w:after="210" w:afterAutospacing="0"/>
        <w:rPr>
          <w:color w:val="000000"/>
        </w:rPr>
      </w:pPr>
    </w:p>
    <w:p w14:paraId="603E28F9" w14:textId="77777777" w:rsidR="00597EED" w:rsidRPr="00F21CE1" w:rsidRDefault="00597EED" w:rsidP="00597EED">
      <w:pPr>
        <w:pStyle w:val="p1"/>
        <w:spacing w:before="0" w:beforeAutospacing="0" w:after="210" w:afterAutospacing="0"/>
        <w:rPr>
          <w:b/>
          <w:bCs/>
          <w:color w:val="000000"/>
        </w:rPr>
      </w:pPr>
      <w:r>
        <w:rPr>
          <w:rStyle w:val="s2"/>
          <w:b/>
          <w:bCs/>
          <w:color w:val="000000"/>
        </w:rPr>
        <w:t>Media framing and agenda-setting</w:t>
      </w:r>
    </w:p>
    <w:p w14:paraId="4BB6B0CC" w14:textId="77777777" w:rsidR="00597EED" w:rsidRDefault="00597EED" w:rsidP="00597EED">
      <w:pPr>
        <w:pStyle w:val="p1"/>
        <w:spacing w:before="0" w:beforeAutospacing="0" w:after="210" w:afterAutospacing="0"/>
        <w:rPr>
          <w:color w:val="000000"/>
        </w:rPr>
      </w:pPr>
      <w:r>
        <w:rPr>
          <w:rStyle w:val="s1"/>
          <w:color w:val="000000"/>
        </w:rPr>
        <w:t xml:space="preserve">How media frames crime and policing issues is crucial to understanding the impact of media coverage on policing strategies. Agenda-setting theory posits that media has the power to determine which issues are prioritised by the public and </w:t>
      </w:r>
      <w:proofErr w:type="gramStart"/>
      <w:r>
        <w:rPr>
          <w:rStyle w:val="s1"/>
          <w:color w:val="000000"/>
        </w:rPr>
        <w:t>policy-makers</w:t>
      </w:r>
      <w:proofErr w:type="gramEnd"/>
      <w:r>
        <w:rPr>
          <w:rStyle w:val="s1"/>
          <w:color w:val="000000"/>
        </w:rPr>
        <w:t xml:space="preserve"> (McCombs and Shaw, 1972).</w:t>
      </w:r>
    </w:p>
    <w:p w14:paraId="3AA961DE" w14:textId="77777777" w:rsidR="00597EED" w:rsidRDefault="00597EED" w:rsidP="00597EED">
      <w:pPr>
        <w:pStyle w:val="p1"/>
        <w:spacing w:before="0" w:beforeAutospacing="0" w:after="210" w:afterAutospacing="0"/>
        <w:rPr>
          <w:rStyle w:val="s1"/>
          <w:color w:val="000000"/>
        </w:rPr>
      </w:pPr>
      <w:r>
        <w:rPr>
          <w:rStyle w:val="s1"/>
          <w:color w:val="000000"/>
        </w:rPr>
        <w:t>The impact of media framing and agenda-setting is notably illustrated in the case of the '</w:t>
      </w:r>
      <w:proofErr w:type="spellStart"/>
      <w:r>
        <w:rPr>
          <w:rStyle w:val="s1"/>
          <w:color w:val="000000"/>
        </w:rPr>
        <w:t>Plebgate</w:t>
      </w:r>
      <w:proofErr w:type="spellEnd"/>
      <w:r>
        <w:rPr>
          <w:rStyle w:val="s1"/>
          <w:color w:val="000000"/>
        </w:rPr>
        <w:t>' scandal in the UK. The media, particularly tabloids, framed the incident as a prime example of police misconduct, which significantly shifted the public discourse surrounding the credibility of the police force (Reiner, 2010). The scandal involved a heated exchange between police officers and then Chief Whip Andrew Mitchell in 2012, where it was alleged that Mitchell had called the officers 'plebs' (BBC News, 2014). The media widely reported the incident, emphasising allegations of deception and misbehaviour within the police (The Guardian, 2017). Negative framing arguably set the agenda for public conversations around police integrity, which led to a marked decrease in public trust towards the UK police (The Times, 2013). This case underscores the significant influence of media in framing issues, setting agendas, and subsequently shaping public perception.</w:t>
      </w:r>
    </w:p>
    <w:p w14:paraId="0F1C60BC" w14:textId="77777777" w:rsidR="00597EED" w:rsidRDefault="00597EED" w:rsidP="00597EED">
      <w:pPr>
        <w:pStyle w:val="p1"/>
        <w:spacing w:before="0" w:beforeAutospacing="0" w:after="210" w:afterAutospacing="0"/>
        <w:rPr>
          <w:color w:val="000000"/>
        </w:rPr>
      </w:pPr>
    </w:p>
    <w:p w14:paraId="4EB7D307" w14:textId="77777777" w:rsidR="00597EED" w:rsidRPr="00F21CE1" w:rsidRDefault="00597EED" w:rsidP="00597EED">
      <w:pPr>
        <w:pStyle w:val="p1"/>
        <w:spacing w:before="0" w:beforeAutospacing="0" w:after="210" w:afterAutospacing="0"/>
        <w:rPr>
          <w:b/>
          <w:bCs/>
          <w:color w:val="000000"/>
        </w:rPr>
      </w:pPr>
      <w:r>
        <w:rPr>
          <w:rStyle w:val="s2"/>
          <w:b/>
          <w:bCs/>
          <w:color w:val="000000"/>
        </w:rPr>
        <w:t>The amplification of risk and demand for police response </w:t>
      </w:r>
    </w:p>
    <w:p w14:paraId="7D279F5D" w14:textId="77777777" w:rsidR="00597EED" w:rsidRDefault="00597EED" w:rsidP="00597EED">
      <w:pPr>
        <w:pStyle w:val="p1"/>
        <w:spacing w:before="0" w:beforeAutospacing="0" w:after="210" w:afterAutospacing="0"/>
        <w:rPr>
          <w:color w:val="000000"/>
        </w:rPr>
      </w:pPr>
      <w:r>
        <w:rPr>
          <w:rStyle w:val="s1"/>
          <w:color w:val="000000"/>
        </w:rPr>
        <w:t>The social media era has redefined the way information is disseminated, particularly during emergency situations. While it accelerates the spread of useful information, it also amplifies the potential for spreading misinformation, as illustrated by the Oxford Circus incident on 24 November 2017 in London (BBC News, 2017). On that day, Oxford Circus was evacuated following a suspected terror incident, which later transpired as a false alarm. The incident was significantly amplified by social media, leading to panic, a rapid escalation in perceived risk, and an urgent demand for an extensive police response (The Guardian, 2017).</w:t>
      </w:r>
    </w:p>
    <w:p w14:paraId="74199B3B" w14:textId="77777777" w:rsidR="00597EED" w:rsidRDefault="00597EED" w:rsidP="00597EED">
      <w:pPr>
        <w:pStyle w:val="p1"/>
        <w:spacing w:before="0" w:beforeAutospacing="0" w:after="210" w:afterAutospacing="0"/>
        <w:rPr>
          <w:rStyle w:val="s1"/>
          <w:color w:val="000000"/>
        </w:rPr>
      </w:pPr>
      <w:r>
        <w:rPr>
          <w:rStyle w:val="s1"/>
          <w:color w:val="000000"/>
        </w:rPr>
        <w:t xml:space="preserve">Benefits that came as a direct result of the incident included rapid information dissemination. Whereby social media platforms allowed for the quick spread of information, which can be beneficial during emergencies. Warnings, advice, and real-time updates can reach a vast audience within a short time (Goolsby, 2010). An additional benefit came </w:t>
      </w:r>
      <w:proofErr w:type="gramStart"/>
      <w:r>
        <w:rPr>
          <w:rStyle w:val="s1"/>
          <w:color w:val="000000"/>
        </w:rPr>
        <w:t>as a way to</w:t>
      </w:r>
      <w:proofErr w:type="gramEnd"/>
      <w:r>
        <w:rPr>
          <w:rStyle w:val="s1"/>
          <w:color w:val="000000"/>
        </w:rPr>
        <w:t xml:space="preserve"> increase public vigilance. Social media can also enhance public vigilance. In the Oxford Circus incident, people were alerted to potential danger and were able to avoid the area (Cambridge News, 2017)</w:t>
      </w:r>
    </w:p>
    <w:p w14:paraId="15652EBB" w14:textId="77777777" w:rsidR="00597EED" w:rsidRDefault="00597EED" w:rsidP="00597EED">
      <w:pPr>
        <w:pStyle w:val="p1"/>
        <w:spacing w:before="0" w:beforeAutospacing="0" w:after="210" w:afterAutospacing="0"/>
        <w:rPr>
          <w:color w:val="000000"/>
        </w:rPr>
      </w:pPr>
    </w:p>
    <w:p w14:paraId="65BE7EFE" w14:textId="77777777" w:rsidR="00597EED" w:rsidRDefault="00597EED" w:rsidP="00597EED">
      <w:pPr>
        <w:pStyle w:val="p1"/>
        <w:spacing w:before="0" w:beforeAutospacing="0" w:after="210" w:afterAutospacing="0"/>
        <w:rPr>
          <w:color w:val="000000"/>
        </w:rPr>
      </w:pPr>
    </w:p>
    <w:p w14:paraId="581AC5EA" w14:textId="77777777" w:rsidR="00597EED" w:rsidRDefault="00597EED" w:rsidP="00597EED">
      <w:pPr>
        <w:pStyle w:val="p1"/>
        <w:spacing w:before="0" w:beforeAutospacing="0" w:after="210" w:afterAutospacing="0"/>
        <w:rPr>
          <w:color w:val="000000"/>
        </w:rPr>
      </w:pPr>
      <w:r>
        <w:rPr>
          <w:rStyle w:val="s1"/>
          <w:color w:val="000000"/>
        </w:rPr>
        <w:lastRenderedPageBreak/>
        <w:t xml:space="preserve">However, as a direct result of the misinformation was rapidly becoming uncontrollable. One aspect came in the form of the amplification of risk, whereby </w:t>
      </w:r>
      <w:proofErr w:type="gramStart"/>
      <w:r>
        <w:rPr>
          <w:rStyle w:val="s1"/>
          <w:color w:val="000000"/>
        </w:rPr>
        <w:t>In</w:t>
      </w:r>
      <w:proofErr w:type="gramEnd"/>
      <w:r>
        <w:rPr>
          <w:rStyle w:val="s1"/>
          <w:color w:val="000000"/>
        </w:rPr>
        <w:t xml:space="preserve"> the case of the Oxford Circus incident, social media played a significant role in the amplification of risk. Misinformation led people to believe there was an active shooter on the premises, causing mass panic and confusion (BBC News, 2017). This in turn increased the demand for a police response. As a result of the spread of misinformation and the heightened perceived risk, there was an unprecedented demand for police response, stretching their resources thin (The Guardian, 2017).</w:t>
      </w:r>
      <w:r>
        <w:rPr>
          <w:color w:val="000000"/>
        </w:rPr>
        <w:t xml:space="preserve"> </w:t>
      </w:r>
      <w:r>
        <w:rPr>
          <w:rStyle w:val="s1"/>
          <w:color w:val="000000"/>
        </w:rPr>
        <w:t>Once misinformation is disseminated, it's incredibly difficult to control, leading to potential social unrest and panic, as demonstrated in the Oxford Circus incident (Abrams, 2021).</w:t>
      </w:r>
    </w:p>
    <w:p w14:paraId="16279493" w14:textId="77777777" w:rsidR="00597EED" w:rsidRDefault="00597EED" w:rsidP="00597EED">
      <w:pPr>
        <w:pStyle w:val="p1"/>
        <w:spacing w:before="0" w:beforeAutospacing="0" w:after="210" w:afterAutospacing="0"/>
        <w:rPr>
          <w:color w:val="000000"/>
        </w:rPr>
      </w:pPr>
      <w:r>
        <w:rPr>
          <w:rStyle w:val="s2"/>
          <w:b/>
          <w:bCs/>
          <w:color w:val="000000"/>
        </w:rPr>
        <w:t>Conclusion </w:t>
      </w:r>
    </w:p>
    <w:p w14:paraId="077B9AD5" w14:textId="77777777" w:rsidR="00597EED" w:rsidRDefault="00597EED" w:rsidP="00597EED">
      <w:pPr>
        <w:pStyle w:val="p1"/>
        <w:spacing w:before="0" w:beforeAutospacing="0" w:after="210" w:afterAutospacing="0"/>
        <w:rPr>
          <w:color w:val="000000"/>
        </w:rPr>
      </w:pPr>
      <w:r>
        <w:rPr>
          <w:rStyle w:val="s1"/>
          <w:color w:val="000000"/>
        </w:rPr>
        <w:t>In conclusion, through the influence of media coverage on public perception, media framing and agenda-setting, and the amplification of risk and demand for police response, the media can impact both the public's understanding of crime and the police's approach to addressing it. While media coverage can bring necessary attention to pressing issues, it also poses challenges in terms of disproportionate focus and demand for police response. Therefore, it is essential for policing strategies to be informed but not solely driven by media coverage, ensuring an effective, balanced, and proportionate response to public protection incidents.</w:t>
      </w:r>
    </w:p>
    <w:p w14:paraId="2BEF7F2C" w14:textId="77777777" w:rsidR="00597EED" w:rsidRDefault="00597EED" w:rsidP="00597EED"/>
    <w:p w14:paraId="1DEE91C1" w14:textId="77777777" w:rsidR="00597EED" w:rsidRDefault="00597EED" w:rsidP="00597EED">
      <w:pPr>
        <w:tabs>
          <w:tab w:val="left" w:pos="1450"/>
        </w:tabs>
      </w:pPr>
      <w:r w:rsidRPr="00A74B12">
        <w:rPr>
          <w:b/>
          <w:bCs/>
        </w:rPr>
        <w:t>Word Count :</w:t>
      </w:r>
      <w:r>
        <w:t xml:space="preserve"> 1098</w:t>
      </w:r>
      <w:r>
        <w:tab/>
      </w:r>
    </w:p>
    <w:p w14:paraId="645A59A0" w14:textId="77777777" w:rsidR="00597EED" w:rsidRDefault="00597EED" w:rsidP="00597EED"/>
    <w:p w14:paraId="792D3805" w14:textId="77777777" w:rsidR="00597EED" w:rsidRDefault="00597EED" w:rsidP="00597EED"/>
    <w:p w14:paraId="240EE98C" w14:textId="77777777" w:rsidR="00597EED" w:rsidRDefault="00597EED" w:rsidP="0049169D">
      <w:pPr>
        <w:rPr>
          <w:b/>
          <w:bCs/>
          <w:i/>
          <w:iCs/>
        </w:rPr>
      </w:pPr>
    </w:p>
    <w:p w14:paraId="3FCEAEDF" w14:textId="771788EF" w:rsidR="00650BC9" w:rsidRDefault="00650BC9" w:rsidP="0049169D">
      <w:pPr>
        <w:rPr>
          <w:b/>
          <w:bCs/>
          <w:i/>
          <w:iCs/>
        </w:rPr>
      </w:pPr>
    </w:p>
    <w:p w14:paraId="5CED368D" w14:textId="1352B7A3" w:rsidR="00650BC9" w:rsidRDefault="00650BC9" w:rsidP="0049169D">
      <w:pPr>
        <w:rPr>
          <w:b/>
          <w:bCs/>
          <w:i/>
          <w:iCs/>
        </w:rPr>
      </w:pPr>
    </w:p>
    <w:p w14:paraId="675B97B8" w14:textId="3FD84DD4" w:rsidR="00650BC9" w:rsidRDefault="00650BC9" w:rsidP="0049169D">
      <w:pPr>
        <w:rPr>
          <w:b/>
          <w:bCs/>
          <w:i/>
          <w:iCs/>
        </w:rPr>
      </w:pPr>
    </w:p>
    <w:p w14:paraId="682E8BA4" w14:textId="77777777" w:rsidR="00650BC9" w:rsidRPr="006E5F52" w:rsidRDefault="00650BC9" w:rsidP="0049169D">
      <w:pPr>
        <w:rPr>
          <w:b/>
          <w:bCs/>
          <w:i/>
          <w:iCs/>
        </w:rPr>
      </w:pPr>
    </w:p>
    <w:p w14:paraId="7B6160E5" w14:textId="7965FD34" w:rsidR="0049169D" w:rsidRDefault="0049169D" w:rsidP="0049169D">
      <w:pPr>
        <w:rPr>
          <w:b/>
          <w:bCs/>
          <w:i/>
          <w:iCs/>
        </w:rPr>
      </w:pPr>
    </w:p>
    <w:p w14:paraId="58AF9BE4" w14:textId="63FC5829" w:rsidR="001416D0" w:rsidRDefault="001416D0" w:rsidP="0049169D">
      <w:pPr>
        <w:rPr>
          <w:b/>
          <w:bCs/>
          <w:i/>
          <w:iCs/>
        </w:rPr>
      </w:pPr>
    </w:p>
    <w:p w14:paraId="62CF1108" w14:textId="3CCD4E93" w:rsidR="001416D0" w:rsidRDefault="001416D0" w:rsidP="0049169D">
      <w:pPr>
        <w:rPr>
          <w:b/>
          <w:bCs/>
          <w:i/>
          <w:iCs/>
        </w:rPr>
      </w:pPr>
    </w:p>
    <w:p w14:paraId="2B4C421C" w14:textId="2790E472" w:rsidR="001416D0" w:rsidRDefault="001416D0" w:rsidP="0049169D">
      <w:pPr>
        <w:rPr>
          <w:b/>
          <w:bCs/>
          <w:i/>
          <w:iCs/>
        </w:rPr>
      </w:pPr>
    </w:p>
    <w:p w14:paraId="7C98ACB2" w14:textId="08262D37" w:rsidR="001416D0" w:rsidRDefault="001416D0" w:rsidP="0049169D">
      <w:pPr>
        <w:rPr>
          <w:b/>
          <w:bCs/>
          <w:i/>
          <w:iCs/>
        </w:rPr>
      </w:pPr>
    </w:p>
    <w:p w14:paraId="3BA156E5" w14:textId="378F66B5" w:rsidR="001416D0" w:rsidRDefault="001416D0" w:rsidP="0049169D">
      <w:pPr>
        <w:rPr>
          <w:b/>
          <w:bCs/>
          <w:i/>
          <w:iCs/>
        </w:rPr>
      </w:pPr>
    </w:p>
    <w:p w14:paraId="13640D97" w14:textId="006A198C" w:rsidR="001416D0" w:rsidRDefault="001416D0" w:rsidP="0049169D">
      <w:pPr>
        <w:rPr>
          <w:b/>
          <w:bCs/>
          <w:i/>
          <w:iCs/>
        </w:rPr>
      </w:pPr>
    </w:p>
    <w:p w14:paraId="0162D27A" w14:textId="473131CB" w:rsidR="001416D0" w:rsidRDefault="001416D0" w:rsidP="0049169D">
      <w:pPr>
        <w:rPr>
          <w:b/>
          <w:bCs/>
          <w:i/>
          <w:iCs/>
        </w:rPr>
      </w:pPr>
    </w:p>
    <w:p w14:paraId="455002CF" w14:textId="2988AA6C" w:rsidR="001416D0" w:rsidRDefault="001416D0" w:rsidP="0049169D">
      <w:pPr>
        <w:rPr>
          <w:b/>
          <w:bCs/>
          <w:i/>
          <w:iCs/>
        </w:rPr>
      </w:pPr>
    </w:p>
    <w:p w14:paraId="7AFEC84C" w14:textId="77777777" w:rsidR="001416D0" w:rsidRPr="006E5F52" w:rsidRDefault="001416D0" w:rsidP="0049169D">
      <w:pPr>
        <w:rPr>
          <w:b/>
          <w:bCs/>
          <w:i/>
          <w:iCs/>
        </w:rPr>
      </w:pPr>
    </w:p>
    <w:p w14:paraId="61CF28DA" w14:textId="77777777" w:rsidR="0049169D" w:rsidRPr="006E5F52" w:rsidRDefault="0049169D" w:rsidP="0049169D">
      <w:pPr>
        <w:rPr>
          <w:b/>
          <w:bCs/>
          <w:i/>
          <w:iCs/>
        </w:rPr>
      </w:pPr>
      <w:r w:rsidRPr="006E5F52">
        <w:rPr>
          <w:b/>
          <w:bCs/>
          <w:i/>
          <w:iCs/>
        </w:rPr>
        <w:lastRenderedPageBreak/>
        <w:t xml:space="preserve">Essay three: </w:t>
      </w:r>
    </w:p>
    <w:p w14:paraId="635F102E" w14:textId="77777777" w:rsidR="0049169D" w:rsidRPr="006E5F52" w:rsidRDefault="0049169D" w:rsidP="0049169D">
      <w:pPr>
        <w:rPr>
          <w:b/>
          <w:bCs/>
          <w:i/>
          <w:iCs/>
        </w:rPr>
      </w:pPr>
      <w:r w:rsidRPr="006E5F52">
        <w:rPr>
          <w:b/>
          <w:bCs/>
          <w:i/>
          <w:iCs/>
        </w:rPr>
        <w:t xml:space="preserve">How effective is early intervention in preventing young people from offending, or re-offending? </w:t>
      </w:r>
    </w:p>
    <w:p w14:paraId="50FC9E82" w14:textId="77777777" w:rsidR="0049169D" w:rsidRPr="006E5F52" w:rsidRDefault="0049169D" w:rsidP="0049169D">
      <w:pPr>
        <w:rPr>
          <w:b/>
          <w:bCs/>
          <w:i/>
          <w:iCs/>
        </w:rPr>
      </w:pPr>
      <w:r w:rsidRPr="006E5F52">
        <w:rPr>
          <w:b/>
          <w:bCs/>
          <w:i/>
          <w:iCs/>
        </w:rPr>
        <w:t xml:space="preserve">Your answer must be based on academic research, but you may </w:t>
      </w:r>
      <w:proofErr w:type="gramStart"/>
      <w:r w:rsidRPr="006E5F52">
        <w:rPr>
          <w:b/>
          <w:bCs/>
          <w:i/>
          <w:iCs/>
        </w:rPr>
        <w:t>make reference</w:t>
      </w:r>
      <w:proofErr w:type="gramEnd"/>
      <w:r w:rsidRPr="006E5F52">
        <w:rPr>
          <w:b/>
          <w:bCs/>
          <w:i/>
          <w:iCs/>
        </w:rPr>
        <w:t xml:space="preserve"> to relevant case studies. </w:t>
      </w:r>
    </w:p>
    <w:p w14:paraId="0659CD5A" w14:textId="0F0AAF3A" w:rsidR="0049169D" w:rsidRDefault="0049169D" w:rsidP="0049169D">
      <w:pPr>
        <w:rPr>
          <w:b/>
          <w:bCs/>
          <w:i/>
          <w:iCs/>
        </w:rPr>
      </w:pPr>
      <w:r w:rsidRPr="006E5F52">
        <w:rPr>
          <w:b/>
          <w:bCs/>
          <w:i/>
          <w:iCs/>
        </w:rPr>
        <w:t>Word limit: 1000 words</w:t>
      </w:r>
    </w:p>
    <w:p w14:paraId="27F104E3" w14:textId="22FD7BAE" w:rsidR="001416D0" w:rsidRPr="001416D0" w:rsidRDefault="001416D0" w:rsidP="0049169D">
      <w:r w:rsidRPr="00E9771B">
        <w:rPr>
          <w:b/>
          <w:bCs/>
        </w:rPr>
        <w:t>Word Count :</w:t>
      </w:r>
      <w:r>
        <w:t xml:space="preserve"> 1057</w:t>
      </w:r>
    </w:p>
    <w:p w14:paraId="16725358" w14:textId="77777777" w:rsidR="001416D0" w:rsidRDefault="001416D0" w:rsidP="001416D0"/>
    <w:p w14:paraId="3AF40773" w14:textId="77777777" w:rsidR="001416D0" w:rsidRDefault="001416D0" w:rsidP="001416D0">
      <w:r>
        <w:t xml:space="preserve">Youth offending and re-offending has long been a cause of concern within the United Kingdom, promoting policymakers and police forces to seek an effective means to prevent criminal behaviour among young people. This is especially for children with </w:t>
      </w:r>
      <w:r w:rsidRPr="008B5299">
        <w:t>learning difficulties or mental health problems</w:t>
      </w:r>
      <w:r>
        <w:t xml:space="preserve"> (</w:t>
      </w:r>
      <w:r w:rsidRPr="00CD7BBB">
        <w:t>Mary O'Hara</w:t>
      </w:r>
      <w:r>
        <w:t>,</w:t>
      </w:r>
      <w:r w:rsidRPr="00CD7BBB">
        <w:t xml:space="preserve"> 2013</w:t>
      </w:r>
      <w:r>
        <w:t xml:space="preserve">). Early intervention has emerged as a promising solution, with </w:t>
      </w:r>
      <w:proofErr w:type="gramStart"/>
      <w:r>
        <w:t>a number of</w:t>
      </w:r>
      <w:proofErr w:type="gramEnd"/>
      <w:r>
        <w:t xml:space="preserve"> case studies already proving its effectiveness in protecting, preventing and reducing youth crime. </w:t>
      </w:r>
      <w:r w:rsidRPr="001D07D4">
        <w:t>This essay examines the effectiveness of early intervention in preventing young people from offending or re-offending</w:t>
      </w:r>
      <w:r>
        <w:t>.</w:t>
      </w:r>
    </w:p>
    <w:p w14:paraId="3ECE8E42" w14:textId="77777777" w:rsidR="001416D0" w:rsidRDefault="001416D0" w:rsidP="001416D0"/>
    <w:p w14:paraId="15345EC2" w14:textId="53DAC41C" w:rsidR="001416D0" w:rsidRDefault="001416D0" w:rsidP="001416D0">
      <w:r w:rsidRPr="001D07D4">
        <w:t xml:space="preserve">Early intervention refers to proactive </w:t>
      </w:r>
      <w:r>
        <w:t xml:space="preserve">means and </w:t>
      </w:r>
      <w:r w:rsidRPr="001D07D4">
        <w:t>measures that target individuals or groups who exhibit risk factors for criminal behaviour, with the aim of preventing the development of offending patterns (Farrington, 2000). These interventions often involve multi-agency collaboration, including the police, social services,</w:t>
      </w:r>
      <w:r>
        <w:t xml:space="preserve"> NHS health boards,</w:t>
      </w:r>
      <w:r w:rsidRPr="001D07D4">
        <w:t xml:space="preserve"> schools, and community organisations</w:t>
      </w:r>
      <w:r>
        <w:t>. Collaboratively these organisation</w:t>
      </w:r>
      <w:r w:rsidR="002C630B">
        <w:t>s</w:t>
      </w:r>
      <w:r w:rsidRPr="001D07D4">
        <w:t xml:space="preserve"> address various risk factors such as family dysfunction, substance abuse, and antisocial behaviour (</w:t>
      </w:r>
      <w:proofErr w:type="spellStart"/>
      <w:r w:rsidRPr="001D07D4">
        <w:t>Durlak</w:t>
      </w:r>
      <w:proofErr w:type="spellEnd"/>
      <w:r w:rsidRPr="001D07D4">
        <w:t>, 2011).</w:t>
      </w:r>
      <w:r w:rsidRPr="00DC6360">
        <w:t xml:space="preserve"> By identifying and addressing these risk factors at an early stage, early intervention programs are designed to prevent the escalation of criminal behaviour and reduce the likelihood of young people entering the criminal justice system.</w:t>
      </w:r>
    </w:p>
    <w:p w14:paraId="1523F7B8" w14:textId="77777777" w:rsidR="001416D0" w:rsidRDefault="001416D0" w:rsidP="001416D0"/>
    <w:p w14:paraId="1FE30D03" w14:textId="77777777" w:rsidR="001416D0" w:rsidRDefault="001416D0" w:rsidP="001416D0">
      <w:r w:rsidRPr="00E9771B">
        <w:t>Several studies have shown promising results in terms of the effectiveness of early intervention programs in reducing youth offending and reoffending. For example, analysis conducted by Welsh and Farrington (2011) found that early intervention programs, particularly those that were family-based, led to significant reductions in youth offending. Furthermore, a study by Olds et al. (1998) reported that the Nurse-Family Partnership program, which provides early support to vulnerable first-time mothers, resulted in a 48% reduction in child abuse and neglect and a 59% reduction in arrests of the mothers over a 15-year period.</w:t>
      </w:r>
      <w:r>
        <w:t xml:space="preserve"> Due to the effectiveness of the initiative, this has since been replicated in England with the same promising results as the United States. The notable initiative a voluntary home-visiting program targeted at first time mothers under the age of 20. The scheme </w:t>
      </w:r>
      <w:r w:rsidRPr="00E9771B">
        <w:t>provides young mothers with guidance and support on child development, health, and parenting skills, thereby fostering a nurturing home environment, and reducing the likelihood of their children engaging in criminal behaviour</w:t>
      </w:r>
      <w:r>
        <w:t xml:space="preserve"> (</w:t>
      </w:r>
      <w:r w:rsidRPr="00A17501">
        <w:t>FNP</w:t>
      </w:r>
      <w:r>
        <w:t xml:space="preserve">, </w:t>
      </w:r>
      <w:r w:rsidRPr="00A17501">
        <w:t>2023).</w:t>
      </w:r>
    </w:p>
    <w:p w14:paraId="6476E449" w14:textId="77777777" w:rsidR="001416D0" w:rsidRDefault="001416D0" w:rsidP="001416D0"/>
    <w:p w14:paraId="4020A733" w14:textId="77777777" w:rsidR="001416D0" w:rsidRDefault="001416D0" w:rsidP="001416D0"/>
    <w:p w14:paraId="3FBB31D5" w14:textId="77777777" w:rsidR="001416D0" w:rsidRDefault="001416D0" w:rsidP="001416D0"/>
    <w:p w14:paraId="0B739E36" w14:textId="77777777" w:rsidR="001416D0" w:rsidRDefault="001416D0" w:rsidP="001416D0">
      <w:r w:rsidRPr="003B588D">
        <w:lastRenderedPageBreak/>
        <w:t>Youth crime prevention in the UK has been a significant focus of the government, with various programmes in place to address the issue</w:t>
      </w:r>
      <w:r w:rsidRPr="003003F9">
        <w:t xml:space="preserve"> </w:t>
      </w:r>
      <w:r>
        <w:t>(</w:t>
      </w:r>
      <w:r w:rsidRPr="003003F9">
        <w:t>GOV.UK 2023).</w:t>
      </w:r>
      <w:r>
        <w:t xml:space="preserve"> </w:t>
      </w:r>
      <w:r w:rsidRPr="003B588D">
        <w:t xml:space="preserve">One such initiative is the Youth Offending Teams (YOTs), which operate throughout England and Wales to prevent crime by working with young people at risk of engaging in criminal activities. </w:t>
      </w:r>
      <w:r>
        <w:t>These multidisciplinary teams consist of professionals from various sectors such as the police, social services, education, and health boards. YOTs identify the factors that put young people at risk and provide interventions to address those factors, including counselling, mentoring, education, and restorative justice programmes. By offering tailored support to young people, YOTs aim to reduce the likelihood of youth offending and reoffending</w:t>
      </w:r>
      <w:r w:rsidRPr="003003F9">
        <w:t xml:space="preserve"> </w:t>
      </w:r>
      <w:r>
        <w:t>(</w:t>
      </w:r>
      <w:r w:rsidRPr="003003F9">
        <w:t>Youth Justice Legal Centre</w:t>
      </w:r>
      <w:r>
        <w:t>,</w:t>
      </w:r>
      <w:r w:rsidRPr="003003F9">
        <w:t xml:space="preserve"> 2022)</w:t>
      </w:r>
      <w:r>
        <w:t xml:space="preserve">. </w:t>
      </w:r>
      <w:r w:rsidRPr="00ED7712">
        <w:t>According to a report by the Ministry of Justice (2018), YOTs in England and Wales reduced the number of first-time entrants into the youth justice system by 78% between 2007 and 2017, demonstrating the effectiveness of YOT interventions in preventing youth offending.</w:t>
      </w:r>
    </w:p>
    <w:p w14:paraId="6D892B52" w14:textId="77777777" w:rsidR="001416D0" w:rsidRDefault="001416D0" w:rsidP="001416D0"/>
    <w:p w14:paraId="424FE159" w14:textId="77777777" w:rsidR="001416D0" w:rsidRDefault="001416D0" w:rsidP="001416D0">
      <w:r>
        <w:t>In addition to YOTs, the UK government has also introduced programmes such as the Early Intervention Youth Fund, aimed at supporting local initiatives that target young people vulnerable to crime and violence. This funding is allocated to local authorities, police and crime commissioners, and community safety partnerships, which work closely with the communities to develop and implement strategies designed to prevent youth crime</w:t>
      </w:r>
      <w:r w:rsidRPr="00CC6F52">
        <w:rPr>
          <w:rFonts w:cstheme="minorHAnsi"/>
        </w:rPr>
        <w:t xml:space="preserve"> </w:t>
      </w:r>
      <w:r>
        <w:rPr>
          <w:rFonts w:cstheme="minorHAnsi"/>
        </w:rPr>
        <w:t>(</w:t>
      </w:r>
      <w:r w:rsidRPr="003003F9">
        <w:rPr>
          <w:rFonts w:cstheme="minorHAnsi"/>
        </w:rPr>
        <w:t>Home Office</w:t>
      </w:r>
      <w:r>
        <w:rPr>
          <w:rFonts w:cstheme="minorHAnsi"/>
        </w:rPr>
        <w:t>,</w:t>
      </w:r>
      <w:r w:rsidRPr="003003F9">
        <w:rPr>
          <w:rFonts w:cstheme="minorHAnsi"/>
        </w:rPr>
        <w:t xml:space="preserve"> 2018).</w:t>
      </w:r>
      <w:r>
        <w:t xml:space="preserve"> By investing in early intervention, the government is seeking to address the root causes of criminal behaviour, such as poverty, social exclusion, and lack of educational opportunities. These initiatives are crucial in breaking the cycle of crime and creating safer homes and communities across the UK.</w:t>
      </w:r>
    </w:p>
    <w:p w14:paraId="0D84F737" w14:textId="77777777" w:rsidR="001416D0" w:rsidRDefault="001416D0" w:rsidP="001416D0"/>
    <w:p w14:paraId="410CB154" w14:textId="77777777" w:rsidR="001416D0" w:rsidRDefault="001416D0" w:rsidP="001416D0">
      <w:r w:rsidRPr="00771A5B">
        <w:t>The Scared Straight program, initially developed in the United States, has been adapted and implemented in the UK to tackle juvenile delinquency by exposing at-risk youth to the harsh realities of prison life</w:t>
      </w:r>
      <w:r>
        <w:t xml:space="preserve">. </w:t>
      </w:r>
      <w:r w:rsidRPr="00C527D5">
        <w:t xml:space="preserve">Through guided tours of </w:t>
      </w:r>
      <w:proofErr w:type="gramStart"/>
      <w:r w:rsidRPr="00C527D5">
        <w:t>correctional facilities</w:t>
      </w:r>
      <w:proofErr w:type="gramEnd"/>
      <w:r w:rsidRPr="00C527D5">
        <w:t>, interactions with inmates, and demonstrations of the consequences of criminal choices, the program aims to instil a sense of fear and awareness in participants, ultimately motivating them to make positive changes in their lives</w:t>
      </w:r>
      <w:r>
        <w:t xml:space="preserve"> </w:t>
      </w:r>
      <w:r w:rsidRPr="00771A5B">
        <w:t>(</w:t>
      </w:r>
      <w:proofErr w:type="spellStart"/>
      <w:r w:rsidRPr="00771A5B">
        <w:t>Petrosino</w:t>
      </w:r>
      <w:proofErr w:type="spellEnd"/>
      <w:r w:rsidRPr="00771A5B">
        <w:t xml:space="preserve"> et al., 2013</w:t>
      </w:r>
      <w:r>
        <w:t>;</w:t>
      </w:r>
      <w:r w:rsidRPr="00771A5B">
        <w:t xml:space="preserve"> </w:t>
      </w:r>
      <w:r w:rsidRPr="004B2AF5">
        <w:rPr>
          <w:rFonts w:cstheme="minorHAnsi"/>
        </w:rPr>
        <w:t>Miner-Romanoff</w:t>
      </w:r>
      <w:r>
        <w:rPr>
          <w:rFonts w:cstheme="minorHAnsi"/>
        </w:rPr>
        <w:t xml:space="preserve">, </w:t>
      </w:r>
      <w:r w:rsidRPr="004B2AF5">
        <w:rPr>
          <w:rFonts w:cstheme="minorHAnsi"/>
        </w:rPr>
        <w:t>2015)</w:t>
      </w:r>
      <w:r>
        <w:t xml:space="preserve">. </w:t>
      </w:r>
      <w:r w:rsidRPr="00771A5B">
        <w:t xml:space="preserve">The effectiveness of this early intervention method in preventing young people from offending or reoffending has been a subject of debate among scholars. Some studies argue that Scared Straight programs may produce short-term positive results </w:t>
      </w:r>
      <w:r>
        <w:t>(</w:t>
      </w:r>
      <w:r w:rsidRPr="00813762">
        <w:t>Lilienfeld et al, 2010</w:t>
      </w:r>
      <w:r>
        <w:t xml:space="preserve">), </w:t>
      </w:r>
      <w:r w:rsidRPr="00771A5B">
        <w:t>while others assert that these interventions may even increase the likelihood of reoffending (</w:t>
      </w:r>
      <w:proofErr w:type="spellStart"/>
      <w:r w:rsidRPr="00771A5B">
        <w:t>Petrosino</w:t>
      </w:r>
      <w:proofErr w:type="spellEnd"/>
      <w:r w:rsidRPr="00771A5B">
        <w:t xml:space="preserve"> et al., 2013). A comprehensive systematic review conducted by </w:t>
      </w:r>
      <w:proofErr w:type="spellStart"/>
      <w:r w:rsidRPr="00771A5B">
        <w:t>Petrosino</w:t>
      </w:r>
      <w:proofErr w:type="spellEnd"/>
      <w:r w:rsidRPr="00771A5B">
        <w:t xml:space="preserve"> et al. (2013) found no significant evidence supporting the effectiveness of Scared Straight programs in reducing criminal behaviour among participants. </w:t>
      </w:r>
    </w:p>
    <w:p w14:paraId="1EFBADC6" w14:textId="77777777" w:rsidR="001416D0" w:rsidRDefault="001416D0" w:rsidP="001416D0"/>
    <w:p w14:paraId="384638A2" w14:textId="77777777" w:rsidR="001416D0" w:rsidRPr="00BC1856" w:rsidRDefault="001416D0" w:rsidP="001416D0">
      <w:pPr>
        <w:rPr>
          <w:highlight w:val="yellow"/>
        </w:rPr>
      </w:pPr>
      <w:r w:rsidRPr="00F2643A">
        <w:t>Mentoring programs have also shown promise in preventing youth offending and reoffending. Tolan et al. (2013) conducted analysis o</w:t>
      </w:r>
      <w:r>
        <w:t>n</w:t>
      </w:r>
      <w:r w:rsidRPr="00F2643A">
        <w:t xml:space="preserve"> mentoring programs and found that they led to significant reductions in delinquent behaviour among participants. These programs typically involve pairing at-risk youth with positive adult role models who provide guidance, support, and encouragement to help them make better choices in life. One example of a successful mentoring program in the UK is the Chance UK mentoring programme, which works with children aged 5-11 years who are at risk of developing antisocial behaviour (Chance UK, 202</w:t>
      </w:r>
      <w:r>
        <w:t>3</w:t>
      </w:r>
      <w:r w:rsidRPr="00F2643A">
        <w:t>). An evaluation of this program revealed that it significantly reduced behavioural difficulties and improved the children's social skills (Chance UK, 202</w:t>
      </w:r>
      <w:r>
        <w:t>0</w:t>
      </w:r>
      <w:r w:rsidRPr="00F2643A">
        <w:t>)</w:t>
      </w:r>
    </w:p>
    <w:p w14:paraId="78F75F10" w14:textId="77777777" w:rsidR="001416D0" w:rsidRDefault="001416D0" w:rsidP="001416D0"/>
    <w:p w14:paraId="4506DC34" w14:textId="77777777" w:rsidR="001416D0" w:rsidRDefault="001416D0" w:rsidP="001416D0">
      <w:r w:rsidRPr="00C0533B">
        <w:t xml:space="preserve">In conclusion, early intervention has proven to be a valuable approach in preventing young people from offending or reoffending in the United Kingdom. Through the implementation of initiatives such as Youth Offending Teams, the Early Intervention Youth Fund, and mentoring programs like Chance UK, the government has demonstrated a strong commitment to addressing the root causes of criminal behaviour and supporting at-risk youth. While the effectiveness of certain interventions like the Scared Straight program remains debatable, </w:t>
      </w:r>
      <w:proofErr w:type="gramStart"/>
      <w:r w:rsidRPr="00C0533B">
        <w:t>it is clear that multi-</w:t>
      </w:r>
      <w:proofErr w:type="gramEnd"/>
      <w:r w:rsidRPr="00C0533B">
        <w:t>agency collaboration and tailored support can have a positive impact on reducing youth crime rates. Investing in early intervention not only benefits the individuals involved but also contributes to the creation of safer homes and communities across the UK. The key to success lies in continuous evaluation, adaptation, and improvement of these programs to ensure their efficacy in addressing the diverse needs of at-risk young people.</w:t>
      </w:r>
    </w:p>
    <w:p w14:paraId="333A863E" w14:textId="77777777" w:rsidR="001416D0" w:rsidRDefault="001416D0" w:rsidP="001416D0"/>
    <w:p w14:paraId="673CB9B6" w14:textId="77777777" w:rsidR="001416D0" w:rsidRDefault="001416D0" w:rsidP="001416D0">
      <w:r w:rsidRPr="00E9771B">
        <w:rPr>
          <w:b/>
          <w:bCs/>
        </w:rPr>
        <w:t>Word Count :</w:t>
      </w:r>
      <w:r>
        <w:t xml:space="preserve"> 1057</w:t>
      </w:r>
    </w:p>
    <w:p w14:paraId="75CEB7E9" w14:textId="77777777" w:rsidR="001416D0" w:rsidRPr="006E5F52" w:rsidRDefault="001416D0" w:rsidP="0049169D">
      <w:pPr>
        <w:rPr>
          <w:b/>
          <w:bCs/>
          <w:i/>
          <w:iCs/>
        </w:rPr>
      </w:pPr>
    </w:p>
    <w:p w14:paraId="3E27AD4B" w14:textId="77777777" w:rsidR="0049169D" w:rsidRPr="006E5F52" w:rsidRDefault="0049169D" w:rsidP="0049169D">
      <w:pPr>
        <w:rPr>
          <w:b/>
          <w:bCs/>
          <w:i/>
          <w:iCs/>
        </w:rPr>
      </w:pPr>
    </w:p>
    <w:p w14:paraId="132FE78C" w14:textId="77777777" w:rsidR="0049169D" w:rsidRPr="006E5F52" w:rsidRDefault="0049169D" w:rsidP="0049169D">
      <w:pPr>
        <w:rPr>
          <w:b/>
          <w:bCs/>
          <w:i/>
          <w:iCs/>
        </w:rPr>
      </w:pPr>
    </w:p>
    <w:p w14:paraId="1BA6906A" w14:textId="77777777" w:rsidR="001416D0" w:rsidRDefault="001416D0" w:rsidP="0049169D">
      <w:pPr>
        <w:rPr>
          <w:b/>
          <w:bCs/>
          <w:i/>
          <w:iCs/>
        </w:rPr>
      </w:pPr>
    </w:p>
    <w:p w14:paraId="51BB3B5B" w14:textId="77777777" w:rsidR="001416D0" w:rsidRDefault="001416D0" w:rsidP="0049169D">
      <w:pPr>
        <w:rPr>
          <w:b/>
          <w:bCs/>
          <w:i/>
          <w:iCs/>
        </w:rPr>
      </w:pPr>
    </w:p>
    <w:p w14:paraId="4D92EA8E" w14:textId="77777777" w:rsidR="001416D0" w:rsidRDefault="001416D0" w:rsidP="0049169D">
      <w:pPr>
        <w:rPr>
          <w:b/>
          <w:bCs/>
          <w:i/>
          <w:iCs/>
        </w:rPr>
      </w:pPr>
    </w:p>
    <w:p w14:paraId="7C11E370" w14:textId="77777777" w:rsidR="001416D0" w:rsidRDefault="001416D0" w:rsidP="0049169D">
      <w:pPr>
        <w:rPr>
          <w:b/>
          <w:bCs/>
          <w:i/>
          <w:iCs/>
        </w:rPr>
      </w:pPr>
    </w:p>
    <w:p w14:paraId="5DF68CB1" w14:textId="77777777" w:rsidR="001416D0" w:rsidRDefault="001416D0" w:rsidP="0049169D">
      <w:pPr>
        <w:rPr>
          <w:b/>
          <w:bCs/>
          <w:i/>
          <w:iCs/>
        </w:rPr>
      </w:pPr>
    </w:p>
    <w:p w14:paraId="135BC28D" w14:textId="77777777" w:rsidR="001416D0" w:rsidRDefault="001416D0" w:rsidP="0049169D">
      <w:pPr>
        <w:rPr>
          <w:b/>
          <w:bCs/>
          <w:i/>
          <w:iCs/>
        </w:rPr>
      </w:pPr>
    </w:p>
    <w:p w14:paraId="2C908ACB" w14:textId="77777777" w:rsidR="001416D0" w:rsidRDefault="001416D0" w:rsidP="0049169D">
      <w:pPr>
        <w:rPr>
          <w:b/>
          <w:bCs/>
          <w:i/>
          <w:iCs/>
        </w:rPr>
      </w:pPr>
    </w:p>
    <w:p w14:paraId="0E2D260A" w14:textId="77777777" w:rsidR="001416D0" w:rsidRDefault="001416D0" w:rsidP="0049169D">
      <w:pPr>
        <w:rPr>
          <w:b/>
          <w:bCs/>
          <w:i/>
          <w:iCs/>
        </w:rPr>
      </w:pPr>
    </w:p>
    <w:p w14:paraId="5D436A36" w14:textId="77777777" w:rsidR="001416D0" w:rsidRDefault="001416D0" w:rsidP="0049169D">
      <w:pPr>
        <w:rPr>
          <w:b/>
          <w:bCs/>
          <w:i/>
          <w:iCs/>
        </w:rPr>
      </w:pPr>
    </w:p>
    <w:p w14:paraId="23C9D481" w14:textId="77777777" w:rsidR="001416D0" w:rsidRDefault="001416D0" w:rsidP="0049169D">
      <w:pPr>
        <w:rPr>
          <w:b/>
          <w:bCs/>
          <w:i/>
          <w:iCs/>
        </w:rPr>
      </w:pPr>
    </w:p>
    <w:p w14:paraId="008E98C3" w14:textId="77777777" w:rsidR="001416D0" w:rsidRDefault="001416D0" w:rsidP="0049169D">
      <w:pPr>
        <w:rPr>
          <w:b/>
          <w:bCs/>
          <w:i/>
          <w:iCs/>
        </w:rPr>
      </w:pPr>
    </w:p>
    <w:p w14:paraId="4E726127" w14:textId="77777777" w:rsidR="001416D0" w:rsidRDefault="001416D0" w:rsidP="0049169D">
      <w:pPr>
        <w:rPr>
          <w:b/>
          <w:bCs/>
          <w:i/>
          <w:iCs/>
        </w:rPr>
      </w:pPr>
    </w:p>
    <w:p w14:paraId="213B9F8E" w14:textId="77777777" w:rsidR="001416D0" w:rsidRDefault="001416D0" w:rsidP="0049169D">
      <w:pPr>
        <w:rPr>
          <w:b/>
          <w:bCs/>
          <w:i/>
          <w:iCs/>
        </w:rPr>
      </w:pPr>
    </w:p>
    <w:p w14:paraId="3FCDB29F" w14:textId="77777777" w:rsidR="001416D0" w:rsidRDefault="001416D0" w:rsidP="0049169D">
      <w:pPr>
        <w:rPr>
          <w:b/>
          <w:bCs/>
          <w:i/>
          <w:iCs/>
        </w:rPr>
      </w:pPr>
    </w:p>
    <w:p w14:paraId="2BDBC2F2" w14:textId="77777777" w:rsidR="001416D0" w:rsidRDefault="001416D0" w:rsidP="0049169D">
      <w:pPr>
        <w:rPr>
          <w:b/>
          <w:bCs/>
          <w:i/>
          <w:iCs/>
        </w:rPr>
      </w:pPr>
    </w:p>
    <w:p w14:paraId="31A19DF6" w14:textId="77777777" w:rsidR="001416D0" w:rsidRDefault="001416D0" w:rsidP="0049169D">
      <w:pPr>
        <w:rPr>
          <w:b/>
          <w:bCs/>
          <w:i/>
          <w:iCs/>
        </w:rPr>
      </w:pPr>
    </w:p>
    <w:p w14:paraId="44FF7242" w14:textId="77777777" w:rsidR="001416D0" w:rsidRDefault="001416D0" w:rsidP="0049169D">
      <w:pPr>
        <w:rPr>
          <w:b/>
          <w:bCs/>
          <w:i/>
          <w:iCs/>
        </w:rPr>
      </w:pPr>
    </w:p>
    <w:p w14:paraId="2FD29C69" w14:textId="2035A4C9" w:rsidR="0049169D" w:rsidRPr="006E5F52" w:rsidRDefault="0049169D" w:rsidP="0049169D">
      <w:pPr>
        <w:rPr>
          <w:b/>
          <w:bCs/>
          <w:i/>
          <w:iCs/>
        </w:rPr>
      </w:pPr>
      <w:r w:rsidRPr="006E5F52">
        <w:rPr>
          <w:b/>
          <w:bCs/>
          <w:i/>
          <w:iCs/>
        </w:rPr>
        <w:lastRenderedPageBreak/>
        <w:t xml:space="preserve">Essay four: </w:t>
      </w:r>
    </w:p>
    <w:p w14:paraId="3DC7249D" w14:textId="77777777" w:rsidR="0049169D" w:rsidRPr="006E5F52" w:rsidRDefault="0049169D" w:rsidP="0049169D">
      <w:pPr>
        <w:rPr>
          <w:b/>
          <w:bCs/>
          <w:i/>
          <w:iCs/>
        </w:rPr>
      </w:pPr>
      <w:r w:rsidRPr="006E5F52">
        <w:rPr>
          <w:b/>
          <w:bCs/>
          <w:i/>
          <w:iCs/>
        </w:rPr>
        <w:t xml:space="preserve">Are partnership approaches the most effective means of rehabilitating offenders? </w:t>
      </w:r>
    </w:p>
    <w:p w14:paraId="1BD464EB" w14:textId="77777777" w:rsidR="0049169D" w:rsidRPr="006E5F52" w:rsidRDefault="0049169D" w:rsidP="0049169D">
      <w:pPr>
        <w:rPr>
          <w:b/>
          <w:bCs/>
          <w:i/>
          <w:iCs/>
        </w:rPr>
      </w:pPr>
      <w:r w:rsidRPr="006E5F52">
        <w:rPr>
          <w:b/>
          <w:bCs/>
          <w:i/>
          <w:iCs/>
        </w:rPr>
        <w:t xml:space="preserve">You must use academic research, rather than </w:t>
      </w:r>
      <w:proofErr w:type="gramStart"/>
      <w:r w:rsidRPr="006E5F52">
        <w:rPr>
          <w:b/>
          <w:bCs/>
          <w:i/>
          <w:iCs/>
        </w:rPr>
        <w:t>personal opinion</w:t>
      </w:r>
      <w:proofErr w:type="gramEnd"/>
      <w:r w:rsidRPr="006E5F52">
        <w:rPr>
          <w:b/>
          <w:bCs/>
          <w:i/>
          <w:iCs/>
        </w:rPr>
        <w:t xml:space="preserve">, to support your answer. </w:t>
      </w:r>
    </w:p>
    <w:p w14:paraId="3E304298" w14:textId="77777777" w:rsidR="0049169D" w:rsidRPr="006E5F52" w:rsidRDefault="0049169D" w:rsidP="0049169D">
      <w:pPr>
        <w:rPr>
          <w:b/>
          <w:bCs/>
          <w:i/>
          <w:iCs/>
        </w:rPr>
      </w:pPr>
      <w:r w:rsidRPr="006E5F52">
        <w:rPr>
          <w:b/>
          <w:bCs/>
          <w:i/>
          <w:iCs/>
        </w:rPr>
        <w:t xml:space="preserve">You may </w:t>
      </w:r>
      <w:proofErr w:type="gramStart"/>
      <w:r w:rsidRPr="006E5F52">
        <w:rPr>
          <w:b/>
          <w:bCs/>
          <w:i/>
          <w:iCs/>
        </w:rPr>
        <w:t>make reference</w:t>
      </w:r>
      <w:proofErr w:type="gramEnd"/>
      <w:r w:rsidRPr="006E5F52">
        <w:rPr>
          <w:b/>
          <w:bCs/>
          <w:i/>
          <w:iCs/>
        </w:rPr>
        <w:t xml:space="preserve"> to relevant case studies.</w:t>
      </w:r>
    </w:p>
    <w:p w14:paraId="2CF7C64A" w14:textId="2732A888" w:rsidR="003C494C" w:rsidRDefault="0049169D" w:rsidP="0049169D">
      <w:pPr>
        <w:rPr>
          <w:b/>
          <w:bCs/>
          <w:i/>
          <w:iCs/>
        </w:rPr>
      </w:pPr>
      <w:r w:rsidRPr="006E5F52">
        <w:rPr>
          <w:b/>
          <w:bCs/>
          <w:i/>
          <w:iCs/>
        </w:rPr>
        <w:t>Word limit: 1000 words</w:t>
      </w:r>
    </w:p>
    <w:p w14:paraId="65A9784F" w14:textId="77777777" w:rsidR="00B541F2" w:rsidRDefault="00B541F2" w:rsidP="00B541F2">
      <w:r w:rsidRPr="00206B8E">
        <w:rPr>
          <w:b/>
          <w:bCs/>
        </w:rPr>
        <w:t>Word Count :</w:t>
      </w:r>
      <w:r>
        <w:t xml:space="preserve"> 1065</w:t>
      </w:r>
    </w:p>
    <w:p w14:paraId="5D782828" w14:textId="77777777" w:rsidR="00B541F2" w:rsidRDefault="00B541F2" w:rsidP="0049169D">
      <w:pPr>
        <w:rPr>
          <w:b/>
          <w:bCs/>
          <w:i/>
          <w:iCs/>
        </w:rPr>
      </w:pPr>
    </w:p>
    <w:p w14:paraId="1E4093A7" w14:textId="77777777" w:rsidR="00B541F2" w:rsidRDefault="00B541F2" w:rsidP="00B541F2">
      <w:pPr>
        <w:pStyle w:val="p1"/>
        <w:spacing w:before="0" w:beforeAutospacing="0" w:after="210" w:afterAutospacing="0"/>
        <w:rPr>
          <w:color w:val="000000"/>
        </w:rPr>
      </w:pPr>
      <w:r>
        <w:rPr>
          <w:rStyle w:val="s1"/>
          <w:color w:val="000000"/>
        </w:rPr>
        <w:t>The rehabilitation of offenders has been a long and complicated challenge for the criminal justice system in the UK. As time has gone by, various and different approaches have been proposed and implemented to address these issues faced. One such approach that has gained traction in recent times is the partnership approach, which brings together multiple services, including the police, probation services, social services, and community organisations (Home Office, 2010). This essay aims to critically evaluate whether partnership approaches are the most effective means of rehabilitating offenders in the context of UK policing. We will review the topics on multi-agency public protection arrangements (MAPPA), integrated offender management (IOM), the role of police and crime commissioners (PCCs) and His Majesty’s Prison and Probation Service (HMPPS).</w:t>
      </w:r>
    </w:p>
    <w:p w14:paraId="2E6D2737" w14:textId="77777777" w:rsidR="00B541F2" w:rsidRDefault="00B541F2" w:rsidP="00B541F2">
      <w:pPr>
        <w:pStyle w:val="p1"/>
        <w:spacing w:before="0" w:beforeAutospacing="0" w:after="210" w:afterAutospacing="0"/>
        <w:rPr>
          <w:color w:val="000000"/>
        </w:rPr>
      </w:pPr>
      <w:r>
        <w:rPr>
          <w:rStyle w:val="s1"/>
          <w:color w:val="000000"/>
        </w:rPr>
        <w:t> </w:t>
      </w:r>
    </w:p>
    <w:p w14:paraId="2C862FA4" w14:textId="77777777" w:rsidR="00B541F2" w:rsidRDefault="00B541F2" w:rsidP="00B541F2">
      <w:pPr>
        <w:pStyle w:val="p1"/>
        <w:spacing w:before="0" w:beforeAutospacing="0" w:after="210" w:afterAutospacing="0"/>
        <w:rPr>
          <w:color w:val="000000"/>
        </w:rPr>
      </w:pPr>
      <w:r>
        <w:rPr>
          <w:rStyle w:val="s1"/>
          <w:color w:val="000000"/>
        </w:rPr>
        <w:t xml:space="preserve">The partnership approach to offender rehabilitation emerged as a response to the limitations of traditional criminal justice interventions, seeing that a need for a more collaborative approach was needed (Crawford, 1997). The approach recognised crime, </w:t>
      </w:r>
      <w:proofErr w:type="gramStart"/>
      <w:r>
        <w:rPr>
          <w:rStyle w:val="s1"/>
          <w:color w:val="000000"/>
        </w:rPr>
        <w:t>offending</w:t>
      </w:r>
      <w:proofErr w:type="gramEnd"/>
      <w:r>
        <w:rPr>
          <w:rStyle w:val="s1"/>
          <w:color w:val="000000"/>
        </w:rPr>
        <w:t xml:space="preserve"> and reoffending as more complex social issues than merely linear problems that could be answered with a reasonable one solution fits all approach, and thus a more collaborative service approach was adopted (Sullivan &amp; </w:t>
      </w:r>
      <w:proofErr w:type="spellStart"/>
      <w:r>
        <w:rPr>
          <w:rStyle w:val="s1"/>
          <w:color w:val="000000"/>
        </w:rPr>
        <w:t>Skelcher</w:t>
      </w:r>
      <w:proofErr w:type="spellEnd"/>
      <w:r>
        <w:rPr>
          <w:rStyle w:val="s1"/>
          <w:color w:val="000000"/>
        </w:rPr>
        <w:t>, 2002). A multi-agency approach was needed to ensure effective intervention and support for offenders in their reintegration process (</w:t>
      </w:r>
      <w:proofErr w:type="spellStart"/>
      <w:r>
        <w:rPr>
          <w:rStyle w:val="s1"/>
          <w:color w:val="000000"/>
        </w:rPr>
        <w:t>Kemshall</w:t>
      </w:r>
      <w:proofErr w:type="spellEnd"/>
      <w:r>
        <w:rPr>
          <w:rStyle w:val="s1"/>
          <w:color w:val="000000"/>
        </w:rPr>
        <w:t xml:space="preserve"> &amp; Maguire, 2001).</w:t>
      </w:r>
    </w:p>
    <w:p w14:paraId="32DE6512" w14:textId="77777777" w:rsidR="00B541F2" w:rsidRDefault="00B541F2" w:rsidP="00B541F2">
      <w:pPr>
        <w:pStyle w:val="p1"/>
        <w:spacing w:before="0" w:beforeAutospacing="0" w:after="210" w:afterAutospacing="0"/>
        <w:rPr>
          <w:color w:val="000000"/>
        </w:rPr>
      </w:pPr>
      <w:r>
        <w:rPr>
          <w:rStyle w:val="s1"/>
          <w:color w:val="000000"/>
        </w:rPr>
        <w:t> </w:t>
      </w:r>
    </w:p>
    <w:p w14:paraId="18D829C0" w14:textId="77777777" w:rsidR="00B541F2" w:rsidRDefault="00B541F2" w:rsidP="00B541F2">
      <w:pPr>
        <w:pStyle w:val="p1"/>
        <w:spacing w:before="0" w:beforeAutospacing="0" w:after="210" w:afterAutospacing="0"/>
        <w:rPr>
          <w:color w:val="000000"/>
        </w:rPr>
      </w:pPr>
      <w:r>
        <w:rPr>
          <w:rStyle w:val="s1"/>
          <w:color w:val="000000"/>
        </w:rPr>
        <w:t>Multi-Agency Public Protection Arrangements (MAPPA) have now become a widely adopted partnership approach for that of managing the UK’s high-risk offenders (Criminal Justice Act 2003). It involves the collaboration of various agencies, such as the police, probation services, and prison services, to assess and manage the risks posed by serious offenders (</w:t>
      </w:r>
      <w:proofErr w:type="spellStart"/>
      <w:r>
        <w:rPr>
          <w:rStyle w:val="s1"/>
          <w:color w:val="000000"/>
        </w:rPr>
        <w:t>Kemshall</w:t>
      </w:r>
      <w:proofErr w:type="spellEnd"/>
      <w:r>
        <w:rPr>
          <w:rStyle w:val="s1"/>
          <w:color w:val="000000"/>
        </w:rPr>
        <w:t>, 2010). A collaboration of various agencies, such as Police, Probation, Prison as well as local authorities and the NHS are brought together to assess and manage the risks posed by serious offenders (HM Inspectorate of Probation, 2021). The introduction of MAPPA indicated a decrease in those deemed high-risk offenders and contributed to reduced reoffending rates, and in turn an overall improved public protection (Mark Peck, 2011).</w:t>
      </w:r>
    </w:p>
    <w:p w14:paraId="37C665CB" w14:textId="77777777" w:rsidR="00B541F2" w:rsidRDefault="00B541F2" w:rsidP="00B541F2">
      <w:pPr>
        <w:pStyle w:val="p1"/>
        <w:spacing w:before="0" w:beforeAutospacing="0" w:after="210" w:afterAutospacing="0"/>
        <w:rPr>
          <w:rStyle w:val="s1"/>
          <w:color w:val="000000"/>
        </w:rPr>
      </w:pPr>
      <w:r>
        <w:rPr>
          <w:rStyle w:val="s1"/>
          <w:color w:val="000000"/>
        </w:rPr>
        <w:t> </w:t>
      </w:r>
    </w:p>
    <w:p w14:paraId="513BFBAE" w14:textId="77777777" w:rsidR="00B541F2" w:rsidRDefault="00B541F2" w:rsidP="00B541F2">
      <w:pPr>
        <w:pStyle w:val="p1"/>
        <w:spacing w:before="0" w:beforeAutospacing="0" w:after="210" w:afterAutospacing="0"/>
        <w:rPr>
          <w:color w:val="000000"/>
        </w:rPr>
      </w:pPr>
      <w:r w:rsidRPr="00F00E40">
        <w:rPr>
          <w:color w:val="000000"/>
        </w:rPr>
        <w:t>Building upon the success of MAPPA, the UK implemented another partnership approach</w:t>
      </w:r>
      <w:r>
        <w:rPr>
          <w:color w:val="000000"/>
        </w:rPr>
        <w:t xml:space="preserve"> </w:t>
      </w:r>
      <w:r w:rsidRPr="00F00E40">
        <w:rPr>
          <w:color w:val="000000"/>
        </w:rPr>
        <w:t>to further enhance offender rehabilitation</w:t>
      </w:r>
      <w:r>
        <w:rPr>
          <w:color w:val="000000"/>
        </w:rPr>
        <w:t xml:space="preserve">. </w:t>
      </w:r>
      <w:r>
        <w:rPr>
          <w:rStyle w:val="s1"/>
          <w:color w:val="000000"/>
        </w:rPr>
        <w:t xml:space="preserve">Integrated Offender Management (IOM) is a partnership approach that focuses its attention on the rehabilitation and management of society’s persistent and prolific criminal offenders (Home Office, 2013). IOM gathers agencies such as the police, probation services, local authorities, and voluntary organizations to provide tailored interventions and support for offenders (Senior et al., 2011). IOM has been praised for its flexibility and adaptability, as it allows for the development of local strategies tailored to specific community needs (Williams et al., </w:t>
      </w:r>
      <w:r>
        <w:rPr>
          <w:rStyle w:val="s1"/>
          <w:color w:val="000000"/>
        </w:rPr>
        <w:lastRenderedPageBreak/>
        <w:t>2012).  Research has demonstrated that IOM can reduce reoffending rates and facilitate offenders' reintegration into society by utilising both the old ‘’3-tier model of deter, catch, and convict, and resettle and rehabilitate’’ and that of the new collaborative approaches(Senior et al., 2011). However, the effectiveness of IOM’s approach in rehabilitating offenders is determined by partners working in sync with one another and structuring each of their individual parameters (HM Inspectorate of Probation, 2014).</w:t>
      </w:r>
    </w:p>
    <w:p w14:paraId="05332160" w14:textId="77777777" w:rsidR="00B541F2" w:rsidRDefault="00B541F2" w:rsidP="00B541F2">
      <w:pPr>
        <w:pStyle w:val="p1"/>
        <w:spacing w:before="0" w:beforeAutospacing="0" w:after="210" w:afterAutospacing="0"/>
        <w:rPr>
          <w:color w:val="000000"/>
        </w:rPr>
      </w:pPr>
      <w:r>
        <w:rPr>
          <w:rStyle w:val="s1"/>
          <w:color w:val="000000"/>
        </w:rPr>
        <w:t> </w:t>
      </w:r>
    </w:p>
    <w:p w14:paraId="15940737" w14:textId="77777777" w:rsidR="00B541F2" w:rsidRDefault="00B541F2" w:rsidP="00B541F2">
      <w:pPr>
        <w:pStyle w:val="p1"/>
        <w:spacing w:before="0" w:beforeAutospacing="0" w:after="210" w:afterAutospacing="0"/>
        <w:rPr>
          <w:color w:val="000000"/>
        </w:rPr>
      </w:pPr>
      <w:r>
        <w:rPr>
          <w:rStyle w:val="s1"/>
          <w:color w:val="000000"/>
        </w:rPr>
        <w:t>Police and crime commissioners (PCCs), established under the Police Reform and Social Responsibility Act 2011, play a crucial role in promoting partnership approaches to offender rehabilitation within UK policing. They are responsible for setting the strategic direction for local police forces, commissioning services, and holding the Chief Constable (CC) accountable for the delivery of these services as it is the PCC who chooses the CC to carry out the operational decisions within the police force (APCCS, 2011). PCCs have the potential to foster avenues of collaboration between agencies such as local authorities, voluntary organisations, and police to develop innovative solutions for offender rehabilitation (West Yorkshire Police and Crime Commissioner, 2011).</w:t>
      </w:r>
    </w:p>
    <w:p w14:paraId="6AE58A51" w14:textId="77777777" w:rsidR="00B541F2" w:rsidRDefault="00B541F2" w:rsidP="00B541F2">
      <w:pPr>
        <w:pStyle w:val="p1"/>
        <w:spacing w:before="0" w:beforeAutospacing="0" w:after="210" w:afterAutospacing="0"/>
        <w:rPr>
          <w:color w:val="000000"/>
        </w:rPr>
      </w:pPr>
      <w:r>
        <w:rPr>
          <w:rStyle w:val="s1"/>
          <w:color w:val="000000"/>
        </w:rPr>
        <w:t>At HMP Forest Bank, reducing reoffending is a primary objective, as the institution recognizes the importance of preparing prisoners for reintegration into society and promoting public safety. To achieve this, the prison focuses on providing inmates with the necessary skills, knowledge, and support to reduce their likelihood of reoffending upon their release by incorporating the seven pathways to reducing reoffending (HMP Forest Bank, 2015). These pathways include accommodation, education, training and employment, health, drugs and alcohol, finance, benefit and debt, children and families, and attitudes, thinking and behaviour.</w:t>
      </w:r>
    </w:p>
    <w:p w14:paraId="02F82E41" w14:textId="77777777" w:rsidR="00B541F2" w:rsidRDefault="00B541F2" w:rsidP="00B541F2">
      <w:pPr>
        <w:pStyle w:val="p1"/>
        <w:spacing w:before="0" w:beforeAutospacing="0" w:after="210" w:afterAutospacing="0"/>
        <w:rPr>
          <w:color w:val="000000"/>
        </w:rPr>
      </w:pPr>
      <w:r>
        <w:rPr>
          <w:rStyle w:val="s1"/>
          <w:color w:val="000000"/>
        </w:rPr>
        <w:t xml:space="preserve">The Wales HMPPS Reducing Reoffending Plan aims to minimize reoffending rates by providing individuals with valuable opportunities for training and employment. According to the Wales Reducing Reoffending Plan 2022-25 the plan focuses on addressing the root causes of reoffending, with a strong emphasis on education, skills development, and access to sustainable employment (HM Prison &amp; Probation Service, 2022). The plan aims to emphasise areas of ‘the seven pathways to reducing reoffending’ in a way that would enable prisoners to be introduced back into society with the prospect of work on their release. The </w:t>
      </w:r>
      <w:proofErr w:type="gramStart"/>
      <w:r>
        <w:rPr>
          <w:rStyle w:val="s1"/>
          <w:color w:val="000000"/>
        </w:rPr>
        <w:t>ultimate goal</w:t>
      </w:r>
      <w:proofErr w:type="gramEnd"/>
      <w:r>
        <w:rPr>
          <w:rStyle w:val="s1"/>
          <w:color w:val="000000"/>
        </w:rPr>
        <w:t xml:space="preserve"> is to spark a sense of self-sufficiency, responsibility, and resilience among individuals, thereby reducing the likelihood of them reoffending and promoting safer communities throughout Wales.</w:t>
      </w:r>
    </w:p>
    <w:p w14:paraId="06132B97" w14:textId="77777777" w:rsidR="00B541F2" w:rsidRDefault="00B541F2" w:rsidP="00B541F2">
      <w:pPr>
        <w:pStyle w:val="p1"/>
        <w:spacing w:before="0" w:beforeAutospacing="0" w:after="210" w:afterAutospacing="0"/>
        <w:rPr>
          <w:color w:val="000000"/>
        </w:rPr>
      </w:pPr>
      <w:r>
        <w:rPr>
          <w:rStyle w:val="s1"/>
          <w:color w:val="000000"/>
        </w:rPr>
        <w:t>Despite the promising outcomes associated with partnership approaches some limitations and challenges persist. Firstly, inter-partner collaboration can be hampered by political hurdles, lack of trust, and competing priorities among partner organizations (Crawford, 2002). These issues can undermine the effectiveness of partnership working and hinder the achievement of rehabilitation objectives. Secondly, budget cuts may adversely impact the ability of partnership approaches to delivering services and interventions effectively (Downes &amp; Hansen, 2006). The UK's austerity measures have significantly affected the funding for public services, including the police, probation, and social services, which can further compromise the effectiveness of partnership approaches (</w:t>
      </w:r>
      <w:proofErr w:type="spellStart"/>
      <w:r>
        <w:rPr>
          <w:rStyle w:val="s1"/>
          <w:color w:val="000000"/>
        </w:rPr>
        <w:t>Nasrul</w:t>
      </w:r>
      <w:proofErr w:type="spellEnd"/>
      <w:r>
        <w:rPr>
          <w:rStyle w:val="s1"/>
          <w:color w:val="000000"/>
        </w:rPr>
        <w:t xml:space="preserve"> Ismail, 2022). Lastly, the success of partnership approaches largely depends on the quality and consistency of local implementation. Variability will differ per area and with some partners investing more than others and thus the quality of partnerships in those areas can lead to unforetold outcomes, with some areas experiencing better results than others (Senior et al., 2011).</w:t>
      </w:r>
    </w:p>
    <w:p w14:paraId="16BAF278" w14:textId="77777777" w:rsidR="00B541F2" w:rsidRDefault="00B541F2" w:rsidP="00B541F2">
      <w:pPr>
        <w:pStyle w:val="p1"/>
        <w:spacing w:before="0" w:beforeAutospacing="0" w:after="210" w:afterAutospacing="0"/>
        <w:rPr>
          <w:rStyle w:val="s1"/>
          <w:color w:val="000000"/>
        </w:rPr>
      </w:pPr>
    </w:p>
    <w:p w14:paraId="287BE746" w14:textId="317954E7" w:rsidR="00B541F2" w:rsidRDefault="00B541F2" w:rsidP="00B541F2">
      <w:pPr>
        <w:pStyle w:val="p1"/>
        <w:spacing w:before="0" w:beforeAutospacing="0" w:after="210" w:afterAutospacing="0"/>
        <w:rPr>
          <w:color w:val="000000"/>
        </w:rPr>
      </w:pPr>
      <w:r>
        <w:rPr>
          <w:rStyle w:val="s1"/>
          <w:color w:val="000000"/>
        </w:rPr>
        <w:lastRenderedPageBreak/>
        <w:t>In conclusion, partnership approaches, such as MAPPA, IOM, PCCs, and HMPPS have demonstrated promising results in the context of UK policing and offender rehabilitation. These approaches promote collaboration, information sharing, and tailored interventions, which can contribute to the reduced tendency of a criminal to re-offend. However, some limitations and challenges need to be addressed, including inter-agency collaboration difficulties, resource constraints, and variability in local implementation across the UK. As approaches seem to vary per area thus bringing different variables to those who require assistance in their rehabilitation.</w:t>
      </w:r>
    </w:p>
    <w:p w14:paraId="3464215E" w14:textId="77777777" w:rsidR="00B541F2" w:rsidRDefault="00B541F2" w:rsidP="00B541F2">
      <w:r w:rsidRPr="00206B8E">
        <w:rPr>
          <w:b/>
          <w:bCs/>
        </w:rPr>
        <w:t>Word Count :</w:t>
      </w:r>
      <w:r>
        <w:t xml:space="preserve"> 1065</w:t>
      </w:r>
    </w:p>
    <w:p w14:paraId="3CF85779" w14:textId="77777777" w:rsidR="00B541F2" w:rsidRDefault="00B541F2" w:rsidP="0049169D">
      <w:pPr>
        <w:rPr>
          <w:b/>
          <w:bCs/>
          <w:i/>
          <w:iCs/>
        </w:rPr>
      </w:pPr>
    </w:p>
    <w:p w14:paraId="11946359" w14:textId="0AA2572B" w:rsidR="001959AE" w:rsidRDefault="001959AE" w:rsidP="0049169D">
      <w:pPr>
        <w:rPr>
          <w:b/>
          <w:bCs/>
          <w:i/>
          <w:iCs/>
        </w:rPr>
      </w:pPr>
    </w:p>
    <w:p w14:paraId="10F6BCCE" w14:textId="64B5D671" w:rsidR="002C630B" w:rsidRDefault="002C630B" w:rsidP="0049169D">
      <w:pPr>
        <w:rPr>
          <w:b/>
          <w:bCs/>
          <w:i/>
          <w:iCs/>
        </w:rPr>
      </w:pPr>
    </w:p>
    <w:p w14:paraId="2EF0A251" w14:textId="608FBB2A" w:rsidR="002C630B" w:rsidRDefault="002C630B" w:rsidP="0049169D">
      <w:pPr>
        <w:rPr>
          <w:b/>
          <w:bCs/>
          <w:i/>
          <w:iCs/>
        </w:rPr>
      </w:pPr>
    </w:p>
    <w:p w14:paraId="050C2DE0" w14:textId="3F48A844" w:rsidR="002C630B" w:rsidRDefault="002C630B" w:rsidP="0049169D">
      <w:pPr>
        <w:rPr>
          <w:b/>
          <w:bCs/>
          <w:i/>
          <w:iCs/>
        </w:rPr>
      </w:pPr>
    </w:p>
    <w:p w14:paraId="616C13E4" w14:textId="0A43EDD8" w:rsidR="002C630B" w:rsidRDefault="002C630B" w:rsidP="0049169D">
      <w:pPr>
        <w:rPr>
          <w:b/>
          <w:bCs/>
          <w:i/>
          <w:iCs/>
        </w:rPr>
      </w:pPr>
    </w:p>
    <w:p w14:paraId="6B082D0A" w14:textId="33B4D3F7" w:rsidR="002C630B" w:rsidRDefault="002C630B" w:rsidP="0049169D">
      <w:pPr>
        <w:rPr>
          <w:b/>
          <w:bCs/>
          <w:i/>
          <w:iCs/>
        </w:rPr>
      </w:pPr>
    </w:p>
    <w:p w14:paraId="3B3483F8" w14:textId="77777777" w:rsidR="002C630B" w:rsidRDefault="002C630B" w:rsidP="0049169D">
      <w:pPr>
        <w:rPr>
          <w:b/>
          <w:bCs/>
          <w:i/>
          <w:iCs/>
        </w:rPr>
      </w:pPr>
    </w:p>
    <w:p w14:paraId="08BAF4EF" w14:textId="075336C4" w:rsidR="001959AE" w:rsidRDefault="001959AE" w:rsidP="0049169D">
      <w:pPr>
        <w:rPr>
          <w:b/>
          <w:bCs/>
          <w:i/>
          <w:iCs/>
        </w:rPr>
      </w:pPr>
    </w:p>
    <w:p w14:paraId="1E68AAB0" w14:textId="3068DF3B" w:rsidR="001959AE" w:rsidRDefault="001959AE" w:rsidP="0049169D">
      <w:pPr>
        <w:rPr>
          <w:b/>
          <w:bCs/>
          <w:i/>
          <w:iCs/>
        </w:rPr>
      </w:pPr>
    </w:p>
    <w:p w14:paraId="4248A43D" w14:textId="77D18EC6" w:rsidR="001959AE" w:rsidRDefault="001959AE" w:rsidP="0049169D">
      <w:pPr>
        <w:rPr>
          <w:b/>
          <w:bCs/>
          <w:i/>
          <w:iCs/>
        </w:rPr>
      </w:pPr>
    </w:p>
    <w:p w14:paraId="3D5F413C" w14:textId="0A5665A7" w:rsidR="001959AE" w:rsidRDefault="001959AE" w:rsidP="0049169D">
      <w:pPr>
        <w:rPr>
          <w:b/>
          <w:bCs/>
          <w:i/>
          <w:iCs/>
        </w:rPr>
      </w:pPr>
    </w:p>
    <w:p w14:paraId="2F867CC1" w14:textId="556CBDB8" w:rsidR="001959AE" w:rsidRDefault="001959AE" w:rsidP="0049169D">
      <w:pPr>
        <w:rPr>
          <w:b/>
          <w:bCs/>
          <w:i/>
          <w:iCs/>
        </w:rPr>
      </w:pPr>
    </w:p>
    <w:p w14:paraId="47B7323B" w14:textId="5A0EDAF9" w:rsidR="001959AE" w:rsidRDefault="001959AE" w:rsidP="0049169D">
      <w:pPr>
        <w:rPr>
          <w:b/>
          <w:bCs/>
          <w:i/>
          <w:iCs/>
        </w:rPr>
      </w:pPr>
    </w:p>
    <w:p w14:paraId="06F35E9F" w14:textId="4181BD46" w:rsidR="001959AE" w:rsidRDefault="001959AE" w:rsidP="0049169D">
      <w:pPr>
        <w:rPr>
          <w:b/>
          <w:bCs/>
          <w:i/>
          <w:iCs/>
        </w:rPr>
      </w:pPr>
    </w:p>
    <w:p w14:paraId="2946F328" w14:textId="21EB1F5F" w:rsidR="001959AE" w:rsidRDefault="001959AE" w:rsidP="0049169D">
      <w:pPr>
        <w:rPr>
          <w:b/>
          <w:bCs/>
          <w:i/>
          <w:iCs/>
        </w:rPr>
      </w:pPr>
    </w:p>
    <w:p w14:paraId="541F512F" w14:textId="507A5177" w:rsidR="001959AE" w:rsidRDefault="001959AE" w:rsidP="0049169D">
      <w:pPr>
        <w:rPr>
          <w:b/>
          <w:bCs/>
          <w:i/>
          <w:iCs/>
        </w:rPr>
      </w:pPr>
    </w:p>
    <w:p w14:paraId="7195D1A0" w14:textId="77777777" w:rsidR="00D45003" w:rsidRDefault="00D45003" w:rsidP="0049169D">
      <w:pPr>
        <w:rPr>
          <w:b/>
          <w:bCs/>
          <w:i/>
          <w:iCs/>
        </w:rPr>
      </w:pPr>
    </w:p>
    <w:p w14:paraId="2B1CCF83" w14:textId="77777777" w:rsidR="00D45003" w:rsidRDefault="00D45003" w:rsidP="0049169D">
      <w:pPr>
        <w:rPr>
          <w:b/>
          <w:bCs/>
          <w:i/>
          <w:iCs/>
        </w:rPr>
      </w:pPr>
    </w:p>
    <w:p w14:paraId="54D1C3D5" w14:textId="77777777" w:rsidR="00D45003" w:rsidRDefault="00D45003" w:rsidP="0049169D">
      <w:pPr>
        <w:rPr>
          <w:b/>
          <w:bCs/>
          <w:i/>
          <w:iCs/>
        </w:rPr>
      </w:pPr>
    </w:p>
    <w:p w14:paraId="167B9143" w14:textId="77777777" w:rsidR="00D45003" w:rsidRDefault="00D45003" w:rsidP="0049169D">
      <w:pPr>
        <w:rPr>
          <w:b/>
          <w:bCs/>
          <w:i/>
          <w:iCs/>
        </w:rPr>
      </w:pPr>
    </w:p>
    <w:p w14:paraId="65602523" w14:textId="77777777" w:rsidR="00D45003" w:rsidRDefault="00D45003" w:rsidP="0049169D">
      <w:pPr>
        <w:rPr>
          <w:b/>
          <w:bCs/>
          <w:i/>
          <w:iCs/>
        </w:rPr>
      </w:pPr>
    </w:p>
    <w:p w14:paraId="4F383C93" w14:textId="77777777" w:rsidR="00D45003" w:rsidRDefault="00D45003" w:rsidP="0049169D">
      <w:pPr>
        <w:rPr>
          <w:b/>
          <w:bCs/>
          <w:i/>
          <w:iCs/>
        </w:rPr>
      </w:pPr>
    </w:p>
    <w:p w14:paraId="2301EE03" w14:textId="77777777" w:rsidR="00D45003" w:rsidRDefault="00D45003" w:rsidP="0049169D">
      <w:pPr>
        <w:rPr>
          <w:b/>
          <w:bCs/>
          <w:i/>
          <w:iCs/>
        </w:rPr>
      </w:pPr>
    </w:p>
    <w:p w14:paraId="604DFB3F" w14:textId="77777777" w:rsidR="00D45003" w:rsidRDefault="00D45003" w:rsidP="0049169D">
      <w:pPr>
        <w:rPr>
          <w:b/>
          <w:bCs/>
          <w:i/>
          <w:iCs/>
        </w:rPr>
      </w:pPr>
    </w:p>
    <w:p w14:paraId="000C1827" w14:textId="688F08C2" w:rsidR="00B22632" w:rsidRPr="006E5F52" w:rsidRDefault="001959AE" w:rsidP="0049169D">
      <w:pPr>
        <w:rPr>
          <w:b/>
          <w:bCs/>
          <w:i/>
          <w:iCs/>
        </w:rPr>
      </w:pPr>
      <w:r>
        <w:rPr>
          <w:b/>
          <w:bCs/>
          <w:i/>
          <w:iCs/>
        </w:rPr>
        <w:lastRenderedPageBreak/>
        <w:t xml:space="preserve">References </w:t>
      </w:r>
    </w:p>
    <w:p w14:paraId="6B0738ED" w14:textId="77777777" w:rsidR="00B22632" w:rsidRDefault="00B22632" w:rsidP="00663C06">
      <w:r w:rsidRPr="00A90772">
        <w:t>Abrams, Z. (2021). Controlling the spread of misinformation. American Psychological Association. [Online]. 2021. Available at https://www.apa.org/monitor/2021/03/controlling-misinformation [Accessed 01/05/2023].</w:t>
      </w:r>
    </w:p>
    <w:p w14:paraId="0F1FD51D" w14:textId="77777777" w:rsidR="00B22632" w:rsidRPr="00645840" w:rsidRDefault="00B22632" w:rsidP="00D45003">
      <w:r w:rsidRPr="00D14F32">
        <w:t>APCCS. (2011). ROLE OF THE PCC. [Online]. www.apccs.police.uk. Available at: https://www.apccs.police.uk/role-of-the-pcc/ [Accessed 20 April 2023].</w:t>
      </w:r>
    </w:p>
    <w:p w14:paraId="533F61C5" w14:textId="77777777" w:rsidR="00B22632" w:rsidRPr="00A90772" w:rsidRDefault="00B22632" w:rsidP="00663C06">
      <w:r w:rsidRPr="00A90772">
        <w:t xml:space="preserve">Ariel, B., Sutherland, A., </w:t>
      </w:r>
      <w:proofErr w:type="spellStart"/>
      <w:r w:rsidRPr="00A90772">
        <w:t>Henstock</w:t>
      </w:r>
      <w:proofErr w:type="spellEnd"/>
      <w:r w:rsidRPr="00A90772">
        <w:t xml:space="preserve">, D., Young, J., Drover, P., Sykes, J., </w:t>
      </w:r>
      <w:proofErr w:type="spellStart"/>
      <w:r w:rsidRPr="00A90772">
        <w:t>Megicks</w:t>
      </w:r>
      <w:proofErr w:type="spellEnd"/>
      <w:r w:rsidRPr="00A90772">
        <w:t>, S. &amp; Henderson, R. (2016) 'Increases in Police Use of Force in the Presence of Body-Worn Cameras Are Driven by Officer Discretion: A Protocol-Based Subgroup Analysis of Ten Randomized Experiments', Journal of Experimental Criminology, 12(3), pp. 453-463.</w:t>
      </w:r>
    </w:p>
    <w:p w14:paraId="4196B129" w14:textId="77777777" w:rsidR="00B22632" w:rsidRDefault="00B22632" w:rsidP="001959AE">
      <w:pPr>
        <w:spacing w:after="360"/>
      </w:pPr>
      <w:r w:rsidRPr="00C243A1">
        <w:t>BBC News. (1999). Lawrence: Key recommendations. BBC NEWS. [Online]. 24 March 1999. Available at http://news.bbc.co.uk/1/hi/uk/285537.stm [Accessed 20 April 2023].</w:t>
      </w:r>
    </w:p>
    <w:p w14:paraId="4D174FA1" w14:textId="77777777" w:rsidR="00B22632" w:rsidRPr="00A90772" w:rsidRDefault="00B22632" w:rsidP="00663C06">
      <w:r w:rsidRPr="00A90772">
        <w:t xml:space="preserve">BBC News. (2014). </w:t>
      </w:r>
      <w:proofErr w:type="spellStart"/>
      <w:r w:rsidRPr="00A90772">
        <w:t>Plebgate</w:t>
      </w:r>
      <w:proofErr w:type="spellEnd"/>
      <w:r w:rsidRPr="00A90772">
        <w:t>' row: Timeline. [Online]. www.bbc.co.uk/news/uk. Available at: https://www.bbc.co.uk/news/uk-24548645 [Accessed 1 May 2023].</w:t>
      </w:r>
    </w:p>
    <w:p w14:paraId="1256B63F" w14:textId="77777777" w:rsidR="00B22632" w:rsidRPr="00A90772" w:rsidRDefault="00B22632" w:rsidP="00663C06">
      <w:r w:rsidRPr="00A90772">
        <w:t>BBC News. (2017). Oxford Circus Tube incident: As it happened. [Online]. www.bbc.co.uk/news/live/uk. Available at: https://www.bbc.co.uk/news/live/uk-42117403 [Accessed 1 May 2023].</w:t>
      </w:r>
    </w:p>
    <w:p w14:paraId="239A51CD" w14:textId="77777777" w:rsidR="00B22632" w:rsidRDefault="00B22632" w:rsidP="001959AE">
      <w:pPr>
        <w:spacing w:after="360"/>
      </w:pPr>
      <w:r w:rsidRPr="00180C4D">
        <w:t>Bowling, B. (1999). The Stephen Lawrence case. Criminal Justice Matters, 36(1), 4-5</w:t>
      </w:r>
    </w:p>
    <w:p w14:paraId="7240E0D0" w14:textId="77777777" w:rsidR="00B22632" w:rsidRPr="00A90772" w:rsidRDefault="00B22632" w:rsidP="00663C06">
      <w:r w:rsidRPr="00A90772">
        <w:t>Bowling, B. and Phillips, C. (2002) 'Racism, Crime, and Justice', Harlow: Longman.</w:t>
      </w:r>
    </w:p>
    <w:p w14:paraId="3DFD865F" w14:textId="77777777" w:rsidR="00B22632" w:rsidRDefault="00B22632" w:rsidP="001959AE">
      <w:pPr>
        <w:spacing w:after="360"/>
      </w:pPr>
      <w:r>
        <w:t>Bowling, B. and Phillips, C. (2007) 'Disproportionate and Discriminatory: Reviewing the Evidence on Police Stop and Search', The Modern Law Review, 70(6), pp. 936-961.</w:t>
      </w:r>
    </w:p>
    <w:p w14:paraId="4218B943" w14:textId="77777777" w:rsidR="00B22632" w:rsidRPr="00A90772" w:rsidRDefault="00B22632" w:rsidP="00663C06">
      <w:r w:rsidRPr="00A90772">
        <w:t xml:space="preserve">Cambridge News. (2017). Olly </w:t>
      </w:r>
      <w:proofErr w:type="spellStart"/>
      <w:r w:rsidRPr="00A90772">
        <w:t>Murs'</w:t>
      </w:r>
      <w:proofErr w:type="spellEnd"/>
      <w:r w:rsidRPr="00A90772">
        <w:t xml:space="preserve"> shocking tweets from inside Selfridges at Oxford Street met with backlash. [Online]. www.cambridge-news.co.uk. Available at: https://www.cambridge-news.co.uk/news/olly-murs-shocking-tweets-inside-13951483 [Accessed 1 May 2023].</w:t>
      </w:r>
    </w:p>
    <w:p w14:paraId="49881582" w14:textId="77777777" w:rsidR="00B22632" w:rsidRDefault="00B22632" w:rsidP="00075AEE">
      <w:r w:rsidRPr="00A7185E">
        <w:t>Chance UK. (2020). A break-even analysis of the Chance UK mentoring programme. [Online]. . Available at: https://www.chanceuk.com/wp-content/uploads/2020/10/PBE-report-for-Chance-UK-full-report-1.pdf [Accessed 5 May 2023].</w:t>
      </w:r>
    </w:p>
    <w:p w14:paraId="04ADF1B9" w14:textId="77777777" w:rsidR="00B22632" w:rsidRDefault="00B22632" w:rsidP="00075AEE">
      <w:r w:rsidRPr="00323EF0">
        <w:t>Chance UK. (2023). Who We Are. [Online]. www.chanceuk.com. Available at: https://www.chanceuk.com/about-us/who-we-are/ [Accessed 5 May 2023].</w:t>
      </w:r>
    </w:p>
    <w:p w14:paraId="201F035A" w14:textId="77777777" w:rsidR="00B22632" w:rsidRDefault="00B22632" w:rsidP="001959AE">
      <w:pPr>
        <w:spacing w:after="360"/>
      </w:pPr>
      <w:r w:rsidRPr="00F15AF7">
        <w:t>College Of Policing. (2021). Macpherson report: 22 years on. [Online]. www.college.police.uk. Available at: https://www.college.police.uk/article/macpherson-report-22-years-on [Accessed 1 May 2023].</w:t>
      </w:r>
    </w:p>
    <w:p w14:paraId="60D04F90" w14:textId="77777777" w:rsidR="00B22632" w:rsidRDefault="00B22632" w:rsidP="00D45003">
      <w:r w:rsidRPr="003F15A0">
        <w:t>Crawford, A. (1997) 'The Local Governance of Crime: Appeals to Community and Partnerships', Oxford: Clarendon Press.</w:t>
      </w:r>
    </w:p>
    <w:p w14:paraId="3289262C" w14:textId="77777777" w:rsidR="00B22632" w:rsidRDefault="00B22632" w:rsidP="00D45003">
      <w:r w:rsidRPr="008B04DA">
        <w:t>Crawford, A., 2002. The governance of crime and insecurity in an anxious age: The trans-European and the local. In A. Crawford (ed.), Crime and Insecurity: The Governance of Safety in Europe. Cullompton: Willan Publishing, pp.1-27.</w:t>
      </w:r>
    </w:p>
    <w:p w14:paraId="528A3E2D" w14:textId="77777777" w:rsidR="00B22632" w:rsidRDefault="00B22632" w:rsidP="00D45003">
      <w:r w:rsidRPr="0075098A">
        <w:lastRenderedPageBreak/>
        <w:t>Criminal Justice Act. (2003). Criminal Justice Act 2003. [Online]. www.legislation.gov.uk. Available at: https://www.legislation.gov.uk/ukpga/2003/44/contents [Accessed 20 April 2023].</w:t>
      </w:r>
    </w:p>
    <w:p w14:paraId="1C80162C" w14:textId="77777777" w:rsidR="00B22632" w:rsidRPr="00A90772" w:rsidRDefault="00B22632" w:rsidP="00663C06">
      <w:r w:rsidRPr="00A90772">
        <w:t xml:space="preserve">Dodd, V. &amp; </w:t>
      </w:r>
      <w:proofErr w:type="spellStart"/>
      <w:r w:rsidRPr="00A90772">
        <w:t>Gabbett</w:t>
      </w:r>
      <w:proofErr w:type="spellEnd"/>
      <w:r w:rsidRPr="00A90772">
        <w:t>, S. (2011) 'UK riots: Social media users play key role in reporting the unrest', The Guardian, 9 August. Available at: https://www.theguardian.com/media/2011/aug/09/uk-riots-social-media-twitter [Accessed 20 March 2023].</w:t>
      </w:r>
    </w:p>
    <w:p w14:paraId="78DF56F2" w14:textId="77777777" w:rsidR="00B22632" w:rsidRDefault="00B22632" w:rsidP="00D45003">
      <w:r>
        <w:rPr>
          <w:rStyle w:val="s2"/>
          <w:color w:val="000000"/>
        </w:rPr>
        <w:t xml:space="preserve">Downes, D. and Hansen, K., </w:t>
      </w:r>
      <w:r w:rsidRPr="008771EE">
        <w:t xml:space="preserve">(2006). Welfare and punishment </w:t>
      </w:r>
      <w:proofErr w:type="gramStart"/>
      <w:r w:rsidRPr="008771EE">
        <w:t>The</w:t>
      </w:r>
      <w:proofErr w:type="gramEnd"/>
      <w:r w:rsidRPr="008771EE">
        <w:t xml:space="preserve"> relationship between welfare spending and imprisonment. [Online]. www.prisonpolicy.org. Available at: https://www.prisonpolicy.org/scans/csf/WelfareandPunishmentembargo.pdf [Accessed 20 April 2023].</w:t>
      </w:r>
    </w:p>
    <w:p w14:paraId="2B176E43" w14:textId="77777777" w:rsidR="00B22632" w:rsidRPr="00A90772" w:rsidRDefault="00B22632" w:rsidP="00663C06">
      <w:r w:rsidRPr="00A90772">
        <w:t>Fenton, N. (2011) New Media, Old News: Journalism and Democracy in the Digital Age. London: SAGE Publications Ltd.</w:t>
      </w:r>
    </w:p>
    <w:p w14:paraId="3CEDCCFE" w14:textId="77777777" w:rsidR="00B22632" w:rsidRPr="00BC1856" w:rsidRDefault="00B22632" w:rsidP="00075AEE">
      <w:pPr>
        <w:rPr>
          <w:highlight w:val="yellow"/>
        </w:rPr>
      </w:pPr>
      <w:r w:rsidRPr="00A17501">
        <w:t xml:space="preserve">FNP. (2023). Evidence: FNP has an </w:t>
      </w:r>
      <w:proofErr w:type="gramStart"/>
      <w:r w:rsidRPr="00A17501">
        <w:t>internationally-recognised</w:t>
      </w:r>
      <w:proofErr w:type="gramEnd"/>
      <w:r w:rsidRPr="00A17501">
        <w:t xml:space="preserve"> evidence base. [Online]. https://fnp.nhs.uk/. Available at: https://fnp.nhs.uk/our-impact/evidence/ [Accessed 7 May 2023].</w:t>
      </w:r>
    </w:p>
    <w:p w14:paraId="09DDFF26" w14:textId="77777777" w:rsidR="00B22632" w:rsidRPr="00A90772" w:rsidRDefault="00B22632" w:rsidP="00663C06">
      <w:r w:rsidRPr="00A90772">
        <w:t>Goolsby, R. (2010) 'Social media as crisis platform: The future of community maps/crisis maps.' ACM Transactions on Intelligent Systems and Technology (TIST), 1(1), pp. 7.</w:t>
      </w:r>
    </w:p>
    <w:p w14:paraId="2492043C" w14:textId="77777777" w:rsidR="00B22632" w:rsidRPr="003003F9" w:rsidRDefault="00B22632" w:rsidP="00075AEE">
      <w:pPr>
        <w:rPr>
          <w:rFonts w:cstheme="minorHAnsi"/>
          <w:color w:val="000000"/>
          <w:shd w:val="clear" w:color="auto" w:fill="FFFFFF"/>
        </w:rPr>
      </w:pPr>
      <w:r w:rsidRPr="003003F9">
        <w:rPr>
          <w:rFonts w:cstheme="minorHAnsi"/>
          <w:color w:val="000000"/>
          <w:shd w:val="clear" w:color="auto" w:fill="FFFFFF"/>
        </w:rPr>
        <w:t>GOV.UK (2023). </w:t>
      </w:r>
      <w:r w:rsidRPr="003003F9">
        <w:rPr>
          <w:rFonts w:cstheme="minorHAnsi"/>
          <w:i/>
          <w:iCs/>
          <w:color w:val="000000"/>
        </w:rPr>
        <w:t>Youth crime prevention programmes</w:t>
      </w:r>
      <w:r w:rsidRPr="003003F9">
        <w:rPr>
          <w:rFonts w:cstheme="minorHAnsi"/>
          <w:color w:val="000000"/>
          <w:shd w:val="clear" w:color="auto" w:fill="FFFFFF"/>
        </w:rPr>
        <w:t>. [Online]. GOV.UK. Available at: https://www.gov.uk/youth-crime-prevention-programmes [Accessed 20 April 2023]</w:t>
      </w:r>
    </w:p>
    <w:p w14:paraId="10B94AD1" w14:textId="77777777" w:rsidR="00B22632" w:rsidRPr="00A90772" w:rsidRDefault="00B22632" w:rsidP="00663C06">
      <w:pPr>
        <w:pStyle w:val="PlainText"/>
      </w:pPr>
      <w:r w:rsidRPr="00A90772">
        <w:t xml:space="preserve">Greer, C. and McLaughlin, E., 2010. We Predict a Riot? Public Order Policing, New Media </w:t>
      </w:r>
      <w:proofErr w:type="gramStart"/>
      <w:r w:rsidRPr="00A90772">
        <w:t>Environments</w:t>
      </w:r>
      <w:proofErr w:type="gramEnd"/>
      <w:r w:rsidRPr="00A90772">
        <w:t xml:space="preserve"> and the Rise of the Citizen Journalist. British Journal of Criminology, 50(6), pp.1041-1059.</w:t>
      </w:r>
    </w:p>
    <w:p w14:paraId="2F77DF50" w14:textId="77777777" w:rsidR="00B22632" w:rsidRPr="00A90772" w:rsidRDefault="00B22632" w:rsidP="00663C06">
      <w:pPr>
        <w:pStyle w:val="PlainText"/>
      </w:pPr>
      <w:r w:rsidRPr="00A90772">
        <w:t xml:space="preserve">Greer, C., 2017. News Media, </w:t>
      </w:r>
      <w:proofErr w:type="gramStart"/>
      <w:r w:rsidRPr="00A90772">
        <w:t>Social Media</w:t>
      </w:r>
      <w:proofErr w:type="gramEnd"/>
      <w:r w:rsidRPr="00A90772">
        <w:t>, and Hyper-Real Cop-Watching. In: L.H. Richardson and J. Harker (eds.) The Routledge Companion to Media and Scandal. Abingdon: Routledge, pp. 264-275.</w:t>
      </w:r>
    </w:p>
    <w:p w14:paraId="24BEBA0F" w14:textId="77777777" w:rsidR="00B22632" w:rsidRDefault="00B22632" w:rsidP="00D45003">
      <w:r w:rsidRPr="00722EA3">
        <w:t xml:space="preserve">HM Inspectorate </w:t>
      </w:r>
      <w:proofErr w:type="gramStart"/>
      <w:r w:rsidRPr="00722EA3">
        <w:t>Of</w:t>
      </w:r>
      <w:proofErr w:type="gramEnd"/>
      <w:r w:rsidRPr="00722EA3">
        <w:t xml:space="preserve"> Probation. (2014). Integrated offender management has </w:t>
      </w:r>
      <w:proofErr w:type="gramStart"/>
      <w:r w:rsidRPr="00722EA3">
        <w:t>potential</w:t>
      </w:r>
      <w:proofErr w:type="gramEnd"/>
      <w:r w:rsidRPr="00722EA3">
        <w:t xml:space="preserve"> but more evidence of its effectiveness needed, say inspectors. [Online]. www.justiceinspectorates.gov.uk. Available at: https://www.justiceinspectorates.gov.uk/hmiprobation/media/press-releases/2014/03/integrated-offende [Accessed 20 April 2023].</w:t>
      </w:r>
    </w:p>
    <w:p w14:paraId="43F49B8E" w14:textId="77777777" w:rsidR="00B22632" w:rsidRDefault="00B22632" w:rsidP="00D45003">
      <w:r w:rsidRPr="00FD6CC6">
        <w:t xml:space="preserve">HM Inspectorate </w:t>
      </w:r>
      <w:proofErr w:type="gramStart"/>
      <w:r w:rsidRPr="00FD6CC6">
        <w:t>Of</w:t>
      </w:r>
      <w:proofErr w:type="gramEnd"/>
      <w:r w:rsidRPr="00FD6CC6">
        <w:t xml:space="preserve"> Probation. (2021). Multi-agency public protection arrangements. [Online]. www.justiceinspectorates.gov.uk. Available at: https://www.justiceinspectorates.gov.uk/hmiprobation/research/the-evidence-base-probation/specific-t [Accessed 20 April 2023]</w:t>
      </w:r>
    </w:p>
    <w:p w14:paraId="1A0062B7" w14:textId="77777777" w:rsidR="00B22632" w:rsidRDefault="00B22632" w:rsidP="00D45003">
      <w:r w:rsidRPr="007118D1">
        <w:t>HM Prison &amp; Probation Service. (2022). Wales Reducing Reoffending Plan 2022-25. [Online]. www.assets.publishing.service.gov.uk. Available at: https://assets.publishing.service.gov.uk/government/uploads/system/uploads/attachment_data/file/1095 [Accessed 20 April 2023].</w:t>
      </w:r>
    </w:p>
    <w:p w14:paraId="1BD7CEF0" w14:textId="77777777" w:rsidR="00B22632" w:rsidRDefault="00B22632" w:rsidP="001959AE">
      <w:pPr>
        <w:spacing w:after="360"/>
      </w:pPr>
      <w:r w:rsidRPr="003722FD">
        <w:t>HMICFRS. (2023). Police publications. [Online]. www.justiceinspectorates.gov.uk/hmicfrs/. Available at: https://www.justiceinspectorates.gov.uk/hmicfrs/police-forces/publications/ [Accessed 1 May 2023].</w:t>
      </w:r>
    </w:p>
    <w:p w14:paraId="412A9977" w14:textId="77777777" w:rsidR="00B22632" w:rsidRDefault="00B22632" w:rsidP="00D45003">
      <w:r w:rsidRPr="00410873">
        <w:t>HMP Forest Bank. (2015). Reducing reoffending. [Online]. www.hmpforestbank.co.uk. Available at: https://www.hmpforestbank.co.uk/home/about-the-prison/reducing-reoffending.html [Accessed 20 April 2023].</w:t>
      </w:r>
    </w:p>
    <w:p w14:paraId="1A4E40A0" w14:textId="77777777" w:rsidR="00B22632" w:rsidRDefault="00B22632" w:rsidP="00075AEE">
      <w:pPr>
        <w:rPr>
          <w:rFonts w:cstheme="minorHAnsi"/>
        </w:rPr>
      </w:pPr>
      <w:r w:rsidRPr="003003F9">
        <w:rPr>
          <w:rFonts w:cstheme="minorHAnsi"/>
        </w:rPr>
        <w:lastRenderedPageBreak/>
        <w:t>Home Office (2018). Early Intervention Youth Fund. [Online]. www.assets.publishing.service.gov.uk. Available at: https://assets.publishing.service.gov.uk/government/uploads/system/uploads/attachment_data/file/7302 [Accessed 20 April 2023].</w:t>
      </w:r>
    </w:p>
    <w:p w14:paraId="4711FE29" w14:textId="77777777" w:rsidR="00B22632" w:rsidRDefault="00B22632" w:rsidP="00D45003">
      <w:r w:rsidRPr="003F15A0">
        <w:t>Home Office. (2010). Breaking the Cycle: Effective Punishment, Rehabilitation and Sentencing of Offenders. [Online]. www.assets.publishing.service.gov.uk. Available at: https://assets.publishing.service.gov.uk/government/uploads/system/uploads/attachment_data/file/1859 [Accessed 21 April 2023].</w:t>
      </w:r>
    </w:p>
    <w:p w14:paraId="1850420A" w14:textId="77777777" w:rsidR="00B22632" w:rsidRDefault="00B22632" w:rsidP="00D45003">
      <w:r w:rsidRPr="00014FBF">
        <w:t>Home Office. (2013). Integrated offender management (IOM). [Online]. www.gov.uk. Available at: https://www.gov.uk/guidance/integrated-offender-management-iom [Accessed 20 April 2023].</w:t>
      </w:r>
    </w:p>
    <w:p w14:paraId="5A0236A0" w14:textId="77777777" w:rsidR="00B22632" w:rsidRDefault="00B22632" w:rsidP="001959AE">
      <w:pPr>
        <w:spacing w:after="360"/>
      </w:pPr>
      <w:r>
        <w:t>IOPC (2021) About us. Available at: https://www.policeconduct.gov.uk/about-us (Accessed: 12 April 2023).</w:t>
      </w:r>
    </w:p>
    <w:p w14:paraId="21F66C6C" w14:textId="77777777" w:rsidR="00B22632" w:rsidRDefault="00B22632" w:rsidP="001959AE">
      <w:pPr>
        <w:spacing w:after="360"/>
      </w:pPr>
      <w:r w:rsidRPr="00286569">
        <w:t>IOPC. (2023). Our Investigations. [Online]. https://www.policeconduct.gov.uk/. Available at: https://www.policeconduct.gov.uk/investigations/our-investigations [Accessed 1 May 2023].</w:t>
      </w:r>
    </w:p>
    <w:p w14:paraId="05AA2BFA" w14:textId="77777777" w:rsidR="00B22632" w:rsidRDefault="00B22632" w:rsidP="00D45003">
      <w:proofErr w:type="spellStart"/>
      <w:r>
        <w:t>Kemshall</w:t>
      </w:r>
      <w:proofErr w:type="spellEnd"/>
      <w:r>
        <w:t xml:space="preserve">, H. &amp; Maguire, M. (2001) 'Public Protection, Partnership and Risk </w:t>
      </w:r>
      <w:proofErr w:type="spellStart"/>
      <w:r>
        <w:t>Penality</w:t>
      </w:r>
      <w:proofErr w:type="spellEnd"/>
      <w:r>
        <w:t>: The Multi-Agency Risk Management of Sexual and Violent Offenders', Punishment &amp; Society, 3(2), pp. 237-264.</w:t>
      </w:r>
    </w:p>
    <w:p w14:paraId="6C65C6E5" w14:textId="77777777" w:rsidR="00B22632" w:rsidRDefault="00B22632" w:rsidP="00075AEE">
      <w:r w:rsidRPr="00800D68">
        <w:t xml:space="preserve">Lilienfeld, SO., Lynn, SJ., </w:t>
      </w:r>
      <w:proofErr w:type="spellStart"/>
      <w:r w:rsidRPr="00800D68">
        <w:t>Ruscio</w:t>
      </w:r>
      <w:proofErr w:type="spellEnd"/>
      <w:r w:rsidRPr="00800D68">
        <w:t xml:space="preserve">, J., &amp; Beyerstein, BL. (2010). 50 GREAT MYTHS OF POPULAR PSYCHOLOGY: Shattering Widespread Misconceptions about Human </w:t>
      </w:r>
      <w:proofErr w:type="spellStart"/>
      <w:r w:rsidRPr="00800D68">
        <w:t>Behavior</w:t>
      </w:r>
      <w:proofErr w:type="spellEnd"/>
      <w:r w:rsidRPr="00800D68">
        <w:t>. Malden, MA: Wiley- Blackwell.</w:t>
      </w:r>
    </w:p>
    <w:p w14:paraId="178C3E6C" w14:textId="77777777" w:rsidR="00B22632" w:rsidRDefault="00B22632" w:rsidP="00663C06">
      <w:r w:rsidRPr="00A90772">
        <w:t>Lumsden, K. &amp; Black, A. (2017) 'Austerity Policing, Emotional Labour and the Boundaries of Police Work: An Ethnography of a Police Force Control Room in England', The British Journal of Criminology, 57(2), pp. 275-291.</w:t>
      </w:r>
    </w:p>
    <w:p w14:paraId="7A437931" w14:textId="77777777" w:rsidR="00B22632" w:rsidRDefault="00B22632" w:rsidP="001959AE">
      <w:pPr>
        <w:spacing w:after="360"/>
      </w:pPr>
      <w:r>
        <w:t>Macpherson, W. (1999) The Stephen Lawrence Inquiry: Report of an Inquiry by Sir William Macpherson of Cluny. Cm 4262-I. London: The Stationery Office.</w:t>
      </w:r>
    </w:p>
    <w:p w14:paraId="098D4357" w14:textId="77777777" w:rsidR="00B22632" w:rsidRDefault="00B22632" w:rsidP="00D45003">
      <w:r w:rsidRPr="00757F99">
        <w:t>Mark Peck. (2011). Patterns of reconviction among offenders eligible for Multi-Agency Public Protection Arrangements (MAPPA). [Online]. www.assets.publishing.service.gov.uk. Available at: https://assets.publishing.service.gov.uk/government/uploads/system/uploads/attachment_data/file/2173 [Accessed 20 April 2023].</w:t>
      </w:r>
    </w:p>
    <w:p w14:paraId="0B5D21DF" w14:textId="77777777" w:rsidR="00B22632" w:rsidRPr="003003F9" w:rsidRDefault="00B22632" w:rsidP="00075AEE">
      <w:pPr>
        <w:rPr>
          <w:rFonts w:cstheme="minorHAnsi"/>
        </w:rPr>
      </w:pPr>
      <w:r w:rsidRPr="003003F9">
        <w:rPr>
          <w:rFonts w:cstheme="minorHAnsi"/>
        </w:rPr>
        <w:t>Mary O'Hara (2013). Youth justice system is 'failing vulnerable young offenders'. The Guardian. [Online]. 5 February 2013. Available at https://www.theguardian.com/society/2013/feb/05/youth-justice-failing-young-offenders [Accessed 20 April 2023].</w:t>
      </w:r>
    </w:p>
    <w:p w14:paraId="0EE92382" w14:textId="77777777" w:rsidR="00B22632" w:rsidRPr="00A90772" w:rsidRDefault="00B22632" w:rsidP="00663C06">
      <w:proofErr w:type="spellStart"/>
      <w:r w:rsidRPr="00A90772">
        <w:t>Mawby</w:t>
      </w:r>
      <w:proofErr w:type="spellEnd"/>
      <w:r w:rsidRPr="00A90772">
        <w:t>, R.C., 2002. Policing Images: Policing, Communication and Legitimacy. Cullompton: Willan Publishing.</w:t>
      </w:r>
    </w:p>
    <w:p w14:paraId="2103EE3F" w14:textId="77777777" w:rsidR="00B22632" w:rsidRPr="00A90772" w:rsidRDefault="00B22632" w:rsidP="00663C06">
      <w:r w:rsidRPr="00A90772">
        <w:t xml:space="preserve">McCombs, Maxwell E., and Donald L. Shaw. “The </w:t>
      </w:r>
      <w:proofErr w:type="gramStart"/>
      <w:r w:rsidRPr="00A90772">
        <w:t>Agenda</w:t>
      </w:r>
      <w:proofErr w:type="gramEnd"/>
      <w:r w:rsidRPr="00A90772">
        <w:t>-Setting Function of Mass Media.” The Public Opinion Quarterly, vol. 36, no. 2, 1972, pp. 176–87. JSTOR, http://www.jstor.org/stable/2747787. Accessed 1 May 2023.</w:t>
      </w:r>
    </w:p>
    <w:p w14:paraId="5CAD8C4B" w14:textId="77777777" w:rsidR="00B22632" w:rsidRDefault="00B22632" w:rsidP="001959AE">
      <w:pPr>
        <w:spacing w:after="360"/>
      </w:pPr>
    </w:p>
    <w:p w14:paraId="2ED7AD52" w14:textId="524FDBBC" w:rsidR="00B22632" w:rsidRDefault="00B22632" w:rsidP="001959AE">
      <w:pPr>
        <w:spacing w:after="360"/>
      </w:pPr>
      <w:r>
        <w:lastRenderedPageBreak/>
        <w:t>McLaughlin, E. (2007). Theorizing the Stephen Lawrence case. In Newburn, T. and Reiner, R. (eds.), Policing: Key Readings, 543-552. Cullompton: Willan.</w:t>
      </w:r>
    </w:p>
    <w:p w14:paraId="2320F2BD" w14:textId="77777777" w:rsidR="00B22632" w:rsidRDefault="00B22632" w:rsidP="00075AEE">
      <w:pPr>
        <w:rPr>
          <w:rFonts w:cstheme="minorHAnsi"/>
        </w:rPr>
      </w:pPr>
      <w:r w:rsidRPr="004B2AF5">
        <w:rPr>
          <w:rFonts w:cstheme="minorHAnsi"/>
        </w:rPr>
        <w:t>Miner-Romanoff</w:t>
      </w:r>
      <w:r>
        <w:rPr>
          <w:rFonts w:cstheme="minorHAnsi"/>
        </w:rPr>
        <w:t>, K</w:t>
      </w:r>
      <w:r w:rsidRPr="004B2AF5">
        <w:rPr>
          <w:rFonts w:cstheme="minorHAnsi"/>
        </w:rPr>
        <w:t xml:space="preserve">. (2015) Juvenile Justice Education </w:t>
      </w:r>
      <w:proofErr w:type="gramStart"/>
      <w:r w:rsidRPr="004B2AF5">
        <w:rPr>
          <w:rFonts w:cstheme="minorHAnsi"/>
        </w:rPr>
        <w:t>For</w:t>
      </w:r>
      <w:proofErr w:type="gramEnd"/>
      <w:r w:rsidRPr="004B2AF5">
        <w:rPr>
          <w:rFonts w:cstheme="minorHAnsi"/>
        </w:rPr>
        <w:t xml:space="preserve"> At-risk High School Youth: A Pilot Program. Journal of Criminal Justice Education 26:1, pages 22-48.</w:t>
      </w:r>
    </w:p>
    <w:p w14:paraId="420D0F3B" w14:textId="77777777" w:rsidR="00B22632" w:rsidRDefault="00B22632" w:rsidP="00075AEE">
      <w:pPr>
        <w:rPr>
          <w:rFonts w:cstheme="minorHAnsi"/>
        </w:rPr>
      </w:pPr>
      <w:r w:rsidRPr="0065527F">
        <w:rPr>
          <w:rFonts w:cstheme="minorHAnsi"/>
        </w:rPr>
        <w:t>Ministry of Justice. (2018). Youth Justice Statistics 2016/17. [Online]. www.gov.uk/government/statistics/youth-justice-annual-statistics-2016-to-2017. Available at: https://assets.publishing.service.gov.uk/government/uploads/system/uploads/attachment_data/file/6760 [Accessed 7 May 2023].</w:t>
      </w:r>
    </w:p>
    <w:p w14:paraId="0A0E2AB8" w14:textId="77777777" w:rsidR="00B22632" w:rsidRDefault="00B22632" w:rsidP="001959AE">
      <w:pPr>
        <w:spacing w:after="360"/>
      </w:pPr>
      <w:r w:rsidRPr="002F0448">
        <w:t>Murphy</w:t>
      </w:r>
      <w:r>
        <w:t>, N</w:t>
      </w:r>
      <w:r w:rsidRPr="002F0448">
        <w:t>. (2017). ‘The Role of the Solicitor at the Police Station’. [Online]. https://krw-law.ie/. Available at: https://krw-law.ie/wp-content/uploads/2017/05/The-Role-of-a-Solicitor-in-the-Police-Station-PACE-IPL [Accessed 1 May 2023].</w:t>
      </w:r>
    </w:p>
    <w:p w14:paraId="5C8997FA" w14:textId="77777777" w:rsidR="00B22632" w:rsidRPr="00A90772" w:rsidRDefault="00B22632" w:rsidP="00663C06">
      <w:proofErr w:type="spellStart"/>
      <w:r w:rsidRPr="0005033A">
        <w:t>Naoroz</w:t>
      </w:r>
      <w:proofErr w:type="spellEnd"/>
      <w:r>
        <w:t xml:space="preserve"> ,C &amp;</w:t>
      </w:r>
      <w:r w:rsidRPr="0005033A">
        <w:t xml:space="preserve"> </w:t>
      </w:r>
      <w:proofErr w:type="spellStart"/>
      <w:r w:rsidRPr="0005033A">
        <w:t>Cleary,</w:t>
      </w:r>
      <w:r>
        <w:t>H</w:t>
      </w:r>
      <w:proofErr w:type="spellEnd"/>
      <w:r>
        <w:t xml:space="preserve"> (</w:t>
      </w:r>
      <w:r w:rsidRPr="00C759D0">
        <w:t>2019</w:t>
      </w:r>
      <w:r>
        <w:t>) ’</w:t>
      </w:r>
      <w:r w:rsidRPr="0005033A">
        <w:t>News Media Framing of Police Body-Worn Cameras: A Content Analysis</w:t>
      </w:r>
      <w:r>
        <w:t>’</w:t>
      </w:r>
      <w:r w:rsidRPr="0005033A">
        <w:t>, Policing: A Journal of Policy and Practice, Volume 15, Issue 1, March 2021, Pages 540–555, https://doi.org/10.1093/police/paz018</w:t>
      </w:r>
    </w:p>
    <w:p w14:paraId="2598486F" w14:textId="77777777" w:rsidR="00B22632" w:rsidRDefault="00B22632" w:rsidP="00D45003">
      <w:proofErr w:type="spellStart"/>
      <w:r w:rsidRPr="003C1481">
        <w:t>Nasrul</w:t>
      </w:r>
      <w:proofErr w:type="spellEnd"/>
      <w:r w:rsidRPr="003C1481">
        <w:t xml:space="preserve"> Ismail. (2022). After a decade of austerity, urgent changes are needed to improve prison services. [Online]. www.bristol.ac.uk. Available at: https://www.bristol.ac.uk/policybristol/policy-briefings/prison-funding-austerity/ [Accessed 20 April 2023].</w:t>
      </w:r>
    </w:p>
    <w:p w14:paraId="5E1F9267" w14:textId="77777777" w:rsidR="00B22632" w:rsidRDefault="00B22632" w:rsidP="00075AEE">
      <w:r w:rsidRPr="001A0009">
        <w:t xml:space="preserve">Olds, D.L., </w:t>
      </w:r>
      <w:proofErr w:type="spellStart"/>
      <w:r w:rsidRPr="001A0009">
        <w:t>Eckenrode</w:t>
      </w:r>
      <w:proofErr w:type="spellEnd"/>
      <w:r w:rsidRPr="001A0009">
        <w:t xml:space="preserve">, J., Henderson, C.R., </w:t>
      </w:r>
      <w:proofErr w:type="spellStart"/>
      <w:r w:rsidRPr="001A0009">
        <w:t>Kitzman</w:t>
      </w:r>
      <w:proofErr w:type="spellEnd"/>
      <w:r w:rsidRPr="001A0009">
        <w:t xml:space="preserve">, H., Powers, J., Cole, R., </w:t>
      </w:r>
      <w:proofErr w:type="spellStart"/>
      <w:r w:rsidRPr="001A0009">
        <w:t>Sidora</w:t>
      </w:r>
      <w:proofErr w:type="spellEnd"/>
      <w:r w:rsidRPr="001A0009">
        <w:t xml:space="preserve">, K., Morris, P., Pettitt, L.M., and </w:t>
      </w:r>
      <w:proofErr w:type="spellStart"/>
      <w:r w:rsidRPr="001A0009">
        <w:t>Luckey</w:t>
      </w:r>
      <w:proofErr w:type="spellEnd"/>
      <w:r w:rsidRPr="001A0009">
        <w:t xml:space="preserve">, D. (1998) 'Long-term effects of home visitation on maternal life course and child abuse and neglect: Fifteen-year follow-up of a randomized trial', JAMA, 280(14), pp. </w:t>
      </w:r>
      <w:r>
        <w:t>637</w:t>
      </w:r>
      <w:r w:rsidRPr="001A0009">
        <w:t>-</w:t>
      </w:r>
      <w:r>
        <w:t>643</w:t>
      </w:r>
      <w:r w:rsidRPr="001A0009">
        <w:t>.</w:t>
      </w:r>
    </w:p>
    <w:p w14:paraId="7C406F94" w14:textId="77777777" w:rsidR="00B22632" w:rsidRDefault="00B22632" w:rsidP="00075AEE">
      <w:proofErr w:type="spellStart"/>
      <w:r w:rsidRPr="00F71F24">
        <w:t>Petrosino</w:t>
      </w:r>
      <w:proofErr w:type="spellEnd"/>
      <w:r w:rsidRPr="00F71F24">
        <w:t>, A., Turpin-</w:t>
      </w:r>
      <w:proofErr w:type="spellStart"/>
      <w:r w:rsidRPr="00F71F24">
        <w:t>Petrosino</w:t>
      </w:r>
      <w:proofErr w:type="spellEnd"/>
      <w:r w:rsidRPr="00F71F24">
        <w:t xml:space="preserve">, C. and Buehler, J. (2013) 'Scared Straight and other juvenile awareness programs for preventing juvenile delinquency: A systematic review of the randomized experimental evidence', Annals of the American Academy of Political and Social Science, 589(1), pp. 41-62. </w:t>
      </w:r>
      <w:proofErr w:type="spellStart"/>
      <w:r w:rsidRPr="00F71F24">
        <w:t>doi</w:t>
      </w:r>
      <w:proofErr w:type="spellEnd"/>
      <w:r w:rsidRPr="00F71F24">
        <w:t>: 10.1177/0002716203254693.</w:t>
      </w:r>
    </w:p>
    <w:p w14:paraId="4F056BC3" w14:textId="77777777" w:rsidR="00B22632" w:rsidRPr="00A90772" w:rsidRDefault="00B22632" w:rsidP="00663C06">
      <w:r w:rsidRPr="00A90772">
        <w:t xml:space="preserve">Reiner, R. (2010) The Politics of the Police, pp.177-201. Oxford: Oxford University Press. </w:t>
      </w:r>
    </w:p>
    <w:p w14:paraId="1E04005E" w14:textId="77777777" w:rsidR="00B22632" w:rsidRDefault="00B22632" w:rsidP="001959AE">
      <w:pPr>
        <w:spacing w:after="360"/>
      </w:pPr>
      <w:r>
        <w:t>Reiner, R. (2010) The Politics of the Police. 4th ed. Oxford: Oxford University Press.</w:t>
      </w:r>
    </w:p>
    <w:p w14:paraId="1A8ED88A" w14:textId="77777777" w:rsidR="00B22632" w:rsidRDefault="00B22632" w:rsidP="001959AE">
      <w:pPr>
        <w:spacing w:after="360"/>
      </w:pPr>
      <w:proofErr w:type="spellStart"/>
      <w:r>
        <w:t>Scraton</w:t>
      </w:r>
      <w:proofErr w:type="spellEnd"/>
      <w:r>
        <w:t>, P. (2016) Hillsborough: The Truth. 3rd ed. Edinburgh: Mainstream Publishing.</w:t>
      </w:r>
    </w:p>
    <w:p w14:paraId="7515D70F" w14:textId="77777777" w:rsidR="00B22632" w:rsidRDefault="00B22632" w:rsidP="00D45003">
      <w:r w:rsidRPr="00014FBF">
        <w:t xml:space="preserve">Senior, P., Wong, K., Culshaw, A., </w:t>
      </w:r>
      <w:proofErr w:type="spellStart"/>
      <w:r w:rsidRPr="00014FBF">
        <w:t>Ellingworth</w:t>
      </w:r>
      <w:proofErr w:type="spellEnd"/>
      <w:r w:rsidRPr="00014FBF">
        <w:t>, D., O'Keeffe, C. and Meadows, L., 2011. Process evaluation of five Integrated Offender Management Pioneer Areas. Sheffield: Centre for Regional Economic and Social Research, Sheffield Hallam University.</w:t>
      </w:r>
    </w:p>
    <w:p w14:paraId="61E84BBD" w14:textId="77777777" w:rsidR="00B22632" w:rsidRDefault="00B22632" w:rsidP="001959AE">
      <w:pPr>
        <w:spacing w:after="360"/>
      </w:pPr>
      <w:proofErr w:type="spellStart"/>
      <w:r>
        <w:t>Solomos</w:t>
      </w:r>
      <w:proofErr w:type="spellEnd"/>
      <w:r>
        <w:t>, J. (2003). Race and Racism in Britain. Basingstoke: Palgrave Macmillan.</w:t>
      </w:r>
    </w:p>
    <w:p w14:paraId="27AE8414" w14:textId="77777777" w:rsidR="00B22632" w:rsidRDefault="00B22632" w:rsidP="00D45003">
      <w:r w:rsidRPr="003F15A0">
        <w:t xml:space="preserve">Sullivan, H. &amp; </w:t>
      </w:r>
      <w:proofErr w:type="spellStart"/>
      <w:r w:rsidRPr="003F15A0">
        <w:t>Skelcher</w:t>
      </w:r>
      <w:proofErr w:type="spellEnd"/>
      <w:r w:rsidRPr="003F15A0">
        <w:t>, C. (2002) 'Working Across Boundaries: Collaboration in Public Services', Basingstoke: Palgrave Macmillan.</w:t>
      </w:r>
    </w:p>
    <w:p w14:paraId="6D0DB4C0" w14:textId="77777777" w:rsidR="00B22632" w:rsidRDefault="00B22632" w:rsidP="001959AE">
      <w:pPr>
        <w:spacing w:after="360"/>
      </w:pPr>
      <w:r>
        <w:t>Taylor, P. (1989) The Hillsborough Stadium Disaster: Inquiry by Lord Justice Taylor. Cm 962. London: HMSO.</w:t>
      </w:r>
    </w:p>
    <w:p w14:paraId="41DC2083" w14:textId="77777777" w:rsidR="00B22632" w:rsidRPr="00A90772" w:rsidRDefault="00B22632" w:rsidP="00663C06">
      <w:r w:rsidRPr="00A90772">
        <w:lastRenderedPageBreak/>
        <w:t xml:space="preserve">The Guardian. (2014). </w:t>
      </w:r>
      <w:proofErr w:type="spellStart"/>
      <w:r w:rsidRPr="00A90772">
        <w:t>Plebgate</w:t>
      </w:r>
      <w:proofErr w:type="spellEnd"/>
      <w:r w:rsidRPr="00A90772">
        <w:t xml:space="preserve"> row: PC Keith Wallis jailed for a year for lying about Andrew Mitchell. [Online]. www.theguardian.com/uk-news/. Available at: https://www.theguardian.com/uk-news/2014/feb/06/plebgate-keith-wallis-jailed-police-andrew-mitchell [Accessed 1 May 2023].</w:t>
      </w:r>
    </w:p>
    <w:p w14:paraId="34D817AF" w14:textId="77777777" w:rsidR="00B22632" w:rsidRPr="00A90772" w:rsidRDefault="00B22632" w:rsidP="00663C06">
      <w:r w:rsidRPr="00A90772">
        <w:t>The Guardian. (2017). Oxford Street panic began with fight at tube station, suggest police. [Online]. www.theguardian.com. Available at: https://www.theguardian.com/uk-news/2017/nov/24/oxford-circus-police-attend-tube-incident [Accessed 1 May 2023].</w:t>
      </w:r>
    </w:p>
    <w:p w14:paraId="61116319" w14:textId="77777777" w:rsidR="00B22632" w:rsidRDefault="00B22632" w:rsidP="00663C06">
      <w:r w:rsidRPr="00A90772">
        <w:t>The Times. (2013). ‘</w:t>
      </w:r>
      <w:proofErr w:type="spellStart"/>
      <w:r w:rsidRPr="00A90772">
        <w:t>Plebgate</w:t>
      </w:r>
      <w:proofErr w:type="spellEnd"/>
      <w:r w:rsidRPr="00A90772">
        <w:t>’ police risk losing public trust, warns May. [Online]. www.thetimes.co.uk. Available at: https://www.thetimes.co.uk/article/plebgate-police-risk-losing-public-trust-warns-may-ffjn9lp5kfc [Accessed 2 May 2023].</w:t>
      </w:r>
    </w:p>
    <w:p w14:paraId="73139DB4" w14:textId="77777777" w:rsidR="00B22632" w:rsidRDefault="00B22632" w:rsidP="00075AEE">
      <w:r w:rsidRPr="00CC2FC0">
        <w:t xml:space="preserve">Tolan, P. H., Henry, D. B., </w:t>
      </w:r>
      <w:proofErr w:type="spellStart"/>
      <w:r w:rsidRPr="00CC2FC0">
        <w:t>Schoeny</w:t>
      </w:r>
      <w:proofErr w:type="spellEnd"/>
      <w:r w:rsidRPr="00CC2FC0">
        <w:t>, M. S., Lovegrove, P., &amp; Nichols, E. (2013). Mentoring programs to affect delinquency and associated outcomes of youth at risk: A comprehensive meta-analytic review. Journal of Experimental Criminology, 10(2), 179-206.</w:t>
      </w:r>
    </w:p>
    <w:p w14:paraId="52960A9C" w14:textId="77777777" w:rsidR="00B22632" w:rsidRDefault="00B22632" w:rsidP="00075AEE">
      <w:r w:rsidRPr="001A0009">
        <w:t>Welsh, B.C. and Farrington, D.P. (2011) 'The benefits and costs of early prevention compared with imprisonment: Towards evidence-based policy', The Prison Journal, 91(3_suppl), pp. 120S-137S.</w:t>
      </w:r>
    </w:p>
    <w:p w14:paraId="6121E533" w14:textId="77777777" w:rsidR="00B22632" w:rsidRDefault="00B22632" w:rsidP="00D45003">
      <w:r w:rsidRPr="002C4875">
        <w:t>West Yorkshire Police and Crime Commissioner. (2011). Partnership Working. [Online]. www.westyorkshire-pcc.gov.uk. Available at: https://www.westyorkshire-pcc.gov.uk/partnership/partnership-working.html [Accessed 20 April 2023].</w:t>
      </w:r>
    </w:p>
    <w:p w14:paraId="6C62D042" w14:textId="77777777" w:rsidR="00B22632" w:rsidRDefault="00B22632" w:rsidP="00D45003">
      <w:pPr>
        <w:pStyle w:val="p3"/>
        <w:spacing w:before="0" w:beforeAutospacing="0" w:after="0" w:afterAutospacing="0"/>
        <w:rPr>
          <w:color w:val="000000"/>
        </w:rPr>
      </w:pPr>
      <w:r>
        <w:rPr>
          <w:rStyle w:val="s2"/>
          <w:color w:val="000000"/>
        </w:rPr>
        <w:t xml:space="preserve">Williams, K., </w:t>
      </w:r>
      <w:proofErr w:type="spellStart"/>
      <w:r>
        <w:rPr>
          <w:rStyle w:val="s2"/>
          <w:color w:val="000000"/>
        </w:rPr>
        <w:t>Papadopoulou</w:t>
      </w:r>
      <w:proofErr w:type="spellEnd"/>
      <w:r>
        <w:rPr>
          <w:rStyle w:val="s2"/>
          <w:color w:val="000000"/>
        </w:rPr>
        <w:t>, V. and Booth, N., 2012. Prisoners' childhood and family backgrounds: Results from the Surveying Prisoner Crime Reduction (SPCR) longitudinal cohort study of prisoners. London: Ministry of Justice.</w:t>
      </w:r>
    </w:p>
    <w:p w14:paraId="25DC620C" w14:textId="77777777" w:rsidR="00B22632" w:rsidRDefault="00B22632" w:rsidP="00075AEE">
      <w:pPr>
        <w:rPr>
          <w:rFonts w:cstheme="minorHAnsi"/>
        </w:rPr>
      </w:pPr>
      <w:r w:rsidRPr="003003F9">
        <w:rPr>
          <w:rFonts w:cstheme="minorHAnsi"/>
        </w:rPr>
        <w:t>Youth Justice Legal Centre (2022). Youth Offending Team (YOT). [Online]. www.yjlc.uk. Available at: https://yjlc.uk/resources/legal-terms-z/youth-offending-team-yot [Accessed 20 April 2023].</w:t>
      </w:r>
    </w:p>
    <w:sectPr w:rsidR="00B22632">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1285E2" w14:textId="77777777" w:rsidR="00EA0F61" w:rsidRDefault="00EA0F61" w:rsidP="0049169D">
      <w:pPr>
        <w:spacing w:after="0" w:line="240" w:lineRule="auto"/>
      </w:pPr>
      <w:r>
        <w:separator/>
      </w:r>
    </w:p>
  </w:endnote>
  <w:endnote w:type="continuationSeparator" w:id="0">
    <w:p w14:paraId="33853474" w14:textId="77777777" w:rsidR="00EA0F61" w:rsidRDefault="00EA0F61" w:rsidP="004916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7268344"/>
      <w:docPartObj>
        <w:docPartGallery w:val="Page Numbers (Bottom of Page)"/>
        <w:docPartUnique/>
      </w:docPartObj>
    </w:sdtPr>
    <w:sdtContent>
      <w:p w14:paraId="56793AA5" w14:textId="38196A84" w:rsidR="00D13ADD" w:rsidRDefault="00D13ADD">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2273E29" w14:textId="77777777" w:rsidR="00A9080D" w:rsidRDefault="00A908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731D89" w14:textId="77777777" w:rsidR="00EA0F61" w:rsidRDefault="00EA0F61" w:rsidP="0049169D">
      <w:pPr>
        <w:spacing w:after="0" w:line="240" w:lineRule="auto"/>
      </w:pPr>
      <w:r>
        <w:separator/>
      </w:r>
    </w:p>
  </w:footnote>
  <w:footnote w:type="continuationSeparator" w:id="0">
    <w:p w14:paraId="23704E28" w14:textId="77777777" w:rsidR="00EA0F61" w:rsidRDefault="00EA0F61" w:rsidP="0049169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169D"/>
    <w:rsid w:val="00075AEE"/>
    <w:rsid w:val="001416D0"/>
    <w:rsid w:val="001959AE"/>
    <w:rsid w:val="00265C3D"/>
    <w:rsid w:val="002C1000"/>
    <w:rsid w:val="002C630B"/>
    <w:rsid w:val="003C494C"/>
    <w:rsid w:val="0049169D"/>
    <w:rsid w:val="0051608F"/>
    <w:rsid w:val="00597EED"/>
    <w:rsid w:val="00650BC9"/>
    <w:rsid w:val="00663C06"/>
    <w:rsid w:val="006E5F52"/>
    <w:rsid w:val="00A9080D"/>
    <w:rsid w:val="00B22632"/>
    <w:rsid w:val="00B541F2"/>
    <w:rsid w:val="00D13ADD"/>
    <w:rsid w:val="00D45003"/>
    <w:rsid w:val="00EA0F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4D923E"/>
  <w15:chartTrackingRefBased/>
  <w15:docId w15:val="{565E8C64-B9AC-45BD-BBEB-6393D25BE8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51608F"/>
    <w:pPr>
      <w:spacing w:before="100" w:beforeAutospacing="1" w:after="100" w:afterAutospacing="1" w:line="240" w:lineRule="auto"/>
    </w:pPr>
    <w:rPr>
      <w:rFonts w:ascii="Calibri" w:hAnsi="Calibri" w:cs="Calibri"/>
      <w:lang w:eastAsia="en-GB"/>
    </w:rPr>
  </w:style>
  <w:style w:type="character" w:customStyle="1" w:styleId="s1">
    <w:name w:val="s1"/>
    <w:basedOn w:val="DefaultParagraphFont"/>
    <w:rsid w:val="0051608F"/>
  </w:style>
  <w:style w:type="paragraph" w:customStyle="1" w:styleId="p2">
    <w:name w:val="p2"/>
    <w:basedOn w:val="Normal"/>
    <w:rsid w:val="00597EED"/>
    <w:pPr>
      <w:spacing w:before="100" w:beforeAutospacing="1" w:after="100" w:afterAutospacing="1" w:line="240" w:lineRule="auto"/>
    </w:pPr>
    <w:rPr>
      <w:rFonts w:ascii="Calibri" w:hAnsi="Calibri" w:cs="Calibri"/>
      <w:lang w:eastAsia="en-GB"/>
    </w:rPr>
  </w:style>
  <w:style w:type="character" w:customStyle="1" w:styleId="s2">
    <w:name w:val="s2"/>
    <w:basedOn w:val="DefaultParagraphFont"/>
    <w:rsid w:val="00597EED"/>
  </w:style>
  <w:style w:type="paragraph" w:styleId="PlainText">
    <w:name w:val="Plain Text"/>
    <w:basedOn w:val="Normal"/>
    <w:link w:val="PlainTextChar"/>
    <w:uiPriority w:val="99"/>
    <w:unhideWhenUsed/>
    <w:rsid w:val="00663C06"/>
    <w:pPr>
      <w:spacing w:after="0" w:line="240" w:lineRule="auto"/>
    </w:pPr>
    <w:rPr>
      <w:rFonts w:ascii="Calibri" w:hAnsi="Calibri"/>
      <w:szCs w:val="21"/>
    </w:rPr>
  </w:style>
  <w:style w:type="character" w:customStyle="1" w:styleId="PlainTextChar">
    <w:name w:val="Plain Text Char"/>
    <w:basedOn w:val="DefaultParagraphFont"/>
    <w:link w:val="PlainText"/>
    <w:uiPriority w:val="99"/>
    <w:rsid w:val="00663C06"/>
    <w:rPr>
      <w:rFonts w:ascii="Calibri" w:hAnsi="Calibri"/>
      <w:szCs w:val="21"/>
    </w:rPr>
  </w:style>
  <w:style w:type="paragraph" w:customStyle="1" w:styleId="p3">
    <w:name w:val="p3"/>
    <w:basedOn w:val="Normal"/>
    <w:rsid w:val="00D45003"/>
    <w:pPr>
      <w:spacing w:before="100" w:beforeAutospacing="1" w:after="100" w:afterAutospacing="1" w:line="240" w:lineRule="auto"/>
    </w:pPr>
    <w:rPr>
      <w:rFonts w:ascii="Calibri" w:hAnsi="Calibri" w:cs="Calibri"/>
      <w:lang w:eastAsia="en-GB"/>
    </w:rPr>
  </w:style>
  <w:style w:type="paragraph" w:styleId="Header">
    <w:name w:val="header"/>
    <w:basedOn w:val="Normal"/>
    <w:link w:val="HeaderChar"/>
    <w:uiPriority w:val="99"/>
    <w:unhideWhenUsed/>
    <w:rsid w:val="00A908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080D"/>
  </w:style>
  <w:style w:type="paragraph" w:styleId="Footer">
    <w:name w:val="footer"/>
    <w:basedOn w:val="Normal"/>
    <w:link w:val="FooterChar"/>
    <w:uiPriority w:val="99"/>
    <w:unhideWhenUsed/>
    <w:rsid w:val="00A908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08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16</Pages>
  <Words>6444</Words>
  <Characters>36737</Characters>
  <Application>Microsoft Office Word</Application>
  <DocSecurity>0</DocSecurity>
  <Lines>306</Lines>
  <Paragraphs>86</Paragraphs>
  <ScaleCrop>false</ScaleCrop>
  <Company>South Wales Police</Company>
  <LinksUpToDate>false</LinksUpToDate>
  <CharactersWithSpaces>43095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Lee,William swp8127</dc:creator>
  <cp:keywords/>
  <dc:description/>
  <cp:lastModifiedBy>Lee,William swp8127</cp:lastModifiedBy>
  <cp:revision>17</cp:revision>
  <dcterms:created xsi:type="dcterms:W3CDTF">2023-04-20T14:19:00Z</dcterms:created>
  <dcterms:modified xsi:type="dcterms:W3CDTF">2023-05-08T16:26:00Z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2023-04-20T14:21:18Z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bd4fc0f2-3fdf-4247-a27f-3c9879c0d4da</vt:lpwstr>
  </property>
  <property fmtid="{D5CDD505-2E9C-101B-9397-08002B2CF9AE}" pid="8" name="MSIP_Label_66cf8fe5-b7b7-4df7-b38d-1c61ac2f6639_ContentBits">
    <vt:lpwstr>0</vt:lpwstr>
  </property>
</Properties>
</file>