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4403988"/>
        <w:docPartObj>
          <w:docPartGallery w:val="Cover Pages"/>
          <w:docPartUnique/>
        </w:docPartObj>
      </w:sdtPr>
      <w:sdtEndPr>
        <w:rPr>
          <w:b/>
          <w:sz w:val="24"/>
          <w:szCs w:val="24"/>
        </w:rPr>
      </w:sdtEndPr>
      <w:sdtContent>
        <w:p w14:paraId="0EF88571" w14:textId="77777777" w:rsidR="001D7340" w:rsidRDefault="001D7340">
          <w:r>
            <w:rPr>
              <w:noProof/>
            </w:rPr>
            <mc:AlternateContent>
              <mc:Choice Requires="wpg">
                <w:drawing>
                  <wp:anchor distT="0" distB="0" distL="114300" distR="114300" simplePos="0" relativeHeight="251658240" behindDoc="1" locked="0" layoutInCell="1" allowOverlap="1" wp14:anchorId="1A68C7B4" wp14:editId="40C20C19">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EF4D22" w14:textId="4DD57A4C" w:rsidR="0042112B" w:rsidRPr="00690FFB" w:rsidRDefault="0042112B" w:rsidP="00E363C0">
                                  <w:pPr>
                                    <w:jc w:val="center"/>
                                    <w:rPr>
                                      <w:sz w:val="36"/>
                                      <w:szCs w:val="36"/>
                                    </w:rPr>
                                  </w:pPr>
                                  <w:r w:rsidRPr="00690FFB">
                                    <w:rPr>
                                      <w:sz w:val="36"/>
                                      <w:szCs w:val="36"/>
                                    </w:rPr>
                                    <w:t>Understanding Policing</w:t>
                                  </w:r>
                                  <w:r w:rsidR="009B5370">
                                    <w:rPr>
                                      <w:sz w:val="36"/>
                                      <w:szCs w:val="36"/>
                                    </w:rPr>
                                    <w:t xml:space="preserve"> (BMPS5008)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E814828" w14:textId="77777777" w:rsidR="0042112B" w:rsidRPr="00690FFB" w:rsidRDefault="0042112B">
                                      <w:pPr>
                                        <w:pStyle w:val="NoSpacing"/>
                                        <w:spacing w:before="120"/>
                                        <w:jc w:val="center"/>
                                        <w:rPr>
                                          <w:rFonts w:ascii="Times New Roman" w:hAnsi="Times New Roman" w:cs="Times New Roman"/>
                                          <w:color w:val="FFFFFF" w:themeColor="background1"/>
                                          <w:sz w:val="32"/>
                                          <w:szCs w:val="32"/>
                                        </w:rPr>
                                      </w:pPr>
                                      <w:r w:rsidRPr="00690FFB">
                                        <w:rPr>
                                          <w:rFonts w:ascii="Times New Roman" w:hAnsi="Times New Roman" w:cs="Times New Roman"/>
                                          <w:color w:val="FFFFFF" w:themeColor="background1"/>
                                          <w:sz w:val="32"/>
                                          <w:szCs w:val="32"/>
                                        </w:rPr>
                                        <w:t>Ellie John (1800758)</w:t>
                                      </w:r>
                                    </w:p>
                                  </w:sdtContent>
                                </w:sdt>
                                <w:p w14:paraId="70BA0C22" w14:textId="77777777" w:rsidR="0042112B" w:rsidRDefault="0042112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34EB5F" w14:textId="77777777" w:rsidR="0042112B" w:rsidRPr="00690FFB" w:rsidRDefault="0042112B">
                                      <w:pPr>
                                        <w:pStyle w:val="NoSpacing"/>
                                        <w:jc w:val="center"/>
                                        <w:rPr>
                                          <w:rFonts w:ascii="Times New Roman" w:eastAsiaTheme="majorEastAsia" w:hAnsi="Times New Roman" w:cs="Times New Roman"/>
                                          <w:caps/>
                                          <w:color w:val="4472C4" w:themeColor="accent1"/>
                                          <w:sz w:val="36"/>
                                          <w:szCs w:val="36"/>
                                        </w:rPr>
                                      </w:pPr>
                                      <w:r w:rsidRPr="00690FFB">
                                        <w:rPr>
                                          <w:rFonts w:ascii="Times New Roman" w:hAnsi="Times New Roman" w:cs="Times New Roman"/>
                                          <w:b/>
                                          <w:sz w:val="36"/>
                                          <w:szCs w:val="36"/>
                                        </w:rPr>
                                        <w:t>Evaluate the success and limitations of the Police and Criminal Evidence Act 1984 in preventing Miscarriages of Justice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68C7B4"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1CEF4D22" w14:textId="4DD57A4C" w:rsidR="0042112B" w:rsidRPr="00690FFB" w:rsidRDefault="0042112B" w:rsidP="00E363C0">
                            <w:pPr>
                              <w:jc w:val="center"/>
                              <w:rPr>
                                <w:sz w:val="36"/>
                                <w:szCs w:val="36"/>
                              </w:rPr>
                            </w:pPr>
                            <w:r w:rsidRPr="00690FFB">
                              <w:rPr>
                                <w:sz w:val="36"/>
                                <w:szCs w:val="36"/>
                              </w:rPr>
                              <w:t>Understanding Policing</w:t>
                            </w:r>
                            <w:r w:rsidR="009B5370">
                              <w:rPr>
                                <w:sz w:val="36"/>
                                <w:szCs w:val="36"/>
                              </w:rPr>
                              <w:t xml:space="preserve"> (BMPS5008)</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E814828" w14:textId="77777777" w:rsidR="0042112B" w:rsidRPr="00690FFB" w:rsidRDefault="0042112B">
                                <w:pPr>
                                  <w:pStyle w:val="NoSpacing"/>
                                  <w:spacing w:before="120"/>
                                  <w:jc w:val="center"/>
                                  <w:rPr>
                                    <w:rFonts w:ascii="Times New Roman" w:hAnsi="Times New Roman" w:cs="Times New Roman"/>
                                    <w:color w:val="FFFFFF" w:themeColor="background1"/>
                                    <w:sz w:val="32"/>
                                    <w:szCs w:val="32"/>
                                  </w:rPr>
                                </w:pPr>
                                <w:r w:rsidRPr="00690FFB">
                                  <w:rPr>
                                    <w:rFonts w:ascii="Times New Roman" w:hAnsi="Times New Roman" w:cs="Times New Roman"/>
                                    <w:color w:val="FFFFFF" w:themeColor="background1"/>
                                    <w:sz w:val="32"/>
                                    <w:szCs w:val="32"/>
                                  </w:rPr>
                                  <w:t>Ellie John (1800758)</w:t>
                                </w:r>
                              </w:p>
                            </w:sdtContent>
                          </w:sdt>
                          <w:p w14:paraId="70BA0C22" w14:textId="77777777" w:rsidR="0042112B" w:rsidRDefault="0042112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D34EB5F" w14:textId="77777777" w:rsidR="0042112B" w:rsidRPr="00690FFB" w:rsidRDefault="0042112B">
                                <w:pPr>
                                  <w:pStyle w:val="NoSpacing"/>
                                  <w:jc w:val="center"/>
                                  <w:rPr>
                                    <w:rFonts w:ascii="Times New Roman" w:eastAsiaTheme="majorEastAsia" w:hAnsi="Times New Roman" w:cs="Times New Roman"/>
                                    <w:caps/>
                                    <w:color w:val="4472C4" w:themeColor="accent1"/>
                                    <w:sz w:val="36"/>
                                    <w:szCs w:val="36"/>
                                  </w:rPr>
                                </w:pPr>
                                <w:r w:rsidRPr="00690FFB">
                                  <w:rPr>
                                    <w:rFonts w:ascii="Times New Roman" w:hAnsi="Times New Roman" w:cs="Times New Roman"/>
                                    <w:b/>
                                    <w:sz w:val="36"/>
                                    <w:szCs w:val="36"/>
                                  </w:rPr>
                                  <w:t>Evaluate the success and limitations of the Police and Criminal Evidence Act 1984 in preventing Miscarriages of Justice</w:t>
                                </w:r>
                              </w:p>
                            </w:sdtContent>
                          </w:sdt>
                        </w:txbxContent>
                      </v:textbox>
                    </v:shape>
                    <w10:wrap anchorx="page" anchory="page"/>
                  </v:group>
                </w:pict>
              </mc:Fallback>
            </mc:AlternateContent>
          </w:r>
        </w:p>
        <w:p w14:paraId="551F5A24" w14:textId="77777777" w:rsidR="00C8689E" w:rsidRDefault="001D7340" w:rsidP="00C8689E">
          <w:pPr>
            <w:spacing w:after="160" w:line="259" w:lineRule="auto"/>
            <w:rPr>
              <w:b/>
              <w:sz w:val="24"/>
              <w:szCs w:val="24"/>
            </w:rPr>
          </w:pPr>
          <w:r w:rsidRPr="5EFF7C1A">
            <w:rPr>
              <w:b/>
              <w:bCs/>
              <w:sz w:val="24"/>
              <w:szCs w:val="24"/>
            </w:rPr>
            <w:br w:type="page"/>
          </w:r>
        </w:p>
        <w:p w14:paraId="55FD256E" w14:textId="6B91D82E" w:rsidR="00C8689E" w:rsidRDefault="00DD3AC1" w:rsidP="00C8689E">
          <w:pPr>
            <w:spacing w:after="160" w:line="259" w:lineRule="auto"/>
            <w:rPr>
              <w:b/>
              <w:sz w:val="24"/>
              <w:szCs w:val="24"/>
            </w:rPr>
          </w:pPr>
        </w:p>
      </w:sdtContent>
    </w:sdt>
    <w:p w14:paraId="409BF686" w14:textId="1C933489" w:rsidR="00D45139" w:rsidRPr="0043424A" w:rsidRDefault="5EFF7C1A" w:rsidP="0043424A">
      <w:pPr>
        <w:spacing w:after="160" w:line="360" w:lineRule="auto"/>
        <w:rPr>
          <w:b/>
          <w:sz w:val="24"/>
          <w:szCs w:val="24"/>
        </w:rPr>
      </w:pPr>
      <w:r w:rsidRPr="5EFF7C1A">
        <w:rPr>
          <w:sz w:val="24"/>
          <w:szCs w:val="24"/>
        </w:rPr>
        <w:t xml:space="preserve">In relation to evaluating the success and limitations of the Police and Criminal Evidence act 1984, the focal point will be looking at the prevention on miscarriages of justice. How it has linked to the changes and developments that have been made to the act over time. The history of British policing starting off with The Bow Street Runners and Sir Robert Peel and how it has matured into what is now known as modern-day policing. </w:t>
      </w:r>
      <w:r w:rsidRPr="5EFF7C1A">
        <w:rPr>
          <w:b/>
          <w:bCs/>
          <w:color w:val="7030A0"/>
          <w:sz w:val="24"/>
          <w:szCs w:val="24"/>
        </w:rPr>
        <w:t xml:space="preserve"> </w:t>
      </w:r>
    </w:p>
    <w:p w14:paraId="7A5A3499" w14:textId="0BDD5CDE" w:rsidR="5EFF7C1A" w:rsidRDefault="5EFF7C1A" w:rsidP="5EFF7C1A">
      <w:pPr>
        <w:spacing w:line="360" w:lineRule="auto"/>
        <w:jc w:val="both"/>
        <w:rPr>
          <w:sz w:val="24"/>
          <w:szCs w:val="24"/>
        </w:rPr>
      </w:pPr>
      <w:r w:rsidRPr="5EFF7C1A">
        <w:rPr>
          <w:sz w:val="24"/>
          <w:szCs w:val="24"/>
        </w:rPr>
        <w:t xml:space="preserve">In Great Britain there was not always a policing system and originally police were known as constables. The term parish constable was often used because they would enforce the law in their own town, which was commonly known as his parish and all constables were men. As cited in Cowley (2011, p. 9). </w:t>
      </w:r>
    </w:p>
    <w:p w14:paraId="46406433" w14:textId="77777777" w:rsidR="0043424A" w:rsidRDefault="0043424A" w:rsidP="5EFF7C1A">
      <w:pPr>
        <w:spacing w:line="360" w:lineRule="auto"/>
        <w:jc w:val="both"/>
        <w:rPr>
          <w:sz w:val="24"/>
          <w:szCs w:val="24"/>
        </w:rPr>
      </w:pPr>
    </w:p>
    <w:p w14:paraId="7A186796" w14:textId="0F4093EF" w:rsidR="0BE95D9F" w:rsidRDefault="5EFF7C1A" w:rsidP="5EFF7C1A">
      <w:pPr>
        <w:spacing w:line="360" w:lineRule="auto"/>
        <w:jc w:val="both"/>
        <w:rPr>
          <w:sz w:val="24"/>
          <w:szCs w:val="24"/>
        </w:rPr>
      </w:pPr>
      <w:r w:rsidRPr="5EFF7C1A">
        <w:rPr>
          <w:sz w:val="24"/>
          <w:szCs w:val="24"/>
        </w:rPr>
        <w:t>As stated in Cowley (2011, p. 16-17). In 1739 the Bow Street Runners of London which had originally been founded by the former magistrate Henry Fielding, was London’s first established annually salaried police organisation. However, Thomas de Veil was also part of the Bow Street Runners, and had been known to take on the majority of the caseload himself.  De Veil felt strongly about reducing crime in the surrounding area and due to lack of knowledge and training, he had no option but to do it himself. De Veil had an army background and already gained public respect, was seen to be stern, with no hesitation to confront gangs who had previously oppressed acting magistrates.  After de Veil had brought two of London’s most dishonourable gangs to justice despite the risk-taking involved, he was praised with a government salary and knighthood. It was a big chapter at this time as he was the first person to attempt to reduce crime, which then started a trend, impacted others, which did not go unnoticed making it a better place to live.</w:t>
      </w:r>
    </w:p>
    <w:p w14:paraId="7EB2FB6F" w14:textId="556E3FB8" w:rsidR="0BE95D9F" w:rsidRDefault="5EFF7C1A" w:rsidP="5EFF7C1A">
      <w:pPr>
        <w:spacing w:line="360" w:lineRule="auto"/>
        <w:jc w:val="both"/>
        <w:rPr>
          <w:sz w:val="24"/>
          <w:szCs w:val="24"/>
        </w:rPr>
      </w:pPr>
      <w:r w:rsidRPr="5EFF7C1A">
        <w:rPr>
          <w:sz w:val="24"/>
          <w:szCs w:val="24"/>
        </w:rPr>
        <w:t xml:space="preserve"> </w:t>
      </w:r>
    </w:p>
    <w:p w14:paraId="3E075B1D" w14:textId="1DC736AD" w:rsidR="5EFF7C1A" w:rsidRDefault="5EFF7C1A" w:rsidP="5EFF7C1A">
      <w:pPr>
        <w:spacing w:line="360" w:lineRule="auto"/>
        <w:jc w:val="both"/>
        <w:rPr>
          <w:sz w:val="24"/>
          <w:szCs w:val="24"/>
        </w:rPr>
      </w:pPr>
      <w:r w:rsidRPr="5EFF7C1A">
        <w:rPr>
          <w:sz w:val="24"/>
          <w:szCs w:val="24"/>
        </w:rPr>
        <w:t>The new police force came into action in 1829, and then became known as The New Police so that they could differentiate themselves between what was then the parish constables. Cited in Cowley (2011, p. 9).</w:t>
      </w:r>
    </w:p>
    <w:p w14:paraId="71AEBE24" w14:textId="4DDF5908" w:rsidR="2B571113" w:rsidRDefault="2B571113" w:rsidP="2B571113">
      <w:pPr>
        <w:spacing w:line="360" w:lineRule="auto"/>
        <w:jc w:val="both"/>
        <w:rPr>
          <w:sz w:val="24"/>
          <w:szCs w:val="24"/>
        </w:rPr>
      </w:pPr>
    </w:p>
    <w:p w14:paraId="6926C08A" w14:textId="44C29E35" w:rsidR="2B571113" w:rsidRDefault="2B571113" w:rsidP="2B571113">
      <w:pPr>
        <w:spacing w:line="360" w:lineRule="auto"/>
        <w:jc w:val="both"/>
        <w:rPr>
          <w:i/>
          <w:iCs/>
          <w:sz w:val="24"/>
          <w:szCs w:val="24"/>
        </w:rPr>
      </w:pPr>
      <w:r w:rsidRPr="2B571113">
        <w:rPr>
          <w:i/>
          <w:iCs/>
          <w:sz w:val="24"/>
          <w:szCs w:val="24"/>
        </w:rPr>
        <w:t>History of policing</w:t>
      </w:r>
    </w:p>
    <w:p w14:paraId="669B333E" w14:textId="056C47BF" w:rsidR="0BE95D9F" w:rsidRDefault="5EFF7C1A" w:rsidP="5EFF7C1A">
      <w:pPr>
        <w:spacing w:line="360" w:lineRule="auto"/>
        <w:jc w:val="both"/>
        <w:rPr>
          <w:sz w:val="24"/>
          <w:szCs w:val="24"/>
        </w:rPr>
      </w:pPr>
      <w:r w:rsidRPr="5EFF7C1A">
        <w:rPr>
          <w:color w:val="000000" w:themeColor="text1"/>
          <w:sz w:val="24"/>
          <w:szCs w:val="24"/>
        </w:rPr>
        <w:t>As stated by</w:t>
      </w:r>
      <w:r w:rsidRPr="5EFF7C1A">
        <w:rPr>
          <w:sz w:val="24"/>
          <w:szCs w:val="24"/>
        </w:rPr>
        <w:t xml:space="preserve"> (Home office, 2012) the history of British policing is often associated with the ideology of Sir Robert Peels’ Nine Principles of Policing set out in 1829, commonly referred to as Peel’s Principles. These are regulations which were set as the basic guidelines of which each new police officer from the year of 1829 were provided with. In addition to the definition </w:t>
      </w:r>
      <w:r w:rsidRPr="5EFF7C1A">
        <w:rPr>
          <w:sz w:val="24"/>
          <w:szCs w:val="24"/>
        </w:rPr>
        <w:lastRenderedPageBreak/>
        <w:t>of policing by consent it has been stated that no person may choose to withdraw the authority from the police or even from laws.</w:t>
      </w:r>
    </w:p>
    <w:p w14:paraId="6641071D" w14:textId="1B4657C7" w:rsidR="0BE95D9F" w:rsidRDefault="0BE95D9F" w:rsidP="0BE95D9F">
      <w:pPr>
        <w:spacing w:line="360" w:lineRule="auto"/>
        <w:jc w:val="both"/>
        <w:rPr>
          <w:sz w:val="24"/>
          <w:szCs w:val="24"/>
        </w:rPr>
      </w:pPr>
    </w:p>
    <w:p w14:paraId="7292A37A" w14:textId="274E71BD" w:rsidR="0BE95D9F" w:rsidRDefault="5EFF7C1A" w:rsidP="5EFF7C1A">
      <w:pPr>
        <w:spacing w:line="360" w:lineRule="auto"/>
        <w:jc w:val="both"/>
        <w:rPr>
          <w:sz w:val="24"/>
          <w:szCs w:val="24"/>
        </w:rPr>
      </w:pPr>
      <w:r w:rsidRPr="5EFF7C1A">
        <w:rPr>
          <w:sz w:val="24"/>
          <w:szCs w:val="24"/>
        </w:rPr>
        <w:t xml:space="preserve">These principles despite not having evidence linking to Sir Robert Peel, it is likely that the early Commissioners of Policing, both Charles Rowan and Richard Mayne had fabricated the idea that it was there original discovery. The nine principles put forward were all in respect to, preventing crime and their duties to the public. The first principle stated the prevention of misconduct and disarray, as opposed to unnecessary force and extreme punishments being issued. Which then leads onto it being imperative that the public have respect for the police, in order to approve of their roles so it is possible for them to implement their duties. It was essential for the public to conform to police conduct as they were solely dependent on public consent for their establishment. </w:t>
      </w:r>
      <w:r w:rsidR="00061030">
        <w:rPr>
          <w:sz w:val="24"/>
          <w:szCs w:val="24"/>
        </w:rPr>
        <w:t xml:space="preserve">As cited by </w:t>
      </w:r>
      <w:r w:rsidR="00061030" w:rsidRPr="5EFF7C1A">
        <w:rPr>
          <w:sz w:val="24"/>
          <w:szCs w:val="24"/>
        </w:rPr>
        <w:t>(Home office, 2012)</w:t>
      </w:r>
      <w:r w:rsidR="00061030">
        <w:rPr>
          <w:sz w:val="24"/>
          <w:szCs w:val="24"/>
        </w:rPr>
        <w:t xml:space="preserve">. </w:t>
      </w:r>
    </w:p>
    <w:p w14:paraId="6B8784A8" w14:textId="6284D3CC" w:rsidR="0BE95D9F" w:rsidRDefault="0BE95D9F" w:rsidP="0BE95D9F">
      <w:pPr>
        <w:spacing w:line="360" w:lineRule="auto"/>
        <w:jc w:val="both"/>
        <w:rPr>
          <w:sz w:val="24"/>
          <w:szCs w:val="24"/>
        </w:rPr>
      </w:pPr>
    </w:p>
    <w:p w14:paraId="16B6CCCC" w14:textId="19B026D6" w:rsidR="0BE95D9F" w:rsidRDefault="009F0467" w:rsidP="5EFF7C1A">
      <w:pPr>
        <w:spacing w:line="360" w:lineRule="auto"/>
        <w:jc w:val="both"/>
        <w:rPr>
          <w:sz w:val="24"/>
          <w:szCs w:val="24"/>
        </w:rPr>
      </w:pPr>
      <w:r>
        <w:rPr>
          <w:sz w:val="24"/>
          <w:szCs w:val="24"/>
        </w:rPr>
        <w:t xml:space="preserve">As portrayed by (Home office, 2012), </w:t>
      </w:r>
      <w:r w:rsidR="5EFF7C1A" w:rsidRPr="009F0467">
        <w:rPr>
          <w:sz w:val="24"/>
          <w:szCs w:val="24"/>
        </w:rPr>
        <w:t>Within</w:t>
      </w:r>
      <w:r w:rsidR="5EFF7C1A" w:rsidRPr="5EFF7C1A">
        <w:rPr>
          <w:sz w:val="24"/>
          <w:szCs w:val="24"/>
        </w:rPr>
        <w:t xml:space="preserve"> the principles it is stated that despite the preservation of public goodwill, the police reiterate their unbiasedness duty to the law. Complete disregard is required from officers towards the individual's wealth and social class as officers should project fairness and consideration, therefore unjust decisions within the law won’t be exercised due to the freedom of policy and single laws. the officer's priority is still withheld to be the protection and preservation of life. It is mentioned by Sir Robert Peel that the degree of physical force used is only to be implemented when others actions have been issued previously such as a </w:t>
      </w:r>
      <w:r w:rsidR="0043424A" w:rsidRPr="5EFF7C1A">
        <w:rPr>
          <w:sz w:val="24"/>
          <w:szCs w:val="24"/>
        </w:rPr>
        <w:t>warning</w:t>
      </w:r>
      <w:r w:rsidR="5EFF7C1A" w:rsidRPr="5EFF7C1A">
        <w:rPr>
          <w:sz w:val="24"/>
          <w:szCs w:val="24"/>
        </w:rPr>
        <w:t xml:space="preserve">. If all other options haven’t been sufficient to keep public compromise, it would then be more than necessary to act on the law to reinforce structure. Although dependent on the situation if required there is authority to use physical force to an extent in the instance for a specific outcome. </w:t>
      </w:r>
    </w:p>
    <w:p w14:paraId="3B07DC89" w14:textId="4AC6AEDC" w:rsidR="0BE95D9F" w:rsidRDefault="0BE95D9F" w:rsidP="0BE95D9F">
      <w:pPr>
        <w:rPr>
          <w:sz w:val="24"/>
          <w:szCs w:val="24"/>
        </w:rPr>
      </w:pPr>
    </w:p>
    <w:p w14:paraId="248AAB30" w14:textId="6C55CC51" w:rsidR="00DC1EFC" w:rsidRPr="00DC1EFC" w:rsidRDefault="2B571113" w:rsidP="00DC1EFC">
      <w:pPr>
        <w:spacing w:line="360" w:lineRule="auto"/>
        <w:rPr>
          <w:i/>
          <w:iCs/>
          <w:sz w:val="24"/>
          <w:szCs w:val="24"/>
        </w:rPr>
      </w:pPr>
      <w:r w:rsidRPr="2B571113">
        <w:rPr>
          <w:i/>
          <w:iCs/>
          <w:sz w:val="24"/>
          <w:szCs w:val="24"/>
        </w:rPr>
        <w:t>Introduct</w:t>
      </w:r>
      <w:r w:rsidR="009F0467">
        <w:rPr>
          <w:i/>
          <w:iCs/>
          <w:sz w:val="24"/>
          <w:szCs w:val="24"/>
        </w:rPr>
        <w:t xml:space="preserve">ion to The Police and Criminal </w:t>
      </w:r>
      <w:r w:rsidRPr="2B571113">
        <w:rPr>
          <w:i/>
          <w:iCs/>
          <w:sz w:val="24"/>
          <w:szCs w:val="24"/>
        </w:rPr>
        <w:t>Evidence Act 1984</w:t>
      </w:r>
    </w:p>
    <w:p w14:paraId="3BC43F93" w14:textId="2092C200" w:rsidR="2F53A229" w:rsidRPr="003870A1" w:rsidRDefault="2F53A229" w:rsidP="2F53A229">
      <w:pPr>
        <w:spacing w:line="360" w:lineRule="auto"/>
        <w:jc w:val="both"/>
        <w:rPr>
          <w:sz w:val="24"/>
          <w:szCs w:val="24"/>
        </w:rPr>
      </w:pPr>
      <w:r w:rsidRPr="2F53A229">
        <w:rPr>
          <w:color w:val="000000" w:themeColor="text1"/>
          <w:sz w:val="24"/>
          <w:szCs w:val="24"/>
        </w:rPr>
        <w:t xml:space="preserve">According to </w:t>
      </w:r>
      <w:r w:rsidR="00DC1EFC">
        <w:rPr>
          <w:sz w:val="24"/>
          <w:szCs w:val="24"/>
        </w:rPr>
        <w:t xml:space="preserve">(Home office, 2012), </w:t>
      </w:r>
      <w:r w:rsidRPr="2F53A229">
        <w:rPr>
          <w:color w:val="000000" w:themeColor="text1"/>
          <w:sz w:val="24"/>
          <w:szCs w:val="24"/>
        </w:rPr>
        <w:t>the Police and Criminal Evidence Act 1984 is commonly referred to the as P.A.C.E</w:t>
      </w:r>
      <w:r w:rsidRPr="2F53A229">
        <w:rPr>
          <w:sz w:val="24"/>
          <w:szCs w:val="24"/>
        </w:rPr>
        <w:t xml:space="preserve">. The Police and Criminal Evidence Act 1984 is categorised into eight codes of practice from A through to H. Each code of practice has its own regulations and purpose, which are to eliminate crimes as much as possible, as well protecting the public and their rights. P.A.C.E has been adapted and further developed the codes to which they have found a central aspect between the powers issued and the publics freedom and rights. The main components of which P.A.C.E covers are the most common processes, being stop and search, power of arrest, investigations, identification and interviewing potential convicts. </w:t>
      </w:r>
    </w:p>
    <w:p w14:paraId="2706916C" w14:textId="16D405C2" w:rsidR="2F53A229" w:rsidRDefault="2B571113" w:rsidP="2B571113">
      <w:pPr>
        <w:spacing w:line="360" w:lineRule="auto"/>
        <w:jc w:val="both"/>
        <w:rPr>
          <w:color w:val="000000" w:themeColor="text1"/>
          <w:sz w:val="24"/>
          <w:szCs w:val="24"/>
        </w:rPr>
      </w:pPr>
      <w:r w:rsidRPr="2B571113">
        <w:rPr>
          <w:color w:val="000000" w:themeColor="text1"/>
          <w:sz w:val="24"/>
          <w:szCs w:val="24"/>
        </w:rPr>
        <w:t xml:space="preserve">P.A.C.E was created for many purposes and has created a structured and organised system which has benefited the legal system, police and the public. This act has given the law regarding policing much more clarity, therefore when used the public have a better understanding due to how the codes have developed into layman’s terms.  In 1984 the Police and Criminal evidence act was originally created in order to merge all police powers under one legislative act. </w:t>
      </w:r>
      <w:r w:rsidR="003870A1">
        <w:rPr>
          <w:color w:val="000000" w:themeColor="text1"/>
          <w:sz w:val="24"/>
          <w:szCs w:val="24"/>
        </w:rPr>
        <w:t xml:space="preserve">Cited from </w:t>
      </w:r>
      <w:r w:rsidR="00F11F09">
        <w:rPr>
          <w:sz w:val="24"/>
          <w:szCs w:val="24"/>
        </w:rPr>
        <w:t>Murphy</w:t>
      </w:r>
      <w:r w:rsidR="00EA3675">
        <w:rPr>
          <w:sz w:val="24"/>
          <w:szCs w:val="24"/>
        </w:rPr>
        <w:t xml:space="preserve"> </w:t>
      </w:r>
      <w:r w:rsidR="00F11F09">
        <w:rPr>
          <w:sz w:val="24"/>
          <w:szCs w:val="24"/>
        </w:rPr>
        <w:t>(2017</w:t>
      </w:r>
      <w:r w:rsidR="00F11F09" w:rsidRPr="5EFF7C1A">
        <w:rPr>
          <w:sz w:val="24"/>
          <w:szCs w:val="24"/>
        </w:rPr>
        <w:t>).</w:t>
      </w:r>
      <w:r w:rsidR="004E41F8">
        <w:rPr>
          <w:sz w:val="24"/>
          <w:szCs w:val="24"/>
        </w:rPr>
        <w:t xml:space="preserve"> </w:t>
      </w:r>
    </w:p>
    <w:p w14:paraId="44F1529C" w14:textId="16535763" w:rsidR="2B571113" w:rsidRDefault="2B571113" w:rsidP="2B571113">
      <w:pPr>
        <w:spacing w:line="360" w:lineRule="auto"/>
        <w:jc w:val="both"/>
        <w:rPr>
          <w:color w:val="000000" w:themeColor="text1"/>
          <w:sz w:val="24"/>
          <w:szCs w:val="24"/>
        </w:rPr>
      </w:pPr>
    </w:p>
    <w:p w14:paraId="72160DCD" w14:textId="2AD0B617" w:rsidR="2F53A229" w:rsidRDefault="2B571113" w:rsidP="66B9EE99">
      <w:pPr>
        <w:spacing w:line="360" w:lineRule="auto"/>
        <w:jc w:val="both"/>
        <w:rPr>
          <w:color w:val="000000" w:themeColor="text1"/>
          <w:sz w:val="24"/>
          <w:szCs w:val="24"/>
        </w:rPr>
      </w:pPr>
      <w:r w:rsidRPr="2B571113">
        <w:rPr>
          <w:i/>
          <w:iCs/>
          <w:color w:val="000000" w:themeColor="text1"/>
          <w:sz w:val="24"/>
          <w:szCs w:val="24"/>
        </w:rPr>
        <w:t>Development of P.A.C.E</w:t>
      </w:r>
    </w:p>
    <w:p w14:paraId="620444B3" w14:textId="68816604" w:rsidR="2F53A229" w:rsidRDefault="00E35F80" w:rsidP="2F53A229">
      <w:pPr>
        <w:spacing w:line="360" w:lineRule="auto"/>
        <w:jc w:val="both"/>
        <w:rPr>
          <w:sz w:val="24"/>
          <w:szCs w:val="24"/>
        </w:rPr>
      </w:pPr>
      <w:r>
        <w:rPr>
          <w:sz w:val="24"/>
          <w:szCs w:val="24"/>
        </w:rPr>
        <w:t>Home Office, (2019)</w:t>
      </w:r>
      <w:r w:rsidR="00F7121F">
        <w:rPr>
          <w:sz w:val="24"/>
          <w:szCs w:val="24"/>
        </w:rPr>
        <w:t xml:space="preserve"> </w:t>
      </w:r>
      <w:r w:rsidR="5EFF7C1A" w:rsidRPr="5EFF7C1A">
        <w:rPr>
          <w:sz w:val="24"/>
          <w:szCs w:val="24"/>
        </w:rPr>
        <w:t>As previously mentioned, over time some of the codes have been revised, one code in particular being code C. The code is in relation to detention, treatment and questioning of a person from on duty police officers. The revised code is only applicable to suspects who were in custody after the change had been implicated which was the 21</w:t>
      </w:r>
      <w:r w:rsidR="5EFF7C1A" w:rsidRPr="5EFF7C1A">
        <w:rPr>
          <w:sz w:val="24"/>
          <w:szCs w:val="24"/>
          <w:vertAlign w:val="superscript"/>
        </w:rPr>
        <w:t>st</w:t>
      </w:r>
      <w:r w:rsidR="5EFF7C1A" w:rsidRPr="5EFF7C1A">
        <w:rPr>
          <w:sz w:val="24"/>
          <w:szCs w:val="24"/>
        </w:rPr>
        <w:t xml:space="preserve"> August 2019 at 12am, despite that the defendant’s detention period may had been embarked upon. The code newly specifies that when a said individual is in custody the procedures must predominantly take place. If or when the defendant is no longer required in police custody or the reasoning no longer applies, they must be liberated promptly. It is imperative that the custodial officer carrying out these regulations performs them as per the code states them to be done. If for any reason the code is somewhat breached, providing the reason is justified and appropriate measures have been taken to prevent the said delay, the officer in question will not liable and will not in breach. Therefore, if a delay had arisen the officer as part of the regulations would need to record when and why it had occurred onto the custody documentation provided. All codes of practice must be easily accessible at every police station to all police officers, police staff, persons in custody and also members of the public. </w:t>
      </w:r>
    </w:p>
    <w:p w14:paraId="47338C4E" w14:textId="77777777" w:rsidR="0043424A" w:rsidRPr="0043424A" w:rsidRDefault="0043424A" w:rsidP="2F53A229">
      <w:pPr>
        <w:spacing w:line="360" w:lineRule="auto"/>
        <w:jc w:val="both"/>
        <w:rPr>
          <w:sz w:val="24"/>
          <w:szCs w:val="24"/>
        </w:rPr>
      </w:pPr>
    </w:p>
    <w:p w14:paraId="560156E0" w14:textId="03F85534" w:rsidR="2B571113" w:rsidRDefault="2B571113" w:rsidP="2B571113">
      <w:pPr>
        <w:spacing w:line="360" w:lineRule="auto"/>
        <w:jc w:val="both"/>
        <w:rPr>
          <w:i/>
          <w:iCs/>
          <w:sz w:val="24"/>
          <w:szCs w:val="24"/>
        </w:rPr>
      </w:pPr>
      <w:r w:rsidRPr="2B571113">
        <w:rPr>
          <w:i/>
          <w:iCs/>
          <w:sz w:val="24"/>
          <w:szCs w:val="24"/>
        </w:rPr>
        <w:t xml:space="preserve">Advantages of P.A.C.E </w:t>
      </w:r>
    </w:p>
    <w:p w14:paraId="4B93E9A8" w14:textId="17D5A52D" w:rsidR="00606F8C" w:rsidRDefault="0030473B" w:rsidP="66B9EE99">
      <w:pPr>
        <w:spacing w:line="360" w:lineRule="auto"/>
        <w:jc w:val="both"/>
        <w:rPr>
          <w:sz w:val="24"/>
          <w:szCs w:val="24"/>
        </w:rPr>
      </w:pPr>
      <w:r>
        <w:rPr>
          <w:sz w:val="24"/>
          <w:szCs w:val="24"/>
        </w:rPr>
        <w:t xml:space="preserve">As mentioned by </w:t>
      </w:r>
      <w:r w:rsidR="005A6317">
        <w:rPr>
          <w:sz w:val="24"/>
          <w:szCs w:val="24"/>
        </w:rPr>
        <w:t xml:space="preserve">Murphy (2017), </w:t>
      </w:r>
      <w:r w:rsidR="66B9EE99" w:rsidRPr="66B9EE99">
        <w:rPr>
          <w:sz w:val="24"/>
          <w:szCs w:val="24"/>
        </w:rPr>
        <w:t xml:space="preserve">The Police and Criminal Evidence Act 1984 has had many impacts both positive and negative. A positive action within the act is that all interviews with defendants are now required to have audio recording throughout. This is positive due to the protection of the suspect and his rights and also on the police officer's behalf for the same initial reasons, as if required the audio recording can be used in court or as evidence. Once a detainee is taken into custody by a police officer, that individual is automatically entitled to free legal advice and representation of legal aid before the courts. This regulation is not withdrawn at any point, regardless of the crime committed or discriminatory under the protection of the Police and Criminal Evidence Act 1984. </w:t>
      </w:r>
    </w:p>
    <w:p w14:paraId="3AD6FD74" w14:textId="4201083C" w:rsidR="00606F8C" w:rsidRDefault="00606F8C" w:rsidP="66B9EE99">
      <w:pPr>
        <w:spacing w:line="360" w:lineRule="auto"/>
        <w:jc w:val="both"/>
        <w:rPr>
          <w:color w:val="FF0000"/>
          <w:sz w:val="24"/>
          <w:szCs w:val="24"/>
        </w:rPr>
      </w:pPr>
    </w:p>
    <w:p w14:paraId="5DA7170E" w14:textId="56641DFD" w:rsidR="00606F8C" w:rsidRPr="000F5BE8" w:rsidRDefault="66B9EE99" w:rsidP="66B9EE99">
      <w:pPr>
        <w:spacing w:line="360" w:lineRule="auto"/>
        <w:jc w:val="both"/>
        <w:rPr>
          <w:sz w:val="24"/>
          <w:szCs w:val="24"/>
        </w:rPr>
      </w:pPr>
      <w:r w:rsidRPr="66B9EE99">
        <w:rPr>
          <w:sz w:val="24"/>
          <w:szCs w:val="24"/>
        </w:rPr>
        <w:t xml:space="preserve">Another very important establishment that P.A.C.E introduced is the right to legal representation for all detainee’s, this was so there were restrictions in place whilst remaining in custody, before being charged. Code C as mentioned previously are regulations regarding the treatment and questioning of individuals in police custody. Before this code of practice was created in its place was the Judges’ Rules in England and Wales, however the new legislation in its place is much more modern and beneficial as suspects know their rights and can call upon them at any time. As Code D has developed, so has technology in policing, as regards to identifying suspects and ensuring there is no miscarriage of justice. </w:t>
      </w:r>
      <w:r w:rsidR="000F5BE8" w:rsidRPr="000F5BE8">
        <w:rPr>
          <w:sz w:val="24"/>
          <w:szCs w:val="24"/>
        </w:rPr>
        <w:t>As cited</w:t>
      </w:r>
      <w:r w:rsidR="000F5BE8">
        <w:t xml:space="preserve"> </w:t>
      </w:r>
      <w:r w:rsidR="000F5BE8">
        <w:rPr>
          <w:sz w:val="24"/>
          <w:szCs w:val="24"/>
        </w:rPr>
        <w:t>by Gov.uk, (2018</w:t>
      </w:r>
      <w:r w:rsidR="000F5BE8" w:rsidRPr="5EFF7C1A">
        <w:rPr>
          <w:sz w:val="24"/>
          <w:szCs w:val="24"/>
        </w:rPr>
        <w:t>).</w:t>
      </w:r>
    </w:p>
    <w:p w14:paraId="7D00EC96" w14:textId="50FFED2D" w:rsidR="00606F8C" w:rsidRDefault="00606F8C" w:rsidP="66B9EE99">
      <w:pPr>
        <w:spacing w:line="360" w:lineRule="auto"/>
        <w:jc w:val="both"/>
        <w:rPr>
          <w:sz w:val="24"/>
          <w:szCs w:val="24"/>
        </w:rPr>
      </w:pPr>
    </w:p>
    <w:p w14:paraId="57413F98" w14:textId="0DF37B97" w:rsidR="00606F8C" w:rsidRDefault="66B9EE99" w:rsidP="66B9EE99">
      <w:pPr>
        <w:spacing w:line="360" w:lineRule="auto"/>
        <w:jc w:val="both"/>
        <w:rPr>
          <w:sz w:val="24"/>
          <w:szCs w:val="24"/>
        </w:rPr>
      </w:pPr>
      <w:r w:rsidRPr="66B9EE99">
        <w:rPr>
          <w:sz w:val="24"/>
          <w:szCs w:val="24"/>
        </w:rPr>
        <w:t>There are now many more methods in place which are reliable such as biometrics and DNA, with these resources' accuracy has flourished. Accuracy is imperative when identifying people in relation to cases ongoing investigation, as it could determine more essential information such as family background. Meanwhile when interviews are taking place with an officer and suspect although an audio recording, linking back to Code E is much more sufficient than previous legislation, Code F specifies it is again mandatory to have a visual recording of the full interview. Again, this improves the safety of both suspects and officers and ensures there is no miscon</w:t>
      </w:r>
      <w:r w:rsidR="00365BCD">
        <w:rPr>
          <w:sz w:val="24"/>
          <w:szCs w:val="24"/>
        </w:rPr>
        <w:t>duct and coercion taking place as stated by Murphy (2017</w:t>
      </w:r>
      <w:r w:rsidR="00365BCD" w:rsidRPr="5EFF7C1A">
        <w:rPr>
          <w:sz w:val="24"/>
          <w:szCs w:val="24"/>
        </w:rPr>
        <w:t>).</w:t>
      </w:r>
    </w:p>
    <w:p w14:paraId="68C10938" w14:textId="77777777" w:rsidR="002665DA" w:rsidRDefault="002665DA" w:rsidP="66B9EE99">
      <w:pPr>
        <w:spacing w:line="360" w:lineRule="auto"/>
        <w:jc w:val="both"/>
        <w:rPr>
          <w:sz w:val="24"/>
          <w:szCs w:val="24"/>
        </w:rPr>
      </w:pPr>
    </w:p>
    <w:p w14:paraId="3FCEA9B7" w14:textId="00939A50" w:rsidR="00606F8C" w:rsidRDefault="0043424A" w:rsidP="66B9EE99">
      <w:pPr>
        <w:spacing w:line="360" w:lineRule="auto"/>
        <w:jc w:val="both"/>
        <w:rPr>
          <w:color w:val="0070C0"/>
          <w:sz w:val="24"/>
          <w:szCs w:val="24"/>
        </w:rPr>
      </w:pPr>
      <w:r>
        <w:rPr>
          <w:sz w:val="24"/>
          <w:szCs w:val="24"/>
        </w:rPr>
        <w:t>As cited by the Department of justice, (2015</w:t>
      </w:r>
      <w:r w:rsidRPr="5EFF7C1A">
        <w:rPr>
          <w:sz w:val="24"/>
          <w:szCs w:val="24"/>
        </w:rPr>
        <w:t>)</w:t>
      </w:r>
      <w:r>
        <w:rPr>
          <w:sz w:val="24"/>
          <w:szCs w:val="24"/>
        </w:rPr>
        <w:t xml:space="preserve">, </w:t>
      </w:r>
      <w:r w:rsidR="2B571113" w:rsidRPr="2B571113">
        <w:rPr>
          <w:sz w:val="24"/>
          <w:szCs w:val="24"/>
        </w:rPr>
        <w:t xml:space="preserve">The stop and search powers are set out under code A, this enables officers to stop and search a person or vehicle prior to making an arrest. This can be done on the basis of reason to suspect a crime or misconduct, despite perhaps having not been arrested, officers are still obligated to note the encounter for use of records. </w:t>
      </w:r>
    </w:p>
    <w:p w14:paraId="0A046911" w14:textId="6D52E579" w:rsidR="2B571113" w:rsidRDefault="2B571113" w:rsidP="2B571113">
      <w:pPr>
        <w:spacing w:line="360" w:lineRule="auto"/>
        <w:jc w:val="both"/>
        <w:rPr>
          <w:sz w:val="24"/>
          <w:szCs w:val="24"/>
        </w:rPr>
      </w:pPr>
    </w:p>
    <w:p w14:paraId="741E09BA" w14:textId="2D518DE4" w:rsidR="00606F8C" w:rsidRDefault="66B9EE99" w:rsidP="66B9EE99">
      <w:pPr>
        <w:spacing w:line="360" w:lineRule="auto"/>
        <w:jc w:val="both"/>
        <w:rPr>
          <w:color w:val="00B050"/>
          <w:sz w:val="24"/>
          <w:szCs w:val="24"/>
        </w:rPr>
      </w:pPr>
      <w:r w:rsidRPr="66B9EE99">
        <w:rPr>
          <w:sz w:val="24"/>
          <w:szCs w:val="24"/>
        </w:rPr>
        <w:t xml:space="preserve">The legal representative role is vast, however when the client is detained at a police station and is remaining in custody the key role is to protect and put forward their legal rights whilst maintaining client confidentiality as one of many priorities. All potential clients are entitled to a telephone call once they have been arrested and are aware of the grounds. All detainees have the right to have legal representation during an interview however it isn’t mandatory and if the suspect does not request it, it will not be provided at the time of the interview. </w:t>
      </w:r>
    </w:p>
    <w:p w14:paraId="50F6215B" w14:textId="286EDF80" w:rsidR="00606F8C" w:rsidRDefault="00606F8C" w:rsidP="66B9EE99">
      <w:pPr>
        <w:spacing w:line="360" w:lineRule="auto"/>
        <w:jc w:val="both"/>
        <w:rPr>
          <w:sz w:val="24"/>
          <w:szCs w:val="24"/>
        </w:rPr>
      </w:pPr>
    </w:p>
    <w:p w14:paraId="17040799" w14:textId="23F5B955" w:rsidR="00606F8C" w:rsidRDefault="66B9EE99" w:rsidP="66B9EE99">
      <w:pPr>
        <w:spacing w:line="360" w:lineRule="auto"/>
        <w:jc w:val="both"/>
        <w:rPr>
          <w:sz w:val="24"/>
          <w:szCs w:val="24"/>
        </w:rPr>
      </w:pPr>
      <w:r w:rsidRPr="66B9EE99">
        <w:rPr>
          <w:sz w:val="24"/>
          <w:szCs w:val="24"/>
        </w:rPr>
        <w:t xml:space="preserve">As regards to the protection of rights under the P.A.C.E act, the case of Christy Walsh would have amounted to a different outcome if the modern legislation would have been available when this case went to trial in 1991, as the codes have adapted massively since. The defendant from Belfast served 14 years imprisonment as the conviction was overturned due to the interference of the right to a fair trial, despite three appeals that had taken place Walsh was still rejected compensation. </w:t>
      </w:r>
      <w:r w:rsidR="00D555C1">
        <w:rPr>
          <w:sz w:val="24"/>
          <w:szCs w:val="24"/>
        </w:rPr>
        <w:t>BBC News, (2012</w:t>
      </w:r>
      <w:r w:rsidR="00D555C1" w:rsidRPr="5EFF7C1A">
        <w:rPr>
          <w:sz w:val="24"/>
          <w:szCs w:val="24"/>
        </w:rPr>
        <w:t>).</w:t>
      </w:r>
    </w:p>
    <w:p w14:paraId="4B136843" w14:textId="33939EFB" w:rsidR="00606F8C" w:rsidRDefault="00606F8C" w:rsidP="66B9EE99">
      <w:pPr>
        <w:jc w:val="both"/>
      </w:pPr>
    </w:p>
    <w:p w14:paraId="037FE835" w14:textId="5C9D4EF3" w:rsidR="2B571113" w:rsidRDefault="2B571113" w:rsidP="2B571113">
      <w:pPr>
        <w:jc w:val="both"/>
        <w:rPr>
          <w:i/>
          <w:iCs/>
          <w:sz w:val="24"/>
          <w:szCs w:val="24"/>
        </w:rPr>
      </w:pPr>
      <w:r w:rsidRPr="2B571113">
        <w:rPr>
          <w:i/>
          <w:iCs/>
          <w:sz w:val="24"/>
          <w:szCs w:val="24"/>
        </w:rPr>
        <w:t>Drawbacks of P.A.C.E</w:t>
      </w:r>
    </w:p>
    <w:p w14:paraId="0C239754" w14:textId="675E8DC5" w:rsidR="00606F8C" w:rsidRDefault="00606F8C" w:rsidP="66B9EE99">
      <w:pPr>
        <w:jc w:val="both"/>
        <w:rPr>
          <w:sz w:val="24"/>
          <w:szCs w:val="24"/>
        </w:rPr>
      </w:pPr>
    </w:p>
    <w:p w14:paraId="58A45BD1" w14:textId="71B6C394" w:rsidR="00606F8C" w:rsidRDefault="0043424A" w:rsidP="66B9EE99">
      <w:pPr>
        <w:spacing w:line="360" w:lineRule="auto"/>
        <w:jc w:val="both"/>
        <w:rPr>
          <w:sz w:val="24"/>
          <w:szCs w:val="24"/>
        </w:rPr>
      </w:pPr>
      <w:r>
        <w:rPr>
          <w:sz w:val="24"/>
          <w:szCs w:val="24"/>
        </w:rPr>
        <w:t xml:space="preserve">As stated by College of Policing, (2013), </w:t>
      </w:r>
      <w:r w:rsidR="66B9EE99" w:rsidRPr="66B9EE99">
        <w:rPr>
          <w:sz w:val="24"/>
          <w:szCs w:val="24"/>
        </w:rPr>
        <w:t xml:space="preserve">The Police and Criminal Evidence Act 1984 has many codes of practice which entitles both the police and the public to have rights and protection. However, even with this act in place force from officers is still used frequently. Reasonable force from police officers is seen as socially and lawfully acceptable in certain situations, such as when someone is trying to cause harm, to another person or officer and their aim is to try and diffuse the situation. Police officers are in place for an element of protection of the public, although when trying to resolve an issue using force isn’t always the correct procedure to take. This may cause more harm than good as the suspect could potentially get injured, which wasn’t the resolution that was required. Additionally, the use of reasonable force isn’t defined and there are no boundaries in place to determine what this is; however, it is solely down to individual officers as they accountable for their own actions and have to justify and are answerable to the law if excessive harm is done. </w:t>
      </w:r>
    </w:p>
    <w:p w14:paraId="67C51FA7" w14:textId="3D061B1D" w:rsidR="00606F8C" w:rsidRDefault="00606F8C" w:rsidP="66B9EE99">
      <w:pPr>
        <w:spacing w:line="360" w:lineRule="auto"/>
        <w:jc w:val="both"/>
        <w:rPr>
          <w:sz w:val="24"/>
          <w:szCs w:val="24"/>
        </w:rPr>
      </w:pPr>
    </w:p>
    <w:p w14:paraId="681F753B" w14:textId="7BAF113F" w:rsidR="00606F8C" w:rsidRDefault="2B571113" w:rsidP="2B571113">
      <w:pPr>
        <w:spacing w:line="360" w:lineRule="auto"/>
        <w:jc w:val="both"/>
        <w:rPr>
          <w:i/>
          <w:iCs/>
          <w:sz w:val="24"/>
          <w:szCs w:val="24"/>
        </w:rPr>
      </w:pPr>
      <w:r w:rsidRPr="2B571113">
        <w:rPr>
          <w:i/>
          <w:iCs/>
          <w:sz w:val="24"/>
          <w:szCs w:val="24"/>
        </w:rPr>
        <w:t xml:space="preserve">Miscarriages of justice </w:t>
      </w:r>
    </w:p>
    <w:p w14:paraId="0635A356" w14:textId="77777777" w:rsidR="00A069A2" w:rsidRPr="00A069A2" w:rsidRDefault="00A069A2" w:rsidP="2B571113">
      <w:pPr>
        <w:spacing w:line="360" w:lineRule="auto"/>
        <w:jc w:val="both"/>
        <w:rPr>
          <w:i/>
          <w:iCs/>
          <w:sz w:val="24"/>
          <w:szCs w:val="24"/>
        </w:rPr>
      </w:pPr>
    </w:p>
    <w:p w14:paraId="69EAFF8F" w14:textId="32845038" w:rsidR="00606F8C" w:rsidRDefault="66B9EE99" w:rsidP="66B9EE99">
      <w:pPr>
        <w:spacing w:line="360" w:lineRule="auto"/>
        <w:jc w:val="both"/>
        <w:rPr>
          <w:sz w:val="24"/>
          <w:szCs w:val="24"/>
        </w:rPr>
      </w:pPr>
      <w:r w:rsidRPr="66B9EE99">
        <w:rPr>
          <w:sz w:val="24"/>
          <w:szCs w:val="24"/>
        </w:rPr>
        <w:t xml:space="preserve">Miscarriages of justice are becoming less frequent due to the cases needing more evidence, it is also harder to prosecute a suspected criminal, due to in depth investigations and procedures in place for public rights to a fair trial. In the case of Guildford Four, the four convicted suspects being Paul Hill, Gerard Conlon, Patrick Armstrong and Carole Richardson were imprisoned for fourteen years in 1974, before their plead was quashed at the court of appeal in the year of 1989. They were all falsely convicted of two terrorist bomb explosions; however, Mr Armstrong and Mr Hill were accused of another offence of a pub bombing in the area of Woolwich in 1974. As a result of the bombings the outcome was fifty injured and five who had died. In 1993 in Surrey three retired detective officers had stood before a jury of conspiracy as they had falsified essential evidence which had proven the imprisoned suspects to be innocent, however the three officers had been guilty of misconduct and tampering imperative evidence. </w:t>
      </w:r>
      <w:r w:rsidR="0043424A">
        <w:rPr>
          <w:sz w:val="24"/>
          <w:szCs w:val="24"/>
        </w:rPr>
        <w:t xml:space="preserve">Cited by </w:t>
      </w:r>
      <w:r w:rsidR="00404CEF">
        <w:rPr>
          <w:sz w:val="24"/>
          <w:szCs w:val="24"/>
        </w:rPr>
        <w:t>Oliver, M, (2002)</w:t>
      </w:r>
    </w:p>
    <w:p w14:paraId="3570BD17" w14:textId="127A6AF4" w:rsidR="00606F8C" w:rsidRDefault="00606F8C" w:rsidP="66B9EE99">
      <w:pPr>
        <w:spacing w:line="360" w:lineRule="auto"/>
        <w:jc w:val="both"/>
        <w:rPr>
          <w:sz w:val="24"/>
          <w:szCs w:val="24"/>
        </w:rPr>
      </w:pPr>
    </w:p>
    <w:p w14:paraId="5A5E724A" w14:textId="77777777" w:rsidR="0043424A" w:rsidRDefault="0043424A" w:rsidP="2B571113">
      <w:pPr>
        <w:spacing w:line="360" w:lineRule="auto"/>
        <w:jc w:val="both"/>
        <w:rPr>
          <w:i/>
          <w:iCs/>
          <w:sz w:val="24"/>
          <w:szCs w:val="24"/>
        </w:rPr>
      </w:pPr>
    </w:p>
    <w:p w14:paraId="1221EAFE" w14:textId="6BCAB3BE" w:rsidR="2B571113" w:rsidRPr="00DC1EFC" w:rsidRDefault="2B571113" w:rsidP="2B571113">
      <w:pPr>
        <w:spacing w:line="360" w:lineRule="auto"/>
        <w:jc w:val="both"/>
        <w:rPr>
          <w:sz w:val="24"/>
          <w:szCs w:val="24"/>
        </w:rPr>
      </w:pPr>
      <w:r w:rsidRPr="2B571113">
        <w:rPr>
          <w:i/>
          <w:iCs/>
          <w:sz w:val="24"/>
          <w:szCs w:val="24"/>
        </w:rPr>
        <w:t>Conclusion</w:t>
      </w:r>
    </w:p>
    <w:p w14:paraId="1BA6E928" w14:textId="2B17E954" w:rsidR="00606F8C" w:rsidRDefault="5EFF7C1A" w:rsidP="5EFF7C1A">
      <w:pPr>
        <w:spacing w:line="360" w:lineRule="auto"/>
        <w:jc w:val="both"/>
        <w:rPr>
          <w:sz w:val="24"/>
          <w:szCs w:val="24"/>
        </w:rPr>
      </w:pPr>
      <w:r w:rsidRPr="5EFF7C1A">
        <w:rPr>
          <w:sz w:val="24"/>
          <w:szCs w:val="24"/>
        </w:rPr>
        <w:t xml:space="preserve">In conclusion to the Police and Criminal Evidence Act 1984, I have discussed the success and limitations of the act and due to resources and it connotes that the act has been successful and fulfilled its purpose. The codes of practice within the act have reduced the likelihood of miscarriages of justice to take place, this is due to the legislation and resources becoming much more advanced. As stated previously due to the right to free legal aid, suspects now tend to have more knowledge as they are able to discuss what the best course of action is for them whilst they remain in custody. The evidence from resources show that the Police and Criminal Evidence Act 1984, shows that it has been much more successful and known than the previous regulation’s that have been in its place prior. </w:t>
      </w:r>
    </w:p>
    <w:p w14:paraId="75F2A0E3" w14:textId="11E5B4B6" w:rsidR="00606F8C" w:rsidRDefault="00606F8C" w:rsidP="66B9EE99">
      <w:pPr>
        <w:jc w:val="both"/>
        <w:rPr>
          <w:b/>
          <w:bCs/>
          <w:color w:val="121212"/>
          <w:sz w:val="25"/>
          <w:szCs w:val="25"/>
        </w:rPr>
      </w:pPr>
    </w:p>
    <w:p w14:paraId="0B4901F4" w14:textId="0FB2AD63" w:rsidR="00606F8C" w:rsidRDefault="00606F8C" w:rsidP="66B9EE99">
      <w:pPr>
        <w:jc w:val="both"/>
        <w:rPr>
          <w:b/>
          <w:bCs/>
          <w:color w:val="121212"/>
          <w:sz w:val="25"/>
          <w:szCs w:val="25"/>
        </w:rPr>
      </w:pPr>
    </w:p>
    <w:p w14:paraId="5E4B58C1" w14:textId="0E864AE8" w:rsidR="00606F8C" w:rsidRDefault="00606F8C" w:rsidP="66B9EE99">
      <w:pPr>
        <w:jc w:val="both"/>
        <w:rPr>
          <w:b/>
          <w:bCs/>
          <w:color w:val="121212"/>
          <w:sz w:val="25"/>
          <w:szCs w:val="25"/>
        </w:rPr>
      </w:pPr>
    </w:p>
    <w:p w14:paraId="50F44E84" w14:textId="47750C8C" w:rsidR="00DE3793" w:rsidRDefault="00DE3793" w:rsidP="66B9EE99">
      <w:pPr>
        <w:jc w:val="both"/>
        <w:rPr>
          <w:b/>
          <w:bCs/>
          <w:color w:val="121212"/>
          <w:sz w:val="25"/>
          <w:szCs w:val="25"/>
        </w:rPr>
      </w:pPr>
    </w:p>
    <w:p w14:paraId="706F3498" w14:textId="75418DF9" w:rsidR="00DE3793" w:rsidRDefault="00DE3793" w:rsidP="66B9EE99">
      <w:pPr>
        <w:jc w:val="both"/>
        <w:rPr>
          <w:b/>
          <w:bCs/>
          <w:color w:val="121212"/>
          <w:sz w:val="25"/>
          <w:szCs w:val="25"/>
        </w:rPr>
      </w:pPr>
    </w:p>
    <w:p w14:paraId="6EF072E1" w14:textId="19741176" w:rsidR="00DE3793" w:rsidRDefault="00DE3793" w:rsidP="66B9EE99">
      <w:pPr>
        <w:jc w:val="both"/>
        <w:rPr>
          <w:b/>
          <w:bCs/>
          <w:color w:val="121212"/>
          <w:sz w:val="25"/>
          <w:szCs w:val="25"/>
        </w:rPr>
      </w:pPr>
    </w:p>
    <w:p w14:paraId="14CE88C1" w14:textId="52610005" w:rsidR="00DE3793" w:rsidRDefault="00DE3793" w:rsidP="66B9EE99">
      <w:pPr>
        <w:jc w:val="both"/>
        <w:rPr>
          <w:b/>
          <w:bCs/>
          <w:color w:val="121212"/>
          <w:sz w:val="25"/>
          <w:szCs w:val="25"/>
        </w:rPr>
      </w:pPr>
    </w:p>
    <w:p w14:paraId="6E4AAA96" w14:textId="417F367A" w:rsidR="00DE3793" w:rsidRDefault="00DE3793" w:rsidP="66B9EE99">
      <w:pPr>
        <w:jc w:val="both"/>
        <w:rPr>
          <w:b/>
          <w:bCs/>
          <w:color w:val="121212"/>
          <w:sz w:val="25"/>
          <w:szCs w:val="25"/>
        </w:rPr>
      </w:pPr>
    </w:p>
    <w:p w14:paraId="4859B512" w14:textId="348449B5" w:rsidR="00DE3793" w:rsidRDefault="00DE3793" w:rsidP="66B9EE99">
      <w:pPr>
        <w:jc w:val="both"/>
        <w:rPr>
          <w:b/>
          <w:bCs/>
          <w:color w:val="121212"/>
          <w:sz w:val="25"/>
          <w:szCs w:val="25"/>
        </w:rPr>
      </w:pPr>
    </w:p>
    <w:p w14:paraId="520C7A3F" w14:textId="43BAA664" w:rsidR="00DE3793" w:rsidRDefault="00DE3793" w:rsidP="66B9EE99">
      <w:pPr>
        <w:jc w:val="both"/>
        <w:rPr>
          <w:b/>
          <w:bCs/>
          <w:color w:val="121212"/>
          <w:sz w:val="25"/>
          <w:szCs w:val="25"/>
        </w:rPr>
      </w:pPr>
    </w:p>
    <w:p w14:paraId="6A8E2C8F" w14:textId="6B5048CE" w:rsidR="00DE3793" w:rsidRDefault="00DE3793" w:rsidP="66B9EE99">
      <w:pPr>
        <w:jc w:val="both"/>
        <w:rPr>
          <w:b/>
          <w:bCs/>
          <w:color w:val="121212"/>
          <w:sz w:val="25"/>
          <w:szCs w:val="25"/>
        </w:rPr>
      </w:pPr>
    </w:p>
    <w:p w14:paraId="02060565" w14:textId="3C099F3A" w:rsidR="00DE3793" w:rsidRDefault="00DE3793" w:rsidP="66B9EE99">
      <w:pPr>
        <w:jc w:val="both"/>
        <w:rPr>
          <w:b/>
          <w:bCs/>
          <w:color w:val="121212"/>
          <w:sz w:val="25"/>
          <w:szCs w:val="25"/>
        </w:rPr>
      </w:pPr>
    </w:p>
    <w:p w14:paraId="582E3C01" w14:textId="00C0CB3B" w:rsidR="00DE3793" w:rsidRDefault="00DE3793" w:rsidP="66B9EE99">
      <w:pPr>
        <w:jc w:val="both"/>
        <w:rPr>
          <w:b/>
          <w:bCs/>
          <w:color w:val="121212"/>
          <w:sz w:val="25"/>
          <w:szCs w:val="25"/>
        </w:rPr>
      </w:pPr>
    </w:p>
    <w:p w14:paraId="7F415A3D" w14:textId="092FE521" w:rsidR="00DE3793" w:rsidRDefault="00DE3793" w:rsidP="66B9EE99">
      <w:pPr>
        <w:jc w:val="both"/>
        <w:rPr>
          <w:b/>
          <w:bCs/>
          <w:color w:val="121212"/>
          <w:sz w:val="25"/>
          <w:szCs w:val="25"/>
        </w:rPr>
      </w:pPr>
    </w:p>
    <w:p w14:paraId="0D75D186" w14:textId="7BF3AD6F" w:rsidR="00DE3793" w:rsidRDefault="00DE3793" w:rsidP="66B9EE99">
      <w:pPr>
        <w:jc w:val="both"/>
        <w:rPr>
          <w:b/>
          <w:bCs/>
          <w:color w:val="121212"/>
          <w:sz w:val="25"/>
          <w:szCs w:val="25"/>
        </w:rPr>
      </w:pPr>
    </w:p>
    <w:p w14:paraId="4E517E86" w14:textId="276FB69E" w:rsidR="00DE3793" w:rsidRDefault="00DE3793" w:rsidP="66B9EE99">
      <w:pPr>
        <w:jc w:val="both"/>
        <w:rPr>
          <w:b/>
          <w:bCs/>
          <w:color w:val="121212"/>
          <w:sz w:val="25"/>
          <w:szCs w:val="25"/>
        </w:rPr>
      </w:pPr>
    </w:p>
    <w:p w14:paraId="03BDA05F" w14:textId="1CBE0F3E" w:rsidR="00DE3793" w:rsidRDefault="00DE3793" w:rsidP="66B9EE99">
      <w:pPr>
        <w:jc w:val="both"/>
        <w:rPr>
          <w:b/>
          <w:bCs/>
          <w:color w:val="121212"/>
          <w:sz w:val="25"/>
          <w:szCs w:val="25"/>
        </w:rPr>
      </w:pPr>
    </w:p>
    <w:p w14:paraId="425B6FE0" w14:textId="48DFC09D" w:rsidR="00DE3793" w:rsidRDefault="00DE3793" w:rsidP="66B9EE99">
      <w:pPr>
        <w:jc w:val="both"/>
        <w:rPr>
          <w:b/>
          <w:bCs/>
          <w:color w:val="121212"/>
          <w:sz w:val="25"/>
          <w:szCs w:val="25"/>
        </w:rPr>
      </w:pPr>
    </w:p>
    <w:p w14:paraId="4AED1183" w14:textId="03C5BD90" w:rsidR="00DE3793" w:rsidRDefault="00DE3793" w:rsidP="66B9EE99">
      <w:pPr>
        <w:jc w:val="both"/>
        <w:rPr>
          <w:b/>
          <w:bCs/>
          <w:color w:val="121212"/>
          <w:sz w:val="25"/>
          <w:szCs w:val="25"/>
        </w:rPr>
      </w:pPr>
    </w:p>
    <w:p w14:paraId="5405F129" w14:textId="0301A669" w:rsidR="00DE3793" w:rsidRDefault="00DE3793" w:rsidP="66B9EE99">
      <w:pPr>
        <w:jc w:val="both"/>
        <w:rPr>
          <w:b/>
          <w:bCs/>
          <w:color w:val="121212"/>
          <w:sz w:val="25"/>
          <w:szCs w:val="25"/>
        </w:rPr>
      </w:pPr>
    </w:p>
    <w:p w14:paraId="7159CEED" w14:textId="1D645090" w:rsidR="00DE3793" w:rsidRDefault="00DE3793" w:rsidP="66B9EE99">
      <w:pPr>
        <w:jc w:val="both"/>
        <w:rPr>
          <w:b/>
          <w:bCs/>
          <w:color w:val="121212"/>
          <w:sz w:val="25"/>
          <w:szCs w:val="25"/>
        </w:rPr>
      </w:pPr>
    </w:p>
    <w:p w14:paraId="2C737576" w14:textId="646DFED7" w:rsidR="00DE3793" w:rsidRDefault="00DE3793" w:rsidP="66B9EE99">
      <w:pPr>
        <w:jc w:val="both"/>
        <w:rPr>
          <w:b/>
          <w:bCs/>
          <w:color w:val="121212"/>
          <w:sz w:val="25"/>
          <w:szCs w:val="25"/>
        </w:rPr>
      </w:pPr>
    </w:p>
    <w:p w14:paraId="6AD6692D" w14:textId="3E8DD2D7" w:rsidR="00DE3793" w:rsidRDefault="00DE3793" w:rsidP="66B9EE99">
      <w:pPr>
        <w:jc w:val="both"/>
        <w:rPr>
          <w:b/>
          <w:bCs/>
          <w:color w:val="121212"/>
          <w:sz w:val="25"/>
          <w:szCs w:val="25"/>
        </w:rPr>
      </w:pPr>
    </w:p>
    <w:p w14:paraId="61DE66BC" w14:textId="2C1811F7" w:rsidR="00DE3793" w:rsidRDefault="00DE3793" w:rsidP="66B9EE99">
      <w:pPr>
        <w:jc w:val="both"/>
        <w:rPr>
          <w:b/>
          <w:bCs/>
          <w:color w:val="121212"/>
          <w:sz w:val="25"/>
          <w:szCs w:val="25"/>
        </w:rPr>
      </w:pPr>
    </w:p>
    <w:p w14:paraId="3275F823" w14:textId="77777777" w:rsidR="00DE3793" w:rsidRDefault="00DE3793" w:rsidP="66B9EE99">
      <w:pPr>
        <w:jc w:val="both"/>
        <w:rPr>
          <w:b/>
          <w:bCs/>
          <w:color w:val="121212"/>
          <w:sz w:val="25"/>
          <w:szCs w:val="25"/>
        </w:rPr>
      </w:pPr>
    </w:p>
    <w:p w14:paraId="71A53FF0" w14:textId="40CEF59B" w:rsidR="00606F8C" w:rsidRDefault="00606F8C" w:rsidP="66B9EE99">
      <w:pPr>
        <w:rPr>
          <w:b/>
          <w:bCs/>
          <w:sz w:val="24"/>
          <w:szCs w:val="24"/>
          <w:u w:val="single"/>
        </w:rPr>
      </w:pPr>
    </w:p>
    <w:p w14:paraId="46E729BC" w14:textId="205BE99B" w:rsidR="00606F8C" w:rsidRDefault="00606F8C" w:rsidP="66B9EE99">
      <w:pPr>
        <w:rPr>
          <w:b/>
          <w:bCs/>
          <w:sz w:val="24"/>
          <w:szCs w:val="24"/>
          <w:u w:val="single"/>
        </w:rPr>
      </w:pPr>
    </w:p>
    <w:p w14:paraId="02CF9732" w14:textId="77777777" w:rsidR="00C316C7" w:rsidRDefault="00C316C7" w:rsidP="00E07D05">
      <w:pPr>
        <w:jc w:val="center"/>
        <w:rPr>
          <w:b/>
          <w:bCs/>
          <w:sz w:val="24"/>
          <w:szCs w:val="24"/>
          <w:u w:val="single"/>
        </w:rPr>
      </w:pPr>
    </w:p>
    <w:p w14:paraId="14DF6150" w14:textId="77777777" w:rsidR="009774C7" w:rsidRDefault="009774C7" w:rsidP="00E07D05">
      <w:pPr>
        <w:jc w:val="center"/>
        <w:rPr>
          <w:b/>
          <w:bCs/>
          <w:sz w:val="24"/>
          <w:szCs w:val="24"/>
          <w:u w:val="single"/>
        </w:rPr>
      </w:pPr>
    </w:p>
    <w:p w14:paraId="4A593762" w14:textId="77777777" w:rsidR="009774C7" w:rsidRDefault="009774C7" w:rsidP="00E07D05">
      <w:pPr>
        <w:jc w:val="center"/>
        <w:rPr>
          <w:b/>
          <w:bCs/>
          <w:sz w:val="24"/>
          <w:szCs w:val="24"/>
          <w:u w:val="single"/>
        </w:rPr>
      </w:pPr>
    </w:p>
    <w:p w14:paraId="351D0D09" w14:textId="77777777" w:rsidR="0043424A" w:rsidRDefault="0043424A" w:rsidP="00E07D05">
      <w:pPr>
        <w:jc w:val="center"/>
        <w:rPr>
          <w:b/>
          <w:bCs/>
          <w:sz w:val="24"/>
          <w:szCs w:val="24"/>
          <w:u w:val="single"/>
        </w:rPr>
      </w:pPr>
    </w:p>
    <w:p w14:paraId="64FA16EB" w14:textId="77777777" w:rsidR="0043424A" w:rsidRDefault="0043424A" w:rsidP="00E07D05">
      <w:pPr>
        <w:jc w:val="center"/>
        <w:rPr>
          <w:b/>
          <w:bCs/>
          <w:sz w:val="24"/>
          <w:szCs w:val="24"/>
          <w:u w:val="single"/>
        </w:rPr>
      </w:pPr>
    </w:p>
    <w:p w14:paraId="75FA5623" w14:textId="77777777" w:rsidR="0043424A" w:rsidRDefault="0043424A" w:rsidP="00E07D05">
      <w:pPr>
        <w:jc w:val="center"/>
        <w:rPr>
          <w:b/>
          <w:bCs/>
          <w:sz w:val="24"/>
          <w:szCs w:val="24"/>
          <w:u w:val="single"/>
        </w:rPr>
      </w:pPr>
    </w:p>
    <w:p w14:paraId="3F082379" w14:textId="77777777" w:rsidR="0043424A" w:rsidRDefault="0043424A" w:rsidP="00E07D05">
      <w:pPr>
        <w:jc w:val="center"/>
        <w:rPr>
          <w:b/>
          <w:bCs/>
          <w:sz w:val="24"/>
          <w:szCs w:val="24"/>
          <w:u w:val="single"/>
        </w:rPr>
      </w:pPr>
    </w:p>
    <w:p w14:paraId="2856CB66" w14:textId="77777777" w:rsidR="0043424A" w:rsidRDefault="0043424A" w:rsidP="00E07D05">
      <w:pPr>
        <w:jc w:val="center"/>
        <w:rPr>
          <w:b/>
          <w:bCs/>
          <w:sz w:val="24"/>
          <w:szCs w:val="24"/>
          <w:u w:val="single"/>
        </w:rPr>
      </w:pPr>
    </w:p>
    <w:p w14:paraId="54195B26" w14:textId="77777777" w:rsidR="0043424A" w:rsidRDefault="0043424A" w:rsidP="00E07D05">
      <w:pPr>
        <w:jc w:val="center"/>
        <w:rPr>
          <w:b/>
          <w:bCs/>
          <w:sz w:val="24"/>
          <w:szCs w:val="24"/>
          <w:u w:val="single"/>
        </w:rPr>
      </w:pPr>
    </w:p>
    <w:p w14:paraId="115795CC" w14:textId="24C5D216" w:rsidR="00606F8C" w:rsidRDefault="66B9EE99" w:rsidP="00E07D05">
      <w:pPr>
        <w:jc w:val="center"/>
        <w:rPr>
          <w:b/>
          <w:bCs/>
          <w:sz w:val="24"/>
          <w:szCs w:val="24"/>
          <w:u w:val="single"/>
        </w:rPr>
      </w:pPr>
      <w:r w:rsidRPr="66B9EE99">
        <w:rPr>
          <w:b/>
          <w:bCs/>
          <w:sz w:val="24"/>
          <w:szCs w:val="24"/>
          <w:u w:val="single"/>
        </w:rPr>
        <w:t>Reference List</w:t>
      </w:r>
    </w:p>
    <w:p w14:paraId="0904E117" w14:textId="2FD18948" w:rsidR="00D41346" w:rsidRDefault="00D41346" w:rsidP="00606F8C"/>
    <w:p w14:paraId="5D5C8970" w14:textId="1EB0DAB3" w:rsidR="00CE0929" w:rsidRPr="00EF6C49" w:rsidRDefault="005051A2" w:rsidP="00606F8C">
      <w:pPr>
        <w:rPr>
          <w:i/>
          <w:iCs/>
          <w:sz w:val="24"/>
          <w:szCs w:val="24"/>
        </w:rPr>
      </w:pPr>
      <w:r>
        <w:rPr>
          <w:sz w:val="24"/>
          <w:szCs w:val="24"/>
        </w:rPr>
        <w:t>BBC News, (2012</w:t>
      </w:r>
      <w:r w:rsidRPr="5EFF7C1A">
        <w:rPr>
          <w:sz w:val="24"/>
          <w:szCs w:val="24"/>
        </w:rPr>
        <w:t>).</w:t>
      </w:r>
      <w:r>
        <w:rPr>
          <w:i/>
          <w:iCs/>
          <w:sz w:val="24"/>
          <w:szCs w:val="24"/>
        </w:rPr>
        <w:t xml:space="preserve"> Christy Walsh compensation move. </w:t>
      </w:r>
      <w:r w:rsidRPr="5EFF7C1A">
        <w:rPr>
          <w:sz w:val="24"/>
          <w:szCs w:val="24"/>
        </w:rPr>
        <w:t>Available at:</w:t>
      </w:r>
      <w:r>
        <w:rPr>
          <w:sz w:val="24"/>
          <w:szCs w:val="24"/>
        </w:rPr>
        <w:t xml:space="preserve"> </w:t>
      </w:r>
      <w:hyperlink r:id="rId7" w:history="1">
        <w:r>
          <w:rPr>
            <w:rStyle w:val="Hyperlink"/>
          </w:rPr>
          <w:t>https://www.bbc.co.uk/news/uk-northern-ireland-18504478</w:t>
        </w:r>
      </w:hyperlink>
      <w:r>
        <w:rPr>
          <w:sz w:val="24"/>
          <w:szCs w:val="24"/>
        </w:rPr>
        <w:t xml:space="preserve"> (Accessed: 7</w:t>
      </w:r>
      <w:r w:rsidRPr="5EFF7C1A">
        <w:rPr>
          <w:sz w:val="24"/>
          <w:szCs w:val="24"/>
        </w:rPr>
        <w:t xml:space="preserve"> November 2019)</w:t>
      </w:r>
    </w:p>
    <w:p w14:paraId="34209214" w14:textId="77777777" w:rsidR="005051A2" w:rsidRDefault="005051A2" w:rsidP="00606F8C"/>
    <w:p w14:paraId="258590DE" w14:textId="3AAE76E9" w:rsidR="00600552" w:rsidRDefault="5EFF7C1A" w:rsidP="5EFF7C1A">
      <w:pPr>
        <w:rPr>
          <w:sz w:val="24"/>
          <w:szCs w:val="24"/>
        </w:rPr>
      </w:pPr>
      <w:r w:rsidRPr="5EFF7C1A">
        <w:rPr>
          <w:sz w:val="24"/>
          <w:szCs w:val="24"/>
        </w:rPr>
        <w:t xml:space="preserve">Cowley, R (2011) </w:t>
      </w:r>
      <w:r w:rsidRPr="5EFF7C1A">
        <w:rPr>
          <w:i/>
          <w:iCs/>
          <w:sz w:val="24"/>
          <w:szCs w:val="24"/>
        </w:rPr>
        <w:t>A History of the British Police</w:t>
      </w:r>
      <w:r w:rsidRPr="5EFF7C1A">
        <w:rPr>
          <w:sz w:val="24"/>
          <w:szCs w:val="24"/>
        </w:rPr>
        <w:t xml:space="preserve">. Gloucestershire: The History Press. </w:t>
      </w:r>
    </w:p>
    <w:p w14:paraId="52148B68" w14:textId="7934E88C" w:rsidR="0029577A" w:rsidRDefault="0029577A" w:rsidP="5EFF7C1A">
      <w:pPr>
        <w:rPr>
          <w:sz w:val="24"/>
          <w:szCs w:val="24"/>
        </w:rPr>
      </w:pPr>
    </w:p>
    <w:p w14:paraId="53E8C9A5" w14:textId="77777777" w:rsidR="0029577A" w:rsidRDefault="0029577A" w:rsidP="009D4450">
      <w:pPr>
        <w:rPr>
          <w:sz w:val="24"/>
          <w:szCs w:val="24"/>
        </w:rPr>
      </w:pPr>
      <w:r>
        <w:rPr>
          <w:sz w:val="24"/>
          <w:szCs w:val="24"/>
        </w:rPr>
        <w:t xml:space="preserve">College of Policing, (2013). </w:t>
      </w:r>
      <w:r>
        <w:rPr>
          <w:i/>
          <w:iCs/>
          <w:sz w:val="24"/>
          <w:szCs w:val="24"/>
        </w:rPr>
        <w:t xml:space="preserve"> Police use of force. </w:t>
      </w:r>
      <w:r w:rsidRPr="5EFF7C1A">
        <w:rPr>
          <w:sz w:val="24"/>
          <w:szCs w:val="24"/>
        </w:rPr>
        <w:t>Available at:</w:t>
      </w:r>
      <w:r>
        <w:rPr>
          <w:sz w:val="24"/>
          <w:szCs w:val="24"/>
        </w:rPr>
        <w:t xml:space="preserve"> </w:t>
      </w:r>
      <w:hyperlink r:id="rId8">
        <w:r w:rsidRPr="66B9EE99">
          <w:rPr>
            <w:rStyle w:val="Hyperlink"/>
            <w:sz w:val="24"/>
            <w:szCs w:val="24"/>
          </w:rPr>
          <w:t>https://www.app.college.police.uk/app-content/public-order/core-principles-and-legislation/police-use-of-force/</w:t>
        </w:r>
      </w:hyperlink>
      <w:r>
        <w:rPr>
          <w:sz w:val="24"/>
          <w:szCs w:val="24"/>
        </w:rPr>
        <w:t xml:space="preserve"> (Accessed: 7</w:t>
      </w:r>
      <w:r w:rsidRPr="5EFF7C1A">
        <w:rPr>
          <w:sz w:val="24"/>
          <w:szCs w:val="24"/>
        </w:rPr>
        <w:t xml:space="preserve"> November 2019)</w:t>
      </w:r>
    </w:p>
    <w:p w14:paraId="7DCA45E8" w14:textId="773846E9" w:rsidR="0029577A" w:rsidRDefault="0029577A" w:rsidP="5EFF7C1A">
      <w:pPr>
        <w:rPr>
          <w:sz w:val="24"/>
          <w:szCs w:val="24"/>
        </w:rPr>
      </w:pPr>
    </w:p>
    <w:p w14:paraId="45053E79" w14:textId="4D7902D4" w:rsidR="002564DC" w:rsidRDefault="002564DC" w:rsidP="5EFF7C1A">
      <w:pPr>
        <w:rPr>
          <w:sz w:val="24"/>
          <w:szCs w:val="24"/>
        </w:rPr>
      </w:pPr>
      <w:r>
        <w:rPr>
          <w:sz w:val="24"/>
          <w:szCs w:val="24"/>
        </w:rPr>
        <w:t>Department of justice, (2015</w:t>
      </w:r>
      <w:r w:rsidRPr="5EFF7C1A">
        <w:rPr>
          <w:sz w:val="24"/>
          <w:szCs w:val="24"/>
        </w:rPr>
        <w:t>).</w:t>
      </w:r>
      <w:r>
        <w:rPr>
          <w:i/>
          <w:iCs/>
          <w:sz w:val="24"/>
          <w:szCs w:val="24"/>
        </w:rPr>
        <w:t xml:space="preserve"> Exercise by police officers of their statutory powers to stop and search. </w:t>
      </w:r>
      <w:r w:rsidRPr="5EFF7C1A">
        <w:rPr>
          <w:sz w:val="24"/>
          <w:szCs w:val="24"/>
        </w:rPr>
        <w:t>Available at:</w:t>
      </w:r>
      <w:r w:rsidRPr="001A32DA">
        <w:rPr>
          <w:sz w:val="24"/>
          <w:szCs w:val="24"/>
        </w:rPr>
        <w:t xml:space="preserve"> </w:t>
      </w:r>
      <w:hyperlink r:id="rId9" w:history="1">
        <w:r w:rsidRPr="00873099">
          <w:rPr>
            <w:rStyle w:val="Hyperlink"/>
            <w:sz w:val="24"/>
            <w:szCs w:val="24"/>
          </w:rPr>
          <w:t>https://www.justice-ni.gov.uk/publications/pace-code-exercise-by-police-officers-statutory-powers-stop-and-search</w:t>
        </w:r>
      </w:hyperlink>
      <w:r>
        <w:rPr>
          <w:sz w:val="24"/>
          <w:szCs w:val="24"/>
        </w:rPr>
        <w:t xml:space="preserve">  (Accessed: 7</w:t>
      </w:r>
      <w:r w:rsidRPr="5EFF7C1A">
        <w:rPr>
          <w:sz w:val="24"/>
          <w:szCs w:val="24"/>
        </w:rPr>
        <w:t xml:space="preserve"> November 2019</w:t>
      </w:r>
      <w:r>
        <w:rPr>
          <w:sz w:val="24"/>
          <w:szCs w:val="24"/>
        </w:rPr>
        <w:t>)</w:t>
      </w:r>
    </w:p>
    <w:p w14:paraId="366E6F2F" w14:textId="45AC34B1" w:rsidR="005B0E15" w:rsidRDefault="005B0E15" w:rsidP="5EFF7C1A">
      <w:pPr>
        <w:rPr>
          <w:sz w:val="24"/>
          <w:szCs w:val="24"/>
        </w:rPr>
      </w:pPr>
    </w:p>
    <w:p w14:paraId="7A6E433D" w14:textId="340761C1" w:rsidR="005B0E15" w:rsidRPr="00E055BF" w:rsidRDefault="005B0E15" w:rsidP="5EFF7C1A">
      <w:pPr>
        <w:rPr>
          <w:sz w:val="24"/>
          <w:szCs w:val="24"/>
        </w:rPr>
      </w:pPr>
      <w:r>
        <w:rPr>
          <w:sz w:val="24"/>
          <w:szCs w:val="24"/>
        </w:rPr>
        <w:t>Gov.uk, (2018</w:t>
      </w:r>
      <w:r w:rsidRPr="5EFF7C1A">
        <w:rPr>
          <w:sz w:val="24"/>
          <w:szCs w:val="24"/>
        </w:rPr>
        <w:t xml:space="preserve">). </w:t>
      </w:r>
      <w:r>
        <w:rPr>
          <w:i/>
          <w:iCs/>
          <w:sz w:val="24"/>
          <w:szCs w:val="24"/>
        </w:rPr>
        <w:t xml:space="preserve">The police and criminal evidence act 1984. </w:t>
      </w:r>
      <w:r w:rsidRPr="5EFF7C1A">
        <w:rPr>
          <w:sz w:val="24"/>
          <w:szCs w:val="24"/>
        </w:rPr>
        <w:t>Available</w:t>
      </w:r>
      <w:r>
        <w:rPr>
          <w:sz w:val="24"/>
          <w:szCs w:val="24"/>
        </w:rPr>
        <w:t xml:space="preserve"> at: </w:t>
      </w:r>
      <w:hyperlink r:id="rId10" w:history="1">
        <w:r>
          <w:rPr>
            <w:rStyle w:val="Hyperlink"/>
          </w:rPr>
          <w:t>http://www.legislation.gov.uk/ukpga/1984/60/section/58</w:t>
        </w:r>
      </w:hyperlink>
      <w:r>
        <w:rPr>
          <w:sz w:val="24"/>
          <w:szCs w:val="24"/>
        </w:rPr>
        <w:t xml:space="preserve"> (Accessed: 13</w:t>
      </w:r>
      <w:r w:rsidRPr="5EFF7C1A">
        <w:rPr>
          <w:sz w:val="24"/>
          <w:szCs w:val="24"/>
        </w:rPr>
        <w:t xml:space="preserve"> </w:t>
      </w:r>
      <w:r>
        <w:rPr>
          <w:sz w:val="24"/>
          <w:szCs w:val="24"/>
        </w:rPr>
        <w:t xml:space="preserve">October </w:t>
      </w:r>
      <w:r w:rsidRPr="5EFF7C1A">
        <w:rPr>
          <w:sz w:val="24"/>
          <w:szCs w:val="24"/>
        </w:rPr>
        <w:t>2019)</w:t>
      </w:r>
      <w:r>
        <w:rPr>
          <w:sz w:val="24"/>
          <w:szCs w:val="24"/>
        </w:rPr>
        <w:t xml:space="preserve"> </w:t>
      </w:r>
    </w:p>
    <w:p w14:paraId="33C049FF" w14:textId="74B2A0E5" w:rsidR="5EFF7C1A" w:rsidRDefault="5EFF7C1A" w:rsidP="5EFF7C1A">
      <w:pPr>
        <w:rPr>
          <w:sz w:val="24"/>
          <w:szCs w:val="24"/>
        </w:rPr>
      </w:pPr>
    </w:p>
    <w:p w14:paraId="76A7B035" w14:textId="27D52BE8" w:rsidR="5EFF7C1A" w:rsidRDefault="5EFF7C1A" w:rsidP="5EFF7C1A">
      <w:pPr>
        <w:rPr>
          <w:sz w:val="24"/>
          <w:szCs w:val="24"/>
        </w:rPr>
      </w:pPr>
      <w:r w:rsidRPr="5EFF7C1A">
        <w:rPr>
          <w:sz w:val="24"/>
          <w:szCs w:val="24"/>
        </w:rPr>
        <w:t xml:space="preserve">Home Office, (2012). </w:t>
      </w:r>
      <w:r w:rsidRPr="5EFF7C1A">
        <w:rPr>
          <w:i/>
          <w:iCs/>
          <w:sz w:val="24"/>
          <w:szCs w:val="24"/>
        </w:rPr>
        <w:t>Policing by consent.</w:t>
      </w:r>
      <w:r w:rsidRPr="5EFF7C1A">
        <w:rPr>
          <w:sz w:val="24"/>
          <w:szCs w:val="24"/>
        </w:rPr>
        <w:t xml:space="preserve"> Available at: </w:t>
      </w:r>
      <w:hyperlink r:id="rId11">
        <w:r w:rsidRPr="5EFF7C1A">
          <w:rPr>
            <w:rStyle w:val="Hyperlink"/>
            <w:sz w:val="24"/>
            <w:szCs w:val="24"/>
          </w:rPr>
          <w:t>https://www.gov.uk/government/publications/policing-by-consent/definition-of-policing-by-consent</w:t>
        </w:r>
      </w:hyperlink>
      <w:r w:rsidRPr="5EFF7C1A">
        <w:rPr>
          <w:sz w:val="24"/>
          <w:szCs w:val="24"/>
        </w:rPr>
        <w:t xml:space="preserve"> (Accessed: 06 November 2019)</w:t>
      </w:r>
    </w:p>
    <w:p w14:paraId="307E62E3" w14:textId="40FAEF82" w:rsidR="0095584B" w:rsidRDefault="0095584B" w:rsidP="5EFF7C1A">
      <w:pPr>
        <w:rPr>
          <w:sz w:val="24"/>
          <w:szCs w:val="24"/>
        </w:rPr>
      </w:pPr>
    </w:p>
    <w:p w14:paraId="66F85D9D" w14:textId="244CB350" w:rsidR="0095584B" w:rsidRDefault="00977FBD" w:rsidP="00D1477B">
      <w:pPr>
        <w:rPr>
          <w:sz w:val="24"/>
          <w:szCs w:val="24"/>
        </w:rPr>
      </w:pPr>
      <w:r>
        <w:rPr>
          <w:sz w:val="24"/>
          <w:szCs w:val="24"/>
        </w:rPr>
        <w:t>Home Office, (2013</w:t>
      </w:r>
      <w:r w:rsidR="0095584B" w:rsidRPr="5EFF7C1A">
        <w:rPr>
          <w:sz w:val="24"/>
          <w:szCs w:val="24"/>
        </w:rPr>
        <w:t xml:space="preserve">). </w:t>
      </w:r>
      <w:r w:rsidR="00547EDE">
        <w:rPr>
          <w:i/>
          <w:iCs/>
          <w:sz w:val="24"/>
          <w:szCs w:val="24"/>
        </w:rPr>
        <w:t>Police and criminal evidence Act</w:t>
      </w:r>
      <w:r w:rsidR="00044097">
        <w:rPr>
          <w:i/>
          <w:iCs/>
          <w:sz w:val="24"/>
          <w:szCs w:val="24"/>
        </w:rPr>
        <w:t xml:space="preserve"> 1984 (PACE) Codes of practice. </w:t>
      </w:r>
      <w:r w:rsidR="0095584B" w:rsidRPr="5EFF7C1A">
        <w:rPr>
          <w:sz w:val="24"/>
          <w:szCs w:val="24"/>
        </w:rPr>
        <w:t xml:space="preserve">Available at: </w:t>
      </w:r>
      <w:hyperlink r:id="rId12">
        <w:r w:rsidR="009545D0" w:rsidRPr="0BE95D9F">
          <w:rPr>
            <w:rStyle w:val="Hyperlink"/>
            <w:sz w:val="24"/>
            <w:szCs w:val="24"/>
          </w:rPr>
          <w:t>https://www.gov.uk/guidance/police-and-criminal-evidence-act-1984-pace-codes-of-practice</w:t>
        </w:r>
      </w:hyperlink>
      <w:r w:rsidR="009545D0" w:rsidRPr="5EFF7C1A">
        <w:rPr>
          <w:sz w:val="24"/>
          <w:szCs w:val="24"/>
        </w:rPr>
        <w:t xml:space="preserve"> </w:t>
      </w:r>
      <w:r w:rsidR="00EE704D">
        <w:rPr>
          <w:sz w:val="24"/>
          <w:szCs w:val="24"/>
        </w:rPr>
        <w:t>(Accessed: 02</w:t>
      </w:r>
      <w:r w:rsidR="0095584B" w:rsidRPr="5EFF7C1A">
        <w:rPr>
          <w:sz w:val="24"/>
          <w:szCs w:val="24"/>
        </w:rPr>
        <w:t xml:space="preserve"> November 2019)</w:t>
      </w:r>
    </w:p>
    <w:p w14:paraId="2D87D9C8" w14:textId="4FBA9FB4" w:rsidR="009B1D3B" w:rsidRDefault="009B1D3B" w:rsidP="00D1477B">
      <w:pPr>
        <w:rPr>
          <w:sz w:val="24"/>
          <w:szCs w:val="24"/>
        </w:rPr>
      </w:pPr>
    </w:p>
    <w:p w14:paraId="6330CDF5" w14:textId="77777777" w:rsidR="009B1D3B" w:rsidRDefault="009B1D3B" w:rsidP="009D4450">
      <w:pPr>
        <w:rPr>
          <w:sz w:val="24"/>
          <w:szCs w:val="24"/>
        </w:rPr>
      </w:pPr>
      <w:r>
        <w:rPr>
          <w:sz w:val="24"/>
          <w:szCs w:val="24"/>
        </w:rPr>
        <w:t>Home Office, (2019</w:t>
      </w:r>
      <w:r w:rsidRPr="5EFF7C1A">
        <w:rPr>
          <w:sz w:val="24"/>
          <w:szCs w:val="24"/>
        </w:rPr>
        <w:t xml:space="preserve">). </w:t>
      </w:r>
      <w:r>
        <w:rPr>
          <w:i/>
          <w:iCs/>
          <w:sz w:val="24"/>
          <w:szCs w:val="24"/>
        </w:rPr>
        <w:t>Code of practice for the detention, treatment and questioning of persons by police officers.</w:t>
      </w:r>
      <w:r w:rsidRPr="5EFF7C1A">
        <w:rPr>
          <w:sz w:val="24"/>
          <w:szCs w:val="24"/>
        </w:rPr>
        <w:t xml:space="preserve"> Available</w:t>
      </w:r>
      <w:r>
        <w:rPr>
          <w:sz w:val="24"/>
          <w:szCs w:val="24"/>
        </w:rPr>
        <w:t xml:space="preserve"> at: </w:t>
      </w:r>
      <w:hyperlink r:id="rId13" w:history="1">
        <w:r w:rsidRPr="00873099">
          <w:rPr>
            <w:rStyle w:val="Hyperlink"/>
            <w:sz w:val="24"/>
            <w:szCs w:val="24"/>
          </w:rPr>
          <w:t>https://assets.publishing.service.gov.uk/government/uploads/system/uploads/attachment_data/file/826813/PACE-Code-C_2019.pdf</w:t>
        </w:r>
      </w:hyperlink>
      <w:r>
        <w:rPr>
          <w:sz w:val="24"/>
          <w:szCs w:val="24"/>
        </w:rPr>
        <w:t xml:space="preserve"> (Accessed:12</w:t>
      </w:r>
      <w:r w:rsidRPr="5EFF7C1A">
        <w:rPr>
          <w:sz w:val="24"/>
          <w:szCs w:val="24"/>
        </w:rPr>
        <w:t xml:space="preserve"> </w:t>
      </w:r>
      <w:r>
        <w:rPr>
          <w:sz w:val="24"/>
          <w:szCs w:val="24"/>
        </w:rPr>
        <w:t xml:space="preserve">October </w:t>
      </w:r>
      <w:r w:rsidRPr="5EFF7C1A">
        <w:rPr>
          <w:sz w:val="24"/>
          <w:szCs w:val="24"/>
        </w:rPr>
        <w:t>2019)</w:t>
      </w:r>
      <w:r>
        <w:rPr>
          <w:sz w:val="24"/>
          <w:szCs w:val="24"/>
        </w:rPr>
        <w:t xml:space="preserve"> </w:t>
      </w:r>
    </w:p>
    <w:p w14:paraId="612C4A77" w14:textId="01C2B942" w:rsidR="0095584B" w:rsidRDefault="0095584B" w:rsidP="00D1477B">
      <w:pPr>
        <w:rPr>
          <w:sz w:val="24"/>
          <w:szCs w:val="24"/>
        </w:rPr>
      </w:pPr>
    </w:p>
    <w:p w14:paraId="6EFE81A3" w14:textId="4D14C5C8" w:rsidR="0095584B" w:rsidRDefault="008A62F7" w:rsidP="5EFF7C1A">
      <w:pPr>
        <w:rPr>
          <w:sz w:val="24"/>
          <w:szCs w:val="24"/>
        </w:rPr>
      </w:pPr>
      <w:r>
        <w:rPr>
          <w:sz w:val="24"/>
          <w:szCs w:val="24"/>
        </w:rPr>
        <w:t>Murphy, N</w:t>
      </w:r>
      <w:r w:rsidR="00B11EF4">
        <w:rPr>
          <w:sz w:val="24"/>
          <w:szCs w:val="24"/>
        </w:rPr>
        <w:t xml:space="preserve"> (2017</w:t>
      </w:r>
      <w:r w:rsidR="00AE159E" w:rsidRPr="5EFF7C1A">
        <w:rPr>
          <w:sz w:val="24"/>
          <w:szCs w:val="24"/>
        </w:rPr>
        <w:t>).</w:t>
      </w:r>
      <w:r w:rsidR="00606BF3">
        <w:rPr>
          <w:i/>
          <w:iCs/>
          <w:sz w:val="24"/>
          <w:szCs w:val="24"/>
        </w:rPr>
        <w:t xml:space="preserve"> </w:t>
      </w:r>
      <w:r w:rsidR="00CB4EC3">
        <w:rPr>
          <w:i/>
          <w:iCs/>
          <w:sz w:val="24"/>
          <w:szCs w:val="24"/>
        </w:rPr>
        <w:t xml:space="preserve">The role of the </w:t>
      </w:r>
      <w:r w:rsidR="008A1BA0">
        <w:rPr>
          <w:i/>
          <w:iCs/>
          <w:sz w:val="24"/>
          <w:szCs w:val="24"/>
        </w:rPr>
        <w:t xml:space="preserve">solicitor at a police station. </w:t>
      </w:r>
      <w:r w:rsidR="00AE159E" w:rsidRPr="5EFF7C1A">
        <w:rPr>
          <w:sz w:val="24"/>
          <w:szCs w:val="24"/>
        </w:rPr>
        <w:t>Available at:</w:t>
      </w:r>
      <w:r w:rsidR="001A32DA" w:rsidRPr="001A32DA">
        <w:rPr>
          <w:sz w:val="24"/>
          <w:szCs w:val="24"/>
        </w:rPr>
        <w:t xml:space="preserve"> </w:t>
      </w:r>
      <w:hyperlink r:id="rId14" w:history="1">
        <w:r w:rsidR="001A32DA" w:rsidRPr="00873099">
          <w:rPr>
            <w:rStyle w:val="Hyperlink"/>
            <w:sz w:val="24"/>
            <w:szCs w:val="24"/>
          </w:rPr>
          <w:t>http://krw-law.ie/wp-content/uploads/2017/05/The-Role-of-a-Solicitor-in-the-Police-Station-PACE-IPLS-8.3.17.pdf</w:t>
        </w:r>
      </w:hyperlink>
      <w:r w:rsidR="001A32DA">
        <w:rPr>
          <w:sz w:val="24"/>
          <w:szCs w:val="24"/>
        </w:rPr>
        <w:t xml:space="preserve"> </w:t>
      </w:r>
      <w:r w:rsidR="00AE159E">
        <w:rPr>
          <w:sz w:val="24"/>
          <w:szCs w:val="24"/>
        </w:rPr>
        <w:t>(Accessed: 02</w:t>
      </w:r>
      <w:r w:rsidR="00AE159E" w:rsidRPr="5EFF7C1A">
        <w:rPr>
          <w:sz w:val="24"/>
          <w:szCs w:val="24"/>
        </w:rPr>
        <w:t xml:space="preserve"> November 2019)</w:t>
      </w:r>
    </w:p>
    <w:p w14:paraId="4C16E91B" w14:textId="77777777" w:rsidR="0095584B" w:rsidRDefault="0095584B" w:rsidP="5EFF7C1A">
      <w:pPr>
        <w:rPr>
          <w:sz w:val="24"/>
          <w:szCs w:val="24"/>
        </w:rPr>
      </w:pPr>
    </w:p>
    <w:p w14:paraId="6287BAC0" w14:textId="75A5BF84" w:rsidR="00A069A2" w:rsidRPr="00EF67E5" w:rsidRDefault="00DB0027" w:rsidP="00D1477B">
      <w:pPr>
        <w:rPr>
          <w:i/>
          <w:iCs/>
          <w:sz w:val="24"/>
          <w:szCs w:val="24"/>
        </w:rPr>
      </w:pPr>
      <w:r>
        <w:rPr>
          <w:sz w:val="24"/>
          <w:szCs w:val="24"/>
        </w:rPr>
        <w:t xml:space="preserve">Oliver, </w:t>
      </w:r>
      <w:r w:rsidR="00EF67E5">
        <w:rPr>
          <w:sz w:val="24"/>
          <w:szCs w:val="24"/>
        </w:rPr>
        <w:t>M, (2002</w:t>
      </w:r>
      <w:r w:rsidR="00404CEF">
        <w:rPr>
          <w:sz w:val="24"/>
          <w:szCs w:val="24"/>
        </w:rPr>
        <w:t xml:space="preserve">). </w:t>
      </w:r>
      <w:r w:rsidR="00404CEF" w:rsidRPr="00404CEF">
        <w:rPr>
          <w:i/>
          <w:sz w:val="24"/>
          <w:szCs w:val="24"/>
        </w:rPr>
        <w:t xml:space="preserve">Miscarriages of justice. </w:t>
      </w:r>
      <w:r w:rsidR="00A069A2">
        <w:rPr>
          <w:i/>
          <w:iCs/>
          <w:sz w:val="24"/>
          <w:szCs w:val="24"/>
        </w:rPr>
        <w:t xml:space="preserve"> </w:t>
      </w:r>
      <w:r w:rsidR="00A069A2" w:rsidRPr="5EFF7C1A">
        <w:rPr>
          <w:sz w:val="24"/>
          <w:szCs w:val="24"/>
        </w:rPr>
        <w:t>Available at:</w:t>
      </w:r>
      <w:r w:rsidR="00A069A2" w:rsidRPr="00A069A2">
        <w:t xml:space="preserve"> </w:t>
      </w:r>
      <w:hyperlink r:id="rId15">
        <w:r w:rsidR="00A069A2" w:rsidRPr="2B571113">
          <w:rPr>
            <w:rStyle w:val="Hyperlink"/>
            <w:sz w:val="24"/>
            <w:szCs w:val="24"/>
          </w:rPr>
          <w:t>https://www.theguardian.com/uk/2002/jan/15/ukcrime.markoliver</w:t>
        </w:r>
      </w:hyperlink>
      <w:r w:rsidR="00A069A2">
        <w:rPr>
          <w:sz w:val="24"/>
          <w:szCs w:val="24"/>
        </w:rPr>
        <w:t xml:space="preserve"> (Accessed: 5</w:t>
      </w:r>
      <w:r w:rsidR="00A069A2" w:rsidRPr="5EFF7C1A">
        <w:rPr>
          <w:sz w:val="24"/>
          <w:szCs w:val="24"/>
        </w:rPr>
        <w:t xml:space="preserve"> November 2019)</w:t>
      </w:r>
    </w:p>
    <w:p w14:paraId="0C144453" w14:textId="77777777" w:rsidR="00A069A2" w:rsidRDefault="00A069A2" w:rsidP="00D1477B">
      <w:pPr>
        <w:rPr>
          <w:sz w:val="24"/>
          <w:szCs w:val="24"/>
        </w:rPr>
      </w:pPr>
    </w:p>
    <w:p w14:paraId="4E4B03FA" w14:textId="14BC1580" w:rsidR="00960CF7" w:rsidRDefault="00960CF7" w:rsidP="5EFF7C1A">
      <w:pPr>
        <w:rPr>
          <w:sz w:val="24"/>
          <w:szCs w:val="24"/>
        </w:rPr>
      </w:pPr>
    </w:p>
    <w:sectPr w:rsidR="00960CF7" w:rsidSect="001D7340">
      <w:head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8CC80" w14:textId="77777777" w:rsidR="00831D71" w:rsidRDefault="00831D71" w:rsidP="001D7340">
      <w:r>
        <w:separator/>
      </w:r>
    </w:p>
  </w:endnote>
  <w:endnote w:type="continuationSeparator" w:id="0">
    <w:p w14:paraId="09283F1E" w14:textId="77777777" w:rsidR="00831D71" w:rsidRDefault="00831D71" w:rsidP="001D7340">
      <w:r>
        <w:continuationSeparator/>
      </w:r>
    </w:p>
  </w:endnote>
  <w:endnote w:type="continuationNotice" w:id="1">
    <w:p w14:paraId="635C12A5" w14:textId="77777777" w:rsidR="00831D71" w:rsidRDefault="00831D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B571113" w14:paraId="71565B92" w14:textId="77777777" w:rsidTr="2B571113">
      <w:tc>
        <w:tcPr>
          <w:tcW w:w="3009" w:type="dxa"/>
        </w:tcPr>
        <w:p w14:paraId="512B3520" w14:textId="1AD47B76" w:rsidR="2B571113" w:rsidRDefault="2B571113" w:rsidP="2B571113">
          <w:pPr>
            <w:pStyle w:val="Header"/>
            <w:ind w:left="-115"/>
          </w:pPr>
        </w:p>
      </w:tc>
      <w:tc>
        <w:tcPr>
          <w:tcW w:w="3009" w:type="dxa"/>
        </w:tcPr>
        <w:p w14:paraId="6E45C9EF" w14:textId="6D16CE00" w:rsidR="2B571113" w:rsidRDefault="2B571113" w:rsidP="2B571113">
          <w:pPr>
            <w:pStyle w:val="Header"/>
            <w:jc w:val="center"/>
          </w:pPr>
        </w:p>
      </w:tc>
      <w:tc>
        <w:tcPr>
          <w:tcW w:w="3009" w:type="dxa"/>
        </w:tcPr>
        <w:p w14:paraId="070BA83A" w14:textId="0EDCEBFF" w:rsidR="2B571113" w:rsidRDefault="2B571113" w:rsidP="2B571113">
          <w:pPr>
            <w:pStyle w:val="Header"/>
            <w:ind w:right="-115"/>
            <w:jc w:val="right"/>
          </w:pPr>
        </w:p>
      </w:tc>
    </w:tr>
  </w:tbl>
  <w:p w14:paraId="1FA6BF6E" w14:textId="33F25D18" w:rsidR="2B571113" w:rsidRDefault="2B571113" w:rsidP="2B571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87811" w14:textId="77777777" w:rsidR="00831D71" w:rsidRDefault="00831D71" w:rsidP="001D7340">
      <w:r>
        <w:separator/>
      </w:r>
    </w:p>
  </w:footnote>
  <w:footnote w:type="continuationSeparator" w:id="0">
    <w:p w14:paraId="132DF366" w14:textId="77777777" w:rsidR="00831D71" w:rsidRDefault="00831D71" w:rsidP="001D7340">
      <w:r>
        <w:continuationSeparator/>
      </w:r>
    </w:p>
  </w:footnote>
  <w:footnote w:type="continuationNotice" w:id="1">
    <w:p w14:paraId="66CC4BF1" w14:textId="77777777" w:rsidR="00831D71" w:rsidRDefault="00831D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6D780" w14:textId="554350F6" w:rsidR="0042112B" w:rsidRDefault="2B571113">
    <w:pPr>
      <w:pStyle w:val="Header"/>
    </w:pPr>
    <w:r>
      <w:t xml:space="preserve">Ellie John                                                                                                                                           Peter Doyle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2B571113" w14:paraId="384DB069" w14:textId="77777777" w:rsidTr="2B571113">
      <w:tc>
        <w:tcPr>
          <w:tcW w:w="3009" w:type="dxa"/>
        </w:tcPr>
        <w:p w14:paraId="1F54102D" w14:textId="4C052AD6" w:rsidR="2B571113" w:rsidRDefault="2B571113" w:rsidP="2B571113">
          <w:pPr>
            <w:pStyle w:val="Header"/>
            <w:ind w:left="-115"/>
          </w:pPr>
        </w:p>
      </w:tc>
      <w:tc>
        <w:tcPr>
          <w:tcW w:w="3009" w:type="dxa"/>
        </w:tcPr>
        <w:p w14:paraId="6C44FC54" w14:textId="101272ED" w:rsidR="2B571113" w:rsidRDefault="2B571113" w:rsidP="2B571113">
          <w:pPr>
            <w:pStyle w:val="Header"/>
            <w:jc w:val="center"/>
          </w:pPr>
        </w:p>
      </w:tc>
      <w:tc>
        <w:tcPr>
          <w:tcW w:w="3009" w:type="dxa"/>
        </w:tcPr>
        <w:p w14:paraId="567C2D61" w14:textId="1D201A7B" w:rsidR="2B571113" w:rsidRDefault="2B571113" w:rsidP="2B571113">
          <w:pPr>
            <w:pStyle w:val="Header"/>
            <w:ind w:right="-115"/>
            <w:jc w:val="right"/>
          </w:pPr>
        </w:p>
      </w:tc>
    </w:tr>
  </w:tbl>
  <w:p w14:paraId="6F3F68EF" w14:textId="17994CFB" w:rsidR="2B571113" w:rsidRDefault="2B571113" w:rsidP="2B571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17554"/>
    <w:multiLevelType w:val="hybridMultilevel"/>
    <w:tmpl w:val="FFFFFFFF"/>
    <w:lvl w:ilvl="0" w:tplc="C602CE6A">
      <w:start w:val="1"/>
      <w:numFmt w:val="decimal"/>
      <w:lvlText w:val="%1."/>
      <w:lvlJc w:val="left"/>
      <w:pPr>
        <w:ind w:left="720" w:hanging="360"/>
      </w:pPr>
    </w:lvl>
    <w:lvl w:ilvl="1" w:tplc="6008B19A">
      <w:start w:val="1"/>
      <w:numFmt w:val="lowerLetter"/>
      <w:lvlText w:val="%2."/>
      <w:lvlJc w:val="left"/>
      <w:pPr>
        <w:ind w:left="1440" w:hanging="360"/>
      </w:pPr>
    </w:lvl>
    <w:lvl w:ilvl="2" w:tplc="DAEE6F6C">
      <w:start w:val="1"/>
      <w:numFmt w:val="lowerRoman"/>
      <w:lvlText w:val="%3."/>
      <w:lvlJc w:val="right"/>
      <w:pPr>
        <w:ind w:left="2160" w:hanging="180"/>
      </w:pPr>
    </w:lvl>
    <w:lvl w:ilvl="3" w:tplc="EFFE9A50">
      <w:start w:val="1"/>
      <w:numFmt w:val="decimal"/>
      <w:lvlText w:val="%4."/>
      <w:lvlJc w:val="left"/>
      <w:pPr>
        <w:ind w:left="2880" w:hanging="360"/>
      </w:pPr>
    </w:lvl>
    <w:lvl w:ilvl="4" w:tplc="5C861042">
      <w:start w:val="1"/>
      <w:numFmt w:val="lowerLetter"/>
      <w:lvlText w:val="%5."/>
      <w:lvlJc w:val="left"/>
      <w:pPr>
        <w:ind w:left="3600" w:hanging="360"/>
      </w:pPr>
    </w:lvl>
    <w:lvl w:ilvl="5" w:tplc="1F9043E8">
      <w:start w:val="1"/>
      <w:numFmt w:val="lowerRoman"/>
      <w:lvlText w:val="%6."/>
      <w:lvlJc w:val="right"/>
      <w:pPr>
        <w:ind w:left="4320" w:hanging="180"/>
      </w:pPr>
    </w:lvl>
    <w:lvl w:ilvl="6" w:tplc="75ACBF1C">
      <w:start w:val="1"/>
      <w:numFmt w:val="decimal"/>
      <w:lvlText w:val="%7."/>
      <w:lvlJc w:val="left"/>
      <w:pPr>
        <w:ind w:left="5040" w:hanging="360"/>
      </w:pPr>
    </w:lvl>
    <w:lvl w:ilvl="7" w:tplc="0F98AC04">
      <w:start w:val="1"/>
      <w:numFmt w:val="lowerLetter"/>
      <w:lvlText w:val="%8."/>
      <w:lvlJc w:val="left"/>
      <w:pPr>
        <w:ind w:left="5760" w:hanging="360"/>
      </w:pPr>
    </w:lvl>
    <w:lvl w:ilvl="8" w:tplc="A6E8C352">
      <w:start w:val="1"/>
      <w:numFmt w:val="lowerRoman"/>
      <w:lvlText w:val="%9."/>
      <w:lvlJc w:val="right"/>
      <w:pPr>
        <w:ind w:left="6480" w:hanging="180"/>
      </w:pPr>
    </w:lvl>
  </w:abstractNum>
  <w:abstractNum w:abstractNumId="1" w15:restartNumberingAfterBreak="0">
    <w:nsid w:val="4BA24E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D26357"/>
    <w:multiLevelType w:val="hybridMultilevel"/>
    <w:tmpl w:val="FFFFFFFF"/>
    <w:lvl w:ilvl="0" w:tplc="AB94F4AC">
      <w:start w:val="1"/>
      <w:numFmt w:val="decimal"/>
      <w:lvlText w:val="%1."/>
      <w:lvlJc w:val="left"/>
      <w:pPr>
        <w:ind w:left="720" w:hanging="360"/>
      </w:pPr>
    </w:lvl>
    <w:lvl w:ilvl="1" w:tplc="29F03E58">
      <w:start w:val="1"/>
      <w:numFmt w:val="lowerLetter"/>
      <w:lvlText w:val="%2."/>
      <w:lvlJc w:val="left"/>
      <w:pPr>
        <w:ind w:left="1440" w:hanging="360"/>
      </w:pPr>
    </w:lvl>
    <w:lvl w:ilvl="2" w:tplc="1DD02C5A">
      <w:start w:val="1"/>
      <w:numFmt w:val="lowerRoman"/>
      <w:lvlText w:val="%3."/>
      <w:lvlJc w:val="right"/>
      <w:pPr>
        <w:ind w:left="2160" w:hanging="180"/>
      </w:pPr>
    </w:lvl>
    <w:lvl w:ilvl="3" w:tplc="DCAA0836">
      <w:start w:val="1"/>
      <w:numFmt w:val="decimal"/>
      <w:lvlText w:val="%4."/>
      <w:lvlJc w:val="left"/>
      <w:pPr>
        <w:ind w:left="2880" w:hanging="360"/>
      </w:pPr>
    </w:lvl>
    <w:lvl w:ilvl="4" w:tplc="5AB07DEC">
      <w:start w:val="1"/>
      <w:numFmt w:val="lowerLetter"/>
      <w:lvlText w:val="%5."/>
      <w:lvlJc w:val="left"/>
      <w:pPr>
        <w:ind w:left="3600" w:hanging="360"/>
      </w:pPr>
    </w:lvl>
    <w:lvl w:ilvl="5" w:tplc="5C06E106">
      <w:start w:val="1"/>
      <w:numFmt w:val="lowerRoman"/>
      <w:lvlText w:val="%6."/>
      <w:lvlJc w:val="right"/>
      <w:pPr>
        <w:ind w:left="4320" w:hanging="180"/>
      </w:pPr>
    </w:lvl>
    <w:lvl w:ilvl="6" w:tplc="2CDEB254">
      <w:start w:val="1"/>
      <w:numFmt w:val="decimal"/>
      <w:lvlText w:val="%7."/>
      <w:lvlJc w:val="left"/>
      <w:pPr>
        <w:ind w:left="5040" w:hanging="360"/>
      </w:pPr>
    </w:lvl>
    <w:lvl w:ilvl="7" w:tplc="F146C020">
      <w:start w:val="1"/>
      <w:numFmt w:val="lowerLetter"/>
      <w:lvlText w:val="%8."/>
      <w:lvlJc w:val="left"/>
      <w:pPr>
        <w:ind w:left="5760" w:hanging="360"/>
      </w:pPr>
    </w:lvl>
    <w:lvl w:ilvl="8" w:tplc="341C9F7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340"/>
    <w:rsid w:val="000037CD"/>
    <w:rsid w:val="00003DBC"/>
    <w:rsid w:val="00011305"/>
    <w:rsid w:val="00044097"/>
    <w:rsid w:val="00046586"/>
    <w:rsid w:val="00061010"/>
    <w:rsid w:val="00061030"/>
    <w:rsid w:val="000620A4"/>
    <w:rsid w:val="0006725F"/>
    <w:rsid w:val="000707D6"/>
    <w:rsid w:val="000A1662"/>
    <w:rsid w:val="000A638D"/>
    <w:rsid w:val="000A7CBF"/>
    <w:rsid w:val="000C3AE9"/>
    <w:rsid w:val="000F07CC"/>
    <w:rsid w:val="000F5BE8"/>
    <w:rsid w:val="001124D6"/>
    <w:rsid w:val="001126E5"/>
    <w:rsid w:val="00116A27"/>
    <w:rsid w:val="0015371F"/>
    <w:rsid w:val="00180724"/>
    <w:rsid w:val="00190B8E"/>
    <w:rsid w:val="00196AA9"/>
    <w:rsid w:val="001A32DA"/>
    <w:rsid w:val="001A6291"/>
    <w:rsid w:val="001B72F2"/>
    <w:rsid w:val="001D293A"/>
    <w:rsid w:val="001D7340"/>
    <w:rsid w:val="002564DC"/>
    <w:rsid w:val="002665DA"/>
    <w:rsid w:val="00290524"/>
    <w:rsid w:val="00295593"/>
    <w:rsid w:val="0029577A"/>
    <w:rsid w:val="00295A15"/>
    <w:rsid w:val="002B6670"/>
    <w:rsid w:val="002E1072"/>
    <w:rsid w:val="002F121C"/>
    <w:rsid w:val="002F3EE4"/>
    <w:rsid w:val="0030473B"/>
    <w:rsid w:val="003077AB"/>
    <w:rsid w:val="003148C0"/>
    <w:rsid w:val="003601D7"/>
    <w:rsid w:val="00365BCD"/>
    <w:rsid w:val="00382A07"/>
    <w:rsid w:val="003870A1"/>
    <w:rsid w:val="003970D2"/>
    <w:rsid w:val="003A1087"/>
    <w:rsid w:val="003D30D5"/>
    <w:rsid w:val="003D33C4"/>
    <w:rsid w:val="00404CEF"/>
    <w:rsid w:val="00414341"/>
    <w:rsid w:val="00417CFE"/>
    <w:rsid w:val="0042112B"/>
    <w:rsid w:val="0042496A"/>
    <w:rsid w:val="00431544"/>
    <w:rsid w:val="0043424A"/>
    <w:rsid w:val="00441716"/>
    <w:rsid w:val="00451D37"/>
    <w:rsid w:val="00456D56"/>
    <w:rsid w:val="00466C2E"/>
    <w:rsid w:val="0047642B"/>
    <w:rsid w:val="0049701B"/>
    <w:rsid w:val="004A2A3B"/>
    <w:rsid w:val="004C53AE"/>
    <w:rsid w:val="004D746F"/>
    <w:rsid w:val="004E41F8"/>
    <w:rsid w:val="004F1914"/>
    <w:rsid w:val="004F7F2D"/>
    <w:rsid w:val="00503CB1"/>
    <w:rsid w:val="005051A2"/>
    <w:rsid w:val="00525554"/>
    <w:rsid w:val="00530299"/>
    <w:rsid w:val="00547EDE"/>
    <w:rsid w:val="005A6317"/>
    <w:rsid w:val="005B0E15"/>
    <w:rsid w:val="005C5E53"/>
    <w:rsid w:val="005E42D0"/>
    <w:rsid w:val="00600552"/>
    <w:rsid w:val="0060155C"/>
    <w:rsid w:val="00606BF3"/>
    <w:rsid w:val="00606F8C"/>
    <w:rsid w:val="00620F2F"/>
    <w:rsid w:val="006308A7"/>
    <w:rsid w:val="0064431E"/>
    <w:rsid w:val="00672A3E"/>
    <w:rsid w:val="00690FFB"/>
    <w:rsid w:val="006B3564"/>
    <w:rsid w:val="006F5F20"/>
    <w:rsid w:val="00734057"/>
    <w:rsid w:val="00740AE6"/>
    <w:rsid w:val="0075256A"/>
    <w:rsid w:val="00761251"/>
    <w:rsid w:val="007660A0"/>
    <w:rsid w:val="00792610"/>
    <w:rsid w:val="007A463D"/>
    <w:rsid w:val="007C564B"/>
    <w:rsid w:val="008014C4"/>
    <w:rsid w:val="00827954"/>
    <w:rsid w:val="00831D71"/>
    <w:rsid w:val="00835030"/>
    <w:rsid w:val="00842E0B"/>
    <w:rsid w:val="00850CFA"/>
    <w:rsid w:val="00866880"/>
    <w:rsid w:val="00873503"/>
    <w:rsid w:val="008A1BA0"/>
    <w:rsid w:val="008A62F7"/>
    <w:rsid w:val="009231A0"/>
    <w:rsid w:val="00942A88"/>
    <w:rsid w:val="00942C68"/>
    <w:rsid w:val="00947BFE"/>
    <w:rsid w:val="009545D0"/>
    <w:rsid w:val="0095584B"/>
    <w:rsid w:val="00960CF7"/>
    <w:rsid w:val="00967742"/>
    <w:rsid w:val="009726BA"/>
    <w:rsid w:val="009774C7"/>
    <w:rsid w:val="00977FBD"/>
    <w:rsid w:val="009B1D3B"/>
    <w:rsid w:val="009B5370"/>
    <w:rsid w:val="009D27FF"/>
    <w:rsid w:val="009F0467"/>
    <w:rsid w:val="00A069A2"/>
    <w:rsid w:val="00A35FDB"/>
    <w:rsid w:val="00A7171C"/>
    <w:rsid w:val="00A71F20"/>
    <w:rsid w:val="00A82192"/>
    <w:rsid w:val="00A82EA5"/>
    <w:rsid w:val="00A95563"/>
    <w:rsid w:val="00AA14B5"/>
    <w:rsid w:val="00AB14B7"/>
    <w:rsid w:val="00AC2B71"/>
    <w:rsid w:val="00AC3853"/>
    <w:rsid w:val="00AE159E"/>
    <w:rsid w:val="00B01796"/>
    <w:rsid w:val="00B11EF4"/>
    <w:rsid w:val="00B25A90"/>
    <w:rsid w:val="00B47812"/>
    <w:rsid w:val="00B64F60"/>
    <w:rsid w:val="00B838ED"/>
    <w:rsid w:val="00B84A66"/>
    <w:rsid w:val="00B85203"/>
    <w:rsid w:val="00BA1CC8"/>
    <w:rsid w:val="00BD3143"/>
    <w:rsid w:val="00BE0A7D"/>
    <w:rsid w:val="00BE7FF0"/>
    <w:rsid w:val="00C146DD"/>
    <w:rsid w:val="00C16A41"/>
    <w:rsid w:val="00C316C7"/>
    <w:rsid w:val="00C33EBC"/>
    <w:rsid w:val="00C43DE1"/>
    <w:rsid w:val="00C4653E"/>
    <w:rsid w:val="00C677F9"/>
    <w:rsid w:val="00C8689E"/>
    <w:rsid w:val="00CA78F1"/>
    <w:rsid w:val="00CB4EC3"/>
    <w:rsid w:val="00CB7AD1"/>
    <w:rsid w:val="00CE0929"/>
    <w:rsid w:val="00CE17BA"/>
    <w:rsid w:val="00D32E7E"/>
    <w:rsid w:val="00D41346"/>
    <w:rsid w:val="00D45139"/>
    <w:rsid w:val="00D47D8B"/>
    <w:rsid w:val="00D555C1"/>
    <w:rsid w:val="00D65077"/>
    <w:rsid w:val="00D65A1E"/>
    <w:rsid w:val="00D944A6"/>
    <w:rsid w:val="00D9680C"/>
    <w:rsid w:val="00DA6EF1"/>
    <w:rsid w:val="00DB0027"/>
    <w:rsid w:val="00DC1EFC"/>
    <w:rsid w:val="00DD1BB3"/>
    <w:rsid w:val="00DD3AC1"/>
    <w:rsid w:val="00DD6F9C"/>
    <w:rsid w:val="00DE3793"/>
    <w:rsid w:val="00DF1012"/>
    <w:rsid w:val="00E055BF"/>
    <w:rsid w:val="00E07D05"/>
    <w:rsid w:val="00E32F28"/>
    <w:rsid w:val="00E35F80"/>
    <w:rsid w:val="00E363C0"/>
    <w:rsid w:val="00E40200"/>
    <w:rsid w:val="00E43BC1"/>
    <w:rsid w:val="00E6304C"/>
    <w:rsid w:val="00E77E94"/>
    <w:rsid w:val="00E91414"/>
    <w:rsid w:val="00EA2C8C"/>
    <w:rsid w:val="00EA3675"/>
    <w:rsid w:val="00EA7150"/>
    <w:rsid w:val="00EB0A3E"/>
    <w:rsid w:val="00EB4945"/>
    <w:rsid w:val="00EB680A"/>
    <w:rsid w:val="00EC4AC9"/>
    <w:rsid w:val="00EE704D"/>
    <w:rsid w:val="00EF67E5"/>
    <w:rsid w:val="00EF6C49"/>
    <w:rsid w:val="00F0268C"/>
    <w:rsid w:val="00F044CD"/>
    <w:rsid w:val="00F10B65"/>
    <w:rsid w:val="00F11D3B"/>
    <w:rsid w:val="00F11F09"/>
    <w:rsid w:val="00F41FCA"/>
    <w:rsid w:val="00F449D2"/>
    <w:rsid w:val="00F7121F"/>
    <w:rsid w:val="00F80B8C"/>
    <w:rsid w:val="00F86A9C"/>
    <w:rsid w:val="00F942A0"/>
    <w:rsid w:val="00F9505F"/>
    <w:rsid w:val="00FC7433"/>
    <w:rsid w:val="0BE95D9F"/>
    <w:rsid w:val="2B571113"/>
    <w:rsid w:val="2F53A229"/>
    <w:rsid w:val="3D57A283"/>
    <w:rsid w:val="55D7CF9D"/>
    <w:rsid w:val="5E1B04F5"/>
    <w:rsid w:val="5EFF7C1A"/>
    <w:rsid w:val="64B5F4A7"/>
    <w:rsid w:val="66B9E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8CC4ED"/>
  <w15:chartTrackingRefBased/>
  <w15:docId w15:val="{BDB3C9DA-DBA7-4CD4-B0AA-D4C6D9F4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D734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F3EE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34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D7340"/>
  </w:style>
  <w:style w:type="paragraph" w:styleId="Footer">
    <w:name w:val="footer"/>
    <w:basedOn w:val="Normal"/>
    <w:link w:val="FooterChar"/>
    <w:uiPriority w:val="99"/>
    <w:unhideWhenUsed/>
    <w:rsid w:val="001D734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D7340"/>
  </w:style>
  <w:style w:type="paragraph" w:styleId="NoSpacing">
    <w:name w:val="No Spacing"/>
    <w:link w:val="NoSpacingChar"/>
    <w:uiPriority w:val="1"/>
    <w:qFormat/>
    <w:rsid w:val="001D73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7340"/>
    <w:rPr>
      <w:rFonts w:eastAsiaTheme="minorEastAsia"/>
      <w:lang w:val="en-US"/>
    </w:rPr>
  </w:style>
  <w:style w:type="character" w:styleId="Hyperlink">
    <w:name w:val="Hyperlink"/>
    <w:basedOn w:val="DefaultParagraphFont"/>
    <w:uiPriority w:val="99"/>
    <w:unhideWhenUsed/>
    <w:rsid w:val="00606F8C"/>
    <w:rPr>
      <w:color w:val="0000FF"/>
      <w:u w:val="single"/>
    </w:rPr>
  </w:style>
  <w:style w:type="character" w:styleId="UnresolvedMention">
    <w:name w:val="Unresolved Mention"/>
    <w:basedOn w:val="DefaultParagraphFont"/>
    <w:uiPriority w:val="99"/>
    <w:semiHidden/>
    <w:unhideWhenUsed/>
    <w:rsid w:val="00606F8C"/>
    <w:rPr>
      <w:color w:val="605E5C"/>
      <w:shd w:val="clear" w:color="auto" w:fill="E1DFDD"/>
    </w:rPr>
  </w:style>
  <w:style w:type="character" w:styleId="FollowedHyperlink">
    <w:name w:val="FollowedHyperlink"/>
    <w:basedOn w:val="DefaultParagraphFont"/>
    <w:uiPriority w:val="99"/>
    <w:semiHidden/>
    <w:unhideWhenUsed/>
    <w:rsid w:val="00600552"/>
    <w:rPr>
      <w:color w:val="954F72" w:themeColor="followedHyperlink"/>
      <w:u w:val="single"/>
    </w:rPr>
  </w:style>
  <w:style w:type="paragraph" w:styleId="NormalWeb">
    <w:name w:val="Normal (Web)"/>
    <w:basedOn w:val="Normal"/>
    <w:uiPriority w:val="99"/>
    <w:semiHidden/>
    <w:unhideWhenUsed/>
    <w:rsid w:val="00BD3143"/>
    <w:pPr>
      <w:spacing w:before="100" w:beforeAutospacing="1" w:after="100" w:afterAutospacing="1"/>
    </w:pPr>
    <w:rPr>
      <w:sz w:val="24"/>
      <w:szCs w:val="24"/>
    </w:rPr>
  </w:style>
  <w:style w:type="character" w:customStyle="1" w:styleId="apple-converted-space">
    <w:name w:val="apple-converted-space"/>
    <w:basedOn w:val="DefaultParagraphFont"/>
    <w:rsid w:val="004C53AE"/>
  </w:style>
  <w:style w:type="paragraph" w:styleId="ListParagraph">
    <w:name w:val="List Paragraph"/>
    <w:basedOn w:val="Normal"/>
    <w:uiPriority w:val="34"/>
    <w:qFormat/>
    <w:rsid w:val="00E32F28"/>
    <w:pPr>
      <w:ind w:left="720"/>
      <w:contextualSpacing/>
    </w:pPr>
  </w:style>
  <w:style w:type="table" w:styleId="TableGrid">
    <w:name w:val="Table Grid"/>
    <w:basedOn w:val="TableNormal"/>
    <w:uiPriority w:val="59"/>
    <w:rsid w:val="00F044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F3EE4"/>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263071">
      <w:bodyDiv w:val="1"/>
      <w:marLeft w:val="0"/>
      <w:marRight w:val="0"/>
      <w:marTop w:val="0"/>
      <w:marBottom w:val="0"/>
      <w:divBdr>
        <w:top w:val="none" w:sz="0" w:space="0" w:color="auto"/>
        <w:left w:val="none" w:sz="0" w:space="0" w:color="auto"/>
        <w:bottom w:val="none" w:sz="0" w:space="0" w:color="auto"/>
        <w:right w:val="none" w:sz="0" w:space="0" w:color="auto"/>
      </w:divBdr>
    </w:div>
    <w:div w:id="627123550">
      <w:bodyDiv w:val="1"/>
      <w:marLeft w:val="0"/>
      <w:marRight w:val="0"/>
      <w:marTop w:val="0"/>
      <w:marBottom w:val="0"/>
      <w:divBdr>
        <w:top w:val="none" w:sz="0" w:space="0" w:color="auto"/>
        <w:left w:val="none" w:sz="0" w:space="0" w:color="auto"/>
        <w:bottom w:val="none" w:sz="0" w:space="0" w:color="auto"/>
        <w:right w:val="none" w:sz="0" w:space="0" w:color="auto"/>
      </w:divBdr>
    </w:div>
    <w:div w:id="1334651795">
      <w:bodyDiv w:val="1"/>
      <w:marLeft w:val="0"/>
      <w:marRight w:val="0"/>
      <w:marTop w:val="0"/>
      <w:marBottom w:val="0"/>
      <w:divBdr>
        <w:top w:val="none" w:sz="0" w:space="0" w:color="auto"/>
        <w:left w:val="none" w:sz="0" w:space="0" w:color="auto"/>
        <w:bottom w:val="none" w:sz="0" w:space="0" w:color="auto"/>
        <w:right w:val="none" w:sz="0" w:space="0" w:color="auto"/>
      </w:divBdr>
    </w:div>
    <w:div w:id="1752507837">
      <w:bodyDiv w:val="1"/>
      <w:marLeft w:val="0"/>
      <w:marRight w:val="0"/>
      <w:marTop w:val="0"/>
      <w:marBottom w:val="0"/>
      <w:divBdr>
        <w:top w:val="none" w:sz="0" w:space="0" w:color="auto"/>
        <w:left w:val="none" w:sz="0" w:space="0" w:color="auto"/>
        <w:bottom w:val="none" w:sz="0" w:space="0" w:color="auto"/>
        <w:right w:val="none" w:sz="0" w:space="0" w:color="auto"/>
      </w:divBdr>
    </w:div>
    <w:div w:id="1913656106">
      <w:bodyDiv w:val="1"/>
      <w:marLeft w:val="0"/>
      <w:marRight w:val="0"/>
      <w:marTop w:val="0"/>
      <w:marBottom w:val="0"/>
      <w:divBdr>
        <w:top w:val="none" w:sz="0" w:space="0" w:color="auto"/>
        <w:left w:val="none" w:sz="0" w:space="0" w:color="auto"/>
        <w:bottom w:val="none" w:sz="0" w:space="0" w:color="auto"/>
        <w:right w:val="none" w:sz="0" w:space="0" w:color="auto"/>
      </w:divBdr>
      <w:divsChild>
        <w:div w:id="1110129467">
          <w:marLeft w:val="0"/>
          <w:marRight w:val="0"/>
          <w:marTop w:val="0"/>
          <w:marBottom w:val="0"/>
          <w:divBdr>
            <w:top w:val="none" w:sz="0" w:space="0" w:color="auto"/>
            <w:left w:val="none" w:sz="0" w:space="0" w:color="auto"/>
            <w:bottom w:val="none" w:sz="0" w:space="0" w:color="auto"/>
            <w:right w:val="none" w:sz="0" w:space="0" w:color="auto"/>
          </w:divBdr>
        </w:div>
      </w:divsChild>
    </w:div>
    <w:div w:id="199271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public-order/core-principles-and-legislation/police-use-of-force/" TargetMode="External"/><Relationship Id="rId13" Type="http://schemas.openxmlformats.org/officeDocument/2006/relationships/hyperlink" Target="https://assets.publishing.service.gov.uk/government/uploads/system/uploads/attachment_data/file/826813/PACE-Code-C_2019.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uk/news/uk-northern-ireland-18504478" TargetMode="External"/><Relationship Id="rId12" Type="http://schemas.openxmlformats.org/officeDocument/2006/relationships/hyperlink" Target="https://www.gov.uk/guidance/police-and-criminal-evidence-act-1984-pace-codes-of-practice"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olicing-by-consent/definition-of-policing-by-consent" TargetMode="External"/><Relationship Id="rId5" Type="http://schemas.openxmlformats.org/officeDocument/2006/relationships/footnotes" Target="footnotes.xml"/><Relationship Id="rId15" Type="http://schemas.openxmlformats.org/officeDocument/2006/relationships/hyperlink" Target="https://www.theguardian.com/uk/2002/jan/15/ukcrime.markoliver" TargetMode="External"/><Relationship Id="rId10" Type="http://schemas.openxmlformats.org/officeDocument/2006/relationships/hyperlink" Target="http://www.legislation.gov.uk/ukpga/1984/60/section/5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ustice-ni.gov.uk/publications/pace-code-exercise-by-police-officers-statutory-powers-stop-and-search" TargetMode="External"/><Relationship Id="rId14" Type="http://schemas.openxmlformats.org/officeDocument/2006/relationships/hyperlink" Target="http://krw-law.ie/wp-content/uploads/2017/05/The-Role-of-a-Solicitor-in-the-Police-Station-PACE-IPLS-8.3.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2489</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Evaluate the success and limitations of the Police and Criminal Evidence Act 1984 in preventing Miscarriages of Justice</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
  <dc:creator>Ellie John (1800758)</dc:creator>
  <cp:keywords/>
  <dc:description/>
  <cp:lastModifiedBy>ellie john</cp:lastModifiedBy>
  <cp:revision>2</cp:revision>
  <dcterms:created xsi:type="dcterms:W3CDTF">2020-01-03T12:05:00Z</dcterms:created>
  <dcterms:modified xsi:type="dcterms:W3CDTF">2020-01-03T12:05:00Z</dcterms:modified>
</cp:coreProperties>
</file>