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CA383" w14:textId="77777777" w:rsidR="00310A40" w:rsidRDefault="00000000">
      <w:pPr>
        <w:pStyle w:val="BodyText"/>
        <w:spacing w:after="6"/>
        <w:ind w:left="100"/>
        <w:rPr>
          <w:rFonts w:ascii="Times New Roman"/>
          <w:sz w:val="20"/>
        </w:rPr>
      </w:pPr>
      <w:r>
        <w:rPr>
          <w:rFonts w:ascii="Times New Roman"/>
          <w:noProof/>
          <w:sz w:val="20"/>
        </w:rPr>
        <w:drawing>
          <wp:inline distT="0" distB="0" distL="0" distR="0" wp14:anchorId="110F35A3" wp14:editId="0F897A58">
            <wp:extent cx="1809749" cy="723900"/>
            <wp:effectExtent l="0" t="0" r="0" b="0"/>
            <wp:docPr id="1" name="Image 1"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
                    <pic:cNvPicPr/>
                  </pic:nvPicPr>
                  <pic:blipFill>
                    <a:blip r:embed="rId5" cstate="print"/>
                    <a:stretch>
                      <a:fillRect/>
                    </a:stretch>
                  </pic:blipFill>
                  <pic:spPr>
                    <a:xfrm>
                      <a:off x="0" y="0"/>
                      <a:ext cx="1809749" cy="723900"/>
                    </a:xfrm>
                    <a:prstGeom prst="rect">
                      <a:avLst/>
                    </a:prstGeom>
                  </pic:spPr>
                </pic:pic>
              </a:graphicData>
            </a:graphic>
          </wp:inline>
        </w:drawing>
      </w:r>
    </w:p>
    <w:p w14:paraId="2B3981A7" w14:textId="77777777" w:rsidR="00310A40" w:rsidRDefault="00000000">
      <w:pPr>
        <w:pStyle w:val="BodyText"/>
        <w:ind w:left="491"/>
        <w:rPr>
          <w:rFonts w:ascii="Times New Roman"/>
          <w:sz w:val="20"/>
        </w:rPr>
      </w:pPr>
      <w:r>
        <w:rPr>
          <w:rFonts w:ascii="Times New Roman"/>
          <w:noProof/>
          <w:sz w:val="20"/>
        </w:rPr>
        <mc:AlternateContent>
          <mc:Choice Requires="wps">
            <w:drawing>
              <wp:inline distT="0" distB="0" distL="0" distR="0" wp14:anchorId="28274A6D" wp14:editId="065F03E1">
                <wp:extent cx="6301740" cy="527685"/>
                <wp:effectExtent l="9525" t="0" r="0" b="5715"/>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527685"/>
                        </a:xfrm>
                        <a:prstGeom prst="rect">
                          <a:avLst/>
                        </a:prstGeom>
                        <a:solidFill>
                          <a:srgbClr val="C0C0C0"/>
                        </a:solidFill>
                        <a:ln w="6096">
                          <a:solidFill>
                            <a:srgbClr val="000000"/>
                          </a:solidFill>
                          <a:prstDash val="solid"/>
                        </a:ln>
                      </wps:spPr>
                      <wps:txbx>
                        <w:txbxContent>
                          <w:p w14:paraId="0CCCC275" w14:textId="77777777" w:rsidR="00310A40" w:rsidRDefault="00000000">
                            <w:pPr>
                              <w:spacing w:before="121"/>
                              <w:ind w:left="1108"/>
                              <w:rPr>
                                <w:b/>
                                <w:color w:val="000000"/>
                                <w:sz w:val="40"/>
                              </w:rPr>
                            </w:pPr>
                            <w:bookmarkStart w:id="0" w:name="LEVEL_6_ASSESSMENT_SPECIFICATION_"/>
                            <w:bookmarkEnd w:id="0"/>
                            <w:r>
                              <w:rPr>
                                <w:b/>
                                <w:color w:val="000000"/>
                                <w:sz w:val="40"/>
                              </w:rPr>
                              <w:t>LEVEL</w:t>
                            </w:r>
                            <w:r>
                              <w:rPr>
                                <w:b/>
                                <w:color w:val="000000"/>
                                <w:spacing w:val="-5"/>
                                <w:sz w:val="40"/>
                              </w:rPr>
                              <w:t xml:space="preserve"> </w:t>
                            </w:r>
                            <w:r>
                              <w:rPr>
                                <w:b/>
                                <w:color w:val="000000"/>
                                <w:sz w:val="40"/>
                              </w:rPr>
                              <w:t>6</w:t>
                            </w:r>
                            <w:r>
                              <w:rPr>
                                <w:b/>
                                <w:color w:val="000000"/>
                                <w:spacing w:val="-6"/>
                                <w:sz w:val="40"/>
                              </w:rPr>
                              <w:t xml:space="preserve"> </w:t>
                            </w:r>
                            <w:r>
                              <w:rPr>
                                <w:b/>
                                <w:color w:val="000000"/>
                                <w:sz w:val="40"/>
                              </w:rPr>
                              <w:t>ASSESSMENT</w:t>
                            </w:r>
                            <w:r>
                              <w:rPr>
                                <w:b/>
                                <w:color w:val="000000"/>
                                <w:spacing w:val="-5"/>
                                <w:sz w:val="40"/>
                              </w:rPr>
                              <w:t xml:space="preserve"> </w:t>
                            </w:r>
                            <w:r>
                              <w:rPr>
                                <w:b/>
                                <w:color w:val="000000"/>
                                <w:spacing w:val="-2"/>
                                <w:sz w:val="40"/>
                              </w:rPr>
                              <w:t>SPECIFICATION</w:t>
                            </w:r>
                          </w:p>
                        </w:txbxContent>
                      </wps:txbx>
                      <wps:bodyPr wrap="square" lIns="0" tIns="0" rIns="0" bIns="0" rtlCol="0">
                        <a:noAutofit/>
                      </wps:bodyPr>
                    </wps:wsp>
                  </a:graphicData>
                </a:graphic>
              </wp:inline>
            </w:drawing>
          </mc:Choice>
          <mc:Fallback>
            <w:pict>
              <v:shapetype w14:anchorId="28274A6D" id="_x0000_t202" coordsize="21600,21600" o:spt="202" path="m,l,21600r21600,l21600,xe">
                <v:stroke joinstyle="miter"/>
                <v:path gradientshapeok="t" o:connecttype="rect"/>
              </v:shapetype>
              <v:shape id="Textbox 2" o:spid="_x0000_s1026" type="#_x0000_t202" style="width:496.2pt;height:4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" fillcolor="silver" strokeweight=".48pt">
                <v:path arrowok="t"/>
                <v:textbox inset="0,0,0,0">
                  <w:txbxContent>
                    <w:p w14:paraId="0CCCC275" w14:textId="77777777" w:rsidR="00310A40" w:rsidRDefault="00000000">
                      <w:pPr>
                        <w:spacing w:before="121"/>
                        <w:ind w:left="1108"/>
                        <w:rPr>
                          <w:b/>
                          <w:color w:val="000000"/>
                          <w:sz w:val="40"/>
                        </w:rPr>
                      </w:pPr>
                      <w:bookmarkStart w:id="1" w:name="LEVEL_6_ASSESSMENT_SPECIFICATION_"/>
                      <w:bookmarkEnd w:id="1"/>
                      <w:r>
                        <w:rPr>
                          <w:b/>
                          <w:color w:val="000000"/>
                          <w:sz w:val="40"/>
                        </w:rPr>
                        <w:t>LEVEL</w:t>
                      </w:r>
                      <w:r>
                        <w:rPr>
                          <w:b/>
                          <w:color w:val="000000"/>
                          <w:spacing w:val="-5"/>
                          <w:sz w:val="40"/>
                        </w:rPr>
                        <w:t xml:space="preserve"> </w:t>
                      </w:r>
                      <w:r>
                        <w:rPr>
                          <w:b/>
                          <w:color w:val="000000"/>
                          <w:sz w:val="40"/>
                        </w:rPr>
                        <w:t>6</w:t>
                      </w:r>
                      <w:r>
                        <w:rPr>
                          <w:b/>
                          <w:color w:val="000000"/>
                          <w:spacing w:val="-6"/>
                          <w:sz w:val="40"/>
                        </w:rPr>
                        <w:t xml:space="preserve"> </w:t>
                      </w:r>
                      <w:r>
                        <w:rPr>
                          <w:b/>
                          <w:color w:val="000000"/>
                          <w:sz w:val="40"/>
                        </w:rPr>
                        <w:t>ASSESSMENT</w:t>
                      </w:r>
                      <w:r>
                        <w:rPr>
                          <w:b/>
                          <w:color w:val="000000"/>
                          <w:spacing w:val="-5"/>
                          <w:sz w:val="40"/>
                        </w:rPr>
                        <w:t xml:space="preserve"> </w:t>
                      </w:r>
                      <w:r>
                        <w:rPr>
                          <w:b/>
                          <w:color w:val="000000"/>
                          <w:spacing w:val="-2"/>
                          <w:sz w:val="40"/>
                        </w:rPr>
                        <w:t>SPECIFICATION</w:t>
                      </w:r>
                    </w:p>
                  </w:txbxContent>
                </v:textbox>
                <w10:anchorlock/>
              </v:shape>
            </w:pict>
          </mc:Fallback>
        </mc:AlternateContent>
      </w:r>
    </w:p>
    <w:p w14:paraId="582FABD3" w14:textId="77777777" w:rsidR="00310A40" w:rsidRDefault="00310A40">
      <w:pPr>
        <w:pStyle w:val="BodyText"/>
        <w:spacing w:before="99"/>
        <w:rPr>
          <w:rFonts w:ascii="Times New Roman"/>
          <w:sz w:val="20"/>
        </w:rPr>
      </w:pPr>
    </w:p>
    <w:tbl>
      <w:tblPr>
        <w:tblW w:w="0" w:type="auto"/>
        <w:tblInd w:w="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3"/>
        <w:gridCol w:w="2268"/>
        <w:gridCol w:w="2268"/>
      </w:tblGrid>
      <w:tr w:rsidR="00310A40" w14:paraId="22D03070" w14:textId="77777777">
        <w:trPr>
          <w:trHeight w:val="491"/>
        </w:trPr>
        <w:tc>
          <w:tcPr>
            <w:tcW w:w="2095" w:type="dxa"/>
          </w:tcPr>
          <w:p w14:paraId="37DF946C" w14:textId="77777777" w:rsidR="00310A40" w:rsidRDefault="00000000">
            <w:pPr>
              <w:pStyle w:val="TableParagraph"/>
              <w:spacing w:before="120"/>
              <w:ind w:left="107"/>
              <w:rPr>
                <w:b/>
              </w:rPr>
            </w:pPr>
            <w:r>
              <w:rPr>
                <w:b/>
              </w:rPr>
              <w:t>Student</w:t>
            </w:r>
            <w:r>
              <w:rPr>
                <w:b/>
                <w:spacing w:val="-5"/>
              </w:rPr>
              <w:t xml:space="preserve"> </w:t>
            </w:r>
            <w:r>
              <w:rPr>
                <w:b/>
                <w:spacing w:val="-2"/>
              </w:rPr>
              <w:t>name:</w:t>
            </w:r>
          </w:p>
        </w:tc>
        <w:tc>
          <w:tcPr>
            <w:tcW w:w="3293" w:type="dxa"/>
          </w:tcPr>
          <w:p w14:paraId="174DB3C0" w14:textId="6E8728C9" w:rsidR="00310A40" w:rsidRPr="001C4414" w:rsidRDefault="001C4414">
            <w:pPr>
              <w:pStyle w:val="TableParagraph"/>
              <w:ind w:left="0"/>
              <w:rPr>
                <w:sz w:val="24"/>
                <w:szCs w:val="24"/>
              </w:rPr>
            </w:pPr>
            <w:r>
              <w:rPr>
                <w:sz w:val="24"/>
                <w:szCs w:val="24"/>
              </w:rPr>
              <w:t>Matthew Wright</w:t>
            </w:r>
          </w:p>
        </w:tc>
        <w:tc>
          <w:tcPr>
            <w:tcW w:w="2268" w:type="dxa"/>
            <w:shd w:val="clear" w:color="auto" w:fill="D9D9D9"/>
          </w:tcPr>
          <w:p w14:paraId="1AF58F4A" w14:textId="77777777" w:rsidR="00310A40" w:rsidRDefault="00000000">
            <w:pPr>
              <w:pStyle w:val="TableParagraph"/>
              <w:spacing w:before="120"/>
              <w:ind w:left="107"/>
              <w:rPr>
                <w:b/>
              </w:rPr>
            </w:pPr>
            <w:r>
              <w:rPr>
                <w:b/>
              </w:rPr>
              <w:t>Student</w:t>
            </w:r>
            <w:r>
              <w:rPr>
                <w:b/>
                <w:spacing w:val="-3"/>
              </w:rPr>
              <w:t xml:space="preserve"> </w:t>
            </w:r>
            <w:r>
              <w:rPr>
                <w:b/>
              </w:rPr>
              <w:t>ID</w:t>
            </w:r>
            <w:r>
              <w:rPr>
                <w:b/>
                <w:spacing w:val="-2"/>
              </w:rPr>
              <w:t xml:space="preserve"> number:</w:t>
            </w:r>
          </w:p>
        </w:tc>
        <w:tc>
          <w:tcPr>
            <w:tcW w:w="2268" w:type="dxa"/>
          </w:tcPr>
          <w:p w14:paraId="5986C8BF" w14:textId="3EE65749" w:rsidR="00310A40" w:rsidRPr="001C4414" w:rsidRDefault="001C4414">
            <w:pPr>
              <w:pStyle w:val="TableParagraph"/>
              <w:ind w:left="0"/>
              <w:rPr>
                <w:sz w:val="24"/>
                <w:szCs w:val="24"/>
              </w:rPr>
            </w:pPr>
            <w:r w:rsidRPr="001C4414">
              <w:rPr>
                <w:sz w:val="24"/>
                <w:szCs w:val="24"/>
              </w:rPr>
              <w:t>2134308</w:t>
            </w:r>
          </w:p>
        </w:tc>
      </w:tr>
      <w:tr w:rsidR="00310A40" w14:paraId="5684CAE5" w14:textId="77777777">
        <w:trPr>
          <w:trHeight w:val="493"/>
        </w:trPr>
        <w:tc>
          <w:tcPr>
            <w:tcW w:w="2095" w:type="dxa"/>
          </w:tcPr>
          <w:p w14:paraId="27DF057E" w14:textId="77777777" w:rsidR="00310A40" w:rsidRDefault="00000000">
            <w:pPr>
              <w:pStyle w:val="TableParagraph"/>
              <w:spacing w:before="120"/>
              <w:ind w:left="107"/>
              <w:rPr>
                <w:b/>
              </w:rPr>
            </w:pPr>
            <w:proofErr w:type="spellStart"/>
            <w:r>
              <w:rPr>
                <w:b/>
                <w:spacing w:val="-2"/>
              </w:rPr>
              <w:t>Programme</w:t>
            </w:r>
            <w:proofErr w:type="spellEnd"/>
            <w:r>
              <w:rPr>
                <w:b/>
                <w:spacing w:val="-2"/>
              </w:rPr>
              <w:t>:</w:t>
            </w:r>
          </w:p>
        </w:tc>
        <w:tc>
          <w:tcPr>
            <w:tcW w:w="7829" w:type="dxa"/>
            <w:gridSpan w:val="3"/>
          </w:tcPr>
          <w:p w14:paraId="31E26D38" w14:textId="77777777" w:rsidR="00310A40" w:rsidRDefault="00000000">
            <w:pPr>
              <w:pStyle w:val="TableParagraph"/>
              <w:spacing w:before="120"/>
              <w:ind w:left="105"/>
              <w:rPr>
                <w:b/>
              </w:rPr>
            </w:pPr>
            <w:r>
              <w:rPr>
                <w:b/>
              </w:rPr>
              <w:t>Graduate</w:t>
            </w:r>
            <w:r>
              <w:rPr>
                <w:b/>
                <w:spacing w:val="-4"/>
              </w:rPr>
              <w:t xml:space="preserve"> </w:t>
            </w:r>
            <w:r>
              <w:rPr>
                <w:b/>
              </w:rPr>
              <w:t>Diploma</w:t>
            </w:r>
            <w:r>
              <w:rPr>
                <w:b/>
                <w:spacing w:val="-6"/>
              </w:rPr>
              <w:t xml:space="preserve"> </w:t>
            </w:r>
            <w:r>
              <w:rPr>
                <w:b/>
              </w:rPr>
              <w:t>in</w:t>
            </w:r>
            <w:r>
              <w:rPr>
                <w:b/>
                <w:spacing w:val="-5"/>
              </w:rPr>
              <w:t xml:space="preserve"> </w:t>
            </w:r>
            <w:r>
              <w:rPr>
                <w:b/>
              </w:rPr>
              <w:t>Policing</w:t>
            </w:r>
            <w:r>
              <w:rPr>
                <w:b/>
                <w:spacing w:val="-5"/>
              </w:rPr>
              <w:t xml:space="preserve"> </w:t>
            </w:r>
            <w:r>
              <w:rPr>
                <w:b/>
                <w:spacing w:val="-2"/>
              </w:rPr>
              <w:t>(GDIP)</w:t>
            </w:r>
          </w:p>
        </w:tc>
      </w:tr>
      <w:tr w:rsidR="00310A40" w14:paraId="41BBC644" w14:textId="77777777">
        <w:trPr>
          <w:trHeight w:val="491"/>
        </w:trPr>
        <w:tc>
          <w:tcPr>
            <w:tcW w:w="2095" w:type="dxa"/>
          </w:tcPr>
          <w:p w14:paraId="3F688CF5" w14:textId="77777777" w:rsidR="00310A40" w:rsidRDefault="00000000">
            <w:pPr>
              <w:pStyle w:val="TableParagraph"/>
              <w:spacing w:before="120"/>
              <w:ind w:left="107"/>
              <w:rPr>
                <w:b/>
              </w:rPr>
            </w:pPr>
            <w:r>
              <w:rPr>
                <w:b/>
                <w:spacing w:val="-2"/>
              </w:rPr>
              <w:t>Module:</w:t>
            </w:r>
          </w:p>
        </w:tc>
        <w:tc>
          <w:tcPr>
            <w:tcW w:w="7829" w:type="dxa"/>
            <w:gridSpan w:val="3"/>
          </w:tcPr>
          <w:p w14:paraId="28F45DB6" w14:textId="77777777" w:rsidR="00310A40" w:rsidRDefault="00000000">
            <w:pPr>
              <w:pStyle w:val="TableParagraph"/>
              <w:spacing w:before="120"/>
              <w:ind w:left="105"/>
              <w:rPr>
                <w:b/>
              </w:rPr>
            </w:pPr>
            <w:r>
              <w:rPr>
                <w:b/>
              </w:rPr>
              <w:t>Operational</w:t>
            </w:r>
            <w:r>
              <w:rPr>
                <w:b/>
                <w:spacing w:val="-5"/>
              </w:rPr>
              <w:t xml:space="preserve"> </w:t>
            </w:r>
            <w:r>
              <w:rPr>
                <w:b/>
              </w:rPr>
              <w:t>Policing</w:t>
            </w:r>
            <w:r>
              <w:rPr>
                <w:b/>
                <w:spacing w:val="-6"/>
              </w:rPr>
              <w:t xml:space="preserve"> </w:t>
            </w:r>
            <w:r>
              <w:rPr>
                <w:b/>
              </w:rPr>
              <w:t>Practice</w:t>
            </w:r>
            <w:r>
              <w:rPr>
                <w:b/>
                <w:spacing w:val="-7"/>
              </w:rPr>
              <w:t xml:space="preserve"> </w:t>
            </w:r>
            <w:r>
              <w:rPr>
                <w:b/>
                <w:spacing w:val="-10"/>
              </w:rPr>
              <w:t>3</w:t>
            </w:r>
          </w:p>
        </w:tc>
      </w:tr>
      <w:tr w:rsidR="00310A40" w14:paraId="51F98A23" w14:textId="77777777">
        <w:trPr>
          <w:trHeight w:val="760"/>
        </w:trPr>
        <w:tc>
          <w:tcPr>
            <w:tcW w:w="2095" w:type="dxa"/>
          </w:tcPr>
          <w:p w14:paraId="5BB1EC8D" w14:textId="77777777" w:rsidR="00310A40" w:rsidRDefault="00000000">
            <w:pPr>
              <w:pStyle w:val="TableParagraph"/>
              <w:spacing w:before="122"/>
              <w:ind w:left="107"/>
              <w:rPr>
                <w:b/>
              </w:rPr>
            </w:pPr>
            <w:r>
              <w:rPr>
                <w:b/>
              </w:rPr>
              <w:t>Module</w:t>
            </w:r>
            <w:r>
              <w:rPr>
                <w:b/>
                <w:spacing w:val="-4"/>
              </w:rPr>
              <w:t xml:space="preserve"> </w:t>
            </w:r>
            <w:r>
              <w:rPr>
                <w:b/>
                <w:spacing w:val="-2"/>
              </w:rPr>
              <w:t>code:</w:t>
            </w:r>
          </w:p>
        </w:tc>
        <w:tc>
          <w:tcPr>
            <w:tcW w:w="3293" w:type="dxa"/>
          </w:tcPr>
          <w:p w14:paraId="53CCD2DC" w14:textId="77777777" w:rsidR="00310A40" w:rsidRDefault="00000000">
            <w:pPr>
              <w:pStyle w:val="TableParagraph"/>
              <w:spacing w:before="122"/>
              <w:ind w:left="105"/>
              <w:rPr>
                <w:b/>
              </w:rPr>
            </w:pPr>
            <w:r>
              <w:rPr>
                <w:b/>
                <w:spacing w:val="-2"/>
              </w:rPr>
              <w:t>BMP6005D</w:t>
            </w:r>
          </w:p>
        </w:tc>
        <w:tc>
          <w:tcPr>
            <w:tcW w:w="2268" w:type="dxa"/>
            <w:shd w:val="clear" w:color="auto" w:fill="D9D9D9"/>
          </w:tcPr>
          <w:p w14:paraId="73C22280" w14:textId="77777777" w:rsidR="00310A40" w:rsidRDefault="00000000">
            <w:pPr>
              <w:pStyle w:val="TableParagraph"/>
              <w:spacing w:line="252" w:lineRule="exact"/>
              <w:ind w:left="107" w:right="94"/>
              <w:jc w:val="both"/>
              <w:rPr>
                <w:b/>
              </w:rPr>
            </w:pPr>
            <w:bookmarkStart w:id="1" w:name="Contribution_to_Overall_Module_Assessmen"/>
            <w:bookmarkEnd w:id="1"/>
            <w:r>
              <w:rPr>
                <w:b/>
              </w:rPr>
              <w:t>Contribution to Overall Module Assessment (%):</w:t>
            </w:r>
          </w:p>
        </w:tc>
        <w:tc>
          <w:tcPr>
            <w:tcW w:w="2268" w:type="dxa"/>
          </w:tcPr>
          <w:p w14:paraId="79B28DDF" w14:textId="77777777" w:rsidR="00310A40" w:rsidRDefault="00000000">
            <w:pPr>
              <w:pStyle w:val="TableParagraph"/>
              <w:spacing w:before="122"/>
              <w:ind w:left="107"/>
              <w:rPr>
                <w:b/>
              </w:rPr>
            </w:pPr>
            <w:r>
              <w:rPr>
                <w:b/>
                <w:spacing w:val="-4"/>
              </w:rPr>
              <w:t>100%</w:t>
            </w:r>
          </w:p>
        </w:tc>
      </w:tr>
      <w:tr w:rsidR="00310A40" w14:paraId="229E17A2" w14:textId="77777777">
        <w:trPr>
          <w:trHeight w:val="491"/>
        </w:trPr>
        <w:tc>
          <w:tcPr>
            <w:tcW w:w="2095" w:type="dxa"/>
          </w:tcPr>
          <w:p w14:paraId="6D3550BB" w14:textId="77777777" w:rsidR="00310A40" w:rsidRDefault="00000000">
            <w:pPr>
              <w:pStyle w:val="TableParagraph"/>
              <w:spacing w:before="120"/>
              <w:ind w:left="107"/>
              <w:rPr>
                <w:b/>
              </w:rPr>
            </w:pPr>
            <w:r>
              <w:rPr>
                <w:b/>
                <w:spacing w:val="-2"/>
              </w:rPr>
              <w:t>Lecturer:</w:t>
            </w:r>
          </w:p>
        </w:tc>
        <w:tc>
          <w:tcPr>
            <w:tcW w:w="3293" w:type="dxa"/>
          </w:tcPr>
          <w:p w14:paraId="316704FB" w14:textId="77777777" w:rsidR="00310A40" w:rsidRDefault="00000000">
            <w:pPr>
              <w:pStyle w:val="TableParagraph"/>
              <w:spacing w:before="120"/>
              <w:ind w:left="105"/>
              <w:rPr>
                <w:b/>
              </w:rPr>
            </w:pPr>
            <w:r>
              <w:rPr>
                <w:b/>
              </w:rPr>
              <w:t>Dr</w:t>
            </w:r>
            <w:r>
              <w:rPr>
                <w:b/>
                <w:spacing w:val="-4"/>
              </w:rPr>
              <w:t xml:space="preserve"> </w:t>
            </w:r>
            <w:r>
              <w:rPr>
                <w:b/>
              </w:rPr>
              <w:t>Rhiannon</w:t>
            </w:r>
            <w:r>
              <w:rPr>
                <w:b/>
                <w:spacing w:val="-5"/>
              </w:rPr>
              <w:t xml:space="preserve"> </w:t>
            </w:r>
            <w:r>
              <w:rPr>
                <w:b/>
                <w:spacing w:val="-2"/>
              </w:rPr>
              <w:t>Sandy</w:t>
            </w:r>
          </w:p>
        </w:tc>
        <w:tc>
          <w:tcPr>
            <w:tcW w:w="2268" w:type="dxa"/>
            <w:shd w:val="clear" w:color="auto" w:fill="D9D9D9"/>
          </w:tcPr>
          <w:p w14:paraId="5836CC27" w14:textId="77777777" w:rsidR="00310A40" w:rsidRDefault="00000000">
            <w:pPr>
              <w:pStyle w:val="TableParagraph"/>
              <w:spacing w:before="120"/>
              <w:ind w:left="107"/>
              <w:rPr>
                <w:b/>
              </w:rPr>
            </w:pPr>
            <w:r>
              <w:rPr>
                <w:b/>
              </w:rPr>
              <w:t>Internal</w:t>
            </w:r>
            <w:r>
              <w:rPr>
                <w:b/>
                <w:spacing w:val="-3"/>
              </w:rPr>
              <w:t xml:space="preserve"> </w:t>
            </w:r>
            <w:r>
              <w:rPr>
                <w:b/>
                <w:spacing w:val="-2"/>
              </w:rPr>
              <w:t>Verifier:</w:t>
            </w:r>
          </w:p>
        </w:tc>
        <w:tc>
          <w:tcPr>
            <w:tcW w:w="2268" w:type="dxa"/>
          </w:tcPr>
          <w:p w14:paraId="4942CC22" w14:textId="77777777" w:rsidR="00310A40" w:rsidRDefault="00310A40">
            <w:pPr>
              <w:pStyle w:val="TableParagraph"/>
              <w:ind w:left="0"/>
              <w:rPr>
                <w:rFonts w:ascii="Times New Roman"/>
              </w:rPr>
            </w:pPr>
          </w:p>
        </w:tc>
      </w:tr>
      <w:tr w:rsidR="00310A40" w14:paraId="34BE0295" w14:textId="77777777">
        <w:trPr>
          <w:trHeight w:val="808"/>
        </w:trPr>
        <w:tc>
          <w:tcPr>
            <w:tcW w:w="2095" w:type="dxa"/>
          </w:tcPr>
          <w:p w14:paraId="25FD6F2E" w14:textId="77777777" w:rsidR="00310A40" w:rsidRDefault="00000000">
            <w:pPr>
              <w:pStyle w:val="TableParagraph"/>
              <w:spacing w:before="122"/>
              <w:ind w:left="107"/>
              <w:rPr>
                <w:b/>
              </w:rPr>
            </w:pPr>
            <w:r>
              <w:rPr>
                <w:b/>
              </w:rPr>
              <w:t>Assignment</w:t>
            </w:r>
            <w:r>
              <w:rPr>
                <w:b/>
                <w:spacing w:val="-9"/>
              </w:rPr>
              <w:t xml:space="preserve"> </w:t>
            </w:r>
            <w:r>
              <w:rPr>
                <w:b/>
                <w:spacing w:val="-2"/>
              </w:rPr>
              <w:t>Title:</w:t>
            </w:r>
          </w:p>
        </w:tc>
        <w:tc>
          <w:tcPr>
            <w:tcW w:w="3293" w:type="dxa"/>
          </w:tcPr>
          <w:p w14:paraId="069EFC93" w14:textId="77777777" w:rsidR="00310A40" w:rsidRDefault="00000000">
            <w:pPr>
              <w:pStyle w:val="TableParagraph"/>
              <w:spacing w:before="122"/>
              <w:ind w:left="105"/>
              <w:rPr>
                <w:b/>
              </w:rPr>
            </w:pPr>
            <w:r>
              <w:rPr>
                <w:b/>
              </w:rPr>
              <w:t>Academic</w:t>
            </w:r>
            <w:r>
              <w:rPr>
                <w:b/>
                <w:spacing w:val="-4"/>
              </w:rPr>
              <w:t xml:space="preserve"> </w:t>
            </w:r>
            <w:r>
              <w:rPr>
                <w:b/>
                <w:spacing w:val="-2"/>
              </w:rPr>
              <w:t>assignment</w:t>
            </w:r>
          </w:p>
        </w:tc>
        <w:tc>
          <w:tcPr>
            <w:tcW w:w="2268" w:type="dxa"/>
          </w:tcPr>
          <w:p w14:paraId="1C4C441C" w14:textId="77777777" w:rsidR="00310A40" w:rsidRDefault="00000000">
            <w:pPr>
              <w:pStyle w:val="TableParagraph"/>
              <w:tabs>
                <w:tab w:val="left" w:pos="971"/>
                <w:tab w:val="left" w:pos="1867"/>
              </w:tabs>
              <w:spacing w:before="122"/>
              <w:ind w:left="107"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34DD9C32" w14:textId="77777777" w:rsidR="00310A40" w:rsidRDefault="00000000">
            <w:pPr>
              <w:pStyle w:val="TableParagraph"/>
              <w:spacing w:before="122"/>
              <w:ind w:left="107"/>
              <w:rPr>
                <w:b/>
              </w:rPr>
            </w:pPr>
            <w:r>
              <w:rPr>
                <w:b/>
              </w:rPr>
              <w:t>Essay</w:t>
            </w:r>
            <w:r>
              <w:rPr>
                <w:b/>
                <w:spacing w:val="-3"/>
              </w:rPr>
              <w:t xml:space="preserve"> </w:t>
            </w:r>
            <w:r>
              <w:rPr>
                <w:b/>
              </w:rPr>
              <w:t>4000</w:t>
            </w:r>
            <w:r>
              <w:rPr>
                <w:b/>
                <w:spacing w:val="-5"/>
              </w:rPr>
              <w:t xml:space="preserve"> </w:t>
            </w:r>
            <w:r>
              <w:rPr>
                <w:b/>
                <w:spacing w:val="-4"/>
              </w:rPr>
              <w:t>Words</w:t>
            </w:r>
          </w:p>
        </w:tc>
      </w:tr>
      <w:tr w:rsidR="00310A40" w14:paraId="32DA42A4" w14:textId="77777777">
        <w:trPr>
          <w:trHeight w:val="997"/>
        </w:trPr>
        <w:tc>
          <w:tcPr>
            <w:tcW w:w="2095" w:type="dxa"/>
          </w:tcPr>
          <w:p w14:paraId="7875CE7D" w14:textId="77777777" w:rsidR="00310A40" w:rsidRDefault="00000000">
            <w:pPr>
              <w:pStyle w:val="TableParagraph"/>
              <w:spacing w:before="120"/>
              <w:ind w:left="107"/>
              <w:rPr>
                <w:b/>
              </w:rPr>
            </w:pPr>
            <w:r>
              <w:rPr>
                <w:b/>
                <w:spacing w:val="-2"/>
              </w:rPr>
              <w:t>Submission deadline:</w:t>
            </w:r>
          </w:p>
        </w:tc>
        <w:tc>
          <w:tcPr>
            <w:tcW w:w="3293" w:type="dxa"/>
          </w:tcPr>
          <w:p w14:paraId="5A7F92BC" w14:textId="77777777" w:rsidR="00310A40" w:rsidRDefault="00000000">
            <w:pPr>
              <w:pStyle w:val="TableParagraph"/>
              <w:spacing w:before="120"/>
              <w:ind w:left="105"/>
              <w:rPr>
                <w:b/>
              </w:rPr>
            </w:pPr>
            <w:r>
              <w:rPr>
                <w:b/>
              </w:rPr>
              <w:t>04</w:t>
            </w:r>
            <w:r>
              <w:rPr>
                <w:b/>
                <w:spacing w:val="-3"/>
              </w:rPr>
              <w:t xml:space="preserve"> </w:t>
            </w:r>
            <w:r>
              <w:rPr>
                <w:b/>
              </w:rPr>
              <w:t>March</w:t>
            </w:r>
            <w:r>
              <w:rPr>
                <w:b/>
                <w:spacing w:val="-2"/>
              </w:rPr>
              <w:t xml:space="preserve"> </w:t>
            </w:r>
            <w:r>
              <w:rPr>
                <w:b/>
                <w:spacing w:val="-4"/>
              </w:rPr>
              <w:t>2024</w:t>
            </w:r>
          </w:p>
        </w:tc>
        <w:tc>
          <w:tcPr>
            <w:tcW w:w="2268" w:type="dxa"/>
          </w:tcPr>
          <w:p w14:paraId="6B2D23EA" w14:textId="77777777" w:rsidR="00310A40" w:rsidRDefault="00000000">
            <w:pPr>
              <w:pStyle w:val="TableParagraph"/>
              <w:spacing w:before="120"/>
              <w:ind w:left="107" w:right="93"/>
              <w:jc w:val="both"/>
              <w:rPr>
                <w:b/>
              </w:rPr>
            </w:pPr>
            <w:r>
              <w:rPr>
                <w:b/>
              </w:rPr>
              <w:t>Return date of provisional marks &amp;</w:t>
            </w:r>
            <w:r>
              <w:rPr>
                <w:b/>
                <w:spacing w:val="-2"/>
              </w:rPr>
              <w:t xml:space="preserve"> </w:t>
            </w:r>
            <w:r>
              <w:rPr>
                <w:b/>
              </w:rPr>
              <w:t>written</w:t>
            </w:r>
            <w:r>
              <w:rPr>
                <w:b/>
                <w:spacing w:val="-3"/>
              </w:rPr>
              <w:t xml:space="preserve"> </w:t>
            </w:r>
            <w:r>
              <w:rPr>
                <w:b/>
                <w:spacing w:val="-2"/>
              </w:rPr>
              <w:t>feedback:</w:t>
            </w:r>
          </w:p>
        </w:tc>
        <w:tc>
          <w:tcPr>
            <w:tcW w:w="2268" w:type="dxa"/>
          </w:tcPr>
          <w:p w14:paraId="3DC7BE3F" w14:textId="77777777" w:rsidR="00310A40" w:rsidRDefault="00000000">
            <w:pPr>
              <w:pStyle w:val="TableParagraph"/>
              <w:spacing w:before="120"/>
              <w:ind w:left="107"/>
              <w:rPr>
                <w:b/>
              </w:rPr>
            </w:pPr>
            <w:r>
              <w:rPr>
                <w:b/>
              </w:rPr>
              <w:t>25</w:t>
            </w:r>
            <w:r>
              <w:rPr>
                <w:b/>
                <w:spacing w:val="-3"/>
              </w:rPr>
              <w:t xml:space="preserve"> </w:t>
            </w:r>
            <w:r>
              <w:rPr>
                <w:b/>
              </w:rPr>
              <w:t>March</w:t>
            </w:r>
            <w:r>
              <w:rPr>
                <w:b/>
                <w:spacing w:val="-2"/>
              </w:rPr>
              <w:t xml:space="preserve"> </w:t>
            </w:r>
            <w:r>
              <w:rPr>
                <w:b/>
                <w:spacing w:val="-4"/>
              </w:rPr>
              <w:t>2024</w:t>
            </w:r>
          </w:p>
        </w:tc>
      </w:tr>
      <w:tr w:rsidR="00310A40" w14:paraId="49FE90F7" w14:textId="77777777">
        <w:trPr>
          <w:trHeight w:val="3546"/>
        </w:trPr>
        <w:tc>
          <w:tcPr>
            <w:tcW w:w="2095" w:type="dxa"/>
          </w:tcPr>
          <w:p w14:paraId="7A3B598D" w14:textId="77777777" w:rsidR="00310A40" w:rsidRDefault="00000000">
            <w:pPr>
              <w:pStyle w:val="TableParagraph"/>
              <w:spacing w:before="120"/>
              <w:ind w:left="107"/>
              <w:rPr>
                <w:b/>
              </w:rPr>
            </w:pPr>
            <w:r>
              <w:rPr>
                <w:b/>
                <w:spacing w:val="-2"/>
              </w:rPr>
              <w:t>Submission method:</w:t>
            </w:r>
          </w:p>
        </w:tc>
        <w:tc>
          <w:tcPr>
            <w:tcW w:w="7829" w:type="dxa"/>
            <w:gridSpan w:val="3"/>
          </w:tcPr>
          <w:p w14:paraId="51E77D78" w14:textId="77777777" w:rsidR="00310A40" w:rsidRDefault="00000000">
            <w:pPr>
              <w:pStyle w:val="TableParagraph"/>
              <w:ind w:left="105"/>
            </w:pPr>
            <w:r>
              <w:t>All</w:t>
            </w:r>
            <w:r>
              <w:rPr>
                <w:spacing w:val="-4"/>
              </w:rPr>
              <w:t xml:space="preserve"> </w:t>
            </w:r>
            <w:r>
              <w:t>written</w:t>
            </w:r>
            <w:r>
              <w:rPr>
                <w:spacing w:val="-4"/>
              </w:rPr>
              <w:t xml:space="preserve"> </w:t>
            </w:r>
            <w:r>
              <w:t>assessments,</w:t>
            </w:r>
            <w:r>
              <w:rPr>
                <w:spacing w:val="-5"/>
              </w:rPr>
              <w:t xml:space="preserve"> </w:t>
            </w:r>
            <w:r>
              <w:t>where</w:t>
            </w:r>
            <w:r>
              <w:rPr>
                <w:spacing w:val="-4"/>
              </w:rPr>
              <w:t xml:space="preserve"> </w:t>
            </w:r>
            <w:r>
              <w:t>practical</w:t>
            </w:r>
            <w:r>
              <w:rPr>
                <w:spacing w:val="-4"/>
              </w:rPr>
              <w:t xml:space="preserve"> </w:t>
            </w:r>
            <w:r>
              <w:t>and</w:t>
            </w:r>
            <w:r>
              <w:rPr>
                <w:spacing w:val="-6"/>
              </w:rPr>
              <w:t xml:space="preserve"> </w:t>
            </w:r>
            <w:r>
              <w:t>possible,</w:t>
            </w:r>
            <w:r>
              <w:rPr>
                <w:spacing w:val="-2"/>
              </w:rPr>
              <w:t xml:space="preserve"> </w:t>
            </w:r>
            <w:r>
              <w:t>must</w:t>
            </w:r>
            <w:r>
              <w:rPr>
                <w:spacing w:val="-2"/>
              </w:rPr>
              <w:t xml:space="preserve"> </w:t>
            </w:r>
            <w:r>
              <w:t>be</w:t>
            </w:r>
            <w:r>
              <w:rPr>
                <w:spacing w:val="-6"/>
              </w:rPr>
              <w:t xml:space="preserve"> </w:t>
            </w:r>
            <w:r>
              <w:t>submitted</w:t>
            </w:r>
            <w:r>
              <w:rPr>
                <w:spacing w:val="-6"/>
              </w:rPr>
              <w:t xml:space="preserve"> </w:t>
            </w:r>
            <w:r>
              <w:t>via Turnitin unless otherwise instructed by the lecturer.</w:t>
            </w:r>
          </w:p>
          <w:p w14:paraId="38C53930" w14:textId="77777777" w:rsidR="00310A40" w:rsidRDefault="00310A40">
            <w:pPr>
              <w:pStyle w:val="TableParagraph"/>
              <w:spacing w:before="1"/>
              <w:ind w:left="0"/>
              <w:rPr>
                <w:rFonts w:ascii="Times New Roman"/>
              </w:rPr>
            </w:pPr>
          </w:p>
          <w:p w14:paraId="012FC30E" w14:textId="77777777" w:rsidR="00310A40" w:rsidRDefault="00000000">
            <w:pPr>
              <w:pStyle w:val="TableParagraph"/>
              <w:ind w:left="105" w:right="24" w:hanging="1"/>
            </w:pPr>
            <w:r>
              <w:t xml:space="preserve">You should submit this assignment in a Word document. </w:t>
            </w:r>
            <w:r>
              <w:rPr>
                <w:b/>
              </w:rPr>
              <w:t xml:space="preserve">DO NOT </w:t>
            </w:r>
            <w:r>
              <w:t>put this assessment</w:t>
            </w:r>
            <w:r>
              <w:rPr>
                <w:spacing w:val="-5"/>
              </w:rPr>
              <w:t xml:space="preserve"> </w:t>
            </w:r>
            <w:r>
              <w:t>specification</w:t>
            </w:r>
            <w:r>
              <w:rPr>
                <w:spacing w:val="-6"/>
              </w:rPr>
              <w:t xml:space="preserve"> </w:t>
            </w:r>
            <w:r>
              <w:t>into</w:t>
            </w:r>
            <w:r>
              <w:rPr>
                <w:spacing w:val="-4"/>
              </w:rPr>
              <w:t xml:space="preserve"> </w:t>
            </w:r>
            <w:r>
              <w:t>Turnitin</w:t>
            </w:r>
            <w:r>
              <w:rPr>
                <w:spacing w:val="-4"/>
              </w:rPr>
              <w:t xml:space="preserve"> </w:t>
            </w:r>
            <w:r>
              <w:t>or</w:t>
            </w:r>
            <w:r>
              <w:rPr>
                <w:spacing w:val="-2"/>
              </w:rPr>
              <w:t xml:space="preserve"> </w:t>
            </w:r>
            <w:r>
              <w:t>it</w:t>
            </w:r>
            <w:r>
              <w:rPr>
                <w:spacing w:val="-4"/>
              </w:rPr>
              <w:t xml:space="preserve"> </w:t>
            </w:r>
            <w:r>
              <w:t>will</w:t>
            </w:r>
            <w:r>
              <w:rPr>
                <w:spacing w:val="-4"/>
              </w:rPr>
              <w:t xml:space="preserve"> </w:t>
            </w:r>
            <w:r>
              <w:t>match</w:t>
            </w:r>
            <w:r>
              <w:rPr>
                <w:spacing w:val="-4"/>
              </w:rPr>
              <w:t xml:space="preserve"> </w:t>
            </w:r>
            <w:r>
              <w:t>many</w:t>
            </w:r>
            <w:r>
              <w:rPr>
                <w:spacing w:val="-3"/>
              </w:rPr>
              <w:t xml:space="preserve"> </w:t>
            </w:r>
            <w:r>
              <w:t>similarities</w:t>
            </w:r>
            <w:r>
              <w:rPr>
                <w:spacing w:val="-6"/>
              </w:rPr>
              <w:t xml:space="preserve"> </w:t>
            </w:r>
            <w:r>
              <w:t>with other students’ submissions.</w:t>
            </w:r>
          </w:p>
          <w:p w14:paraId="205A90AF" w14:textId="77777777" w:rsidR="00310A40" w:rsidRDefault="00000000">
            <w:pPr>
              <w:pStyle w:val="TableParagraph"/>
              <w:spacing w:before="120" w:line="252" w:lineRule="exact"/>
              <w:ind w:left="105"/>
              <w:rPr>
                <w:b/>
              </w:rPr>
            </w:pPr>
            <w:r>
              <w:rPr>
                <w:b/>
              </w:rPr>
              <w:t>Late</w:t>
            </w:r>
            <w:r>
              <w:rPr>
                <w:b/>
                <w:spacing w:val="37"/>
              </w:rPr>
              <w:t xml:space="preserve"> </w:t>
            </w:r>
            <w:r>
              <w:rPr>
                <w:b/>
              </w:rPr>
              <w:t>submission</w:t>
            </w:r>
            <w:r>
              <w:rPr>
                <w:b/>
                <w:spacing w:val="38"/>
              </w:rPr>
              <w:t xml:space="preserve"> </w:t>
            </w:r>
            <w:r>
              <w:rPr>
                <w:b/>
              </w:rPr>
              <w:t>of</w:t>
            </w:r>
            <w:r>
              <w:rPr>
                <w:b/>
                <w:spacing w:val="39"/>
              </w:rPr>
              <w:t xml:space="preserve"> </w:t>
            </w:r>
            <w:r>
              <w:rPr>
                <w:b/>
              </w:rPr>
              <w:t>the</w:t>
            </w:r>
            <w:r>
              <w:rPr>
                <w:b/>
                <w:spacing w:val="37"/>
              </w:rPr>
              <w:t xml:space="preserve"> </w:t>
            </w:r>
            <w:r>
              <w:rPr>
                <w:b/>
              </w:rPr>
              <w:t>assessment</w:t>
            </w:r>
            <w:r>
              <w:rPr>
                <w:b/>
                <w:spacing w:val="37"/>
              </w:rPr>
              <w:t xml:space="preserve"> </w:t>
            </w:r>
            <w:r>
              <w:rPr>
                <w:b/>
              </w:rPr>
              <w:t>will</w:t>
            </w:r>
            <w:r>
              <w:rPr>
                <w:b/>
                <w:spacing w:val="39"/>
              </w:rPr>
              <w:t xml:space="preserve"> </w:t>
            </w:r>
            <w:r>
              <w:rPr>
                <w:b/>
              </w:rPr>
              <w:t>result</w:t>
            </w:r>
            <w:r>
              <w:rPr>
                <w:b/>
                <w:spacing w:val="37"/>
              </w:rPr>
              <w:t xml:space="preserve"> </w:t>
            </w:r>
            <w:r>
              <w:rPr>
                <w:b/>
              </w:rPr>
              <w:t>in</w:t>
            </w:r>
            <w:r>
              <w:rPr>
                <w:b/>
                <w:spacing w:val="37"/>
              </w:rPr>
              <w:t xml:space="preserve"> </w:t>
            </w:r>
            <w:r>
              <w:rPr>
                <w:b/>
              </w:rPr>
              <w:t>a</w:t>
            </w:r>
            <w:r>
              <w:rPr>
                <w:b/>
                <w:spacing w:val="38"/>
              </w:rPr>
              <w:t xml:space="preserve"> </w:t>
            </w:r>
            <w:r>
              <w:rPr>
                <w:b/>
              </w:rPr>
              <w:t>late</w:t>
            </w:r>
            <w:r>
              <w:rPr>
                <w:b/>
                <w:spacing w:val="38"/>
              </w:rPr>
              <w:t xml:space="preserve"> </w:t>
            </w:r>
            <w:r>
              <w:rPr>
                <w:b/>
              </w:rPr>
              <w:t>penalty</w:t>
            </w:r>
            <w:r>
              <w:rPr>
                <w:b/>
                <w:spacing w:val="36"/>
              </w:rPr>
              <w:t xml:space="preserve"> </w:t>
            </w:r>
            <w:r>
              <w:rPr>
                <w:b/>
                <w:spacing w:val="-2"/>
              </w:rPr>
              <w:t>mark.</w:t>
            </w:r>
          </w:p>
          <w:p w14:paraId="4D6D3D93" w14:textId="77777777" w:rsidR="00310A40" w:rsidRDefault="00000000">
            <w:pPr>
              <w:pStyle w:val="TableParagraph"/>
              <w:spacing w:line="252" w:lineRule="exact"/>
              <w:ind w:left="105"/>
            </w:pPr>
            <w:r>
              <w:t>Penalties</w:t>
            </w:r>
            <w:r>
              <w:rPr>
                <w:spacing w:val="-3"/>
              </w:rPr>
              <w:t xml:space="preserve"> </w:t>
            </w:r>
            <w:r>
              <w:t>for</w:t>
            </w:r>
            <w:r>
              <w:rPr>
                <w:spacing w:val="-4"/>
              </w:rPr>
              <w:t xml:space="preserve"> </w:t>
            </w:r>
            <w:r>
              <w:t>late</w:t>
            </w:r>
            <w:r>
              <w:rPr>
                <w:spacing w:val="-5"/>
              </w:rPr>
              <w:t xml:space="preserve"> </w:t>
            </w:r>
            <w:r>
              <w:rPr>
                <w:spacing w:val="-2"/>
              </w:rPr>
              <w:t>submission:</w:t>
            </w:r>
          </w:p>
          <w:p w14:paraId="72E017FD" w14:textId="77777777" w:rsidR="00310A40" w:rsidRDefault="00000000">
            <w:pPr>
              <w:pStyle w:val="TableParagraph"/>
              <w:numPr>
                <w:ilvl w:val="0"/>
                <w:numId w:val="4"/>
              </w:numPr>
              <w:tabs>
                <w:tab w:val="left" w:pos="825"/>
              </w:tabs>
              <w:spacing w:before="121" w:line="269" w:lineRule="exact"/>
              <w:ind w:hanging="360"/>
            </w:pPr>
            <w:r>
              <w:t>up</w:t>
            </w:r>
            <w:r>
              <w:rPr>
                <w:spacing w:val="-5"/>
              </w:rPr>
              <w:t xml:space="preserve"> </w:t>
            </w:r>
            <w:r>
              <w:t>to</w:t>
            </w:r>
            <w:r>
              <w:rPr>
                <w:spacing w:val="-5"/>
              </w:rPr>
              <w:t xml:space="preserve"> </w:t>
            </w:r>
            <w:r>
              <w:t>one</w:t>
            </w:r>
            <w:r>
              <w:rPr>
                <w:spacing w:val="-3"/>
              </w:rPr>
              <w:t xml:space="preserve"> </w:t>
            </w:r>
            <w:r>
              <w:t>week</w:t>
            </w:r>
            <w:r>
              <w:rPr>
                <w:spacing w:val="-4"/>
              </w:rPr>
              <w:t xml:space="preserve"> </w:t>
            </w:r>
            <w:r>
              <w:t>late,</w:t>
            </w:r>
            <w:r>
              <w:rPr>
                <w:spacing w:val="-6"/>
              </w:rPr>
              <w:t xml:space="preserve"> </w:t>
            </w:r>
            <w:r>
              <w:t>maximum</w:t>
            </w:r>
            <w:r>
              <w:rPr>
                <w:spacing w:val="-4"/>
              </w:rPr>
              <w:t xml:space="preserve"> </w:t>
            </w:r>
            <w:r>
              <w:t>mark</w:t>
            </w:r>
            <w:r>
              <w:rPr>
                <w:spacing w:val="-2"/>
              </w:rPr>
              <w:t xml:space="preserve"> </w:t>
            </w:r>
            <w:r>
              <w:t xml:space="preserve">of </w:t>
            </w:r>
            <w:r>
              <w:rPr>
                <w:spacing w:val="-4"/>
              </w:rPr>
              <w:t>40%.</w:t>
            </w:r>
          </w:p>
          <w:p w14:paraId="1A053681" w14:textId="77777777" w:rsidR="00310A40" w:rsidRDefault="00000000">
            <w:pPr>
              <w:pStyle w:val="TableParagraph"/>
              <w:numPr>
                <w:ilvl w:val="0"/>
                <w:numId w:val="4"/>
              </w:numPr>
              <w:tabs>
                <w:tab w:val="left" w:pos="825"/>
              </w:tabs>
              <w:spacing w:line="269" w:lineRule="exact"/>
              <w:ind w:hanging="360"/>
            </w:pPr>
            <w:r>
              <w:t>over</w:t>
            </w:r>
            <w:r>
              <w:rPr>
                <w:spacing w:val="-4"/>
              </w:rPr>
              <w:t xml:space="preserve"> </w:t>
            </w:r>
            <w:r>
              <w:t>one</w:t>
            </w:r>
            <w:r>
              <w:rPr>
                <w:spacing w:val="-5"/>
              </w:rPr>
              <w:t xml:space="preserve"> </w:t>
            </w:r>
            <w:r>
              <w:t>week</w:t>
            </w:r>
            <w:r>
              <w:rPr>
                <w:spacing w:val="-2"/>
              </w:rPr>
              <w:t xml:space="preserve"> </w:t>
            </w:r>
            <w:r>
              <w:t>late,</w:t>
            </w:r>
            <w:r>
              <w:rPr>
                <w:spacing w:val="-3"/>
              </w:rPr>
              <w:t xml:space="preserve"> </w:t>
            </w:r>
            <w:r>
              <w:rPr>
                <w:spacing w:val="-5"/>
              </w:rPr>
              <w:t>0%.</w:t>
            </w:r>
          </w:p>
          <w:p w14:paraId="5508B46D" w14:textId="77777777" w:rsidR="00310A40" w:rsidRDefault="00000000">
            <w:pPr>
              <w:pStyle w:val="TableParagraph"/>
              <w:spacing w:before="117"/>
              <w:ind w:left="105"/>
            </w:pPr>
            <w:r>
              <w:t>Only</w:t>
            </w:r>
            <w:r>
              <w:rPr>
                <w:spacing w:val="80"/>
              </w:rPr>
              <w:t xml:space="preserve"> </w:t>
            </w:r>
            <w:r>
              <w:t>the</w:t>
            </w:r>
            <w:r>
              <w:rPr>
                <w:spacing w:val="80"/>
              </w:rPr>
              <w:t xml:space="preserve"> </w:t>
            </w:r>
            <w:r>
              <w:t>Extenuating</w:t>
            </w:r>
            <w:r>
              <w:rPr>
                <w:spacing w:val="80"/>
              </w:rPr>
              <w:t xml:space="preserve"> </w:t>
            </w:r>
            <w:r>
              <w:t>Circumstances</w:t>
            </w:r>
            <w:r>
              <w:rPr>
                <w:spacing w:val="80"/>
              </w:rPr>
              <w:t xml:space="preserve"> </w:t>
            </w:r>
            <w:r>
              <w:t>Panel</w:t>
            </w:r>
            <w:r>
              <w:rPr>
                <w:spacing w:val="80"/>
              </w:rPr>
              <w:t xml:space="preserve"> </w:t>
            </w:r>
            <w:r>
              <w:t>may</w:t>
            </w:r>
            <w:r>
              <w:rPr>
                <w:spacing w:val="80"/>
              </w:rPr>
              <w:t xml:space="preserve"> </w:t>
            </w:r>
            <w:r>
              <w:t>approve</w:t>
            </w:r>
            <w:r>
              <w:rPr>
                <w:spacing w:val="80"/>
              </w:rPr>
              <w:t xml:space="preserve"> </w:t>
            </w:r>
            <w:r>
              <w:t>a</w:t>
            </w:r>
            <w:r>
              <w:rPr>
                <w:spacing w:val="80"/>
              </w:rPr>
              <w:t xml:space="preserve"> </w:t>
            </w:r>
            <w:r>
              <w:t>change</w:t>
            </w:r>
            <w:r>
              <w:rPr>
                <w:spacing w:val="80"/>
              </w:rPr>
              <w:t xml:space="preserve"> </w:t>
            </w:r>
            <w:r>
              <w:t>to submission dates.</w:t>
            </w:r>
          </w:p>
        </w:tc>
      </w:tr>
      <w:tr w:rsidR="00310A40" w14:paraId="38FDA916" w14:textId="77777777">
        <w:trPr>
          <w:trHeight w:val="4621"/>
        </w:trPr>
        <w:tc>
          <w:tcPr>
            <w:tcW w:w="2095" w:type="dxa"/>
          </w:tcPr>
          <w:p w14:paraId="460C25A1" w14:textId="77777777" w:rsidR="00310A40" w:rsidRDefault="00000000">
            <w:pPr>
              <w:pStyle w:val="TableParagraph"/>
              <w:spacing w:before="120"/>
              <w:ind w:left="107" w:right="85"/>
              <w:rPr>
                <w:b/>
              </w:rPr>
            </w:pPr>
            <w:r>
              <w:rPr>
                <w:b/>
                <w:spacing w:val="-2"/>
              </w:rPr>
              <w:t>Academic honesty/ referencing:</w:t>
            </w:r>
          </w:p>
        </w:tc>
        <w:tc>
          <w:tcPr>
            <w:tcW w:w="7829" w:type="dxa"/>
            <w:gridSpan w:val="3"/>
          </w:tcPr>
          <w:p w14:paraId="5B0C596B" w14:textId="77777777" w:rsidR="00310A40" w:rsidRDefault="00000000">
            <w:pPr>
              <w:pStyle w:val="TableParagraph"/>
              <w:spacing w:before="120"/>
              <w:ind w:left="105" w:right="97"/>
              <w:jc w:val="both"/>
            </w:pPr>
            <w:r>
              <w:t xml:space="preserve">Academic honesty is required. In the main body of your </w:t>
            </w:r>
            <w:proofErr w:type="gramStart"/>
            <w:r>
              <w:t>submission</w:t>
            </w:r>
            <w:proofErr w:type="gramEnd"/>
            <w:r>
              <w:t xml:space="preserve"> you </w:t>
            </w:r>
            <w:r>
              <w:rPr>
                <w:b/>
              </w:rPr>
              <w:t xml:space="preserve">must </w:t>
            </w:r>
            <w:r>
              <w:t xml:space="preserve">give credit to authors on whose research and ideas your work is based. You must append a reference list indicating the books, articles, etc. that you have used, </w:t>
            </w:r>
            <w:proofErr w:type="gramStart"/>
            <w:r>
              <w:t>cited</w:t>
            </w:r>
            <w:proofErr w:type="gramEnd"/>
            <w:r>
              <w:t xml:space="preserve"> or quoted in order to complete this assessment.</w:t>
            </w:r>
          </w:p>
          <w:p w14:paraId="03CF461A" w14:textId="77777777" w:rsidR="00310A40" w:rsidRDefault="00000000">
            <w:pPr>
              <w:pStyle w:val="TableParagraph"/>
              <w:spacing w:before="118"/>
              <w:ind w:left="105"/>
              <w:jc w:val="both"/>
            </w:pPr>
            <w:r>
              <w:t>The</w:t>
            </w:r>
            <w:r>
              <w:rPr>
                <w:spacing w:val="-6"/>
              </w:rPr>
              <w:t xml:space="preserve"> </w:t>
            </w:r>
            <w:r>
              <w:t>university</w:t>
            </w:r>
            <w:r>
              <w:rPr>
                <w:spacing w:val="-7"/>
              </w:rPr>
              <w:t xml:space="preserve"> </w:t>
            </w:r>
            <w:r>
              <w:t>takes</w:t>
            </w:r>
            <w:r>
              <w:rPr>
                <w:spacing w:val="-4"/>
              </w:rPr>
              <w:t xml:space="preserve"> </w:t>
            </w:r>
            <w:r>
              <w:t>plagiarism</w:t>
            </w:r>
            <w:r>
              <w:rPr>
                <w:spacing w:val="-3"/>
              </w:rPr>
              <w:t xml:space="preserve"> </w:t>
            </w:r>
            <w:r>
              <w:t>very</w:t>
            </w:r>
            <w:r>
              <w:rPr>
                <w:spacing w:val="-7"/>
              </w:rPr>
              <w:t xml:space="preserve"> </w:t>
            </w:r>
            <w:r>
              <w:rPr>
                <w:spacing w:val="-2"/>
              </w:rPr>
              <w:t>seriously.</w:t>
            </w:r>
          </w:p>
          <w:p w14:paraId="41C0F9F5" w14:textId="77777777" w:rsidR="00310A40" w:rsidRDefault="00000000">
            <w:pPr>
              <w:pStyle w:val="TableParagraph"/>
              <w:spacing w:before="121"/>
              <w:ind w:left="105" w:right="95"/>
              <w:jc w:val="both"/>
            </w:pPr>
            <w:r>
              <w:t>All work submitted</w:t>
            </w:r>
            <w:r>
              <w:rPr>
                <w:spacing w:val="-2"/>
              </w:rPr>
              <w:t xml:space="preserve"> </w:t>
            </w:r>
            <w:r>
              <w:t xml:space="preserve">must be </w:t>
            </w:r>
            <w:r>
              <w:rPr>
                <w:b/>
              </w:rPr>
              <w:t xml:space="preserve">entirely your own work. You must not </w:t>
            </w:r>
            <w:r>
              <w:t>use</w:t>
            </w:r>
            <w:r>
              <w:rPr>
                <w:spacing w:val="-2"/>
              </w:rPr>
              <w:t xml:space="preserve"> </w:t>
            </w:r>
            <w:r>
              <w:t>work previously</w:t>
            </w:r>
            <w:r>
              <w:rPr>
                <w:spacing w:val="-2"/>
              </w:rPr>
              <w:t xml:space="preserve"> </w:t>
            </w:r>
            <w:r>
              <w:t>submitted</w:t>
            </w:r>
            <w:r>
              <w:rPr>
                <w:spacing w:val="-5"/>
              </w:rPr>
              <w:t xml:space="preserve"> </w:t>
            </w:r>
            <w:r>
              <w:t>by</w:t>
            </w:r>
            <w:r>
              <w:rPr>
                <w:spacing w:val="-5"/>
              </w:rPr>
              <w:t xml:space="preserve"> </w:t>
            </w:r>
            <w:r>
              <w:rPr>
                <w:u w:val="single"/>
              </w:rPr>
              <w:t>you</w:t>
            </w:r>
            <w:r>
              <w:rPr>
                <w:spacing w:val="-2"/>
              </w:rPr>
              <w:t xml:space="preserve"> </w:t>
            </w:r>
            <w:r>
              <w:t>or</w:t>
            </w:r>
            <w:r>
              <w:rPr>
                <w:spacing w:val="-1"/>
              </w:rPr>
              <w:t xml:space="preserve"> </w:t>
            </w:r>
            <w:r>
              <w:rPr>
                <w:u w:val="single"/>
              </w:rPr>
              <w:t>any</w:t>
            </w:r>
            <w:r>
              <w:rPr>
                <w:spacing w:val="-2"/>
                <w:u w:val="single"/>
              </w:rPr>
              <w:t xml:space="preserve"> </w:t>
            </w:r>
            <w:r>
              <w:rPr>
                <w:u w:val="single"/>
              </w:rPr>
              <w:t>other</w:t>
            </w:r>
            <w:r>
              <w:rPr>
                <w:spacing w:val="-1"/>
                <w:u w:val="single"/>
              </w:rPr>
              <w:t xml:space="preserve"> </w:t>
            </w:r>
            <w:r>
              <w:rPr>
                <w:u w:val="single"/>
              </w:rPr>
              <w:t>student</w:t>
            </w:r>
            <w:r>
              <w:t>,</w:t>
            </w:r>
            <w:r>
              <w:rPr>
                <w:spacing w:val="-3"/>
              </w:rPr>
              <w:t xml:space="preserve"> </w:t>
            </w:r>
            <w:r>
              <w:t>and</w:t>
            </w:r>
            <w:r>
              <w:rPr>
                <w:spacing w:val="-3"/>
              </w:rPr>
              <w:t xml:space="preserve"> </w:t>
            </w:r>
            <w:r>
              <w:t>you</w:t>
            </w:r>
            <w:r>
              <w:rPr>
                <w:spacing w:val="-3"/>
              </w:rPr>
              <w:t xml:space="preserve"> </w:t>
            </w:r>
            <w:r>
              <w:t>are</w:t>
            </w:r>
            <w:r>
              <w:rPr>
                <w:spacing w:val="-3"/>
              </w:rPr>
              <w:t xml:space="preserve"> </w:t>
            </w:r>
            <w:r>
              <w:t>not</w:t>
            </w:r>
            <w:r>
              <w:rPr>
                <w:spacing w:val="-1"/>
              </w:rPr>
              <w:t xml:space="preserve"> </w:t>
            </w:r>
            <w:r>
              <w:t>permitted</w:t>
            </w:r>
            <w:r>
              <w:rPr>
                <w:spacing w:val="-3"/>
              </w:rPr>
              <w:t xml:space="preserve"> </w:t>
            </w:r>
            <w:r>
              <w:t>to share your work with others either now or in the future.</w:t>
            </w:r>
          </w:p>
          <w:p w14:paraId="234213C8" w14:textId="77777777" w:rsidR="00310A40" w:rsidRDefault="00000000">
            <w:pPr>
              <w:pStyle w:val="TableParagraph"/>
              <w:spacing w:before="120"/>
              <w:ind w:left="105" w:right="96"/>
              <w:jc w:val="both"/>
              <w:rPr>
                <w:b/>
              </w:rPr>
            </w:pPr>
            <w:r>
              <w:rPr>
                <w:b/>
              </w:rPr>
              <w:t xml:space="preserve">Please be aware that if academic misconduct is committed unintentionally or accidentally, this cannot be used as a </w:t>
            </w:r>
            <w:proofErr w:type="spellStart"/>
            <w:r>
              <w:rPr>
                <w:b/>
              </w:rPr>
              <w:t>defence</w:t>
            </w:r>
            <w:proofErr w:type="spellEnd"/>
            <w:r>
              <w:rPr>
                <w:b/>
              </w:rPr>
              <w:t>.</w:t>
            </w:r>
          </w:p>
        </w:tc>
      </w:tr>
    </w:tbl>
    <w:p w14:paraId="764C8B21" w14:textId="77777777" w:rsidR="00310A40" w:rsidRDefault="00310A40">
      <w:pPr>
        <w:jc w:val="both"/>
        <w:sectPr w:rsidR="00310A40" w:rsidSect="00C83903">
          <w:type w:val="continuous"/>
          <w:pgSz w:w="11900" w:h="16840"/>
          <w:pgMar w:top="700" w:right="580" w:bottom="859" w:left="620" w:header="720" w:footer="720" w:gutter="0"/>
          <w:cols w:space="720"/>
        </w:sectPr>
      </w:pPr>
    </w:p>
    <w:p w14:paraId="31B6EF43" w14:textId="77777777" w:rsidR="00310A40" w:rsidRDefault="00310A40">
      <w:pPr>
        <w:rPr>
          <w:sz w:val="18"/>
        </w:rPr>
        <w:sectPr w:rsidR="00310A40" w:rsidSect="00C83903">
          <w:type w:val="continuous"/>
          <w:pgSz w:w="11900" w:h="16840"/>
          <w:pgMar w:top="1060" w:right="580" w:bottom="280" w:left="620" w:header="720" w:footer="720" w:gutter="0"/>
          <w:cols w:space="720"/>
        </w:sectPr>
      </w:pPr>
    </w:p>
    <w:p w14:paraId="6AC02F91" w14:textId="77777777" w:rsidR="00997785" w:rsidRPr="00997785" w:rsidRDefault="00997785" w:rsidP="00997785">
      <w:pPr>
        <w:widowControl/>
        <w:adjustRightInd w:val="0"/>
        <w:spacing w:line="360" w:lineRule="auto"/>
        <w:rPr>
          <w:rFonts w:eastAsia="Calibri"/>
          <w:color w:val="000000"/>
          <w:sz w:val="24"/>
          <w:szCs w:val="24"/>
          <w:lang w:val="en-GB"/>
          <w14:ligatures w14:val="standardContextual"/>
        </w:rPr>
      </w:pPr>
      <w:r w:rsidRPr="00997785">
        <w:rPr>
          <w:rFonts w:eastAsia="Calibri"/>
          <w:b/>
          <w:bCs/>
          <w:color w:val="000000"/>
          <w:sz w:val="24"/>
          <w:szCs w:val="24"/>
          <w:lang w:val="en-GB"/>
          <w14:ligatures w14:val="standardContextual"/>
        </w:rPr>
        <w:lastRenderedPageBreak/>
        <w:t xml:space="preserve">Essay one: </w:t>
      </w:r>
    </w:p>
    <w:p w14:paraId="69EDCA6E" w14:textId="77777777" w:rsidR="00997785" w:rsidRPr="00997785" w:rsidRDefault="00997785" w:rsidP="00997785">
      <w:pPr>
        <w:widowControl/>
        <w:adjustRightInd w:val="0"/>
        <w:spacing w:line="360" w:lineRule="auto"/>
        <w:rPr>
          <w:rFonts w:eastAsia="Calibri"/>
          <w:color w:val="000000"/>
          <w:sz w:val="24"/>
          <w:szCs w:val="24"/>
          <w:lang w:val="en-GB"/>
          <w14:ligatures w14:val="standardContextual"/>
        </w:rPr>
      </w:pPr>
      <w:r w:rsidRPr="00997785">
        <w:rPr>
          <w:rFonts w:eastAsia="Calibri"/>
          <w:color w:val="000000"/>
          <w:sz w:val="24"/>
          <w:szCs w:val="24"/>
          <w:lang w:val="en-GB"/>
          <w14:ligatures w14:val="standardContextual"/>
        </w:rPr>
        <w:t xml:space="preserve">How has the organisational culture in policing changed due to professionalisation, and how can organisational culture affect officers’ wellbeing and resilience? </w:t>
      </w:r>
    </w:p>
    <w:p w14:paraId="627BC85B" w14:textId="77777777" w:rsidR="00997785" w:rsidRPr="00997785" w:rsidRDefault="00997785" w:rsidP="00997785">
      <w:pPr>
        <w:widowControl/>
        <w:adjustRightInd w:val="0"/>
        <w:spacing w:line="360" w:lineRule="auto"/>
        <w:rPr>
          <w:rFonts w:eastAsia="Calibri"/>
          <w:color w:val="000000"/>
          <w:sz w:val="24"/>
          <w:szCs w:val="24"/>
          <w:lang w:val="en-GB"/>
          <w14:ligatures w14:val="standardContextual"/>
        </w:rPr>
      </w:pPr>
      <w:r w:rsidRPr="00997785">
        <w:rPr>
          <w:rFonts w:eastAsia="Calibri"/>
          <w:color w:val="000000"/>
          <w:sz w:val="24"/>
          <w:szCs w:val="24"/>
          <w:lang w:val="en-GB"/>
          <w14:ligatures w14:val="standardContextual"/>
        </w:rPr>
        <w:t xml:space="preserve">Your answer must be based on academic research rather than personal experience. </w:t>
      </w:r>
    </w:p>
    <w:p w14:paraId="41C24890" w14:textId="77777777"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r w:rsidRPr="00997785">
        <w:rPr>
          <w:rFonts w:ascii="Calibri" w:eastAsia="Calibri" w:hAnsi="Calibri" w:cs="Times New Roman"/>
          <w:b/>
          <w:bCs/>
          <w:kern w:val="2"/>
          <w:sz w:val="24"/>
          <w:szCs w:val="24"/>
          <w:lang w:val="en-GB"/>
          <w14:ligatures w14:val="standardContextual"/>
        </w:rPr>
        <w:t xml:space="preserve">Word limit: </w:t>
      </w:r>
      <w:r w:rsidRPr="00997785">
        <w:rPr>
          <w:rFonts w:ascii="Calibri" w:eastAsia="Calibri" w:hAnsi="Calibri" w:cs="Times New Roman"/>
          <w:kern w:val="2"/>
          <w:sz w:val="24"/>
          <w:szCs w:val="24"/>
          <w:lang w:val="en-GB"/>
          <w14:ligatures w14:val="standardContextual"/>
        </w:rPr>
        <w:t>1000 words.</w:t>
      </w:r>
    </w:p>
    <w:p w14:paraId="55669FAB" w14:textId="77777777"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p>
    <w:p w14:paraId="5D08376A" w14:textId="43C063CB"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r w:rsidRPr="00997785">
        <w:rPr>
          <w:rFonts w:ascii="Calibri" w:eastAsia="Calibri" w:hAnsi="Calibri" w:cs="Times New Roman"/>
          <w:kern w:val="2"/>
          <w:sz w:val="24"/>
          <w:szCs w:val="24"/>
          <w:lang w:val="en-GB"/>
          <w14:ligatures w14:val="standardContextual"/>
        </w:rPr>
        <w:t xml:space="preserve">Professionalisation in policing has significantly transformed the organisational culture, with the introduction of standardised procedures, force structures and a range of specialised units within the police. </w:t>
      </w:r>
      <w:r w:rsidR="008109BF">
        <w:rPr>
          <w:rFonts w:ascii="Calibri" w:eastAsia="Calibri" w:hAnsi="Calibri" w:cs="Times New Roman"/>
          <w:kern w:val="2"/>
          <w:sz w:val="24"/>
          <w:szCs w:val="24"/>
          <w:lang w:val="en-GB"/>
          <w14:ligatures w14:val="standardContextual"/>
        </w:rPr>
        <w:t>T</w:t>
      </w:r>
      <w:r w:rsidRPr="00997785">
        <w:rPr>
          <w:rFonts w:ascii="Calibri" w:eastAsia="Calibri" w:hAnsi="Calibri" w:cs="Times New Roman"/>
          <w:kern w:val="2"/>
          <w:sz w:val="24"/>
          <w:szCs w:val="24"/>
          <w:lang w:val="en-GB"/>
          <w14:ligatures w14:val="standardContextual"/>
        </w:rPr>
        <w:t>his essay explore</w:t>
      </w:r>
      <w:r w:rsidR="008109BF">
        <w:rPr>
          <w:rFonts w:ascii="Calibri" w:eastAsia="Calibri" w:hAnsi="Calibri" w:cs="Times New Roman"/>
          <w:kern w:val="2"/>
          <w:sz w:val="24"/>
          <w:szCs w:val="24"/>
          <w:lang w:val="en-GB"/>
          <w14:ligatures w14:val="standardContextual"/>
        </w:rPr>
        <w:t>s</w:t>
      </w:r>
      <w:r w:rsidRPr="00997785">
        <w:rPr>
          <w:rFonts w:ascii="Calibri" w:eastAsia="Calibri" w:hAnsi="Calibri" w:cs="Times New Roman"/>
          <w:kern w:val="2"/>
          <w:sz w:val="24"/>
          <w:szCs w:val="24"/>
          <w:lang w:val="en-GB"/>
          <w14:ligatures w14:val="standardContextual"/>
        </w:rPr>
        <w:t xml:space="preserve"> the impact of professionalisation on the organisational culture in policing and look at how this culture can affect officers’ wellbeing and resilience, drawing on academic research. </w:t>
      </w:r>
    </w:p>
    <w:p w14:paraId="1F42C49D" w14:textId="77777777"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p>
    <w:p w14:paraId="23D6CC3B" w14:textId="2B046E8B"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r w:rsidRPr="00997785">
        <w:rPr>
          <w:rFonts w:ascii="Calibri" w:eastAsia="Calibri" w:hAnsi="Calibri" w:cs="Times New Roman"/>
          <w:kern w:val="2"/>
          <w:sz w:val="24"/>
          <w:szCs w:val="24"/>
          <w:lang w:val="en-GB"/>
          <w14:ligatures w14:val="standardContextual"/>
        </w:rPr>
        <w:t xml:space="preserve">The professionalisation movement of the police officer as an investigative professional first came about in the 1950’s and 1960’s. The movement was a managerial project which aimed at promoting bureaucratic authority at the expense of individual discretion. Professionalism centres itself round the following three features </w:t>
      </w:r>
      <w:r w:rsidR="00F108AE">
        <w:rPr>
          <w:rFonts w:ascii="Calibri" w:eastAsia="Calibri" w:hAnsi="Calibri" w:cs="Times New Roman"/>
          <w:kern w:val="2"/>
          <w:sz w:val="24"/>
          <w:szCs w:val="24"/>
          <w:lang w:val="en-GB"/>
          <w14:ligatures w14:val="standardContextual"/>
        </w:rPr>
        <w:t>“</w:t>
      </w:r>
      <w:r w:rsidRPr="00997785">
        <w:rPr>
          <w:rFonts w:ascii="Calibri" w:eastAsia="Calibri" w:hAnsi="Calibri" w:cs="Times New Roman"/>
          <w:kern w:val="2"/>
          <w:sz w:val="24"/>
          <w:szCs w:val="24"/>
          <w:lang w:val="en-GB"/>
          <w14:ligatures w14:val="standardContextual"/>
        </w:rPr>
        <w:t>expertise of an occupations members, commitment to higher values and ideals of service, bureaucratic organisation and freedom from external influences</w:t>
      </w:r>
      <w:r w:rsidR="00F108AE">
        <w:rPr>
          <w:rFonts w:ascii="Calibri" w:eastAsia="Calibri" w:hAnsi="Calibri" w:cs="Times New Roman"/>
          <w:kern w:val="2"/>
          <w:sz w:val="24"/>
          <w:szCs w:val="24"/>
          <w:lang w:val="en-GB"/>
          <w14:ligatures w14:val="standardContextual"/>
        </w:rPr>
        <w:t>”</w:t>
      </w:r>
      <w:r w:rsidRPr="00997785">
        <w:rPr>
          <w:rFonts w:ascii="Calibri" w:eastAsia="Calibri" w:hAnsi="Calibri" w:cs="Times New Roman"/>
          <w:kern w:val="2"/>
          <w:sz w:val="24"/>
          <w:szCs w:val="24"/>
          <w:lang w:val="en-GB"/>
          <w14:ligatures w14:val="standardContextual"/>
        </w:rPr>
        <w:t xml:space="preserve"> (</w:t>
      </w:r>
      <w:proofErr w:type="spellStart"/>
      <w:r w:rsidRPr="00997785">
        <w:rPr>
          <w:rFonts w:ascii="Calibri" w:eastAsia="Calibri" w:hAnsi="Calibri" w:cs="Times New Roman"/>
          <w:kern w:val="2"/>
          <w:sz w:val="24"/>
          <w:szCs w:val="24"/>
          <w:lang w:val="en-GB"/>
          <w14:ligatures w14:val="standardContextual"/>
        </w:rPr>
        <w:t>Lvovsky</w:t>
      </w:r>
      <w:proofErr w:type="spellEnd"/>
      <w:r w:rsidRPr="00997785">
        <w:rPr>
          <w:rFonts w:ascii="Calibri" w:eastAsia="Calibri" w:hAnsi="Calibri" w:cs="Times New Roman"/>
          <w:kern w:val="2"/>
          <w:sz w:val="24"/>
          <w:szCs w:val="24"/>
          <w:lang w:val="en-GB"/>
          <w14:ligatures w14:val="standardContextual"/>
        </w:rPr>
        <w:t xml:space="preserve">, 2017, </w:t>
      </w:r>
      <w:proofErr w:type="spellStart"/>
      <w:r w:rsidRPr="00997785">
        <w:rPr>
          <w:rFonts w:ascii="Calibri" w:eastAsia="Calibri" w:hAnsi="Calibri" w:cs="Times New Roman"/>
          <w:kern w:val="2"/>
          <w:sz w:val="24"/>
          <w:szCs w:val="24"/>
          <w:lang w:val="en-GB"/>
          <w14:ligatures w14:val="standardContextual"/>
        </w:rPr>
        <w:t>pg</w:t>
      </w:r>
      <w:proofErr w:type="spellEnd"/>
      <w:r w:rsidRPr="00997785">
        <w:rPr>
          <w:rFonts w:ascii="Calibri" w:eastAsia="Calibri" w:hAnsi="Calibri" w:cs="Times New Roman"/>
          <w:kern w:val="2"/>
          <w:sz w:val="24"/>
          <w:szCs w:val="24"/>
          <w:lang w:val="en-GB"/>
          <w14:ligatures w14:val="standardContextual"/>
        </w:rPr>
        <w:t xml:space="preserve"> 10). During this period the most effective reforms centred on internal reorganisation, consolidating power under police chiefs, narrowing the police mandate to crime prevention, and allocating patrol responsibilities among specialised units such as vice and narcotics. However, mirroring the service model, these reforms also highlighted the importance of self-regulation and adherence to a professional code of ethics. Specifically, for the police this involved constitutional law enforcement and civil rights. In alignment with the expertise model, there was an emphasis on acknowledging the distinctive skills and knowledge possessed by individual officers as professionals in their respective field (</w:t>
      </w:r>
      <w:proofErr w:type="spellStart"/>
      <w:r w:rsidRPr="00997785">
        <w:rPr>
          <w:rFonts w:ascii="Calibri" w:eastAsia="Calibri" w:hAnsi="Calibri" w:cs="Times New Roman"/>
          <w:kern w:val="2"/>
          <w:sz w:val="24"/>
          <w:szCs w:val="24"/>
          <w:lang w:val="en-GB"/>
          <w14:ligatures w14:val="standardContextual"/>
        </w:rPr>
        <w:t>Lvovsky</w:t>
      </w:r>
      <w:proofErr w:type="spellEnd"/>
      <w:r w:rsidRPr="00997785">
        <w:rPr>
          <w:rFonts w:ascii="Calibri" w:eastAsia="Calibri" w:hAnsi="Calibri" w:cs="Times New Roman"/>
          <w:kern w:val="2"/>
          <w:sz w:val="24"/>
          <w:szCs w:val="24"/>
          <w:lang w:val="en-GB"/>
          <w14:ligatures w14:val="standardContextual"/>
        </w:rPr>
        <w:t xml:space="preserve">, 2017). </w:t>
      </w:r>
    </w:p>
    <w:p w14:paraId="0265B5AD" w14:textId="77777777"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p>
    <w:p w14:paraId="12F750D8" w14:textId="26C9BE6D"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r w:rsidRPr="00997785">
        <w:rPr>
          <w:rFonts w:ascii="Calibri" w:eastAsia="Calibri" w:hAnsi="Calibri" w:cs="Calibri"/>
          <w:kern w:val="2"/>
          <w:sz w:val="24"/>
          <w:szCs w:val="24"/>
          <w:shd w:val="clear" w:color="auto" w:fill="FFFFFF"/>
          <w:lang w:val="en-GB"/>
          <w14:ligatures w14:val="standardContextual"/>
        </w:rPr>
        <w:t> </w:t>
      </w:r>
      <w:hyperlink r:id="rId6" w:anchor="bibr39-1360780417724062" w:history="1">
        <w:r w:rsidRPr="00997785">
          <w:rPr>
            <w:rFonts w:ascii="Calibri" w:eastAsia="Calibri" w:hAnsi="Calibri" w:cs="Calibri"/>
            <w:kern w:val="2"/>
            <w:sz w:val="24"/>
            <w:szCs w:val="24"/>
            <w:shd w:val="clear" w:color="auto" w:fill="FFFFFF"/>
            <w:lang w:val="en-GB"/>
            <w14:ligatures w14:val="standardContextual"/>
          </w:rPr>
          <w:t xml:space="preserve">Kleinig (1997, </w:t>
        </w:r>
        <w:proofErr w:type="spellStart"/>
        <w:r w:rsidRPr="00997785">
          <w:rPr>
            <w:rFonts w:ascii="Calibri" w:eastAsia="Calibri" w:hAnsi="Calibri" w:cs="Calibri"/>
            <w:kern w:val="2"/>
            <w:sz w:val="24"/>
            <w:szCs w:val="24"/>
            <w:shd w:val="clear" w:color="auto" w:fill="FFFFFF"/>
            <w:lang w:val="en-GB"/>
            <w14:ligatures w14:val="standardContextual"/>
          </w:rPr>
          <w:t>pg</w:t>
        </w:r>
        <w:proofErr w:type="spellEnd"/>
        <w:r w:rsidRPr="00997785">
          <w:rPr>
            <w:rFonts w:ascii="Calibri" w:eastAsia="Calibri" w:hAnsi="Calibri" w:cs="Calibri"/>
            <w:kern w:val="2"/>
            <w:sz w:val="24"/>
            <w:szCs w:val="24"/>
            <w:shd w:val="clear" w:color="auto" w:fill="FFFFFF"/>
            <w:lang w:val="en-GB"/>
            <w14:ligatures w14:val="standardContextual"/>
          </w:rPr>
          <w:t xml:space="preserve"> 45)</w:t>
        </w:r>
      </w:hyperlink>
      <w:r w:rsidRPr="00997785">
        <w:rPr>
          <w:rFonts w:ascii="Calibri" w:eastAsia="Calibri" w:hAnsi="Calibri" w:cs="Calibri"/>
          <w:kern w:val="2"/>
          <w:sz w:val="24"/>
          <w:szCs w:val="24"/>
          <w:shd w:val="clear" w:color="auto" w:fill="FFFFFF"/>
          <w:lang w:val="en-GB"/>
          <w14:ligatures w14:val="standardContextual"/>
        </w:rPr>
        <w:t xml:space="preserve"> describes professionalism in policing as </w:t>
      </w:r>
      <w:r w:rsidR="00355C9C">
        <w:rPr>
          <w:rFonts w:ascii="Calibri" w:eastAsia="Calibri" w:hAnsi="Calibri" w:cs="Calibri"/>
          <w:kern w:val="2"/>
          <w:sz w:val="24"/>
          <w:szCs w:val="24"/>
          <w:shd w:val="clear" w:color="auto" w:fill="FFFFFF"/>
          <w:lang w:val="en-GB"/>
          <w14:ligatures w14:val="standardContextual"/>
        </w:rPr>
        <w:t>“</w:t>
      </w:r>
      <w:r w:rsidRPr="00997785">
        <w:rPr>
          <w:rFonts w:ascii="Calibri" w:eastAsia="Calibri" w:hAnsi="Calibri" w:cs="Calibri"/>
          <w:kern w:val="2"/>
          <w:sz w:val="24"/>
          <w:szCs w:val="24"/>
          <w:shd w:val="clear" w:color="auto" w:fill="FFFFFF"/>
          <w:lang w:val="en-GB"/>
          <w14:ligatures w14:val="standardContextual"/>
        </w:rPr>
        <w:t>a dedication to doing what one does out of a commitment to it, with a determination to do it to the best of one’s ability.</w:t>
      </w:r>
      <w:r w:rsidR="00355C9C">
        <w:rPr>
          <w:rFonts w:ascii="Calibri" w:eastAsia="Calibri" w:hAnsi="Calibri" w:cs="Calibri"/>
          <w:kern w:val="2"/>
          <w:sz w:val="24"/>
          <w:szCs w:val="24"/>
          <w:shd w:val="clear" w:color="auto" w:fill="FFFFFF"/>
          <w:lang w:val="en-GB"/>
          <w14:ligatures w14:val="standardContextual"/>
        </w:rPr>
        <w:t>”</w:t>
      </w:r>
      <w:r w:rsidRPr="00997785">
        <w:rPr>
          <w:rFonts w:ascii="Calibri" w:eastAsia="Calibri" w:hAnsi="Calibri" w:cs="Calibri"/>
          <w:kern w:val="2"/>
          <w:sz w:val="24"/>
          <w:szCs w:val="24"/>
          <w:shd w:val="clear" w:color="auto" w:fill="FFFFFF"/>
          <w:lang w:val="en-GB"/>
          <w14:ligatures w14:val="standardContextual"/>
        </w:rPr>
        <w:t xml:space="preserve"> To gain a deeper insight into the tradition and history of policing within this </w:t>
      </w:r>
      <w:r w:rsidRPr="00997785">
        <w:rPr>
          <w:rFonts w:ascii="Calibri" w:eastAsia="Calibri" w:hAnsi="Calibri" w:cs="Calibri"/>
          <w:kern w:val="2"/>
          <w:sz w:val="24"/>
          <w:szCs w:val="24"/>
          <w:shd w:val="clear" w:color="auto" w:fill="FFFFFF"/>
          <w:lang w:val="en-GB"/>
          <w14:ligatures w14:val="standardContextual"/>
        </w:rPr>
        <w:lastRenderedPageBreak/>
        <w:t>framework, it’s essential to recognise that the police undertake three primary yet diverse functions, law enforcement, order maintenance and community service. However, the execution of these functions varies across a wide range of policies, protocols, and procedures, contingent on the type of law enforcement agency and the specific institution or environment they serve. Therefore, professionalism in policing extends beyond mere accountability, clearance rates, or the volume of crime in a particular area (Schneider, 2009).</w:t>
      </w:r>
    </w:p>
    <w:p w14:paraId="34E51B47" w14:textId="77777777"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p>
    <w:p w14:paraId="54545519" w14:textId="0183C7E5"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r w:rsidRPr="00997785">
        <w:rPr>
          <w:rFonts w:ascii="Calibri" w:eastAsia="Calibri" w:hAnsi="Calibri" w:cs="Calibri"/>
          <w:kern w:val="2"/>
          <w:sz w:val="24"/>
          <w:szCs w:val="24"/>
          <w:shd w:val="clear" w:color="auto" w:fill="FFFFFF"/>
          <w:lang w:val="en-GB"/>
          <w14:ligatures w14:val="standardContextual"/>
        </w:rPr>
        <w:t>Professionalism in policing implies the effectiveness of the agency. Police effectiveness suggests a more capable and productive police officer, as well as</w:t>
      </w:r>
      <w:r>
        <w:rPr>
          <w:rFonts w:ascii="Calibri" w:eastAsia="Calibri" w:hAnsi="Calibri" w:cs="Calibri"/>
          <w:kern w:val="2"/>
          <w:sz w:val="24"/>
          <w:szCs w:val="24"/>
          <w:shd w:val="clear" w:color="auto" w:fill="FFFFFF"/>
          <w:lang w:val="en-GB"/>
          <w14:ligatures w14:val="standardContextual"/>
        </w:rPr>
        <w:t xml:space="preserve"> a</w:t>
      </w:r>
      <w:r w:rsidRPr="00997785">
        <w:rPr>
          <w:rFonts w:ascii="Calibri" w:eastAsia="Calibri" w:hAnsi="Calibri" w:cs="Calibri"/>
          <w:kern w:val="2"/>
          <w:sz w:val="24"/>
          <w:szCs w:val="24"/>
          <w:shd w:val="clear" w:color="auto" w:fill="FFFFFF"/>
          <w:lang w:val="en-GB"/>
          <w14:ligatures w14:val="standardContextual"/>
        </w:rPr>
        <w:t xml:space="preserve"> law enforcement agency that operates more efficiently and professionally. Police professionalism is linked to officers being well educated, highly trained, and oriented toward adhering to rules. It encompasses not just what the police do but how they carry out their responsibilities. </w:t>
      </w:r>
    </w:p>
    <w:p w14:paraId="425185E9" w14:textId="77777777"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p>
    <w:p w14:paraId="4C8B0FB7" w14:textId="2741E2AE"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r w:rsidRPr="00997785">
        <w:rPr>
          <w:rFonts w:ascii="Calibri" w:eastAsia="Calibri" w:hAnsi="Calibri" w:cs="Calibri"/>
          <w:kern w:val="2"/>
          <w:sz w:val="24"/>
          <w:szCs w:val="24"/>
          <w:shd w:val="clear" w:color="auto" w:fill="FFFFFF"/>
          <w:lang w:val="en-GB"/>
          <w14:ligatures w14:val="standardContextual"/>
        </w:rPr>
        <w:t>Serpa, 2016 (</w:t>
      </w:r>
      <w:proofErr w:type="spellStart"/>
      <w:r w:rsidRPr="00997785">
        <w:rPr>
          <w:rFonts w:ascii="Calibri" w:eastAsia="Calibri" w:hAnsi="Calibri" w:cs="Calibri"/>
          <w:kern w:val="2"/>
          <w:sz w:val="24"/>
          <w:szCs w:val="24"/>
          <w:shd w:val="clear" w:color="auto" w:fill="FFFFFF"/>
          <w:lang w:val="en-GB"/>
          <w14:ligatures w14:val="standardContextual"/>
        </w:rPr>
        <w:t>pg</w:t>
      </w:r>
      <w:proofErr w:type="spellEnd"/>
      <w:r w:rsidRPr="00997785">
        <w:rPr>
          <w:rFonts w:ascii="Calibri" w:eastAsia="Calibri" w:hAnsi="Calibri" w:cs="Calibri"/>
          <w:kern w:val="2"/>
          <w:sz w:val="24"/>
          <w:szCs w:val="24"/>
          <w:shd w:val="clear" w:color="auto" w:fill="FFFFFF"/>
          <w:lang w:val="en-GB"/>
          <w14:ligatures w14:val="standardContextual"/>
        </w:rPr>
        <w:t xml:space="preserve"> 51) describes organisational culture </w:t>
      </w:r>
      <w:r w:rsidR="004B4DAC">
        <w:rPr>
          <w:rFonts w:ascii="Calibri" w:eastAsia="Calibri" w:hAnsi="Calibri" w:cs="Calibri"/>
          <w:kern w:val="2"/>
          <w:sz w:val="24"/>
          <w:szCs w:val="24"/>
          <w:shd w:val="clear" w:color="auto" w:fill="FFFFFF"/>
          <w:lang w:val="en-GB"/>
          <w14:ligatures w14:val="standardContextual"/>
        </w:rPr>
        <w:t>“</w:t>
      </w:r>
      <w:r w:rsidRPr="00997785">
        <w:rPr>
          <w:rFonts w:ascii="Calibri" w:eastAsia="Calibri" w:hAnsi="Calibri" w:cs="Calibri"/>
          <w:kern w:val="2"/>
          <w:sz w:val="24"/>
          <w:szCs w:val="24"/>
          <w:shd w:val="clear" w:color="auto" w:fill="FFFFFF"/>
          <w:lang w:val="en-GB"/>
          <w14:ligatures w14:val="standardContextual"/>
        </w:rPr>
        <w:t>as the shared way of being, thinking and acting in a collective of coordinated people with reciprocal expectations, it is shaped, disseminated, learned and changed over time providing some predictability in every organisation.</w:t>
      </w:r>
      <w:r w:rsidR="004B4DAC">
        <w:rPr>
          <w:rFonts w:ascii="Calibri" w:eastAsia="Calibri" w:hAnsi="Calibri" w:cs="Calibri"/>
          <w:kern w:val="2"/>
          <w:sz w:val="24"/>
          <w:szCs w:val="24"/>
          <w:shd w:val="clear" w:color="auto" w:fill="FFFFFF"/>
          <w:lang w:val="en-GB"/>
          <w14:ligatures w14:val="standardContextual"/>
        </w:rPr>
        <w:t>”</w:t>
      </w:r>
      <w:r w:rsidRPr="00997785">
        <w:rPr>
          <w:rFonts w:ascii="Calibri" w:eastAsia="Calibri" w:hAnsi="Calibri" w:cs="Calibri"/>
          <w:kern w:val="2"/>
          <w:sz w:val="24"/>
          <w:szCs w:val="24"/>
          <w:shd w:val="clear" w:color="auto" w:fill="FFFFFF"/>
          <w:lang w:val="en-GB"/>
          <w14:ligatures w14:val="standardContextual"/>
        </w:rPr>
        <w:t xml:space="preserve"> The organisational culture within police departments has been shown to significantly influence the day-to-day conduct of police officers, impacting their interactions with the public. Moreover, police organisational culture has been recognised as a substantial barrier to implementing policing reforms and a contributor to negative practices such as the abuse of authority, sexual harassment, </w:t>
      </w:r>
      <w:proofErr w:type="gramStart"/>
      <w:r w:rsidRPr="00997785">
        <w:rPr>
          <w:rFonts w:ascii="Calibri" w:eastAsia="Calibri" w:hAnsi="Calibri" w:cs="Calibri"/>
          <w:kern w:val="2"/>
          <w:sz w:val="24"/>
          <w:szCs w:val="24"/>
          <w:shd w:val="clear" w:color="auto" w:fill="FFFFFF"/>
          <w:lang w:val="en-GB"/>
          <w14:ligatures w14:val="standardContextual"/>
        </w:rPr>
        <w:t>discrimination</w:t>
      </w:r>
      <w:proofErr w:type="gramEnd"/>
      <w:r w:rsidRPr="00997785">
        <w:rPr>
          <w:rFonts w:ascii="Calibri" w:eastAsia="Calibri" w:hAnsi="Calibri" w:cs="Calibri"/>
          <w:kern w:val="2"/>
          <w:sz w:val="24"/>
          <w:szCs w:val="24"/>
          <w:shd w:val="clear" w:color="auto" w:fill="FFFFFF"/>
          <w:lang w:val="en-GB"/>
          <w14:ligatures w14:val="standardContextual"/>
        </w:rPr>
        <w:t xml:space="preserve"> and the use of excessive force (Brough, Brown and Biggs, 2016). </w:t>
      </w:r>
    </w:p>
    <w:p w14:paraId="0DE6B1AE" w14:textId="77777777"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p>
    <w:p w14:paraId="663B1DA6" w14:textId="77777777"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r w:rsidRPr="00997785">
        <w:rPr>
          <w:rFonts w:ascii="Calibri" w:eastAsia="Calibri" w:hAnsi="Calibri" w:cs="Calibri"/>
          <w:kern w:val="2"/>
          <w:sz w:val="24"/>
          <w:szCs w:val="24"/>
          <w:shd w:val="clear" w:color="auto" w:fill="FFFFFF"/>
          <w:lang w:val="en-GB"/>
          <w14:ligatures w14:val="standardContextual"/>
        </w:rPr>
        <w:t xml:space="preserve">Police organisational culture often supports informal norms that prioritise loyalty over integrity, thereby fostering corruption and unethical behaviour among police officers (Chan, 1996). Despite prevalent negative depictions of police culture, it’s crucial to acknowledge the positive behavioural outcomes influenced by it. For </w:t>
      </w:r>
      <w:proofErr w:type="gramStart"/>
      <w:r w:rsidRPr="00997785">
        <w:rPr>
          <w:rFonts w:ascii="Calibri" w:eastAsia="Calibri" w:hAnsi="Calibri" w:cs="Calibri"/>
          <w:kern w:val="2"/>
          <w:sz w:val="24"/>
          <w:szCs w:val="24"/>
          <w:shd w:val="clear" w:color="auto" w:fill="FFFFFF"/>
          <w:lang w:val="en-GB"/>
          <w14:ligatures w14:val="standardContextual"/>
        </w:rPr>
        <w:t>instance</w:t>
      </w:r>
      <w:proofErr w:type="gramEnd"/>
      <w:r w:rsidRPr="00997785">
        <w:rPr>
          <w:rFonts w:ascii="Calibri" w:eastAsia="Calibri" w:hAnsi="Calibri" w:cs="Calibri"/>
          <w:kern w:val="2"/>
          <w:sz w:val="24"/>
          <w:szCs w:val="24"/>
          <w:shd w:val="clear" w:color="auto" w:fill="FFFFFF"/>
          <w:lang w:val="en-GB"/>
          <w14:ligatures w14:val="standardContextual"/>
        </w:rPr>
        <w:t xml:space="preserve"> the role of police culture as a coping mechanism that helps mitigate occupational stress and contributes to the protection and survival of police officers.  </w:t>
      </w:r>
    </w:p>
    <w:p w14:paraId="04ED676A" w14:textId="77777777"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p>
    <w:p w14:paraId="22A4F586" w14:textId="77777777"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r w:rsidRPr="00997785">
        <w:rPr>
          <w:rFonts w:ascii="Calibri" w:eastAsia="Calibri" w:hAnsi="Calibri" w:cs="Calibri"/>
          <w:kern w:val="2"/>
          <w:sz w:val="24"/>
          <w:szCs w:val="24"/>
          <w:shd w:val="clear" w:color="auto" w:fill="FFFFFF"/>
          <w:lang w:val="en-GB"/>
          <w14:ligatures w14:val="standardContextual"/>
        </w:rPr>
        <w:t xml:space="preserve">Research carried out by Brough, Brown and Biggs in 2016 in the form of interviews and focus groups identified several themes that characterised the current police organisational culture. The concept of the ‘police family’ emerged as a pivotal element in the organisational culture. The police family concept describes the collective identity among officers, formed through shared experiences that foster a mutual understanding. Trust, loyalty, </w:t>
      </w:r>
      <w:proofErr w:type="gramStart"/>
      <w:r w:rsidRPr="00997785">
        <w:rPr>
          <w:rFonts w:ascii="Calibri" w:eastAsia="Calibri" w:hAnsi="Calibri" w:cs="Calibri"/>
          <w:kern w:val="2"/>
          <w:sz w:val="24"/>
          <w:szCs w:val="24"/>
          <w:shd w:val="clear" w:color="auto" w:fill="FFFFFF"/>
          <w:lang w:val="en-GB"/>
          <w14:ligatures w14:val="standardContextual"/>
        </w:rPr>
        <w:t>support</w:t>
      </w:r>
      <w:proofErr w:type="gramEnd"/>
      <w:r w:rsidRPr="00997785">
        <w:rPr>
          <w:rFonts w:ascii="Calibri" w:eastAsia="Calibri" w:hAnsi="Calibri" w:cs="Calibri"/>
          <w:kern w:val="2"/>
          <w:sz w:val="24"/>
          <w:szCs w:val="24"/>
          <w:shd w:val="clear" w:color="auto" w:fill="FFFFFF"/>
          <w:lang w:val="en-GB"/>
          <w14:ligatures w14:val="standardContextual"/>
        </w:rPr>
        <w:t xml:space="preserve"> and protection were noted as being essential core values, knowing that your colleagues will back you up should you find yourself in a difficult situation. Control, a key characteristic of the police organisational culture which includes having to follow </w:t>
      </w:r>
      <w:proofErr w:type="gramStart"/>
      <w:r w:rsidRPr="00997785">
        <w:rPr>
          <w:rFonts w:ascii="Calibri" w:eastAsia="Calibri" w:hAnsi="Calibri" w:cs="Calibri"/>
          <w:kern w:val="2"/>
          <w:sz w:val="24"/>
          <w:szCs w:val="24"/>
          <w:shd w:val="clear" w:color="auto" w:fill="FFFFFF"/>
          <w:lang w:val="en-GB"/>
          <w14:ligatures w14:val="standardContextual"/>
        </w:rPr>
        <w:t>a number of</w:t>
      </w:r>
      <w:proofErr w:type="gramEnd"/>
      <w:r w:rsidRPr="00997785">
        <w:rPr>
          <w:rFonts w:ascii="Calibri" w:eastAsia="Calibri" w:hAnsi="Calibri" w:cs="Calibri"/>
          <w:kern w:val="2"/>
          <w:sz w:val="24"/>
          <w:szCs w:val="24"/>
          <w:shd w:val="clear" w:color="auto" w:fill="FFFFFF"/>
          <w:lang w:val="en-GB"/>
          <w14:ligatures w14:val="standardContextual"/>
        </w:rPr>
        <w:t xml:space="preserve"> standardised procedures and an emphasis on enforcing compliance systems. The control theme leads into scrutiny and accountability, police officers are held accountable should they choose not to follow procedure. Lastly policing culture is characterised by a hierarchical structure leading to distinct levels of authority and status. </w:t>
      </w:r>
    </w:p>
    <w:p w14:paraId="2D6BC902" w14:textId="77777777"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p>
    <w:p w14:paraId="1B0B1577" w14:textId="77777777"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proofErr w:type="spellStart"/>
      <w:r w:rsidRPr="00997785">
        <w:rPr>
          <w:rFonts w:ascii="Calibri" w:eastAsia="Calibri" w:hAnsi="Calibri" w:cs="Calibri"/>
          <w:kern w:val="2"/>
          <w:sz w:val="24"/>
          <w:szCs w:val="24"/>
          <w:shd w:val="clear" w:color="auto" w:fill="FFFFFF"/>
          <w:lang w:val="en-GB"/>
          <w14:ligatures w14:val="standardContextual"/>
        </w:rPr>
        <w:t>Paoline</w:t>
      </w:r>
      <w:proofErr w:type="spellEnd"/>
      <w:r w:rsidRPr="00997785">
        <w:rPr>
          <w:rFonts w:ascii="Calibri" w:eastAsia="Calibri" w:hAnsi="Calibri" w:cs="Calibri"/>
          <w:kern w:val="2"/>
          <w:sz w:val="24"/>
          <w:szCs w:val="24"/>
          <w:shd w:val="clear" w:color="auto" w:fill="FFFFFF"/>
          <w:lang w:val="en-GB"/>
          <w14:ligatures w14:val="standardContextual"/>
        </w:rPr>
        <w:t xml:space="preserve"> (2003) underscores the profound influence of professionalisation on the organisational culture of police, highlighting its implications for officers’ wellbeing. As policing undergoes increased professionalisation, formal structures and standardised procedures become integral, shaping the work environment. This shift can impact officers’ wellbeing positively through enhanced job satisfaction and adherence to ethical standards. However, the potential downside includes stressors associated with rigid bureaucratic processes. </w:t>
      </w:r>
      <w:proofErr w:type="spellStart"/>
      <w:r w:rsidRPr="00997785">
        <w:rPr>
          <w:rFonts w:ascii="Calibri" w:eastAsia="Calibri" w:hAnsi="Calibri" w:cs="Calibri"/>
          <w:kern w:val="2"/>
          <w:sz w:val="24"/>
          <w:szCs w:val="24"/>
          <w:shd w:val="clear" w:color="auto" w:fill="FFFFFF"/>
          <w:lang w:val="en-GB"/>
          <w14:ligatures w14:val="standardContextual"/>
        </w:rPr>
        <w:t>Paoline’s</w:t>
      </w:r>
      <w:proofErr w:type="spellEnd"/>
      <w:r w:rsidRPr="00997785">
        <w:rPr>
          <w:rFonts w:ascii="Calibri" w:eastAsia="Calibri" w:hAnsi="Calibri" w:cs="Calibri"/>
          <w:kern w:val="2"/>
          <w:sz w:val="24"/>
          <w:szCs w:val="24"/>
          <w:shd w:val="clear" w:color="auto" w:fill="FFFFFF"/>
          <w:lang w:val="en-GB"/>
          <w14:ligatures w14:val="standardContextual"/>
        </w:rPr>
        <w:t xml:space="preserve"> insights highlight the nuanced relationship between professionalisation driven organisational culture and its multifaceted effects on the overall wellbeing of police officers.  </w:t>
      </w:r>
    </w:p>
    <w:p w14:paraId="13433180" w14:textId="77777777" w:rsidR="00997785" w:rsidRP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p>
    <w:p w14:paraId="13CEC8FB" w14:textId="77777777" w:rsidR="00997785" w:rsidRDefault="00997785"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r w:rsidRPr="00997785">
        <w:rPr>
          <w:rFonts w:ascii="Calibri" w:eastAsia="Calibri" w:hAnsi="Calibri" w:cs="Calibri"/>
          <w:kern w:val="2"/>
          <w:sz w:val="24"/>
          <w:szCs w:val="24"/>
          <w:shd w:val="clear" w:color="auto" w:fill="FFFFFF"/>
          <w:lang w:val="en-GB"/>
          <w14:ligatures w14:val="standardContextual"/>
        </w:rPr>
        <w:t xml:space="preserve">In conclusion, the historical context of the professionalisation movement, with its focus on internal reorganisation and adherence to ethical standards, laid the foundation for the contemporary landscape of policing. The multifaceted nature of police professionalism, encompassing education, training, and adherence to rules, underscores its importance in shaping an effective law enforcement agency. The discussion on organisational culture elucidates both positive and negative aspects, acknowledging the role of the ‘police family’ </w:t>
      </w:r>
      <w:r w:rsidRPr="00997785">
        <w:rPr>
          <w:rFonts w:ascii="Calibri" w:eastAsia="Calibri" w:hAnsi="Calibri" w:cs="Calibri"/>
          <w:kern w:val="2"/>
          <w:sz w:val="24"/>
          <w:szCs w:val="24"/>
          <w:shd w:val="clear" w:color="auto" w:fill="FFFFFF"/>
          <w:lang w:val="en-GB"/>
          <w14:ligatures w14:val="standardContextual"/>
        </w:rPr>
        <w:lastRenderedPageBreak/>
        <w:t xml:space="preserve">as a coping mechanism while also recognising challenges such as loyalty prioritisation over integrity. </w:t>
      </w:r>
      <w:proofErr w:type="spellStart"/>
      <w:r w:rsidRPr="00997785">
        <w:rPr>
          <w:rFonts w:ascii="Calibri" w:eastAsia="Calibri" w:hAnsi="Calibri" w:cs="Calibri"/>
          <w:kern w:val="2"/>
          <w:sz w:val="24"/>
          <w:szCs w:val="24"/>
          <w:shd w:val="clear" w:color="auto" w:fill="FFFFFF"/>
          <w:lang w:val="en-GB"/>
          <w14:ligatures w14:val="standardContextual"/>
        </w:rPr>
        <w:t>Paoline’s</w:t>
      </w:r>
      <w:proofErr w:type="spellEnd"/>
      <w:r w:rsidRPr="00997785">
        <w:rPr>
          <w:rFonts w:ascii="Calibri" w:eastAsia="Calibri" w:hAnsi="Calibri" w:cs="Calibri"/>
          <w:kern w:val="2"/>
          <w:sz w:val="24"/>
          <w:szCs w:val="24"/>
          <w:shd w:val="clear" w:color="auto" w:fill="FFFFFF"/>
          <w:lang w:val="en-GB"/>
          <w14:ligatures w14:val="standardContextual"/>
        </w:rPr>
        <w:t xml:space="preserve"> insights add depth to the analysis, emphasising the nuanced relationship between professionalisation driven organisational culture and its impact on officers’ wellbeing. As policing continues to evolve, understanding these dynamics becomes crucial for fostering a resilient and ethical police force. </w:t>
      </w:r>
    </w:p>
    <w:p w14:paraId="7093DD08" w14:textId="77777777" w:rsidR="007201FD" w:rsidRDefault="007201FD"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p>
    <w:p w14:paraId="78CDF95B" w14:textId="307200C3" w:rsidR="007201FD" w:rsidRPr="00997785" w:rsidRDefault="007201FD" w:rsidP="00997785">
      <w:pPr>
        <w:widowControl/>
        <w:autoSpaceDE/>
        <w:autoSpaceDN/>
        <w:spacing w:after="160" w:line="360" w:lineRule="auto"/>
        <w:rPr>
          <w:rFonts w:ascii="Calibri" w:eastAsia="Calibri" w:hAnsi="Calibri" w:cs="Calibri"/>
          <w:kern w:val="2"/>
          <w:sz w:val="24"/>
          <w:szCs w:val="24"/>
          <w:shd w:val="clear" w:color="auto" w:fill="FFFFFF"/>
          <w:lang w:val="en-GB"/>
          <w14:ligatures w14:val="standardContextual"/>
        </w:rPr>
      </w:pPr>
      <w:r>
        <w:rPr>
          <w:rFonts w:ascii="Calibri" w:eastAsia="Calibri" w:hAnsi="Calibri" w:cs="Calibri"/>
          <w:kern w:val="2"/>
          <w:sz w:val="24"/>
          <w:szCs w:val="24"/>
          <w:shd w:val="clear" w:color="auto" w:fill="FFFFFF"/>
          <w:lang w:val="en-GB"/>
          <w14:ligatures w14:val="standardContextual"/>
        </w:rPr>
        <w:t>(Word count: 94</w:t>
      </w:r>
      <w:r w:rsidR="00E97A6C">
        <w:rPr>
          <w:rFonts w:ascii="Calibri" w:eastAsia="Calibri" w:hAnsi="Calibri" w:cs="Calibri"/>
          <w:kern w:val="2"/>
          <w:sz w:val="24"/>
          <w:szCs w:val="24"/>
          <w:shd w:val="clear" w:color="auto" w:fill="FFFFFF"/>
          <w:lang w:val="en-GB"/>
          <w14:ligatures w14:val="standardContextual"/>
        </w:rPr>
        <w:t>1</w:t>
      </w:r>
      <w:r>
        <w:rPr>
          <w:rFonts w:ascii="Calibri" w:eastAsia="Calibri" w:hAnsi="Calibri" w:cs="Calibri"/>
          <w:kern w:val="2"/>
          <w:sz w:val="24"/>
          <w:szCs w:val="24"/>
          <w:shd w:val="clear" w:color="auto" w:fill="FFFFFF"/>
          <w:lang w:val="en-GB"/>
          <w14:ligatures w14:val="standardContextual"/>
        </w:rPr>
        <w:t>)</w:t>
      </w:r>
    </w:p>
    <w:p w14:paraId="7F00F19D" w14:textId="77777777"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p>
    <w:p w14:paraId="62420939" w14:textId="77777777"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p>
    <w:p w14:paraId="1A68ACD8" w14:textId="77777777"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p>
    <w:p w14:paraId="3CBBABD7" w14:textId="77777777" w:rsidR="00997785" w:rsidRPr="00997785" w:rsidRDefault="00997785" w:rsidP="00997785">
      <w:pPr>
        <w:widowControl/>
        <w:autoSpaceDE/>
        <w:autoSpaceDN/>
        <w:spacing w:after="160" w:line="360" w:lineRule="auto"/>
        <w:rPr>
          <w:rFonts w:ascii="Calibri" w:eastAsia="Calibri" w:hAnsi="Calibri" w:cs="Times New Roman"/>
          <w:kern w:val="2"/>
          <w:sz w:val="24"/>
          <w:szCs w:val="24"/>
          <w:lang w:val="en-GB"/>
          <w14:ligatures w14:val="standardContextual"/>
        </w:rPr>
      </w:pPr>
    </w:p>
    <w:p w14:paraId="06BC3AFD" w14:textId="77777777" w:rsidR="00997785" w:rsidRPr="00997785" w:rsidRDefault="00997785" w:rsidP="00997785">
      <w:pPr>
        <w:widowControl/>
        <w:tabs>
          <w:tab w:val="left" w:pos="977"/>
        </w:tabs>
        <w:autoSpaceDE/>
        <w:autoSpaceDN/>
        <w:spacing w:after="160" w:line="360" w:lineRule="auto"/>
        <w:rPr>
          <w:rFonts w:ascii="Calibri" w:eastAsia="Calibri" w:hAnsi="Calibri" w:cs="Times New Roman"/>
          <w:kern w:val="2"/>
          <w:sz w:val="24"/>
          <w:szCs w:val="24"/>
          <w:lang w:val="en-GB"/>
          <w14:ligatures w14:val="standardContextual"/>
        </w:rPr>
      </w:pPr>
    </w:p>
    <w:p w14:paraId="7E2FB441" w14:textId="77777777" w:rsidR="00997785" w:rsidRPr="00997785" w:rsidRDefault="00997785" w:rsidP="00997785">
      <w:pPr>
        <w:widowControl/>
        <w:autoSpaceDE/>
        <w:autoSpaceDN/>
        <w:spacing w:line="360" w:lineRule="auto"/>
        <w:rPr>
          <w:rFonts w:ascii="Calibri" w:eastAsia="Times New Roman" w:hAnsi="Calibri" w:cs="Calibri"/>
          <w:sz w:val="24"/>
          <w:szCs w:val="24"/>
          <w:lang w:val="en-GB" w:eastAsia="en-GB"/>
        </w:rPr>
      </w:pPr>
    </w:p>
    <w:p w14:paraId="0723123C"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77F3B92"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71D3D96"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517A8DD"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7B612C8"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EFB5D17"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C2F44C7"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C6E3ED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C6E8371"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6B57A1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B1A924F"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4BA2181" w14:textId="77777777" w:rsidR="007201FD" w:rsidRDefault="007201FD" w:rsidP="00997785">
      <w:pPr>
        <w:widowControl/>
        <w:adjustRightInd w:val="0"/>
        <w:spacing w:line="360" w:lineRule="auto"/>
        <w:rPr>
          <w:rFonts w:ascii="Calibri" w:eastAsia="Calibri" w:hAnsi="Calibri" w:cs="Calibri"/>
          <w:kern w:val="2"/>
          <w:sz w:val="24"/>
          <w:szCs w:val="24"/>
          <w:lang w:val="en-GB"/>
          <w14:ligatures w14:val="standardContextual"/>
        </w:rPr>
      </w:pPr>
    </w:p>
    <w:p w14:paraId="758ECE04" w14:textId="21221CDD" w:rsidR="00997785" w:rsidRPr="00997785" w:rsidRDefault="00997785" w:rsidP="00997785">
      <w:pPr>
        <w:widowControl/>
        <w:adjustRightInd w:val="0"/>
        <w:spacing w:line="360" w:lineRule="auto"/>
        <w:rPr>
          <w:rFonts w:eastAsia="Calibri"/>
          <w:color w:val="000000"/>
          <w:sz w:val="24"/>
          <w:szCs w:val="24"/>
          <w:lang w:val="en-GB"/>
          <w14:ligatures w14:val="standardContextual"/>
        </w:rPr>
      </w:pPr>
      <w:r w:rsidRPr="00997785">
        <w:rPr>
          <w:rFonts w:eastAsia="Calibri"/>
          <w:b/>
          <w:bCs/>
          <w:color w:val="000000"/>
          <w:sz w:val="24"/>
          <w:szCs w:val="24"/>
          <w:lang w:val="en-GB"/>
          <w14:ligatures w14:val="standardContextual"/>
        </w:rPr>
        <w:lastRenderedPageBreak/>
        <w:t xml:space="preserve">Essay two: </w:t>
      </w:r>
    </w:p>
    <w:p w14:paraId="028263D2"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Response policing – In a recent survey by HMICFRS, 65% of respondents agreed “that police in their local area treat people fairly and with respect” (Justice Inspectorates, 2019). Evaluate the impact of public perception on response policing. </w:t>
      </w:r>
    </w:p>
    <w:p w14:paraId="5F3C2636"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Times New Roman"/>
          <w:b/>
          <w:bCs/>
          <w:kern w:val="2"/>
          <w:sz w:val="24"/>
          <w:szCs w:val="24"/>
          <w:lang w:val="en-GB"/>
          <w14:ligatures w14:val="standardContextual"/>
        </w:rPr>
        <w:t xml:space="preserve">Word limit: </w:t>
      </w:r>
      <w:r w:rsidRPr="00997785">
        <w:rPr>
          <w:rFonts w:ascii="Calibri" w:eastAsia="Calibri" w:hAnsi="Calibri" w:cs="Times New Roman"/>
          <w:kern w:val="2"/>
          <w:sz w:val="24"/>
          <w:szCs w:val="24"/>
          <w:lang w:val="en-GB"/>
          <w14:ligatures w14:val="standardContextual"/>
        </w:rPr>
        <w:t>1000 words.</w:t>
      </w:r>
    </w:p>
    <w:p w14:paraId="2192C4E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699AAB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037EB0E" w14:textId="493911B0"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Response policing refers to a law enforcement strategy focused on reacting to and addressing immediate incidents and calls for service from the public. The College of Policing states that </w:t>
      </w:r>
      <w:r w:rsidR="001E4424">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 xml:space="preserve">response officers are at the heart of uniformed policing and will often be the first police officer many members of the public </w:t>
      </w:r>
      <w:proofErr w:type="gramStart"/>
      <w:r w:rsidRPr="00997785">
        <w:rPr>
          <w:rFonts w:ascii="Calibri" w:eastAsia="Calibri" w:hAnsi="Calibri" w:cs="Calibri"/>
          <w:kern w:val="2"/>
          <w:sz w:val="24"/>
          <w:szCs w:val="24"/>
          <w:lang w:val="en-GB"/>
          <w14:ligatures w14:val="standardContextual"/>
        </w:rPr>
        <w:t>come into contact with</w:t>
      </w:r>
      <w:proofErr w:type="gramEnd"/>
      <w:r w:rsidRPr="00997785">
        <w:rPr>
          <w:rFonts w:ascii="Calibri" w:eastAsia="Calibri" w:hAnsi="Calibri" w:cs="Calibri"/>
          <w:kern w:val="2"/>
          <w:sz w:val="24"/>
          <w:szCs w:val="24"/>
          <w:lang w:val="en-GB"/>
          <w14:ligatures w14:val="standardContextual"/>
        </w:rPr>
        <w:t xml:space="preserve">. While responding to incidents is their primary role, in doing this they will also protect the public, proactively patrol their communities, manage critical incidents, </w:t>
      </w:r>
      <w:proofErr w:type="gramStart"/>
      <w:r w:rsidRPr="00997785">
        <w:rPr>
          <w:rFonts w:ascii="Calibri" w:eastAsia="Calibri" w:hAnsi="Calibri" w:cs="Calibri"/>
          <w:kern w:val="2"/>
          <w:sz w:val="24"/>
          <w:szCs w:val="24"/>
          <w:lang w:val="en-GB"/>
          <w14:ligatures w14:val="standardContextual"/>
        </w:rPr>
        <w:t>identify</w:t>
      </w:r>
      <w:proofErr w:type="gramEnd"/>
      <w:r w:rsidRPr="00997785">
        <w:rPr>
          <w:rFonts w:ascii="Calibri" w:eastAsia="Calibri" w:hAnsi="Calibri" w:cs="Calibri"/>
          <w:kern w:val="2"/>
          <w:sz w:val="24"/>
          <w:szCs w:val="24"/>
          <w:lang w:val="en-GB"/>
          <w14:ligatures w14:val="standardContextual"/>
        </w:rPr>
        <w:t xml:space="preserve"> and obtain appropriate help and support for vulnerable people, apply conflict management techniques and give emergency first aid.</w:t>
      </w:r>
      <w:r w:rsidR="001E4424">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 xml:space="preserve"> </w:t>
      </w:r>
    </w:p>
    <w:p w14:paraId="1C413C20"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DAC4868" w14:textId="6EF00BB6"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Public perception plays a pivotal role in shaping policing strategies as it directly influences the effectiveness and legitimacy of law enforcement efforts. A </w:t>
      </w:r>
      <w:proofErr w:type="spellStart"/>
      <w:proofErr w:type="gramStart"/>
      <w:r w:rsidRPr="00997785">
        <w:rPr>
          <w:rFonts w:ascii="Calibri" w:eastAsia="Calibri" w:hAnsi="Calibri" w:cs="Calibri"/>
          <w:kern w:val="2"/>
          <w:sz w:val="24"/>
          <w:szCs w:val="24"/>
          <w:lang w:val="en-GB"/>
          <w14:ligatures w14:val="standardContextual"/>
        </w:rPr>
        <w:t>well known</w:t>
      </w:r>
      <w:proofErr w:type="spellEnd"/>
      <w:proofErr w:type="gramEnd"/>
      <w:r w:rsidRPr="00997785">
        <w:rPr>
          <w:rFonts w:ascii="Calibri" w:eastAsia="Calibri" w:hAnsi="Calibri" w:cs="Calibri"/>
          <w:kern w:val="2"/>
          <w:sz w:val="24"/>
          <w:szCs w:val="24"/>
          <w:lang w:val="en-GB"/>
          <w14:ligatures w14:val="standardContextual"/>
        </w:rPr>
        <w:t xml:space="preserve"> quote by Sir Robert Peele is </w:t>
      </w:r>
      <w:r w:rsidR="00260E22">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The Police Are The Public, The Public Are The Police</w:t>
      </w:r>
      <w:r w:rsidR="00260E22">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 xml:space="preserve">. The way the public perceives the police can impact trust, cooperation, and overall engagement. Positive public perception fosters a collaborative environment, enabling the police to work more efficiently, while negative perceptions can lead to scepticism, resistance and hindered crime solving efforts. </w:t>
      </w:r>
    </w:p>
    <w:p w14:paraId="25627AC6"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DD6CBA5" w14:textId="2B48B939"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Tyler (2004) suggests that when individuals perceive police actions as fair, respectful, and unbiased, they are more likely to accept and cooperate with law enforcement even when they disagree with the specific outcomes of police encounters. According to Tyler, four key components contribute to the perception of procedural justice. Fairness, individuals assess the fairness of procedures used by police in making decisions such as stops, arrests and </w:t>
      </w:r>
      <w:r w:rsidRPr="00997785">
        <w:rPr>
          <w:rFonts w:ascii="Calibri" w:eastAsia="Calibri" w:hAnsi="Calibri" w:cs="Calibri"/>
          <w:kern w:val="2"/>
          <w:sz w:val="24"/>
          <w:szCs w:val="24"/>
          <w:lang w:val="en-GB"/>
          <w14:ligatures w14:val="standardContextual"/>
        </w:rPr>
        <w:lastRenderedPageBreak/>
        <w:t xml:space="preserve">interactions. Impartiality, people want to perceive the police as neutral and unbiased in their </w:t>
      </w:r>
      <w:proofErr w:type="gramStart"/>
      <w:r w:rsidRPr="00997785">
        <w:rPr>
          <w:rFonts w:ascii="Calibri" w:eastAsia="Calibri" w:hAnsi="Calibri" w:cs="Calibri"/>
          <w:kern w:val="2"/>
          <w:sz w:val="24"/>
          <w:szCs w:val="24"/>
          <w:lang w:val="en-GB"/>
          <w14:ligatures w14:val="standardContextual"/>
        </w:rPr>
        <w:t>decision making</w:t>
      </w:r>
      <w:proofErr w:type="gramEnd"/>
      <w:r w:rsidRPr="00997785">
        <w:rPr>
          <w:rFonts w:ascii="Calibri" w:eastAsia="Calibri" w:hAnsi="Calibri" w:cs="Calibri"/>
          <w:kern w:val="2"/>
          <w:sz w:val="24"/>
          <w:szCs w:val="24"/>
          <w:lang w:val="en-GB"/>
          <w14:ligatures w14:val="standardContextual"/>
        </w:rPr>
        <w:t xml:space="preserve"> processes. Voice, providing individuals with an opportunity to express their concerns and be heard during interactions with police contributes to a sense of procedural justice. Trustworthiness, the trust in motives and intentions of police is crucial for positive perceptions. Tyler (2004)</w:t>
      </w:r>
      <w:r>
        <w:rPr>
          <w:rFonts w:ascii="Calibri" w:eastAsia="Calibri" w:hAnsi="Calibri" w:cs="Calibri"/>
          <w:kern w:val="2"/>
          <w:sz w:val="24"/>
          <w:szCs w:val="24"/>
          <w:lang w:val="en-GB"/>
          <w14:ligatures w14:val="standardContextual"/>
        </w:rPr>
        <w:t xml:space="preserve"> also</w:t>
      </w:r>
      <w:r w:rsidRPr="00997785">
        <w:rPr>
          <w:rFonts w:ascii="Calibri" w:eastAsia="Calibri" w:hAnsi="Calibri" w:cs="Calibri"/>
          <w:kern w:val="2"/>
          <w:sz w:val="24"/>
          <w:szCs w:val="24"/>
          <w:lang w:val="en-GB"/>
          <w14:ligatures w14:val="standardContextual"/>
        </w:rPr>
        <w:t xml:space="preserve"> suggests that enhancing procedural justice in policing not only improves public perceptions but also fosters voluntary compliance with the law. Police agencies that prioritise fairness, </w:t>
      </w:r>
      <w:proofErr w:type="gramStart"/>
      <w:r w:rsidRPr="00997785">
        <w:rPr>
          <w:rFonts w:ascii="Calibri" w:eastAsia="Calibri" w:hAnsi="Calibri" w:cs="Calibri"/>
          <w:kern w:val="2"/>
          <w:sz w:val="24"/>
          <w:szCs w:val="24"/>
          <w:lang w:val="en-GB"/>
          <w14:ligatures w14:val="standardContextual"/>
        </w:rPr>
        <w:t>transparency</w:t>
      </w:r>
      <w:proofErr w:type="gramEnd"/>
      <w:r w:rsidRPr="00997785">
        <w:rPr>
          <w:rFonts w:ascii="Calibri" w:eastAsia="Calibri" w:hAnsi="Calibri" w:cs="Calibri"/>
          <w:kern w:val="2"/>
          <w:sz w:val="24"/>
          <w:szCs w:val="24"/>
          <w:lang w:val="en-GB"/>
          <w14:ligatures w14:val="standardContextual"/>
        </w:rPr>
        <w:t xml:space="preserve"> and respectful treatment in their interactions with the public can contribute to building and maintaining positive relationships with the community they serve.  </w:t>
      </w:r>
    </w:p>
    <w:p w14:paraId="044F2B72"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C427839"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Studies conducted by </w:t>
      </w:r>
      <w:proofErr w:type="spellStart"/>
      <w:r w:rsidRPr="00997785">
        <w:rPr>
          <w:rFonts w:ascii="Calibri" w:eastAsia="Calibri" w:hAnsi="Calibri" w:cs="Calibri"/>
          <w:kern w:val="2"/>
          <w:sz w:val="24"/>
          <w:szCs w:val="24"/>
          <w:lang w:val="en-GB"/>
          <w14:ligatures w14:val="standardContextual"/>
        </w:rPr>
        <w:t>POSTnote</w:t>
      </w:r>
      <w:proofErr w:type="spellEnd"/>
      <w:r w:rsidRPr="00997785">
        <w:rPr>
          <w:rFonts w:ascii="Calibri" w:eastAsia="Calibri" w:hAnsi="Calibri" w:cs="Calibri"/>
          <w:kern w:val="2"/>
          <w:sz w:val="24"/>
          <w:szCs w:val="24"/>
          <w:lang w:val="en-GB"/>
          <w14:ligatures w14:val="standardContextual"/>
        </w:rPr>
        <w:t xml:space="preserve"> indicate that the level of trust people have in the police is more strongly connected to their perception of the fairness of police actions rather than their effectiveness in handling cases of crime. Enhancing public trust in the police involves prioritising positive interactions between officers and the community, as well as emphasising aspects of community policing that address local issues. Placing a greater focus on ensuring officers engage with the public in a procedurally just manner is likely to boost trust in the police. This implies that even brief, individual encounters with officers can significantly shape public attitudes toward the police (UK Parliament post, 2023).</w:t>
      </w:r>
    </w:p>
    <w:p w14:paraId="4D0B0B4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BBD9F0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Nix and Wolfe (2017) explore the impact of negative public perceptions on the police. Negative public perception may adversely affect police officers themselves, by having an impact on an </w:t>
      </w:r>
      <w:proofErr w:type="gramStart"/>
      <w:r w:rsidRPr="00997785">
        <w:rPr>
          <w:rFonts w:ascii="Calibri" w:eastAsia="Calibri" w:hAnsi="Calibri" w:cs="Calibri"/>
          <w:kern w:val="2"/>
          <w:sz w:val="24"/>
          <w:szCs w:val="24"/>
          <w:lang w:val="en-GB"/>
          <w14:ligatures w14:val="standardContextual"/>
        </w:rPr>
        <w:t>officers</w:t>
      </w:r>
      <w:proofErr w:type="gramEnd"/>
      <w:r w:rsidRPr="00997785">
        <w:rPr>
          <w:rFonts w:ascii="Calibri" w:eastAsia="Calibri" w:hAnsi="Calibri" w:cs="Calibri"/>
          <w:kern w:val="2"/>
          <w:sz w:val="24"/>
          <w:szCs w:val="24"/>
          <w:lang w:val="en-GB"/>
          <w14:ligatures w14:val="standardContextual"/>
        </w:rPr>
        <w:t xml:space="preserve"> self-legitimacy. Self-legitimacy refers to an officers’ confidence in their authority. Negative public perception might be interpreted by the police as a sign of insufficient public support. The impact of negative perceptions on officers’ self-legitimacy is discussed in terms of behaviour. Officers with a stronger sense of self-legitimacy tend to exhibit positive behaviours, including greater organisational commitment, a tendency to embrace procedural justice, and a reduced likelihood of using force against the public. </w:t>
      </w:r>
    </w:p>
    <w:p w14:paraId="748BAF41"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DCF4248"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lastRenderedPageBreak/>
        <w:t xml:space="preserve">The media plays a pivotal role in shaping public perception of response policing. News coverage, social media, and other forms of communication influence how individuals perceive the police. High profile incidents, whether positive or negative can significantly impact public sentiment and contribute to the formation of lasting impressions. </w:t>
      </w:r>
    </w:p>
    <w:p w14:paraId="032E8CC4"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BDAEF0E" w14:textId="2A7C4E24"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In 2021 the kidnap, </w:t>
      </w:r>
      <w:proofErr w:type="gramStart"/>
      <w:r w:rsidRPr="00997785">
        <w:rPr>
          <w:rFonts w:ascii="Calibri" w:eastAsia="Calibri" w:hAnsi="Calibri" w:cs="Calibri"/>
          <w:kern w:val="2"/>
          <w:sz w:val="24"/>
          <w:szCs w:val="24"/>
          <w:lang w:val="en-GB"/>
          <w14:ligatures w14:val="standardContextual"/>
        </w:rPr>
        <w:t>rape</w:t>
      </w:r>
      <w:proofErr w:type="gramEnd"/>
      <w:r w:rsidRPr="00997785">
        <w:rPr>
          <w:rFonts w:ascii="Calibri" w:eastAsia="Calibri" w:hAnsi="Calibri" w:cs="Calibri"/>
          <w:kern w:val="2"/>
          <w:sz w:val="24"/>
          <w:szCs w:val="24"/>
          <w:lang w:val="en-GB"/>
          <w14:ligatures w14:val="standardContextual"/>
        </w:rPr>
        <w:t xml:space="preserve"> and murder of Sarah Everard by a serving metropolitan police officer had a major impact on the public’s perception on the police. A report by P. Jacques (2021) stated a survey by YouGov </w:t>
      </w:r>
      <w:r w:rsidR="00E01D8D">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found 47 per cent of women and 40 per cent of men said trust in the police had declined since details of the rape and murder of Ms Everard by serving Metropolitan Police Service (MPS) officer Wayne Couzens were made public.</w:t>
      </w:r>
      <w:r w:rsidR="00E01D8D">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 xml:space="preserve"> Further to this, the End Violence Against Women (EVAW) coalition said that the atrocity </w:t>
      </w:r>
      <w:r w:rsidR="00E01D8D">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had propelled a national conversation about the institutional cultures that underpin and enable police perpetrators to abuse without consequence with public outpourings of anger and distress about police failings.</w:t>
      </w:r>
      <w:r w:rsidR="00E01D8D">
        <w:rPr>
          <w:rFonts w:ascii="Calibri" w:eastAsia="Calibri" w:hAnsi="Calibri" w:cs="Calibri"/>
          <w:kern w:val="2"/>
          <w:sz w:val="24"/>
          <w:szCs w:val="24"/>
          <w:lang w:val="en-GB"/>
          <w14:ligatures w14:val="standardContextual"/>
        </w:rPr>
        <w:t>”</w:t>
      </w:r>
    </w:p>
    <w:p w14:paraId="0911BA3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82291F3"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Such negative perceptions may lead to reluctance or even resistance from the public during response situations. This resistance can complicate police efforts, impeding the ability to manage and resolve incidents efficiently. It underscores the importance of fostering positive public perceptions to ensure a cooperative and collaborative response environment.  </w:t>
      </w:r>
    </w:p>
    <w:p w14:paraId="3145DE50"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06E5E08" w14:textId="44D1EBEB"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In conclusion, response policing is a critical facet of law enforcement where officers play a central role in protecting the public and managing incidents. Public perception emerges as a core factor in shaping policing strategies, impacting trust, </w:t>
      </w:r>
      <w:proofErr w:type="gramStart"/>
      <w:r w:rsidRPr="00997785">
        <w:rPr>
          <w:rFonts w:ascii="Calibri" w:eastAsia="Calibri" w:hAnsi="Calibri" w:cs="Calibri"/>
          <w:kern w:val="2"/>
          <w:sz w:val="24"/>
          <w:szCs w:val="24"/>
          <w:lang w:val="en-GB"/>
          <w14:ligatures w14:val="standardContextual"/>
        </w:rPr>
        <w:t>cooperation</w:t>
      </w:r>
      <w:proofErr w:type="gramEnd"/>
      <w:r w:rsidRPr="00997785">
        <w:rPr>
          <w:rFonts w:ascii="Calibri" w:eastAsia="Calibri" w:hAnsi="Calibri" w:cs="Calibri"/>
          <w:kern w:val="2"/>
          <w:sz w:val="24"/>
          <w:szCs w:val="24"/>
          <w:lang w:val="en-GB"/>
          <w14:ligatures w14:val="standardContextual"/>
        </w:rPr>
        <w:t xml:space="preserve"> and overall engagement. Sir Robert Peel’s assertion that </w:t>
      </w:r>
      <w:r w:rsidR="0098148A">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 xml:space="preserve">The Police Are </w:t>
      </w:r>
      <w:proofErr w:type="gramStart"/>
      <w:r w:rsidRPr="00997785">
        <w:rPr>
          <w:rFonts w:ascii="Calibri" w:eastAsia="Calibri" w:hAnsi="Calibri" w:cs="Calibri"/>
          <w:kern w:val="2"/>
          <w:sz w:val="24"/>
          <w:szCs w:val="24"/>
          <w:lang w:val="en-GB"/>
          <w14:ligatures w14:val="standardContextual"/>
        </w:rPr>
        <w:t>The</w:t>
      </w:r>
      <w:proofErr w:type="gramEnd"/>
      <w:r w:rsidRPr="00997785">
        <w:rPr>
          <w:rFonts w:ascii="Calibri" w:eastAsia="Calibri" w:hAnsi="Calibri" w:cs="Calibri"/>
          <w:kern w:val="2"/>
          <w:sz w:val="24"/>
          <w:szCs w:val="24"/>
          <w:lang w:val="en-GB"/>
          <w14:ligatures w14:val="standardContextual"/>
        </w:rPr>
        <w:t xml:space="preserve"> Public, The Public Are The Police</w:t>
      </w:r>
      <w:r w:rsidR="0098148A">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 xml:space="preserve"> encapsulates the symbiotic relationship between police and the community. Tyler’s insights into procedural justice highlight the significance of fairness, impartiality, </w:t>
      </w:r>
      <w:proofErr w:type="gramStart"/>
      <w:r w:rsidRPr="00997785">
        <w:rPr>
          <w:rFonts w:ascii="Calibri" w:eastAsia="Calibri" w:hAnsi="Calibri" w:cs="Calibri"/>
          <w:kern w:val="2"/>
          <w:sz w:val="24"/>
          <w:szCs w:val="24"/>
          <w:lang w:val="en-GB"/>
          <w14:ligatures w14:val="standardContextual"/>
        </w:rPr>
        <w:t>voice</w:t>
      </w:r>
      <w:proofErr w:type="gramEnd"/>
      <w:r w:rsidRPr="00997785">
        <w:rPr>
          <w:rFonts w:ascii="Calibri" w:eastAsia="Calibri" w:hAnsi="Calibri" w:cs="Calibri"/>
          <w:kern w:val="2"/>
          <w:sz w:val="24"/>
          <w:szCs w:val="24"/>
          <w:lang w:val="en-GB"/>
          <w14:ligatures w14:val="standardContextual"/>
        </w:rPr>
        <w:t xml:space="preserve"> and trustworthiness in shaping positive perceptions. </w:t>
      </w:r>
    </w:p>
    <w:p w14:paraId="051A30E0"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8D1BE4A" w14:textId="77777777" w:rsid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lastRenderedPageBreak/>
        <w:t xml:space="preserve">The research by </w:t>
      </w:r>
      <w:proofErr w:type="spellStart"/>
      <w:r w:rsidRPr="00997785">
        <w:rPr>
          <w:rFonts w:ascii="Calibri" w:eastAsia="Calibri" w:hAnsi="Calibri" w:cs="Calibri"/>
          <w:kern w:val="2"/>
          <w:sz w:val="24"/>
          <w:szCs w:val="24"/>
          <w:lang w:val="en-GB"/>
          <w14:ligatures w14:val="standardContextual"/>
        </w:rPr>
        <w:t>POSTnote</w:t>
      </w:r>
      <w:proofErr w:type="spellEnd"/>
      <w:r w:rsidRPr="00997785">
        <w:rPr>
          <w:rFonts w:ascii="Calibri" w:eastAsia="Calibri" w:hAnsi="Calibri" w:cs="Calibri"/>
          <w:kern w:val="2"/>
          <w:sz w:val="24"/>
          <w:szCs w:val="24"/>
          <w:lang w:val="en-GB"/>
          <w14:ligatures w14:val="standardContextual"/>
        </w:rPr>
        <w:t xml:space="preserve"> underscores the paramount importance of fairness in influencing public </w:t>
      </w:r>
      <w:proofErr w:type="spellStart"/>
      <w:r w:rsidRPr="00997785">
        <w:rPr>
          <w:rFonts w:ascii="Calibri" w:eastAsia="Calibri" w:hAnsi="Calibri" w:cs="Calibri"/>
          <w:kern w:val="2"/>
          <w:sz w:val="24"/>
          <w:szCs w:val="24"/>
          <w:lang w:val="en-GB"/>
          <w14:ligatures w14:val="standardContextual"/>
        </w:rPr>
        <w:t>trustc</w:t>
      </w:r>
      <w:proofErr w:type="spellEnd"/>
      <w:r w:rsidRPr="00997785">
        <w:rPr>
          <w:rFonts w:ascii="Calibri" w:eastAsia="Calibri" w:hAnsi="Calibri" w:cs="Calibri"/>
          <w:kern w:val="2"/>
          <w:sz w:val="24"/>
          <w:szCs w:val="24"/>
          <w:lang w:val="en-GB"/>
          <w14:ligatures w14:val="standardContextual"/>
        </w:rPr>
        <w:t xml:space="preserve">, outweighing the impact of effectiveness in crime handling. Negative public perceptions, often exacerbated by media coverage, can have profound consequences, as seen in the aftermath of </w:t>
      </w:r>
      <w:proofErr w:type="gramStart"/>
      <w:r w:rsidRPr="00997785">
        <w:rPr>
          <w:rFonts w:ascii="Calibri" w:eastAsia="Calibri" w:hAnsi="Calibri" w:cs="Calibri"/>
          <w:kern w:val="2"/>
          <w:sz w:val="24"/>
          <w:szCs w:val="24"/>
          <w:lang w:val="en-GB"/>
          <w14:ligatures w14:val="standardContextual"/>
        </w:rPr>
        <w:t>high profile</w:t>
      </w:r>
      <w:proofErr w:type="gramEnd"/>
      <w:r w:rsidRPr="00997785">
        <w:rPr>
          <w:rFonts w:ascii="Calibri" w:eastAsia="Calibri" w:hAnsi="Calibri" w:cs="Calibri"/>
          <w:kern w:val="2"/>
          <w:sz w:val="24"/>
          <w:szCs w:val="24"/>
          <w:lang w:val="en-GB"/>
          <w14:ligatures w14:val="standardContextual"/>
        </w:rPr>
        <w:t xml:space="preserve"> incidents like the tragic case of Sarah Everard. Such negativity can hinder police efforts during response situations, emphasising the imperative to foster positive perceptions for effective collaboration in maintaining public safety. Ultimately fostering procedural justice and building transparent, respectful relationships between law enforcement and the community stand as key elements in fortifying public trust and ensuring successful response policing. </w:t>
      </w:r>
    </w:p>
    <w:p w14:paraId="18556831"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F02B7FF" w14:textId="308F6A3D" w:rsidR="007201FD" w:rsidRPr="00997785"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Pr>
          <w:rFonts w:ascii="Calibri" w:eastAsia="Calibri" w:hAnsi="Calibri" w:cs="Calibri"/>
          <w:kern w:val="2"/>
          <w:sz w:val="24"/>
          <w:szCs w:val="24"/>
          <w:lang w:val="en-GB"/>
          <w14:ligatures w14:val="standardContextual"/>
        </w:rPr>
        <w:t>(Word count: 966)</w:t>
      </w:r>
    </w:p>
    <w:p w14:paraId="017E1094"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C38FAC5"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0F91588"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EBBE48F"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93C4035"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777E746"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DF06734"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AB442FC"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07A7239"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47CC2C9"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14956D6"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59523F6"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5917481"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8E60FD4" w14:textId="77777777" w:rsidR="007201FD" w:rsidRDefault="007201FD" w:rsidP="00997785">
      <w:pPr>
        <w:widowControl/>
        <w:adjustRightInd w:val="0"/>
        <w:spacing w:line="360" w:lineRule="auto"/>
        <w:rPr>
          <w:rFonts w:ascii="Calibri" w:eastAsia="Calibri" w:hAnsi="Calibri" w:cs="Calibri"/>
          <w:kern w:val="2"/>
          <w:sz w:val="24"/>
          <w:szCs w:val="24"/>
          <w:lang w:val="en-GB"/>
          <w14:ligatures w14:val="standardContextual"/>
        </w:rPr>
      </w:pPr>
    </w:p>
    <w:p w14:paraId="3CD73AE9" w14:textId="77777777" w:rsidR="007201FD" w:rsidRDefault="007201FD" w:rsidP="00997785">
      <w:pPr>
        <w:widowControl/>
        <w:adjustRightInd w:val="0"/>
        <w:spacing w:line="360" w:lineRule="auto"/>
        <w:rPr>
          <w:rFonts w:ascii="Calibri" w:eastAsia="Calibri" w:hAnsi="Calibri" w:cs="Calibri"/>
          <w:kern w:val="2"/>
          <w:sz w:val="24"/>
          <w:szCs w:val="24"/>
          <w:lang w:val="en-GB"/>
          <w14:ligatures w14:val="standardContextual"/>
        </w:rPr>
      </w:pPr>
    </w:p>
    <w:p w14:paraId="595DCE67" w14:textId="1CF9F921" w:rsidR="00997785" w:rsidRPr="00997785" w:rsidRDefault="00997785" w:rsidP="00997785">
      <w:pPr>
        <w:widowControl/>
        <w:adjustRightInd w:val="0"/>
        <w:spacing w:line="360" w:lineRule="auto"/>
        <w:rPr>
          <w:rFonts w:eastAsia="Calibri"/>
          <w:b/>
          <w:bCs/>
          <w:color w:val="000000"/>
          <w:sz w:val="24"/>
          <w:szCs w:val="24"/>
          <w:lang w:val="en-GB"/>
          <w14:ligatures w14:val="standardContextual"/>
        </w:rPr>
      </w:pPr>
      <w:r w:rsidRPr="00997785">
        <w:rPr>
          <w:rFonts w:eastAsia="Calibri"/>
          <w:b/>
          <w:bCs/>
          <w:color w:val="000000"/>
          <w:sz w:val="24"/>
          <w:szCs w:val="24"/>
          <w:lang w:val="en-GB"/>
          <w14:ligatures w14:val="standardContextual"/>
        </w:rPr>
        <w:lastRenderedPageBreak/>
        <w:t xml:space="preserve">Essay three: </w:t>
      </w:r>
    </w:p>
    <w:p w14:paraId="7EC42300" w14:textId="77777777" w:rsidR="00997785" w:rsidRPr="00997785" w:rsidRDefault="00997785" w:rsidP="00997785">
      <w:pPr>
        <w:widowControl/>
        <w:adjustRightInd w:val="0"/>
        <w:spacing w:line="360" w:lineRule="auto"/>
        <w:rPr>
          <w:rFonts w:ascii="Calibri" w:eastAsia="Calibri" w:hAnsi="Calibri" w:cs="Calibri"/>
          <w:color w:val="000000"/>
          <w:sz w:val="24"/>
          <w:szCs w:val="24"/>
          <w:lang w:val="en-GB"/>
          <w14:ligatures w14:val="standardContextual"/>
        </w:rPr>
      </w:pPr>
      <w:r w:rsidRPr="00997785">
        <w:rPr>
          <w:rFonts w:ascii="Calibri" w:eastAsia="Calibri" w:hAnsi="Calibri" w:cs="Calibri"/>
          <w:color w:val="000000"/>
          <w:sz w:val="24"/>
          <w:szCs w:val="24"/>
          <w:lang w:val="en-GB"/>
          <w14:ligatures w14:val="standardContextual"/>
        </w:rPr>
        <w:t xml:space="preserve">Evaluate the effectiveness of cognitive interviews as a strategy for obtaining initial accounts from victims and witnesses. </w:t>
      </w:r>
    </w:p>
    <w:p w14:paraId="457FC091" w14:textId="77777777" w:rsidR="00997785" w:rsidRPr="00997785" w:rsidRDefault="00997785" w:rsidP="00997785">
      <w:pPr>
        <w:widowControl/>
        <w:adjustRightInd w:val="0"/>
        <w:spacing w:line="360" w:lineRule="auto"/>
        <w:rPr>
          <w:rFonts w:ascii="Calibri" w:eastAsia="Calibri" w:hAnsi="Calibri" w:cs="Calibri"/>
          <w:color w:val="000000"/>
          <w:sz w:val="24"/>
          <w:szCs w:val="24"/>
          <w:lang w:val="en-GB"/>
          <w14:ligatures w14:val="standardContextual"/>
        </w:rPr>
      </w:pPr>
      <w:r w:rsidRPr="00997785">
        <w:rPr>
          <w:rFonts w:ascii="Calibri" w:eastAsia="Calibri" w:hAnsi="Calibri" w:cs="Calibri"/>
          <w:color w:val="000000"/>
          <w:sz w:val="24"/>
          <w:szCs w:val="24"/>
          <w:lang w:val="en-GB"/>
          <w14:ligatures w14:val="standardContextual"/>
        </w:rPr>
        <w:t xml:space="preserve">Your answer must be based on academic research. </w:t>
      </w:r>
    </w:p>
    <w:p w14:paraId="510B6765" w14:textId="77777777" w:rsidR="00997785" w:rsidRPr="00997785" w:rsidRDefault="00997785" w:rsidP="00997785">
      <w:pPr>
        <w:widowControl/>
        <w:adjustRightInd w:val="0"/>
        <w:spacing w:line="360" w:lineRule="auto"/>
        <w:rPr>
          <w:rFonts w:ascii="Calibri" w:eastAsia="Calibri" w:hAnsi="Calibri" w:cs="Calibri"/>
          <w:color w:val="000000"/>
          <w:sz w:val="24"/>
          <w:szCs w:val="24"/>
          <w:lang w:val="en-GB"/>
          <w14:ligatures w14:val="standardContextual"/>
        </w:rPr>
      </w:pPr>
      <w:r w:rsidRPr="00997785">
        <w:rPr>
          <w:rFonts w:ascii="Calibri" w:eastAsia="Calibri" w:hAnsi="Calibri" w:cs="Calibri"/>
          <w:b/>
          <w:bCs/>
          <w:color w:val="000000"/>
          <w:sz w:val="24"/>
          <w:szCs w:val="24"/>
          <w:lang w:val="en-GB"/>
          <w14:ligatures w14:val="standardContextual"/>
        </w:rPr>
        <w:t xml:space="preserve">Word limit: </w:t>
      </w:r>
      <w:r w:rsidRPr="00997785">
        <w:rPr>
          <w:rFonts w:ascii="Calibri" w:eastAsia="Calibri" w:hAnsi="Calibri" w:cs="Calibri"/>
          <w:color w:val="000000"/>
          <w:sz w:val="24"/>
          <w:szCs w:val="24"/>
          <w:lang w:val="en-GB"/>
          <w14:ligatures w14:val="standardContextual"/>
        </w:rPr>
        <w:t>1000 words.</w:t>
      </w:r>
    </w:p>
    <w:p w14:paraId="3D8A7D09"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4EB98F7"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D57F546"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The Cognitive Interview, developed 25 years ago by psychologists Ed Geiselman and Ron Fisher, stands out as a significant advancement in psychology and law research. This method employs memory retrieval and communication techniques to enhance the information gathered from interviewees, addressing the need for improved witness interviews in response to requests from police officers and legal professionals. Grounded in established psychological principles, empirical laboratory research confirms the cognitive interviews effectiveness in significantly increasing the accuracy of details obtained, with only a minor increase in incorrect details (A. Memon, C.A Meissner &amp; J Fraser, 2010). </w:t>
      </w:r>
    </w:p>
    <w:p w14:paraId="12696B74"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14BFFA1"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Engaging with witnesses in the early stages of an investigation can reveal extensive details about the immediate events they observed. However, it’s crucial to consider both the timing and the method used to collect the evidence. In the initial phases, investigators gather initial accounts, crucial for understanding witnesses’ initial comments and observations. These accounts may serve as vital evidence, especially in cases where witness testimony is later introduced as hearsay evidence, subject to specific conditions outlined in the Criminal Justice Act 2003. These initial accounts may undergo further exploration in later, more detailed, and formal investigation stages (I. Stainton, R, Ewin, 2022).  </w:t>
      </w:r>
    </w:p>
    <w:p w14:paraId="0B9AB010"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86110E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There are various models of the cognitive interviewing process also known as the question answering process, although differing in specific details, generally agree on several steps respondents undergo when responding to questions. These steps </w:t>
      </w:r>
      <w:proofErr w:type="gramStart"/>
      <w:r w:rsidRPr="00997785">
        <w:rPr>
          <w:rFonts w:ascii="Calibri" w:eastAsia="Calibri" w:hAnsi="Calibri" w:cs="Calibri"/>
          <w:kern w:val="2"/>
          <w:sz w:val="24"/>
          <w:szCs w:val="24"/>
          <w:lang w:val="en-GB"/>
          <w14:ligatures w14:val="standardContextual"/>
        </w:rPr>
        <w:t>include;</w:t>
      </w:r>
      <w:proofErr w:type="gramEnd"/>
      <w:r w:rsidRPr="00997785">
        <w:rPr>
          <w:rFonts w:ascii="Calibri" w:eastAsia="Calibri" w:hAnsi="Calibri" w:cs="Calibri"/>
          <w:kern w:val="2"/>
          <w:sz w:val="24"/>
          <w:szCs w:val="24"/>
          <w:lang w:val="en-GB"/>
          <w14:ligatures w14:val="standardContextual"/>
        </w:rPr>
        <w:t xml:space="preserve"> Comprehension, understanding the questions meaning. Retrieval, retrieving pertinent information. </w:t>
      </w:r>
      <w:r w:rsidRPr="00997785">
        <w:rPr>
          <w:rFonts w:ascii="Calibri" w:eastAsia="Calibri" w:hAnsi="Calibri" w:cs="Calibri"/>
          <w:kern w:val="2"/>
          <w:sz w:val="24"/>
          <w:szCs w:val="24"/>
          <w:lang w:val="en-GB"/>
          <w14:ligatures w14:val="standardContextual"/>
        </w:rPr>
        <w:lastRenderedPageBreak/>
        <w:t xml:space="preserve">Judgement, formulating a response. Response, refining and adjusting the answer to meet both interviewer requirements and the </w:t>
      </w:r>
      <w:proofErr w:type="gramStart"/>
      <w:r w:rsidRPr="00997785">
        <w:rPr>
          <w:rFonts w:ascii="Calibri" w:eastAsia="Calibri" w:hAnsi="Calibri" w:cs="Calibri"/>
          <w:kern w:val="2"/>
          <w:sz w:val="24"/>
          <w:szCs w:val="24"/>
          <w:lang w:val="en-GB"/>
          <w14:ligatures w14:val="standardContextual"/>
        </w:rPr>
        <w:t>respondents</w:t>
      </w:r>
      <w:proofErr w:type="gramEnd"/>
      <w:r w:rsidRPr="00997785">
        <w:rPr>
          <w:rFonts w:ascii="Calibri" w:eastAsia="Calibri" w:hAnsi="Calibri" w:cs="Calibri"/>
          <w:kern w:val="2"/>
          <w:sz w:val="24"/>
          <w:szCs w:val="24"/>
          <w:lang w:val="en-GB"/>
          <w14:ligatures w14:val="standardContextual"/>
        </w:rPr>
        <w:t xml:space="preserve"> self-presentation (Bradburn, 2004).   </w:t>
      </w:r>
    </w:p>
    <w:p w14:paraId="4ED3605D"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E24AAD3"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The comprehension stage in cognitive interviews is a crucial component that involves the interviewee understanding the meaning of the questions posed. The initial phase aims to establish a clear and accurate interpretation of the questions to facilitate the subsequent retrieval and articulation of relevant information. Fisher and Geiselman (1992), emphasise the significance of the comprehension stage. According to their model, effective communication between the interviewer and the interviewee is essential for successful information retrieval. The interviewee needs to comprehend the questions accurately to provide detailed and reliable responses. In this stage, interviewers are encouraged to use open ended and non-leading questions to promote a thorough understanding of the events in question. The idea is to avoid imposing specific details or biases on the interviewee during the initial comprehension, allowing for a more authentic recall of information.  </w:t>
      </w:r>
    </w:p>
    <w:p w14:paraId="7FBA2EB9"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49F79C0"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The retrieval stage in cognitive interviews focuses on helping the interviewee access and recall relevant information from their memory. This stage aims to maximise the accuracy and completeness of the information provided during the interview. Fisher and Geiselman (1992), draw attention to the employment of specific memory enhancing techniques during the retrieval stage. Techniques included here include mentally reinstating the context of the event, encouraging the interviewee to report everything they remember, recalling the incident from multiple perspectives and using open ended prompts to stimulate memory. During the retrieval stage the interviewer creates a supportive environment that aids the interviewee in accessing memories without introducing distortions or biases. This approach helps enhance the completeness and accuracy of the information provided during the interview.  </w:t>
      </w:r>
    </w:p>
    <w:p w14:paraId="150E8F0C"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A928018" w14:textId="0A2A7E5F"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The judgement stage focuses on several cognitive tasks that interviewees undertake to process and formulate their answers. This includes evaluating the importance and </w:t>
      </w:r>
      <w:r w:rsidRPr="00997785">
        <w:rPr>
          <w:rFonts w:ascii="Calibri" w:eastAsia="Calibri" w:hAnsi="Calibri" w:cs="Calibri"/>
          <w:kern w:val="2"/>
          <w:sz w:val="24"/>
          <w:szCs w:val="24"/>
          <w:lang w:val="en-GB"/>
          <w14:ligatures w14:val="standardContextual"/>
        </w:rPr>
        <w:lastRenderedPageBreak/>
        <w:t xml:space="preserve">completeness of the recalled information, making inferences about potential gaps in long term memory retrieval, synthesising the retrieved information to construct an answer, and estimating and compensating for any missing details. The primary emphasis is on the interviewees ability to effectively assess and interpret the relevant information to provide a thoughtful and accurate response (K. Ryan, N. Gannon-Slater, M. </w:t>
      </w:r>
      <w:proofErr w:type="spellStart"/>
      <w:r w:rsidRPr="00997785">
        <w:rPr>
          <w:rFonts w:ascii="Calibri" w:eastAsia="Calibri" w:hAnsi="Calibri" w:cs="Calibri"/>
          <w:kern w:val="2"/>
          <w:sz w:val="24"/>
          <w:szCs w:val="24"/>
          <w:lang w:val="en-GB"/>
          <w14:ligatures w14:val="standardContextual"/>
        </w:rPr>
        <w:t>Culberstone</w:t>
      </w:r>
      <w:proofErr w:type="spellEnd"/>
      <w:r w:rsidRPr="00997785">
        <w:rPr>
          <w:rFonts w:ascii="Calibri" w:eastAsia="Calibri" w:hAnsi="Calibri" w:cs="Calibri"/>
          <w:kern w:val="2"/>
          <w:sz w:val="24"/>
          <w:szCs w:val="24"/>
          <w:lang w:val="en-GB"/>
          <w14:ligatures w14:val="standardContextual"/>
        </w:rPr>
        <w:t xml:space="preserve">, 2012). </w:t>
      </w:r>
    </w:p>
    <w:p w14:paraId="11491687"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BF1EB8C" w14:textId="0ABAF02F"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Once interviewees make their judgement and communicate it then this is the response stage. An important aspect is fitting their response into the provided format. Individuals may review their answer to ensure consistency with their other responses. For </w:t>
      </w:r>
      <w:proofErr w:type="gramStart"/>
      <w:r w:rsidRPr="00997785">
        <w:rPr>
          <w:rFonts w:ascii="Calibri" w:eastAsia="Calibri" w:hAnsi="Calibri" w:cs="Calibri"/>
          <w:kern w:val="2"/>
          <w:sz w:val="24"/>
          <w:szCs w:val="24"/>
          <w:lang w:val="en-GB"/>
          <w14:ligatures w14:val="standardContextual"/>
        </w:rPr>
        <w:t>example</w:t>
      </w:r>
      <w:proofErr w:type="gramEnd"/>
      <w:r w:rsidRPr="00997785">
        <w:rPr>
          <w:rFonts w:ascii="Calibri" w:eastAsia="Calibri" w:hAnsi="Calibri" w:cs="Calibri"/>
          <w:kern w:val="2"/>
          <w:sz w:val="24"/>
          <w:szCs w:val="24"/>
          <w:lang w:val="en-GB"/>
          <w14:ligatures w14:val="standardContextual"/>
        </w:rPr>
        <w:t xml:space="preserve"> an interviewee might present a behaviour or attitude that puts them in a more favourable light. Even though using open ended questions reduces this effect, social desirability bias is not </w:t>
      </w:r>
      <w:proofErr w:type="gramStart"/>
      <w:r w:rsidRPr="00997785">
        <w:rPr>
          <w:rFonts w:ascii="Calibri" w:eastAsia="Calibri" w:hAnsi="Calibri" w:cs="Calibri"/>
          <w:kern w:val="2"/>
          <w:sz w:val="24"/>
          <w:szCs w:val="24"/>
          <w:lang w:val="en-GB"/>
          <w14:ligatures w14:val="standardContextual"/>
        </w:rPr>
        <w:t>completely eliminated</w:t>
      </w:r>
      <w:proofErr w:type="gramEnd"/>
      <w:r w:rsidRPr="00997785">
        <w:rPr>
          <w:rFonts w:ascii="Calibri" w:eastAsia="Calibri" w:hAnsi="Calibri" w:cs="Calibri"/>
          <w:kern w:val="2"/>
          <w:sz w:val="24"/>
          <w:szCs w:val="24"/>
          <w:lang w:val="en-GB"/>
          <w14:ligatures w14:val="standardContextual"/>
        </w:rPr>
        <w:t xml:space="preserve"> (K. Ryan, N. Gannon-Slater, M. </w:t>
      </w:r>
      <w:proofErr w:type="spellStart"/>
      <w:r w:rsidRPr="00997785">
        <w:rPr>
          <w:rFonts w:ascii="Calibri" w:eastAsia="Calibri" w:hAnsi="Calibri" w:cs="Calibri"/>
          <w:kern w:val="2"/>
          <w:sz w:val="24"/>
          <w:szCs w:val="24"/>
          <w:lang w:val="en-GB"/>
          <w14:ligatures w14:val="standardContextual"/>
        </w:rPr>
        <w:t>Culberstone</w:t>
      </w:r>
      <w:proofErr w:type="spellEnd"/>
      <w:r w:rsidRPr="00997785">
        <w:rPr>
          <w:rFonts w:ascii="Calibri" w:eastAsia="Calibri" w:hAnsi="Calibri" w:cs="Calibri"/>
          <w:kern w:val="2"/>
          <w:sz w:val="24"/>
          <w:szCs w:val="24"/>
          <w:lang w:val="en-GB"/>
          <w14:ligatures w14:val="standardContextual"/>
        </w:rPr>
        <w:t xml:space="preserve">, 2012). Although open ended questions are designed to provide interviewer with a more accurate account, the interviewee can still be influenced by a desire to present themselves in a positive way. </w:t>
      </w:r>
    </w:p>
    <w:p w14:paraId="4AE61DAB"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90D11B8" w14:textId="67555622"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The Geiselman et al study in 1985 aimed to assess the effectiveness of the cognitive interview method in enhancing eyewitness memory recall. The study sought to compare its effectiveness against both the standard interview and hypnosis interview techniques. A total of 89 participants were shown a video depicting a violent crime. Approximately 48 hours later a law enforcement professional interviewed the participants using one of the three interview techniques (Psychology, no date). The results were </w:t>
      </w:r>
      <w:r w:rsidR="004B22CD">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the average number of correctly recalled facts for the cognitive interview was 41.2, for hypnosis it was 38.0 and for the standard interview it was 29.4</w:t>
      </w:r>
      <w:r w:rsidR="004B22CD">
        <w:rPr>
          <w:rFonts w:ascii="Calibri" w:eastAsia="Calibri" w:hAnsi="Calibri" w:cs="Calibri"/>
          <w:kern w:val="2"/>
          <w:sz w:val="24"/>
          <w:szCs w:val="24"/>
          <w:lang w:val="en-GB"/>
          <w14:ligatures w14:val="standardContextual"/>
        </w:rPr>
        <w:t>”</w:t>
      </w:r>
      <w:r w:rsidRPr="00997785">
        <w:rPr>
          <w:rFonts w:ascii="Calibri" w:eastAsia="Calibri" w:hAnsi="Calibri" w:cs="Calibri"/>
          <w:kern w:val="2"/>
          <w:sz w:val="24"/>
          <w:szCs w:val="24"/>
          <w:lang w:val="en-GB"/>
          <w14:ligatures w14:val="standardContextual"/>
        </w:rPr>
        <w:t xml:space="preserve"> (S. </w:t>
      </w:r>
      <w:proofErr w:type="spellStart"/>
      <w:r w:rsidRPr="00997785">
        <w:rPr>
          <w:rFonts w:ascii="Calibri" w:eastAsia="Calibri" w:hAnsi="Calibri" w:cs="Calibri"/>
          <w:kern w:val="2"/>
          <w:sz w:val="24"/>
          <w:szCs w:val="24"/>
          <w:lang w:val="en-GB"/>
          <w14:ligatures w14:val="standardContextual"/>
        </w:rPr>
        <w:t>Mcleod</w:t>
      </w:r>
      <w:proofErr w:type="spellEnd"/>
      <w:r w:rsidRPr="00997785">
        <w:rPr>
          <w:rFonts w:ascii="Calibri" w:eastAsia="Calibri" w:hAnsi="Calibri" w:cs="Calibri"/>
          <w:kern w:val="2"/>
          <w:sz w:val="24"/>
          <w:szCs w:val="24"/>
          <w:lang w:val="en-GB"/>
          <w14:ligatures w14:val="standardContextual"/>
        </w:rPr>
        <w:t xml:space="preserve">, 2023). </w:t>
      </w:r>
    </w:p>
    <w:p w14:paraId="056DAF91"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BF4FA8E" w14:textId="4674B0BF"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In conclusion, the cognitive interview represents a significant advancement in psychology and law research. This memory retrieval technique, grounded in established psychological principles has demonstrated its effectiveness in enhancing witness interviews by significantly increasing the accuracy of details obtained. The importance of engaging with witnesses in the early stages of an investigation as highlighted by Stainton and Ewin (2022), emphasises </w:t>
      </w:r>
      <w:r w:rsidRPr="00997785">
        <w:rPr>
          <w:rFonts w:ascii="Calibri" w:eastAsia="Calibri" w:hAnsi="Calibri" w:cs="Calibri"/>
          <w:kern w:val="2"/>
          <w:sz w:val="24"/>
          <w:szCs w:val="24"/>
          <w:lang w:val="en-GB"/>
          <w14:ligatures w14:val="standardContextual"/>
        </w:rPr>
        <w:lastRenderedPageBreak/>
        <w:t xml:space="preserve">the value of initial accounts, which can serve as crucial evidence, especially when introduced later as hearsay evidence. </w:t>
      </w:r>
    </w:p>
    <w:p w14:paraId="603D1238"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1F0D91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The cognitive interviewing process, encompassing comprehension, retrieval, </w:t>
      </w:r>
      <w:proofErr w:type="gramStart"/>
      <w:r w:rsidRPr="00997785">
        <w:rPr>
          <w:rFonts w:ascii="Calibri" w:eastAsia="Calibri" w:hAnsi="Calibri" w:cs="Calibri"/>
          <w:kern w:val="2"/>
          <w:sz w:val="24"/>
          <w:szCs w:val="24"/>
          <w:lang w:val="en-GB"/>
          <w14:ligatures w14:val="standardContextual"/>
        </w:rPr>
        <w:t>judgement</w:t>
      </w:r>
      <w:proofErr w:type="gramEnd"/>
      <w:r w:rsidRPr="00997785">
        <w:rPr>
          <w:rFonts w:ascii="Calibri" w:eastAsia="Calibri" w:hAnsi="Calibri" w:cs="Calibri"/>
          <w:kern w:val="2"/>
          <w:sz w:val="24"/>
          <w:szCs w:val="24"/>
          <w:lang w:val="en-GB"/>
          <w14:ligatures w14:val="standardContextual"/>
        </w:rPr>
        <w:t xml:space="preserve"> and response stages outlined by Bradburn (2004), underlines the complexity involved in respondents formulating answers to questions. The study by Geiselman et al in 1985 comparing the cognitive interview to standard and hypnosis interview techniques revealed its superiority in correctly recalling facts. </w:t>
      </w:r>
      <w:proofErr w:type="gramStart"/>
      <w:r w:rsidRPr="00997785">
        <w:rPr>
          <w:rFonts w:ascii="Calibri" w:eastAsia="Calibri" w:hAnsi="Calibri" w:cs="Calibri"/>
          <w:kern w:val="2"/>
          <w:sz w:val="24"/>
          <w:szCs w:val="24"/>
          <w:lang w:val="en-GB"/>
          <w14:ligatures w14:val="standardContextual"/>
        </w:rPr>
        <w:t>However</w:t>
      </w:r>
      <w:proofErr w:type="gramEnd"/>
      <w:r w:rsidRPr="00997785">
        <w:rPr>
          <w:rFonts w:ascii="Calibri" w:eastAsia="Calibri" w:hAnsi="Calibri" w:cs="Calibri"/>
          <w:kern w:val="2"/>
          <w:sz w:val="24"/>
          <w:szCs w:val="24"/>
          <w:lang w:val="en-GB"/>
          <w14:ligatures w14:val="standardContextual"/>
        </w:rPr>
        <w:t xml:space="preserve"> it is worth noting potential biases, such as social desirability even in open ended questioning formats as noted by Ryan, Gannon-Slater and </w:t>
      </w:r>
      <w:proofErr w:type="spellStart"/>
      <w:r w:rsidRPr="00997785">
        <w:rPr>
          <w:rFonts w:ascii="Calibri" w:eastAsia="Calibri" w:hAnsi="Calibri" w:cs="Calibri"/>
          <w:kern w:val="2"/>
          <w:sz w:val="24"/>
          <w:szCs w:val="24"/>
          <w:lang w:val="en-GB"/>
          <w14:ligatures w14:val="standardContextual"/>
        </w:rPr>
        <w:t>Culberstone</w:t>
      </w:r>
      <w:proofErr w:type="spellEnd"/>
      <w:r w:rsidRPr="00997785">
        <w:rPr>
          <w:rFonts w:ascii="Calibri" w:eastAsia="Calibri" w:hAnsi="Calibri" w:cs="Calibri"/>
          <w:kern w:val="2"/>
          <w:sz w:val="24"/>
          <w:szCs w:val="24"/>
          <w:lang w:val="en-GB"/>
          <w14:ligatures w14:val="standardContextual"/>
        </w:rPr>
        <w:t xml:space="preserve"> (2012). </w:t>
      </w:r>
    </w:p>
    <w:p w14:paraId="2FC62785"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FE6E810" w14:textId="77777777" w:rsid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In essence the cognitive interview remains a valuable tool, continually evolving and contributing to the improvement of investigative practices. Its impact on enhancing and minimising biases underscores its significance in the field. </w:t>
      </w:r>
    </w:p>
    <w:p w14:paraId="4C52A06A"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6CB047D" w14:textId="39C3C773" w:rsidR="007201FD" w:rsidRPr="00997785"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Pr>
          <w:rFonts w:ascii="Calibri" w:eastAsia="Calibri" w:hAnsi="Calibri" w:cs="Calibri"/>
          <w:kern w:val="2"/>
          <w:sz w:val="24"/>
          <w:szCs w:val="24"/>
          <w:lang w:val="en-GB"/>
          <w14:ligatures w14:val="standardContextual"/>
        </w:rPr>
        <w:t>(Word count: 1,00</w:t>
      </w:r>
      <w:r w:rsidR="00C266F0">
        <w:rPr>
          <w:rFonts w:ascii="Calibri" w:eastAsia="Calibri" w:hAnsi="Calibri" w:cs="Calibri"/>
          <w:kern w:val="2"/>
          <w:sz w:val="24"/>
          <w:szCs w:val="24"/>
          <w:lang w:val="en-GB"/>
          <w14:ligatures w14:val="standardContextual"/>
        </w:rPr>
        <w:t>1</w:t>
      </w:r>
      <w:r>
        <w:rPr>
          <w:rFonts w:ascii="Calibri" w:eastAsia="Calibri" w:hAnsi="Calibri" w:cs="Calibri"/>
          <w:kern w:val="2"/>
          <w:sz w:val="24"/>
          <w:szCs w:val="24"/>
          <w:lang w:val="en-GB"/>
          <w14:ligatures w14:val="standardContextual"/>
        </w:rPr>
        <w:t>)</w:t>
      </w:r>
    </w:p>
    <w:p w14:paraId="3861AA58"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5D0C777"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580DD60"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1B9DA1C"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1F1582A"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2CFFDA1"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041D013"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7D8376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CD33839"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D548549" w14:textId="77777777" w:rsidR="0048136C" w:rsidRDefault="0048136C" w:rsidP="00997785">
      <w:pPr>
        <w:widowControl/>
        <w:adjustRightInd w:val="0"/>
        <w:spacing w:line="360" w:lineRule="auto"/>
        <w:rPr>
          <w:rFonts w:ascii="Calibri" w:eastAsia="Calibri" w:hAnsi="Calibri" w:cs="Calibri"/>
          <w:kern w:val="2"/>
          <w:sz w:val="24"/>
          <w:szCs w:val="24"/>
          <w:lang w:val="en-GB"/>
          <w14:ligatures w14:val="standardContextual"/>
        </w:rPr>
      </w:pPr>
    </w:p>
    <w:p w14:paraId="3F3784D7" w14:textId="4979B654" w:rsidR="00997785" w:rsidRPr="00997785" w:rsidRDefault="00997785" w:rsidP="00997785">
      <w:pPr>
        <w:widowControl/>
        <w:adjustRightInd w:val="0"/>
        <w:spacing w:line="360" w:lineRule="auto"/>
        <w:rPr>
          <w:rFonts w:eastAsia="Calibri"/>
          <w:b/>
          <w:bCs/>
          <w:color w:val="000000"/>
          <w:sz w:val="24"/>
          <w:szCs w:val="24"/>
          <w:lang w:val="en-GB"/>
          <w14:ligatures w14:val="standardContextual"/>
        </w:rPr>
      </w:pPr>
      <w:r w:rsidRPr="00997785">
        <w:rPr>
          <w:rFonts w:eastAsia="Calibri"/>
          <w:b/>
          <w:bCs/>
          <w:color w:val="000000"/>
          <w:sz w:val="24"/>
          <w:szCs w:val="24"/>
          <w:lang w:val="en-GB"/>
          <w14:ligatures w14:val="standardContextual"/>
        </w:rPr>
        <w:lastRenderedPageBreak/>
        <w:t xml:space="preserve">Essay four: </w:t>
      </w:r>
    </w:p>
    <w:p w14:paraId="4FEFFBE7"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Examine the positive and negative aspects of media attention when dealing with public protection incidents. Your answer must be based on academic research rather than personal experience.</w:t>
      </w:r>
    </w:p>
    <w:p w14:paraId="449FB7EA"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b/>
          <w:bCs/>
          <w:kern w:val="2"/>
          <w:sz w:val="24"/>
          <w:szCs w:val="24"/>
          <w:lang w:val="en-GB"/>
          <w14:ligatures w14:val="standardContextual"/>
        </w:rPr>
        <w:t>Word limit</w:t>
      </w:r>
      <w:r w:rsidRPr="00997785">
        <w:rPr>
          <w:rFonts w:ascii="Calibri" w:eastAsia="Calibri" w:hAnsi="Calibri" w:cs="Calibri"/>
          <w:kern w:val="2"/>
          <w:sz w:val="24"/>
          <w:szCs w:val="24"/>
          <w:lang w:val="en-GB"/>
          <w14:ligatures w14:val="standardContextual"/>
        </w:rPr>
        <w:t>: 1000 words.</w:t>
      </w:r>
    </w:p>
    <w:p w14:paraId="3E5F7489"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F066E27"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4BCCBD2"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Public protection incidents are situations or events that pose a threat to the safety, </w:t>
      </w:r>
      <w:proofErr w:type="spellStart"/>
      <w:r w:rsidRPr="00997785">
        <w:rPr>
          <w:rFonts w:ascii="Calibri" w:eastAsia="Calibri" w:hAnsi="Calibri" w:cs="Calibri"/>
          <w:kern w:val="2"/>
          <w:sz w:val="24"/>
          <w:szCs w:val="24"/>
          <w:lang w:val="en-GB"/>
          <w14:ligatures w14:val="standardContextual"/>
        </w:rPr>
        <w:t>well being</w:t>
      </w:r>
      <w:proofErr w:type="spellEnd"/>
      <w:r w:rsidRPr="00997785">
        <w:rPr>
          <w:rFonts w:ascii="Calibri" w:eastAsia="Calibri" w:hAnsi="Calibri" w:cs="Calibri"/>
          <w:kern w:val="2"/>
          <w:sz w:val="24"/>
          <w:szCs w:val="24"/>
          <w:lang w:val="en-GB"/>
          <w14:ligatures w14:val="standardContextual"/>
        </w:rPr>
        <w:t xml:space="preserve"> or security of the </w:t>
      </w:r>
      <w:proofErr w:type="gramStart"/>
      <w:r w:rsidRPr="00997785">
        <w:rPr>
          <w:rFonts w:ascii="Calibri" w:eastAsia="Calibri" w:hAnsi="Calibri" w:cs="Calibri"/>
          <w:kern w:val="2"/>
          <w:sz w:val="24"/>
          <w:szCs w:val="24"/>
          <w:lang w:val="en-GB"/>
          <w14:ligatures w14:val="standardContextual"/>
        </w:rPr>
        <w:t>general public</w:t>
      </w:r>
      <w:proofErr w:type="gramEnd"/>
      <w:r w:rsidRPr="00997785">
        <w:rPr>
          <w:rFonts w:ascii="Calibri" w:eastAsia="Calibri" w:hAnsi="Calibri" w:cs="Calibri"/>
          <w:kern w:val="2"/>
          <w:sz w:val="24"/>
          <w:szCs w:val="24"/>
          <w:lang w:val="en-GB"/>
          <w14:ligatures w14:val="standardContextual"/>
        </w:rPr>
        <w:t xml:space="preserve">. These incidents can range from criminal activities, natural </w:t>
      </w:r>
      <w:proofErr w:type="gramStart"/>
      <w:r w:rsidRPr="00997785">
        <w:rPr>
          <w:rFonts w:ascii="Calibri" w:eastAsia="Calibri" w:hAnsi="Calibri" w:cs="Calibri"/>
          <w:kern w:val="2"/>
          <w:sz w:val="24"/>
          <w:szCs w:val="24"/>
          <w:lang w:val="en-GB"/>
          <w14:ligatures w14:val="standardContextual"/>
        </w:rPr>
        <w:t>disasters</w:t>
      </w:r>
      <w:proofErr w:type="gramEnd"/>
      <w:r w:rsidRPr="00997785">
        <w:rPr>
          <w:rFonts w:ascii="Calibri" w:eastAsia="Calibri" w:hAnsi="Calibri" w:cs="Calibri"/>
          <w:kern w:val="2"/>
          <w:sz w:val="24"/>
          <w:szCs w:val="24"/>
          <w:lang w:val="en-GB"/>
          <w14:ligatures w14:val="standardContextual"/>
        </w:rPr>
        <w:t xml:space="preserve"> or public health crises. Police play a crucial role in managing and responding to such incidents to ensure the safety and protection of the public. The Police Superintendents’ Association say that police roles overseeing public protection and safeguarding are extremely challenging. The positions involve handling significant levels of vulnerability and risk, often concealed from the public eye. Senior leaders in this field depend on collaborative efforts across multiple agencies to effectively fulfil their responsibilities. Public protection encompasses tasks related to missing persons, hate crime, domestic abuse, requiring engagement with vulnerable victims and witnesses as well as individuals who may pose potential threats. </w:t>
      </w:r>
    </w:p>
    <w:p w14:paraId="39E428A8"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0F8880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A productive collaboration between police and the media is crucial. Partnering with the media for public communication not only aids in solving crimes, apprehending offenders, and ensuring community safety but also provides the public with a better understanding of police actions and their rationale. The dynamics of media police interaction are evolving rapidly due to emerging technologies, new types of crimes and evolving threats. While this collaboration is generally positive and conducted professionally, there are instances where decisions made may face challenges and scrutiny (College of Policing, 2022). It’s important to acknowledge the potential negative impacts such as the spread of misinformation, and the impact on ongoing investigations. Striking a balance between transparency and </w:t>
      </w:r>
      <w:r w:rsidRPr="00997785">
        <w:rPr>
          <w:rFonts w:ascii="Calibri" w:eastAsia="Calibri" w:hAnsi="Calibri" w:cs="Calibri"/>
          <w:kern w:val="2"/>
          <w:sz w:val="24"/>
          <w:szCs w:val="24"/>
          <w:lang w:val="en-GB"/>
          <w14:ligatures w14:val="standardContextual"/>
        </w:rPr>
        <w:lastRenderedPageBreak/>
        <w:t xml:space="preserve">safeguarding investigations is crucial for maintaining public trust and ensuring effective policing communication.  </w:t>
      </w:r>
    </w:p>
    <w:p w14:paraId="59883E73"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AD0B8EA"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As of </w:t>
      </w:r>
      <w:proofErr w:type="gramStart"/>
      <w:r w:rsidRPr="00997785">
        <w:rPr>
          <w:rFonts w:ascii="Calibri" w:eastAsia="Calibri" w:hAnsi="Calibri" w:cs="Calibri"/>
          <w:kern w:val="2"/>
          <w:sz w:val="24"/>
          <w:szCs w:val="24"/>
          <w:lang w:val="en-GB"/>
          <w14:ligatures w14:val="standardContextual"/>
        </w:rPr>
        <w:t>January 2023</w:t>
      </w:r>
      <w:proofErr w:type="gramEnd"/>
      <w:r w:rsidRPr="00997785">
        <w:rPr>
          <w:rFonts w:ascii="Calibri" w:eastAsia="Calibri" w:hAnsi="Calibri" w:cs="Calibri"/>
          <w:kern w:val="2"/>
          <w:sz w:val="24"/>
          <w:szCs w:val="24"/>
          <w:lang w:val="en-GB"/>
          <w14:ligatures w14:val="standardContextual"/>
        </w:rPr>
        <w:t xml:space="preserve"> the UK was home to over 57 million active social media users, which equated to a media penetration rate of over 84% of the UK population (S.J Dixon, 2023). Social media gives police a means of connecting with a large proportion of the public. In a consent-based policing framework, active engagement plays a pivotal role in establishing public trust and confidence. Social media facilitates enhanced engagement enabling the police to cultivate relationships, gather information and acquire intelligence. Through social media, the police gain a fresh avenue for disseminating information to the public, surpassing traditional methods like distributing leaflets or relying solely on conventional news media. Posts on platforms such as Facebook, Twitter can deliver safety advice, prompt community vigilance regarding criminal activities and provide guidance on how to stay safe (Police foundation, 2014).</w:t>
      </w:r>
    </w:p>
    <w:p w14:paraId="1452C6F9"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6A7E964"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When police have exhausted lines of enquiry when searching for a missing </w:t>
      </w:r>
      <w:proofErr w:type="gramStart"/>
      <w:r w:rsidRPr="00997785">
        <w:rPr>
          <w:rFonts w:ascii="Calibri" w:eastAsia="Calibri" w:hAnsi="Calibri" w:cs="Calibri"/>
          <w:kern w:val="2"/>
          <w:sz w:val="24"/>
          <w:szCs w:val="24"/>
          <w:lang w:val="en-GB"/>
          <w14:ligatures w14:val="standardContextual"/>
        </w:rPr>
        <w:t>person</w:t>
      </w:r>
      <w:proofErr w:type="gramEnd"/>
      <w:r w:rsidRPr="00997785">
        <w:rPr>
          <w:rFonts w:ascii="Calibri" w:eastAsia="Calibri" w:hAnsi="Calibri" w:cs="Calibri"/>
          <w:kern w:val="2"/>
          <w:sz w:val="24"/>
          <w:szCs w:val="24"/>
          <w:lang w:val="en-GB"/>
          <w14:ligatures w14:val="standardContextual"/>
        </w:rPr>
        <w:t xml:space="preserve"> they can use the media to help with their search efforts. Extensive and immediate interaction with communities, coupled with the sharing of a photo to prompt potential sightings, can advance an </w:t>
      </w:r>
      <w:proofErr w:type="gramStart"/>
      <w:r w:rsidRPr="00997785">
        <w:rPr>
          <w:rFonts w:ascii="Calibri" w:eastAsia="Calibri" w:hAnsi="Calibri" w:cs="Calibri"/>
          <w:kern w:val="2"/>
          <w:sz w:val="24"/>
          <w:szCs w:val="24"/>
          <w:lang w:val="en-GB"/>
          <w14:ligatures w14:val="standardContextual"/>
        </w:rPr>
        <w:t>investigation</w:t>
      </w:r>
      <w:proofErr w:type="gramEnd"/>
      <w:r w:rsidRPr="00997785">
        <w:rPr>
          <w:rFonts w:ascii="Calibri" w:eastAsia="Calibri" w:hAnsi="Calibri" w:cs="Calibri"/>
          <w:kern w:val="2"/>
          <w:sz w:val="24"/>
          <w:szCs w:val="24"/>
          <w:lang w:val="en-GB"/>
          <w14:ligatures w14:val="standardContextual"/>
        </w:rPr>
        <w:t xml:space="preserve"> and provide significant reassurance to the families and loved of a missing individual (Metropolitan Police, no date). Media can assist police in getting messages out to the </w:t>
      </w:r>
      <w:proofErr w:type="gramStart"/>
      <w:r w:rsidRPr="00997785">
        <w:rPr>
          <w:rFonts w:ascii="Calibri" w:eastAsia="Calibri" w:hAnsi="Calibri" w:cs="Calibri"/>
          <w:kern w:val="2"/>
          <w:sz w:val="24"/>
          <w:szCs w:val="24"/>
          <w:lang w:val="en-GB"/>
          <w14:ligatures w14:val="standardContextual"/>
        </w:rPr>
        <w:t>general public</w:t>
      </w:r>
      <w:proofErr w:type="gramEnd"/>
      <w:r w:rsidRPr="00997785">
        <w:rPr>
          <w:rFonts w:ascii="Calibri" w:eastAsia="Calibri" w:hAnsi="Calibri" w:cs="Calibri"/>
          <w:kern w:val="2"/>
          <w:sz w:val="24"/>
          <w:szCs w:val="24"/>
          <w:lang w:val="en-GB"/>
          <w14:ligatures w14:val="standardContextual"/>
        </w:rPr>
        <w:t xml:space="preserve">, for example when a murder has taken place news coverage of the incident can inform the general public to stay away from the incident area to allow for police to carry out investigation, it can also produce lines of enquiry via witnesses or CCTV that a member of public is in possession of. However not all aspects of media when dealing with policing incidents is positive, media can sometimes negatively affect investigations/incidents. </w:t>
      </w:r>
    </w:p>
    <w:p w14:paraId="32B17E3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E44CCFD" w14:textId="7068240E"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When it comes to media there is a notable inclination toward heightened excitement and agitation, particularly in online platforms such as Facebook, Twitter comments and newspapers. Rationality, </w:t>
      </w:r>
      <w:proofErr w:type="gramStart"/>
      <w:r w:rsidRPr="00997785">
        <w:rPr>
          <w:rFonts w:ascii="Calibri" w:eastAsia="Calibri" w:hAnsi="Calibri" w:cs="Calibri"/>
          <w:kern w:val="2"/>
          <w:sz w:val="24"/>
          <w:szCs w:val="24"/>
          <w:lang w:val="en-GB"/>
          <w14:ligatures w14:val="standardContextual"/>
        </w:rPr>
        <w:t>objectivity</w:t>
      </w:r>
      <w:proofErr w:type="gramEnd"/>
      <w:r w:rsidRPr="00997785">
        <w:rPr>
          <w:rFonts w:ascii="Calibri" w:eastAsia="Calibri" w:hAnsi="Calibri" w:cs="Calibri"/>
          <w:kern w:val="2"/>
          <w:sz w:val="24"/>
          <w:szCs w:val="24"/>
          <w:lang w:val="en-GB"/>
          <w14:ligatures w14:val="standardContextual"/>
        </w:rPr>
        <w:t xml:space="preserve"> and decency tend to diminish when individuals express </w:t>
      </w:r>
      <w:r w:rsidRPr="00997785">
        <w:rPr>
          <w:rFonts w:ascii="Calibri" w:eastAsia="Calibri" w:hAnsi="Calibri" w:cs="Calibri"/>
          <w:kern w:val="2"/>
          <w:sz w:val="24"/>
          <w:szCs w:val="24"/>
          <w:lang w:val="en-GB"/>
          <w14:ligatures w14:val="standardContextual"/>
        </w:rPr>
        <w:lastRenderedPageBreak/>
        <w:t xml:space="preserve">themselves publicly, especially when emotions like anger, upset, or fear come into play (B. Akhgar, P.S Bayerl, G. </w:t>
      </w:r>
      <w:proofErr w:type="spellStart"/>
      <w:r w:rsidRPr="00997785">
        <w:rPr>
          <w:rFonts w:ascii="Calibri" w:eastAsia="Calibri" w:hAnsi="Calibri" w:cs="Calibri"/>
          <w:kern w:val="2"/>
          <w:sz w:val="24"/>
          <w:szCs w:val="24"/>
          <w:lang w:val="en-GB"/>
          <w14:ligatures w14:val="standardContextual"/>
        </w:rPr>
        <w:t>Leventakis</w:t>
      </w:r>
      <w:proofErr w:type="spellEnd"/>
      <w:r w:rsidRPr="00997785">
        <w:rPr>
          <w:rFonts w:ascii="Calibri" w:eastAsia="Calibri" w:hAnsi="Calibri" w:cs="Calibri"/>
          <w:kern w:val="2"/>
          <w:sz w:val="24"/>
          <w:szCs w:val="24"/>
          <w:lang w:val="en-GB"/>
          <w14:ligatures w14:val="standardContextual"/>
        </w:rPr>
        <w:t>, 2019). Spreading of misinformation by media outlets might disseminate inaccurate or incomplete information, this in turn can lead to public confusion and potential hindrance to any ongoing investigations. In June last year it was reported that a man had attempted to abduct</w:t>
      </w:r>
      <w:r w:rsidR="00B15269">
        <w:rPr>
          <w:rFonts w:ascii="Calibri" w:eastAsia="Calibri" w:hAnsi="Calibri" w:cs="Calibri"/>
          <w:kern w:val="2"/>
          <w:sz w:val="24"/>
          <w:szCs w:val="24"/>
          <w:lang w:val="en-GB"/>
          <w14:ligatures w14:val="standardContextual"/>
        </w:rPr>
        <w:t xml:space="preserve"> </w:t>
      </w:r>
      <w:r w:rsidRPr="00997785">
        <w:rPr>
          <w:rFonts w:ascii="Calibri" w:eastAsia="Calibri" w:hAnsi="Calibri" w:cs="Calibri"/>
          <w:kern w:val="2"/>
          <w:sz w:val="24"/>
          <w:szCs w:val="24"/>
          <w:lang w:val="en-GB"/>
          <w14:ligatures w14:val="standardContextual"/>
        </w:rPr>
        <w:t xml:space="preserve">a child. The report was posted on social media and started getting attention resulting in further information and a picture of a possible suspect. Officers located the man but </w:t>
      </w:r>
      <w:r w:rsidR="00ED6D8C">
        <w:rPr>
          <w:rFonts w:ascii="Calibri" w:eastAsia="Calibri" w:hAnsi="Calibri" w:cs="Calibri"/>
          <w:kern w:val="2"/>
          <w:sz w:val="24"/>
          <w:szCs w:val="24"/>
          <w:lang w:val="en-GB"/>
          <w14:ligatures w14:val="standardContextual"/>
        </w:rPr>
        <w:t>made no arrests</w:t>
      </w:r>
      <w:r w:rsidRPr="00997785">
        <w:rPr>
          <w:rFonts w:ascii="Calibri" w:eastAsia="Calibri" w:hAnsi="Calibri" w:cs="Calibri"/>
          <w:kern w:val="2"/>
          <w:sz w:val="24"/>
          <w:szCs w:val="24"/>
          <w:lang w:val="en-GB"/>
          <w14:ligatures w14:val="standardContextual"/>
        </w:rPr>
        <w:t xml:space="preserve">. The day after the man was detained and assaulted by members of the public. The man was then arrested by police however after a thorough investigation the man was released, no further action (J. Kearney, 2023). </w:t>
      </w:r>
    </w:p>
    <w:p w14:paraId="1078F628"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B8813C2" w14:textId="71531DCE"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Other ways in which media can have negative impacts on public protection incidents include interference with operations, media attention may attract unwanted attention to police activities, impacting the ability to conduct operations and compromise safety of officers involved. Trial by media, excessive media coverage can produce public opinions potentially influencing jurors which would then have an impact on the case. Impact on public trust, in cases where investigations come under media scrutiny the </w:t>
      </w:r>
      <w:r w:rsidR="005E44FC" w:rsidRPr="00997785">
        <w:rPr>
          <w:rFonts w:ascii="Calibri" w:eastAsia="Calibri" w:hAnsi="Calibri" w:cs="Calibri"/>
          <w:kern w:val="2"/>
          <w:sz w:val="24"/>
          <w:szCs w:val="24"/>
          <w:lang w:val="en-GB"/>
          <w14:ligatures w14:val="standardContextual"/>
        </w:rPr>
        <w:t>public’s</w:t>
      </w:r>
      <w:r w:rsidRPr="00997785">
        <w:rPr>
          <w:rFonts w:ascii="Calibri" w:eastAsia="Calibri" w:hAnsi="Calibri" w:cs="Calibri"/>
          <w:kern w:val="2"/>
          <w:sz w:val="24"/>
          <w:szCs w:val="24"/>
          <w:lang w:val="en-GB"/>
          <w14:ligatures w14:val="standardContextual"/>
        </w:rPr>
        <w:t xml:space="preserve"> trust in police can diminish resulting in a breakdown of communication affecting the effectiveness of police efforts.  </w:t>
      </w:r>
    </w:p>
    <w:p w14:paraId="7E6AA7E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CB946FA" w14:textId="77777777" w:rsid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997785">
        <w:rPr>
          <w:rFonts w:ascii="Calibri" w:eastAsia="Calibri" w:hAnsi="Calibri" w:cs="Calibri"/>
          <w:kern w:val="2"/>
          <w:sz w:val="24"/>
          <w:szCs w:val="24"/>
          <w:lang w:val="en-GB"/>
          <w14:ligatures w14:val="standardContextual"/>
        </w:rPr>
        <w:t xml:space="preserve">In conclusion, the intricate dynamics between police, public protection incidents and media underscore the importance of a nuanced approach. The essay outlines the critical role of police in managing threats to public safety, particularly in the evolving landscape of media police interactions. Collaboration with the media proves vital for solving crimes, ensuring community safety, and fostering public understanding. However, the essay also acknowledges the potential pitfalls, emphasising the negative impacts of media such as misinformation, interferences with investigations and challenges to public trust. With over 57 million social media users in the UK, the reach of these platforms is undeniable. While social media offers a valuable avenue for engagement, it also presents challenges as demonstrated by the case of a man wrongly accused on social media. Striking a balance </w:t>
      </w:r>
      <w:r w:rsidRPr="00997785">
        <w:rPr>
          <w:rFonts w:ascii="Calibri" w:eastAsia="Calibri" w:hAnsi="Calibri" w:cs="Calibri"/>
          <w:kern w:val="2"/>
          <w:sz w:val="24"/>
          <w:szCs w:val="24"/>
          <w:lang w:val="en-GB"/>
          <w14:ligatures w14:val="standardContextual"/>
        </w:rPr>
        <w:lastRenderedPageBreak/>
        <w:t xml:space="preserve">between harnessing the benefits of media and mitigating its negative impacts is imperative for effective policing in the digital age. </w:t>
      </w:r>
    </w:p>
    <w:p w14:paraId="4C94DCBE"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8F0FBB4" w14:textId="5C8B9B5E" w:rsidR="007201FD" w:rsidRPr="00997785"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r>
        <w:rPr>
          <w:rFonts w:ascii="Calibri" w:eastAsia="Calibri" w:hAnsi="Calibri" w:cs="Calibri"/>
          <w:kern w:val="2"/>
          <w:sz w:val="24"/>
          <w:szCs w:val="24"/>
          <w:lang w:val="en-GB"/>
          <w14:ligatures w14:val="standardContextual"/>
        </w:rPr>
        <w:t>(Word count: 948)</w:t>
      </w:r>
    </w:p>
    <w:p w14:paraId="4AE4C5DA"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5871EA7"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BAFBA11"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F82105E"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BBAB918" w14:textId="77777777" w:rsidR="00997785" w:rsidRP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55BAA7B" w14:textId="77777777" w:rsidR="00997785" w:rsidRDefault="00997785"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D8361B1"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8AC7389"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A6A5E3A"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9FB9CBE"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5F9CE45"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502F7CB"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3E71144"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606B4E1"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33BAC94"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53F28AB"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95C1CB5"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3BA1F9E"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A9E1582" w14:textId="77777777" w:rsidR="007201FD"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39C7A72" w14:textId="77777777" w:rsidR="007201FD" w:rsidRPr="00997785"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5121A24" w14:textId="77777777" w:rsidR="007201FD" w:rsidRPr="00E676F7" w:rsidRDefault="007201FD" w:rsidP="007201FD">
      <w:pPr>
        <w:keepNext/>
        <w:spacing w:before="240" w:after="60"/>
        <w:ind w:right="237"/>
        <w:jc w:val="both"/>
        <w:rPr>
          <w:b/>
          <w:sz w:val="24"/>
          <w:szCs w:val="24"/>
        </w:rPr>
      </w:pPr>
      <w:r w:rsidRPr="00E676F7">
        <w:rPr>
          <w:b/>
          <w:sz w:val="24"/>
          <w:szCs w:val="24"/>
        </w:rPr>
        <w:lastRenderedPageBreak/>
        <w:t>Bibliography</w:t>
      </w:r>
    </w:p>
    <w:p w14:paraId="55166B7D" w14:textId="77777777" w:rsidR="0048136C" w:rsidRDefault="0048136C" w:rsidP="007201FD">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5C4B502" w14:textId="77777777" w:rsidR="0048136C" w:rsidRPr="00997785" w:rsidRDefault="0048136C" w:rsidP="007201FD">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8F1F8C9" w14:textId="139BA08D"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Akhgar. B, Bayerl. PS, &amp; </w:t>
      </w:r>
      <w:proofErr w:type="spellStart"/>
      <w:r w:rsidRPr="0048136C">
        <w:rPr>
          <w:rFonts w:ascii="Calibri" w:eastAsia="Calibri" w:hAnsi="Calibri" w:cs="Calibri"/>
          <w:kern w:val="2"/>
          <w:sz w:val="24"/>
          <w:szCs w:val="24"/>
          <w:lang w:val="en-GB"/>
          <w14:ligatures w14:val="standardContextual"/>
        </w:rPr>
        <w:t>Leventakis</w:t>
      </w:r>
      <w:proofErr w:type="spellEnd"/>
      <w:r w:rsidRPr="0048136C">
        <w:rPr>
          <w:rFonts w:ascii="Calibri" w:eastAsia="Calibri" w:hAnsi="Calibri" w:cs="Calibri"/>
          <w:kern w:val="2"/>
          <w:sz w:val="24"/>
          <w:szCs w:val="24"/>
          <w:lang w:val="en-GB"/>
          <w14:ligatures w14:val="standardContextual"/>
        </w:rPr>
        <w:t xml:space="preserve">. G (2019) Social Media Strategy in </w:t>
      </w:r>
      <w:proofErr w:type="gramStart"/>
      <w:r w:rsidRPr="0048136C">
        <w:rPr>
          <w:rFonts w:ascii="Calibri" w:eastAsia="Calibri" w:hAnsi="Calibri" w:cs="Calibri"/>
          <w:kern w:val="2"/>
          <w:sz w:val="24"/>
          <w:szCs w:val="24"/>
          <w:lang w:val="en-GB"/>
          <w14:ligatures w14:val="standardContextual"/>
        </w:rPr>
        <w:t>Policing :</w:t>
      </w:r>
      <w:proofErr w:type="gramEnd"/>
      <w:r w:rsidRPr="0048136C">
        <w:rPr>
          <w:rFonts w:ascii="Calibri" w:eastAsia="Calibri" w:hAnsi="Calibri" w:cs="Calibri"/>
          <w:kern w:val="2"/>
          <w:sz w:val="24"/>
          <w:szCs w:val="24"/>
          <w:lang w:val="en-GB"/>
          <w14:ligatures w14:val="standardContextual"/>
        </w:rPr>
        <w:t xml:space="preserve"> From Cultural Intelligence to Community Policing, Springer International Publishing AG, Cham. Available from: ProQuest </w:t>
      </w:r>
      <w:proofErr w:type="spellStart"/>
      <w:r w:rsidRPr="0048136C">
        <w:rPr>
          <w:rFonts w:ascii="Calibri" w:eastAsia="Calibri" w:hAnsi="Calibri" w:cs="Calibri"/>
          <w:kern w:val="2"/>
          <w:sz w:val="24"/>
          <w:szCs w:val="24"/>
          <w:lang w:val="en-GB"/>
          <w14:ligatures w14:val="standardContextual"/>
        </w:rPr>
        <w:t>Ebook</w:t>
      </w:r>
      <w:proofErr w:type="spellEnd"/>
      <w:r w:rsidRPr="0048136C">
        <w:rPr>
          <w:rFonts w:ascii="Calibri" w:eastAsia="Calibri" w:hAnsi="Calibri" w:cs="Calibri"/>
          <w:kern w:val="2"/>
          <w:sz w:val="24"/>
          <w:szCs w:val="24"/>
          <w:lang w:val="en-GB"/>
          <w14:ligatures w14:val="standardContextual"/>
        </w:rPr>
        <w:t xml:space="preserve"> Central. (31 January 2024).</w:t>
      </w:r>
    </w:p>
    <w:p w14:paraId="2A33DAEB"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546B86E"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Bradburn, N. M. (2004). Understanding the question-answer process. Statistics Canada, 30, 5–15. Available at: </w:t>
      </w:r>
      <w:hyperlink r:id="rId7" w:history="1">
        <w:r w:rsidRPr="0048136C">
          <w:rPr>
            <w:rFonts w:ascii="Calibri" w:eastAsia="Calibri" w:hAnsi="Calibri" w:cs="Calibri"/>
            <w:kern w:val="2"/>
            <w:sz w:val="24"/>
            <w:szCs w:val="24"/>
            <w:lang w:val="en-GB"/>
            <w14:ligatures w14:val="standardContextual"/>
          </w:rPr>
          <w:t>https://www150.statcan.gc.ca/n1/en/pub/12-001-x/2004001/article/6990-eng.pdf?st=_70DZePF</w:t>
        </w:r>
      </w:hyperlink>
      <w:r w:rsidRPr="0048136C">
        <w:rPr>
          <w:rFonts w:ascii="Calibri" w:eastAsia="Calibri" w:hAnsi="Calibri" w:cs="Calibri"/>
          <w:kern w:val="2"/>
          <w:sz w:val="24"/>
          <w:szCs w:val="24"/>
          <w:lang w:val="en-GB"/>
          <w14:ligatures w14:val="standardContextual"/>
        </w:rPr>
        <w:t xml:space="preserve">. (Accessed: 30 January 2024). </w:t>
      </w:r>
    </w:p>
    <w:p w14:paraId="4EA782D5"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51E42DC"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Brough, P., </w:t>
      </w:r>
      <w:proofErr w:type="spellStart"/>
      <w:r w:rsidRPr="0048136C">
        <w:rPr>
          <w:rFonts w:ascii="Calibri" w:eastAsia="Calibri" w:hAnsi="Calibri" w:cs="Calibri"/>
          <w:kern w:val="2"/>
          <w:sz w:val="24"/>
          <w:szCs w:val="24"/>
          <w:lang w:val="en-GB"/>
          <w14:ligatures w14:val="standardContextual"/>
        </w:rPr>
        <w:t>Chataway</w:t>
      </w:r>
      <w:proofErr w:type="spellEnd"/>
      <w:r w:rsidRPr="0048136C">
        <w:rPr>
          <w:rFonts w:ascii="Calibri" w:eastAsia="Calibri" w:hAnsi="Calibri" w:cs="Calibri"/>
          <w:kern w:val="2"/>
          <w:sz w:val="24"/>
          <w:szCs w:val="24"/>
          <w:lang w:val="en-GB"/>
          <w14:ligatures w14:val="standardContextual"/>
        </w:rPr>
        <w:t xml:space="preserve">, S., &amp; Biggs, A. (2016). ‘You don’t want people knowing you’re a copper!’ A contemporary assessment of police organisational culture. International Journal of Police Science &amp; Management, 18(1), 28-36. Available at: </w:t>
      </w:r>
      <w:hyperlink r:id="rId8" w:history="1">
        <w:r w:rsidRPr="0048136C">
          <w:rPr>
            <w:rFonts w:ascii="Calibri" w:eastAsia="Calibri" w:hAnsi="Calibri" w:cs="Calibri"/>
            <w:kern w:val="2"/>
            <w:sz w:val="24"/>
            <w:szCs w:val="24"/>
            <w:lang w:val="en-GB"/>
            <w14:ligatures w14:val="standardContextual"/>
          </w:rPr>
          <w:t>https://doi.org/10.1177/1461355716638361</w:t>
        </w:r>
      </w:hyperlink>
      <w:r w:rsidRPr="0048136C">
        <w:rPr>
          <w:rFonts w:ascii="Calibri" w:eastAsia="Calibri" w:hAnsi="Calibri" w:cs="Calibri"/>
          <w:kern w:val="2"/>
          <w:sz w:val="24"/>
          <w:szCs w:val="24"/>
          <w:lang w:val="en-GB"/>
          <w14:ligatures w14:val="standardContextual"/>
        </w:rPr>
        <w:t>. Accessed 11 Jan. 2024.</w:t>
      </w:r>
    </w:p>
    <w:p w14:paraId="50CA4243"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4F79ECE"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Chan, J (1996). CHANGING POLICE CULTURE, The British Journal of Criminology, Volume 36, Issue 1, Pages 109–134. Available at: </w:t>
      </w:r>
      <w:hyperlink r:id="rId9" w:history="1">
        <w:r w:rsidRPr="0048136C">
          <w:rPr>
            <w:rFonts w:ascii="Calibri" w:eastAsia="Calibri" w:hAnsi="Calibri" w:cs="Calibri"/>
            <w:kern w:val="2"/>
            <w:sz w:val="24"/>
            <w:szCs w:val="24"/>
            <w:lang w:val="en-GB"/>
            <w14:ligatures w14:val="standardContextual"/>
          </w:rPr>
          <w:t>https://doi.org/10.1093/oxfordjournals.bjc.a014061. Accessed 11 Jan. 24</w:t>
        </w:r>
      </w:hyperlink>
      <w:r w:rsidRPr="0048136C">
        <w:rPr>
          <w:rFonts w:ascii="Calibri" w:eastAsia="Calibri" w:hAnsi="Calibri" w:cs="Calibri"/>
          <w:kern w:val="2"/>
          <w:sz w:val="24"/>
          <w:szCs w:val="24"/>
          <w:lang w:val="en-GB"/>
          <w14:ligatures w14:val="standardContextual"/>
        </w:rPr>
        <w:t>.</w:t>
      </w:r>
    </w:p>
    <w:p w14:paraId="04298651"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F203127" w14:textId="3E2A7E2A"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College of Policing (2022) Media relations. Available at: https://www.college.police.uk/app/engagement-and-communication/media-relations (Accessed: 31 January 2024).</w:t>
      </w:r>
    </w:p>
    <w:p w14:paraId="7581D6CF"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D3682AD" w14:textId="3C6BFAEC"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Dixon, S.J. (2023) Social Media penetration UK 2023, Active social media audience in the United Kingdom (UK) in January 2023. Available at: https://www.statista.com/statistics/507405/uk-active-social-media-and-mobile-</w:t>
      </w:r>
      <w:r w:rsidRPr="0048136C">
        <w:rPr>
          <w:rFonts w:ascii="Calibri" w:eastAsia="Calibri" w:hAnsi="Calibri" w:cs="Calibri"/>
          <w:kern w:val="2"/>
          <w:sz w:val="24"/>
          <w:szCs w:val="24"/>
          <w:lang w:val="en-GB"/>
          <w14:ligatures w14:val="standardContextual"/>
        </w:rPr>
        <w:lastRenderedPageBreak/>
        <w:t>social-media-users/#:~:text=The%20United%20Kingdom%20(UK)%20was,the%20population%20of%20the%20UK. (Accessed: 31 January 2024).</w:t>
      </w:r>
    </w:p>
    <w:p w14:paraId="531E7315"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11194C0"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Fisher, R.P &amp; Geiselman, R.E (1992). Memory-enhancing techniques for investigative interviewing: The cognitive interview. Springfield, IL: Charles C Thomas Publisher.</w:t>
      </w:r>
    </w:p>
    <w:p w14:paraId="024B2A51"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2405262" w14:textId="0D23F3E0"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J. Nix &amp; S. Wolfe (2017) The Impact of Negative Publicity on Police Self-legitimacy, Justice Quarterly, 34:1, 84-108, DOI: 10.1080/07418825.2015.1102954#. Available at: https://www.tandfonline.com/doi/full/10.1080/07418825.2015.1102954?scroll=top&amp;needAccess=true (Accessed: 29 January 2024).</w:t>
      </w:r>
    </w:p>
    <w:p w14:paraId="044A1E20"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243FCAC"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Jacques, P. (2021) Women have less trust in police since Sarah Everard murder, survey suggests, Police Professional. Available at: https://policeprofessional.com/news/women-have-less-trust-in-police-since-sarah-everard-murder-survey-suggests/#:~:text=The%20EVAW%20said%20the%20Ms,and%20distress%20about%20police%20failings%E2%80%9D. (Accessed: 30 January 2024).</w:t>
      </w:r>
    </w:p>
    <w:p w14:paraId="6837E396"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0541019E"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K. Ryan, N. Gannon-Slater, M. </w:t>
      </w:r>
      <w:proofErr w:type="spellStart"/>
      <w:r w:rsidRPr="0048136C">
        <w:rPr>
          <w:rFonts w:ascii="Calibri" w:eastAsia="Calibri" w:hAnsi="Calibri" w:cs="Calibri"/>
          <w:kern w:val="2"/>
          <w:sz w:val="24"/>
          <w:szCs w:val="24"/>
          <w:lang w:val="en-GB"/>
          <w14:ligatures w14:val="standardContextual"/>
        </w:rPr>
        <w:t>Culberstone</w:t>
      </w:r>
      <w:proofErr w:type="spellEnd"/>
      <w:r w:rsidRPr="0048136C">
        <w:rPr>
          <w:rFonts w:ascii="Calibri" w:eastAsia="Calibri" w:hAnsi="Calibri" w:cs="Calibri"/>
          <w:kern w:val="2"/>
          <w:sz w:val="24"/>
          <w:szCs w:val="24"/>
          <w:lang w:val="en-GB"/>
          <w14:ligatures w14:val="standardContextual"/>
        </w:rPr>
        <w:t xml:space="preserve"> (2012). Improving Survey Methods </w:t>
      </w:r>
      <w:proofErr w:type="gramStart"/>
      <w:r w:rsidRPr="0048136C">
        <w:rPr>
          <w:rFonts w:ascii="Calibri" w:eastAsia="Calibri" w:hAnsi="Calibri" w:cs="Calibri"/>
          <w:kern w:val="2"/>
          <w:sz w:val="24"/>
          <w:szCs w:val="24"/>
          <w:lang w:val="en-GB"/>
          <w14:ligatures w14:val="standardContextual"/>
        </w:rPr>
        <w:t>With</w:t>
      </w:r>
      <w:proofErr w:type="gramEnd"/>
      <w:r w:rsidRPr="0048136C">
        <w:rPr>
          <w:rFonts w:ascii="Calibri" w:eastAsia="Calibri" w:hAnsi="Calibri" w:cs="Calibri"/>
          <w:kern w:val="2"/>
          <w:sz w:val="24"/>
          <w:szCs w:val="24"/>
          <w:lang w:val="en-GB"/>
          <w14:ligatures w14:val="standardContextual"/>
        </w:rPr>
        <w:t xml:space="preserve"> Cognitive Interviews in Small- and Medium-Scale Evaluations. Pg 417-418.  DOI: 10.1177/1098214012441499</w:t>
      </w:r>
    </w:p>
    <w:p w14:paraId="438691F4"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1CD0EC8E" w14:textId="3F9AFE64"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Kearney, J. (2023) Real world consequences of social media misinformation. Available at: https://www.knowsleynews.co.uk/real-world-consequences-of-social-media-misinformation/ (Accessed: 31 January 2024).</w:t>
      </w:r>
    </w:p>
    <w:p w14:paraId="772863E9"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BDEF25C" w14:textId="77777777" w:rsidR="0048136C" w:rsidRDefault="0048136C" w:rsidP="0048136C">
      <w:pPr>
        <w:pStyle w:val="ListParagraph"/>
        <w:widowControl/>
        <w:numPr>
          <w:ilvl w:val="0"/>
          <w:numId w:val="5"/>
        </w:numPr>
        <w:autoSpaceDE/>
        <w:autoSpaceDN/>
        <w:spacing w:line="360" w:lineRule="auto"/>
        <w:rPr>
          <w:rFonts w:ascii="Calibri" w:eastAsia="Times New Roman" w:hAnsi="Calibri" w:cs="Calibri"/>
          <w:sz w:val="24"/>
          <w:szCs w:val="24"/>
          <w:lang w:val="en-GB" w:eastAsia="en-GB"/>
        </w:rPr>
      </w:pPr>
      <w:r w:rsidRPr="0048136C">
        <w:rPr>
          <w:rFonts w:ascii="Calibri" w:eastAsia="Calibri" w:hAnsi="Calibri" w:cs="Calibri"/>
          <w:color w:val="222222"/>
          <w:kern w:val="2"/>
          <w:sz w:val="24"/>
          <w:szCs w:val="24"/>
          <w:shd w:val="clear" w:color="auto" w:fill="FFFFFF"/>
          <w:lang w:val="en-GB"/>
          <w14:ligatures w14:val="standardContextual"/>
        </w:rPr>
        <w:lastRenderedPageBreak/>
        <w:t>Kleinig, J., (1996). </w:t>
      </w:r>
      <w:r w:rsidRPr="0048136C">
        <w:rPr>
          <w:rFonts w:ascii="Calibri" w:eastAsia="Calibri" w:hAnsi="Calibri" w:cs="Calibri"/>
          <w:i/>
          <w:iCs/>
          <w:color w:val="222222"/>
          <w:kern w:val="2"/>
          <w:sz w:val="24"/>
          <w:szCs w:val="24"/>
          <w:shd w:val="clear" w:color="auto" w:fill="FFFFFF"/>
          <w:lang w:val="en-GB"/>
          <w14:ligatures w14:val="standardContextual"/>
        </w:rPr>
        <w:t>The ethics of policing</w:t>
      </w:r>
      <w:r w:rsidRPr="0048136C">
        <w:rPr>
          <w:rFonts w:ascii="Calibri" w:eastAsia="Calibri" w:hAnsi="Calibri" w:cs="Calibri"/>
          <w:color w:val="222222"/>
          <w:kern w:val="2"/>
          <w:sz w:val="24"/>
          <w:szCs w:val="24"/>
          <w:shd w:val="clear" w:color="auto" w:fill="FFFFFF"/>
          <w:lang w:val="en-GB"/>
          <w14:ligatures w14:val="standardContextual"/>
        </w:rPr>
        <w:t xml:space="preserve">. Cambridge University Press. Available at: </w:t>
      </w:r>
      <w:r w:rsidRPr="0048136C">
        <w:rPr>
          <w:rFonts w:ascii="Calibri" w:eastAsia="Calibri" w:hAnsi="Calibri" w:cs="Times New Roman"/>
          <w:kern w:val="2"/>
          <w:sz w:val="24"/>
          <w:szCs w:val="24"/>
          <w:lang w:val="en-GB"/>
          <w14:ligatures w14:val="standardContextual"/>
        </w:rPr>
        <w:t xml:space="preserve">Google Books. </w:t>
      </w:r>
      <w:r w:rsidRPr="0048136C">
        <w:rPr>
          <w:rFonts w:ascii="Calibri" w:eastAsia="Times New Roman" w:hAnsi="Calibri" w:cs="Calibri"/>
          <w:sz w:val="24"/>
          <w:szCs w:val="24"/>
          <w:lang w:val="en-GB" w:eastAsia="en-GB"/>
        </w:rPr>
        <w:t>Accessed 12 Jan. 2024.</w:t>
      </w:r>
    </w:p>
    <w:p w14:paraId="52F2FE1D" w14:textId="77777777" w:rsidR="0048136C" w:rsidRPr="0048136C" w:rsidRDefault="0048136C" w:rsidP="0048136C">
      <w:pPr>
        <w:widowControl/>
        <w:autoSpaceDE/>
        <w:autoSpaceDN/>
        <w:spacing w:line="360" w:lineRule="auto"/>
        <w:rPr>
          <w:rFonts w:ascii="Calibri" w:eastAsia="Times New Roman" w:hAnsi="Calibri" w:cs="Calibri"/>
          <w:sz w:val="24"/>
          <w:szCs w:val="24"/>
          <w:lang w:val="en-GB" w:eastAsia="en-GB"/>
        </w:rPr>
      </w:pPr>
    </w:p>
    <w:p w14:paraId="730479F7" w14:textId="77777777" w:rsidR="0048136C" w:rsidRDefault="0048136C" w:rsidP="0048136C">
      <w:pPr>
        <w:pStyle w:val="ListParagraph"/>
        <w:widowControl/>
        <w:numPr>
          <w:ilvl w:val="0"/>
          <w:numId w:val="5"/>
        </w:numPr>
        <w:autoSpaceDE/>
        <w:autoSpaceDN/>
        <w:spacing w:line="360" w:lineRule="auto"/>
        <w:rPr>
          <w:rFonts w:ascii="Calibri" w:eastAsia="Times New Roman" w:hAnsi="Calibri" w:cs="Calibri"/>
          <w:sz w:val="24"/>
          <w:szCs w:val="24"/>
          <w:lang w:val="en-GB" w:eastAsia="en-GB"/>
        </w:rPr>
      </w:pPr>
      <w:proofErr w:type="spellStart"/>
      <w:r w:rsidRPr="0048136C">
        <w:rPr>
          <w:rFonts w:ascii="Calibri" w:eastAsia="Times New Roman" w:hAnsi="Calibri" w:cs="Calibri"/>
          <w:sz w:val="24"/>
          <w:szCs w:val="24"/>
          <w:lang w:val="en-GB" w:eastAsia="en-GB"/>
        </w:rPr>
        <w:t>Lvovsky</w:t>
      </w:r>
      <w:proofErr w:type="spellEnd"/>
      <w:r w:rsidRPr="0048136C">
        <w:rPr>
          <w:rFonts w:ascii="Calibri" w:eastAsia="Times New Roman" w:hAnsi="Calibri" w:cs="Calibri"/>
          <w:sz w:val="24"/>
          <w:szCs w:val="24"/>
          <w:lang w:val="en-GB" w:eastAsia="en-GB"/>
        </w:rPr>
        <w:t xml:space="preserve">, Anna (2017). THE JUDICIAL PRESUMPTION OF POLICE EXPERTISE. </w:t>
      </w:r>
      <w:r w:rsidRPr="0048136C">
        <w:rPr>
          <w:rFonts w:ascii="Calibri" w:eastAsia="Times New Roman" w:hAnsi="Calibri" w:cs="Calibri"/>
          <w:i/>
          <w:iCs/>
          <w:sz w:val="24"/>
          <w:szCs w:val="24"/>
          <w:lang w:val="en-GB" w:eastAsia="en-GB"/>
        </w:rPr>
        <w:t>Harvard Law Review</w:t>
      </w:r>
      <w:r w:rsidRPr="0048136C">
        <w:rPr>
          <w:rFonts w:ascii="Calibri" w:eastAsia="Times New Roman" w:hAnsi="Calibri" w:cs="Calibri"/>
          <w:sz w:val="24"/>
          <w:szCs w:val="24"/>
          <w:lang w:val="en-GB" w:eastAsia="en-GB"/>
        </w:rPr>
        <w:t xml:space="preserve">, vol. 130, no. 8, pp. 1995–2081. Available at:  </w:t>
      </w:r>
      <w:r w:rsidRPr="0048136C">
        <w:rPr>
          <w:rFonts w:ascii="Calibri" w:eastAsia="Times New Roman" w:hAnsi="Calibri" w:cs="Calibri"/>
          <w:i/>
          <w:iCs/>
          <w:sz w:val="24"/>
          <w:szCs w:val="24"/>
          <w:lang w:val="en-GB" w:eastAsia="en-GB"/>
        </w:rPr>
        <w:t>JSTOR</w:t>
      </w:r>
      <w:r w:rsidRPr="0048136C">
        <w:rPr>
          <w:rFonts w:ascii="Calibri" w:eastAsia="Times New Roman" w:hAnsi="Calibri" w:cs="Calibri"/>
          <w:sz w:val="24"/>
          <w:szCs w:val="24"/>
          <w:lang w:val="en-GB" w:eastAsia="en-GB"/>
        </w:rPr>
        <w:t>, http://www.jstor.org/stable/44865645. Accessed 12 Jan. 2024.</w:t>
      </w:r>
    </w:p>
    <w:p w14:paraId="4F19E81B" w14:textId="77777777" w:rsidR="0048136C" w:rsidRPr="0048136C" w:rsidRDefault="0048136C" w:rsidP="0048136C">
      <w:pPr>
        <w:widowControl/>
        <w:autoSpaceDE/>
        <w:autoSpaceDN/>
        <w:spacing w:line="360" w:lineRule="auto"/>
        <w:rPr>
          <w:rFonts w:ascii="Calibri" w:eastAsia="Times New Roman" w:hAnsi="Calibri" w:cs="Calibri"/>
          <w:sz w:val="24"/>
          <w:szCs w:val="24"/>
          <w:lang w:val="en-GB" w:eastAsia="en-GB"/>
        </w:rPr>
      </w:pPr>
    </w:p>
    <w:p w14:paraId="709355D1" w14:textId="3AE2685C"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proofErr w:type="spellStart"/>
      <w:r w:rsidRPr="0048136C">
        <w:rPr>
          <w:rFonts w:ascii="Calibri" w:eastAsia="Calibri" w:hAnsi="Calibri" w:cs="Calibri"/>
          <w:kern w:val="2"/>
          <w:sz w:val="24"/>
          <w:szCs w:val="24"/>
          <w:lang w:val="en-GB"/>
          <w14:ligatures w14:val="standardContextual"/>
        </w:rPr>
        <w:t>Mcleod</w:t>
      </w:r>
      <w:proofErr w:type="spellEnd"/>
      <w:r w:rsidRPr="0048136C">
        <w:rPr>
          <w:rFonts w:ascii="Calibri" w:eastAsia="Calibri" w:hAnsi="Calibri" w:cs="Calibri"/>
          <w:kern w:val="2"/>
          <w:sz w:val="24"/>
          <w:szCs w:val="24"/>
          <w:lang w:val="en-GB"/>
          <w14:ligatures w14:val="standardContextual"/>
        </w:rPr>
        <w:t>, S. (2023) Cognitive interview technique. Available at: https://www.simplypsychology.org/cognitive-interview.html (Accessed: 31 January 2024).</w:t>
      </w:r>
    </w:p>
    <w:p w14:paraId="63E34B1A"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48D9FAD9" w14:textId="0967DC4F"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Memon, A., Meissner, C. A., &amp; Fraser, J. (2010). THE COGNITIVE INTERVIEW: A Meta-Analytic Review and Study Space Analysis of the Past 25 Years. Psychology, Public Policy, and Law, 16(4), 340–372. Available at: </w:t>
      </w:r>
      <w:hyperlink r:id="rId10" w:history="1">
        <w:r w:rsidRPr="0048136C">
          <w:rPr>
            <w:rFonts w:ascii="Calibri" w:eastAsia="Calibri" w:hAnsi="Calibri" w:cs="Calibri"/>
            <w:kern w:val="2"/>
            <w:sz w:val="24"/>
            <w:szCs w:val="24"/>
            <w:lang w:val="en-GB"/>
            <w14:ligatures w14:val="standardContextual"/>
          </w:rPr>
          <w:t>https://doi.org/10.1037/a0020518</w:t>
        </w:r>
      </w:hyperlink>
      <w:r w:rsidRPr="0048136C">
        <w:rPr>
          <w:rFonts w:ascii="Calibri" w:eastAsia="Calibri" w:hAnsi="Calibri" w:cs="Calibri"/>
          <w:kern w:val="2"/>
          <w:sz w:val="24"/>
          <w:szCs w:val="24"/>
          <w:lang w:val="en-GB"/>
          <w14:ligatures w14:val="standardContextual"/>
        </w:rPr>
        <w:t>. (Accessed: 30 January 2024).</w:t>
      </w:r>
    </w:p>
    <w:p w14:paraId="0A6D6271"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D79347D"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Metropolitan Police (No date) Missing Persons Media &amp; Online Publicity. Available at: https://www.npcc.police.uk/SysSiteAssets/media/downloads/publications/publications-log/national-crime-coordination-committee/2023/missing-persons-media-online-publicity-v1.1-25oct-22.pdf (Accessed: 31 January 2024).</w:t>
      </w:r>
    </w:p>
    <w:p w14:paraId="493B353F"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DDFA18F"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proofErr w:type="spellStart"/>
      <w:r w:rsidRPr="0048136C">
        <w:rPr>
          <w:rFonts w:ascii="Calibri" w:eastAsia="Calibri" w:hAnsi="Calibri" w:cs="Calibri"/>
          <w:kern w:val="2"/>
          <w:sz w:val="24"/>
          <w:szCs w:val="24"/>
          <w:lang w:val="en-GB"/>
          <w14:ligatures w14:val="standardContextual"/>
        </w:rPr>
        <w:t>Paoline</w:t>
      </w:r>
      <w:proofErr w:type="spellEnd"/>
      <w:r w:rsidRPr="0048136C">
        <w:rPr>
          <w:rFonts w:ascii="Calibri" w:eastAsia="Calibri" w:hAnsi="Calibri" w:cs="Calibri"/>
          <w:kern w:val="2"/>
          <w:sz w:val="24"/>
          <w:szCs w:val="24"/>
          <w:lang w:val="en-GB"/>
          <w14:ligatures w14:val="standardContextual"/>
        </w:rPr>
        <w:t xml:space="preserve">, Eugene A (2003). Taking stock: Toward a richer understanding of police culture. Journal of Criminal Justice, Volume 31, Issue 3. Pages 199-214. Available at: </w:t>
      </w:r>
      <w:hyperlink r:id="rId11" w:history="1">
        <w:r w:rsidRPr="0048136C">
          <w:rPr>
            <w:rFonts w:ascii="Calibri" w:eastAsia="Calibri" w:hAnsi="Calibri" w:cs="Calibri"/>
            <w:kern w:val="2"/>
            <w:sz w:val="24"/>
            <w:szCs w:val="24"/>
            <w:lang w:val="en-GB"/>
            <w14:ligatures w14:val="standardContextual"/>
          </w:rPr>
          <w:t>https://doi.org/10.1016/S0047-2352(03)00002-3</w:t>
        </w:r>
      </w:hyperlink>
      <w:r w:rsidRPr="0048136C">
        <w:rPr>
          <w:rFonts w:ascii="Calibri" w:eastAsia="Calibri" w:hAnsi="Calibri" w:cs="Calibri"/>
          <w:kern w:val="2"/>
          <w:sz w:val="24"/>
          <w:szCs w:val="24"/>
          <w:lang w:val="en-GB"/>
          <w14:ligatures w14:val="standardContextual"/>
        </w:rPr>
        <w:t xml:space="preserve">. Accessed 12 Jan. 2024. </w:t>
      </w:r>
    </w:p>
    <w:p w14:paraId="6186A807"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745D86B" w14:textId="77777777" w:rsidR="0048136C" w:rsidRP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Police Foundation Social (2014) The Briefing, Police use of social media. Available at: https://www.police-foundation.org.uk/wp-content/uploads/2017/08/Social_media_briefing_FINAL.pdf (Accessed: 31 January 2024).</w:t>
      </w:r>
    </w:p>
    <w:p w14:paraId="7D8C692B"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lastRenderedPageBreak/>
        <w:t>Police Public Protection Programme: Police superintendents’ association (no date) PSA &amp; College of Policing launch bespoke development programme for Police Public Protection &amp; Safeguarding leads. Available at: https://www.policesupers.com/news/police-superintendents-association-and-college-of-policing-launch-bespoke-development-programme-for-police-public-protection-safeguarding-leads (Accessed: 31 January 2024).</w:t>
      </w:r>
    </w:p>
    <w:p w14:paraId="35A39942" w14:textId="77777777" w:rsidR="0048136C" w:rsidRPr="0048136C" w:rsidRDefault="0048136C" w:rsidP="0048136C">
      <w:pPr>
        <w:pStyle w:val="ListParagraph"/>
        <w:widowControl/>
        <w:tabs>
          <w:tab w:val="left" w:pos="977"/>
        </w:tabs>
        <w:autoSpaceDE/>
        <w:autoSpaceDN/>
        <w:spacing w:after="160" w:line="360" w:lineRule="auto"/>
        <w:ind w:left="720" w:firstLine="0"/>
        <w:rPr>
          <w:rFonts w:ascii="Calibri" w:eastAsia="Calibri" w:hAnsi="Calibri" w:cs="Calibri"/>
          <w:kern w:val="2"/>
          <w:sz w:val="24"/>
          <w:szCs w:val="24"/>
          <w:lang w:val="en-GB"/>
          <w14:ligatures w14:val="standardContextual"/>
        </w:rPr>
      </w:pPr>
    </w:p>
    <w:p w14:paraId="0EAB90D5"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Psychology (no date) Cognitive Interview. Available at: https://www.studysmarter.co.uk/explanations/psychology/basic-psychology/cognitive-interview/ (Accessed: 31 January 2024).</w:t>
      </w:r>
    </w:p>
    <w:p w14:paraId="5FD382DD"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8DE9146" w14:textId="72C84C1F"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Response policing career pathway (no date) College of Policing. Available at: https://www.college.police.uk/career-learning/career-development/career-pathways/response-policing#:~:text=Response%20officers%20are%20at%20the,manage%20critical%20incidents (Accessed: 29 January 2024).</w:t>
      </w:r>
    </w:p>
    <w:p w14:paraId="424E4503" w14:textId="77777777" w:rsidR="0048136C" w:rsidRPr="0048136C" w:rsidRDefault="0048136C" w:rsidP="0048136C">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39568829" w14:textId="77777777" w:rsidR="0048136C" w:rsidRDefault="0048136C" w:rsidP="0048136C">
      <w:pPr>
        <w:pStyle w:val="ListParagraph"/>
        <w:widowControl/>
        <w:numPr>
          <w:ilvl w:val="0"/>
          <w:numId w:val="5"/>
        </w:numPr>
        <w:autoSpaceDE/>
        <w:autoSpaceDN/>
        <w:spacing w:line="360" w:lineRule="auto"/>
        <w:rPr>
          <w:rFonts w:ascii="Calibri" w:eastAsia="Times New Roman" w:hAnsi="Calibri" w:cs="Calibri"/>
          <w:sz w:val="24"/>
          <w:szCs w:val="24"/>
          <w:lang w:val="en-GB" w:eastAsia="en-GB"/>
        </w:rPr>
      </w:pPr>
      <w:r w:rsidRPr="0048136C">
        <w:rPr>
          <w:rFonts w:ascii="Calibri" w:eastAsia="Times New Roman" w:hAnsi="Calibri" w:cs="Calibri"/>
          <w:sz w:val="24"/>
          <w:szCs w:val="24"/>
          <w:lang w:val="en-GB" w:eastAsia="en-GB"/>
        </w:rPr>
        <w:t>Schneider, J.A (2009). In Pursuit of Police Professionalism: The Development and Assessment of a Conceptual Model of Professionalism in Law Enforcement. University of Pittsburgh. Accessed 14 Jan. 2024.</w:t>
      </w:r>
    </w:p>
    <w:p w14:paraId="056BB7B3" w14:textId="77777777" w:rsidR="00A06CDD" w:rsidRPr="00A06CDD" w:rsidRDefault="00A06CDD" w:rsidP="00A06CDD">
      <w:pPr>
        <w:widowControl/>
        <w:autoSpaceDE/>
        <w:autoSpaceDN/>
        <w:spacing w:line="360" w:lineRule="auto"/>
        <w:rPr>
          <w:rFonts w:ascii="Calibri" w:eastAsia="Times New Roman" w:hAnsi="Calibri" w:cs="Calibri"/>
          <w:sz w:val="24"/>
          <w:szCs w:val="24"/>
          <w:lang w:val="en-GB" w:eastAsia="en-GB"/>
        </w:rPr>
      </w:pPr>
    </w:p>
    <w:p w14:paraId="41123198" w14:textId="77777777" w:rsidR="0048136C" w:rsidRPr="0048136C" w:rsidRDefault="0048136C" w:rsidP="0048136C">
      <w:pPr>
        <w:widowControl/>
        <w:autoSpaceDE/>
        <w:autoSpaceDN/>
        <w:spacing w:line="360" w:lineRule="auto"/>
        <w:rPr>
          <w:rFonts w:ascii="Calibri" w:eastAsia="Times New Roman" w:hAnsi="Calibri" w:cs="Calibri"/>
          <w:sz w:val="24"/>
          <w:szCs w:val="24"/>
          <w:lang w:val="en-GB" w:eastAsia="en-GB"/>
        </w:rPr>
      </w:pPr>
    </w:p>
    <w:p w14:paraId="47B25F64"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Serpa, S., (2016). An overview of the concept of organisational culture. International business management, 10(1), pp.51-61. Available at Google Scholar. Accessed 18 Jan. 2024. </w:t>
      </w:r>
    </w:p>
    <w:p w14:paraId="68F717D4" w14:textId="77777777" w:rsidR="00A06CDD" w:rsidRPr="00A06CDD" w:rsidRDefault="00A06CDD" w:rsidP="00A06CDD">
      <w:pPr>
        <w:widowControl/>
        <w:tabs>
          <w:tab w:val="left" w:pos="977"/>
        </w:tabs>
        <w:autoSpaceDE/>
        <w:autoSpaceDN/>
        <w:spacing w:after="160" w:line="360" w:lineRule="auto"/>
        <w:ind w:left="360"/>
        <w:rPr>
          <w:rFonts w:ascii="Calibri" w:eastAsia="Calibri" w:hAnsi="Calibri" w:cs="Calibri"/>
          <w:kern w:val="2"/>
          <w:sz w:val="24"/>
          <w:szCs w:val="24"/>
          <w:lang w:val="en-GB"/>
          <w14:ligatures w14:val="standardContextual"/>
        </w:rPr>
      </w:pPr>
    </w:p>
    <w:p w14:paraId="210258A5" w14:textId="252BD545"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Stainton, I. and Ewin, R. (2022) Criminal investigation. 1st. Edited by T. Blockley. St Albans: Critical Publishing. Available at: </w:t>
      </w:r>
      <w:hyperlink r:id="rId12" w:anchor="AN=3273308&amp;db=nlebk" w:history="1">
        <w:r w:rsidRPr="0048136C">
          <w:rPr>
            <w:rFonts w:ascii="Calibri" w:eastAsia="Calibri" w:hAnsi="Calibri" w:cs="Calibri"/>
            <w:kern w:val="2"/>
            <w:sz w:val="24"/>
            <w:szCs w:val="24"/>
            <w:lang w:val="en-GB"/>
            <w14:ligatures w14:val="standardContextual"/>
          </w:rPr>
          <w:t>https://web-p-ebscohost-com.ezproxy.uwtsd.ac.uk/ehost/detail/detail?vid=0&amp;sid=14630270-29b8-4322-b4e8-</w:t>
        </w:r>
        <w:r w:rsidRPr="0048136C">
          <w:rPr>
            <w:rFonts w:ascii="Calibri" w:eastAsia="Calibri" w:hAnsi="Calibri" w:cs="Calibri"/>
            <w:kern w:val="2"/>
            <w:sz w:val="24"/>
            <w:szCs w:val="24"/>
            <w:lang w:val="en-GB"/>
            <w14:ligatures w14:val="standardContextual"/>
          </w:rPr>
          <w:lastRenderedPageBreak/>
          <w:t>22271a719977%40redis&amp;bdata=JnNpdGU9ZWhvc3QtbGl2ZQ%3d%3d#AN=3273308&amp;db=nlebk</w:t>
        </w:r>
      </w:hyperlink>
      <w:r w:rsidRPr="0048136C">
        <w:rPr>
          <w:rFonts w:ascii="Calibri" w:eastAsia="Calibri" w:hAnsi="Calibri" w:cs="Calibri"/>
          <w:kern w:val="2"/>
          <w:sz w:val="24"/>
          <w:szCs w:val="24"/>
          <w:lang w:val="en-GB"/>
          <w14:ligatures w14:val="standardContextual"/>
        </w:rPr>
        <w:t>. (Accessed: 30 January 2024).</w:t>
      </w:r>
    </w:p>
    <w:p w14:paraId="5ED2FBD8" w14:textId="77777777" w:rsidR="00A06CDD" w:rsidRPr="00A06CDD" w:rsidRDefault="00A06CDD" w:rsidP="00A06CDD">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720F7932" w14:textId="77777777" w:rsid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Tyler, T. R. (2004). Enhancing Police Legitimacy. The Annals of the American Academy of Political and Social Science, 593, 84–99. Available at: </w:t>
      </w:r>
      <w:hyperlink r:id="rId13" w:history="1">
        <w:r w:rsidRPr="0048136C">
          <w:rPr>
            <w:rFonts w:ascii="Calibri" w:eastAsia="Calibri" w:hAnsi="Calibri" w:cs="Calibri"/>
            <w:kern w:val="2"/>
            <w:sz w:val="24"/>
            <w:szCs w:val="24"/>
            <w:lang w:val="en-GB"/>
            <w14:ligatures w14:val="standardContextual"/>
          </w:rPr>
          <w:t>http://www.jstor.org/stable/4127668</w:t>
        </w:r>
      </w:hyperlink>
      <w:r w:rsidRPr="0048136C">
        <w:rPr>
          <w:rFonts w:ascii="Calibri" w:eastAsia="Calibri" w:hAnsi="Calibri" w:cs="Calibri"/>
          <w:kern w:val="2"/>
          <w:sz w:val="24"/>
          <w:szCs w:val="24"/>
          <w:lang w:val="en-GB"/>
          <w14:ligatures w14:val="standardContextual"/>
        </w:rPr>
        <w:t>. (Accessed: 29 January 2024).</w:t>
      </w:r>
    </w:p>
    <w:p w14:paraId="10C59819" w14:textId="77777777" w:rsidR="00A06CDD" w:rsidRPr="00A06CDD" w:rsidRDefault="00A06CDD" w:rsidP="00A06CDD">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56A96966" w14:textId="77777777" w:rsidR="0048136C" w:rsidRPr="0048136C" w:rsidRDefault="0048136C" w:rsidP="0048136C">
      <w:pPr>
        <w:pStyle w:val="ListParagraph"/>
        <w:widowControl/>
        <w:numPr>
          <w:ilvl w:val="0"/>
          <w:numId w:val="5"/>
        </w:numPr>
        <w:tabs>
          <w:tab w:val="left" w:pos="977"/>
        </w:tabs>
        <w:autoSpaceDE/>
        <w:autoSpaceDN/>
        <w:spacing w:after="160" w:line="360" w:lineRule="auto"/>
        <w:rPr>
          <w:rFonts w:ascii="Calibri" w:eastAsia="Calibri" w:hAnsi="Calibri" w:cs="Calibri"/>
          <w:kern w:val="2"/>
          <w:sz w:val="24"/>
          <w:szCs w:val="24"/>
          <w:lang w:val="en-GB"/>
          <w14:ligatures w14:val="standardContextual"/>
        </w:rPr>
      </w:pPr>
      <w:r w:rsidRPr="0048136C">
        <w:rPr>
          <w:rFonts w:ascii="Calibri" w:eastAsia="Calibri" w:hAnsi="Calibri" w:cs="Calibri"/>
          <w:kern w:val="2"/>
          <w:sz w:val="24"/>
          <w:szCs w:val="24"/>
          <w:lang w:val="en-GB"/>
          <w14:ligatures w14:val="standardContextual"/>
        </w:rPr>
        <w:t xml:space="preserve">UK Parliament Post (2023) Trust in the police. UK Parliament. Available at </w:t>
      </w:r>
      <w:hyperlink r:id="rId14" w:history="1">
        <w:r w:rsidRPr="0048136C">
          <w:rPr>
            <w:rFonts w:ascii="Calibri" w:eastAsia="Calibri" w:hAnsi="Calibri" w:cs="Calibri"/>
            <w:kern w:val="2"/>
            <w:sz w:val="24"/>
            <w:szCs w:val="24"/>
            <w:lang w:val="en-GB"/>
            <w14:ligatures w14:val="standardContextual"/>
          </w:rPr>
          <w:t>https://researchbriefings.files.parliament.uk/documents/POST-PN-0693/POST-PN-0693.pdf</w:t>
        </w:r>
      </w:hyperlink>
      <w:r w:rsidRPr="0048136C">
        <w:rPr>
          <w:rFonts w:ascii="Calibri" w:eastAsia="Calibri" w:hAnsi="Calibri" w:cs="Calibri"/>
          <w:kern w:val="2"/>
          <w:sz w:val="24"/>
          <w:szCs w:val="24"/>
          <w:lang w:val="en-GB"/>
          <w14:ligatures w14:val="standardContextual"/>
        </w:rPr>
        <w:t>. (Accessed: 30 January 2024).</w:t>
      </w:r>
    </w:p>
    <w:p w14:paraId="672AA33E" w14:textId="77777777" w:rsidR="007201FD" w:rsidRPr="00997785" w:rsidRDefault="007201FD" w:rsidP="007201FD">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6140CAC0" w14:textId="77777777" w:rsidR="007201FD" w:rsidRPr="00997785" w:rsidRDefault="007201FD" w:rsidP="00997785">
      <w:pPr>
        <w:widowControl/>
        <w:tabs>
          <w:tab w:val="left" w:pos="977"/>
        </w:tabs>
        <w:autoSpaceDE/>
        <w:autoSpaceDN/>
        <w:spacing w:after="160" w:line="360" w:lineRule="auto"/>
        <w:rPr>
          <w:rFonts w:ascii="Calibri" w:eastAsia="Calibri" w:hAnsi="Calibri" w:cs="Calibri"/>
          <w:kern w:val="2"/>
          <w:sz w:val="24"/>
          <w:szCs w:val="24"/>
          <w:lang w:val="en-GB"/>
          <w14:ligatures w14:val="standardContextual"/>
        </w:rPr>
      </w:pPr>
    </w:p>
    <w:p w14:paraId="21AD5128" w14:textId="77777777" w:rsidR="00462380" w:rsidRDefault="00462380" w:rsidP="001C4414">
      <w:pPr>
        <w:pStyle w:val="BodyText"/>
        <w:ind w:left="95"/>
      </w:pPr>
    </w:p>
    <w:sectPr w:rsidR="00462380" w:rsidSect="00C83903">
      <w:pgSz w:w="11900" w:h="1684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825DF"/>
    <w:multiLevelType w:val="hybridMultilevel"/>
    <w:tmpl w:val="0C522798"/>
    <w:lvl w:ilvl="0" w:tplc="66AEBC38">
      <w:numFmt w:val="bullet"/>
      <w:lvlText w:val=""/>
      <w:lvlJc w:val="left"/>
      <w:pPr>
        <w:ind w:left="825" w:hanging="360"/>
      </w:pPr>
      <w:rPr>
        <w:rFonts w:ascii="Symbol" w:eastAsia="Symbol" w:hAnsi="Symbol" w:cs="Symbol" w:hint="default"/>
        <w:b w:val="0"/>
        <w:bCs w:val="0"/>
        <w:i w:val="0"/>
        <w:iCs w:val="0"/>
        <w:spacing w:val="0"/>
        <w:w w:val="100"/>
        <w:sz w:val="18"/>
        <w:szCs w:val="18"/>
        <w:lang w:val="en-US" w:eastAsia="en-US" w:bidi="ar-SA"/>
      </w:rPr>
    </w:lvl>
    <w:lvl w:ilvl="1" w:tplc="38C8B158">
      <w:numFmt w:val="bullet"/>
      <w:lvlText w:val="•"/>
      <w:lvlJc w:val="left"/>
      <w:pPr>
        <w:ind w:left="1715" w:hanging="360"/>
      </w:pPr>
      <w:rPr>
        <w:rFonts w:hint="default"/>
        <w:lang w:val="en-US" w:eastAsia="en-US" w:bidi="ar-SA"/>
      </w:rPr>
    </w:lvl>
    <w:lvl w:ilvl="2" w:tplc="EDC41916">
      <w:numFmt w:val="bullet"/>
      <w:lvlText w:val="•"/>
      <w:lvlJc w:val="left"/>
      <w:pPr>
        <w:ind w:left="2610" w:hanging="360"/>
      </w:pPr>
      <w:rPr>
        <w:rFonts w:hint="default"/>
        <w:lang w:val="en-US" w:eastAsia="en-US" w:bidi="ar-SA"/>
      </w:rPr>
    </w:lvl>
    <w:lvl w:ilvl="3" w:tplc="DEA870A4">
      <w:numFmt w:val="bullet"/>
      <w:lvlText w:val="•"/>
      <w:lvlJc w:val="left"/>
      <w:pPr>
        <w:ind w:left="3505" w:hanging="360"/>
      </w:pPr>
      <w:rPr>
        <w:rFonts w:hint="default"/>
        <w:lang w:val="en-US" w:eastAsia="en-US" w:bidi="ar-SA"/>
      </w:rPr>
    </w:lvl>
    <w:lvl w:ilvl="4" w:tplc="C00AF79C">
      <w:numFmt w:val="bullet"/>
      <w:lvlText w:val="•"/>
      <w:lvlJc w:val="left"/>
      <w:pPr>
        <w:ind w:left="4400" w:hanging="360"/>
      </w:pPr>
      <w:rPr>
        <w:rFonts w:hint="default"/>
        <w:lang w:val="en-US" w:eastAsia="en-US" w:bidi="ar-SA"/>
      </w:rPr>
    </w:lvl>
    <w:lvl w:ilvl="5" w:tplc="E1CAAF8A">
      <w:numFmt w:val="bullet"/>
      <w:lvlText w:val="•"/>
      <w:lvlJc w:val="left"/>
      <w:pPr>
        <w:ind w:left="5295" w:hanging="360"/>
      </w:pPr>
      <w:rPr>
        <w:rFonts w:hint="default"/>
        <w:lang w:val="en-US" w:eastAsia="en-US" w:bidi="ar-SA"/>
      </w:rPr>
    </w:lvl>
    <w:lvl w:ilvl="6" w:tplc="D250C006">
      <w:numFmt w:val="bullet"/>
      <w:lvlText w:val="•"/>
      <w:lvlJc w:val="left"/>
      <w:pPr>
        <w:ind w:left="6190" w:hanging="360"/>
      </w:pPr>
      <w:rPr>
        <w:rFonts w:hint="default"/>
        <w:lang w:val="en-US" w:eastAsia="en-US" w:bidi="ar-SA"/>
      </w:rPr>
    </w:lvl>
    <w:lvl w:ilvl="7" w:tplc="5F1C0FDC">
      <w:numFmt w:val="bullet"/>
      <w:lvlText w:val="•"/>
      <w:lvlJc w:val="left"/>
      <w:pPr>
        <w:ind w:left="7085" w:hanging="360"/>
      </w:pPr>
      <w:rPr>
        <w:rFonts w:hint="default"/>
        <w:lang w:val="en-US" w:eastAsia="en-US" w:bidi="ar-SA"/>
      </w:rPr>
    </w:lvl>
    <w:lvl w:ilvl="8" w:tplc="B5E802E2">
      <w:numFmt w:val="bullet"/>
      <w:lvlText w:val="•"/>
      <w:lvlJc w:val="left"/>
      <w:pPr>
        <w:ind w:left="7980" w:hanging="360"/>
      </w:pPr>
      <w:rPr>
        <w:rFonts w:hint="default"/>
        <w:lang w:val="en-US" w:eastAsia="en-US" w:bidi="ar-SA"/>
      </w:rPr>
    </w:lvl>
  </w:abstractNum>
  <w:abstractNum w:abstractNumId="1" w15:restartNumberingAfterBreak="0">
    <w:nsid w:val="17277661"/>
    <w:multiLevelType w:val="hybridMultilevel"/>
    <w:tmpl w:val="935CD538"/>
    <w:lvl w:ilvl="0" w:tplc="6B4829A0">
      <w:numFmt w:val="bullet"/>
      <w:lvlText w:val=""/>
      <w:lvlJc w:val="left"/>
      <w:pPr>
        <w:ind w:left="1386" w:hanging="361"/>
      </w:pPr>
      <w:rPr>
        <w:rFonts w:ascii="Symbol" w:eastAsia="Symbol" w:hAnsi="Symbol" w:cs="Symbol" w:hint="default"/>
        <w:b w:val="0"/>
        <w:bCs w:val="0"/>
        <w:i w:val="0"/>
        <w:iCs w:val="0"/>
        <w:spacing w:val="0"/>
        <w:w w:val="100"/>
        <w:sz w:val="22"/>
        <w:szCs w:val="22"/>
        <w:lang w:val="en-US" w:eastAsia="en-US" w:bidi="ar-SA"/>
      </w:rPr>
    </w:lvl>
    <w:lvl w:ilvl="1" w:tplc="3722645A">
      <w:numFmt w:val="bullet"/>
      <w:lvlText w:val="•"/>
      <w:lvlJc w:val="left"/>
      <w:pPr>
        <w:ind w:left="2311" w:hanging="361"/>
      </w:pPr>
      <w:rPr>
        <w:rFonts w:hint="default"/>
        <w:lang w:val="en-US" w:eastAsia="en-US" w:bidi="ar-SA"/>
      </w:rPr>
    </w:lvl>
    <w:lvl w:ilvl="2" w:tplc="5858B852">
      <w:numFmt w:val="bullet"/>
      <w:lvlText w:val="•"/>
      <w:lvlJc w:val="left"/>
      <w:pPr>
        <w:ind w:left="3242" w:hanging="361"/>
      </w:pPr>
      <w:rPr>
        <w:rFonts w:hint="default"/>
        <w:lang w:val="en-US" w:eastAsia="en-US" w:bidi="ar-SA"/>
      </w:rPr>
    </w:lvl>
    <w:lvl w:ilvl="3" w:tplc="B9325A7E">
      <w:numFmt w:val="bullet"/>
      <w:lvlText w:val="•"/>
      <w:lvlJc w:val="left"/>
      <w:pPr>
        <w:ind w:left="4174" w:hanging="361"/>
      </w:pPr>
      <w:rPr>
        <w:rFonts w:hint="default"/>
        <w:lang w:val="en-US" w:eastAsia="en-US" w:bidi="ar-SA"/>
      </w:rPr>
    </w:lvl>
    <w:lvl w:ilvl="4" w:tplc="23909438">
      <w:numFmt w:val="bullet"/>
      <w:lvlText w:val="•"/>
      <w:lvlJc w:val="left"/>
      <w:pPr>
        <w:ind w:left="5105" w:hanging="361"/>
      </w:pPr>
      <w:rPr>
        <w:rFonts w:hint="default"/>
        <w:lang w:val="en-US" w:eastAsia="en-US" w:bidi="ar-SA"/>
      </w:rPr>
    </w:lvl>
    <w:lvl w:ilvl="5" w:tplc="A29CB2A4">
      <w:numFmt w:val="bullet"/>
      <w:lvlText w:val="•"/>
      <w:lvlJc w:val="left"/>
      <w:pPr>
        <w:ind w:left="6037" w:hanging="361"/>
      </w:pPr>
      <w:rPr>
        <w:rFonts w:hint="default"/>
        <w:lang w:val="en-US" w:eastAsia="en-US" w:bidi="ar-SA"/>
      </w:rPr>
    </w:lvl>
    <w:lvl w:ilvl="6" w:tplc="F5DA6DC4">
      <w:numFmt w:val="bullet"/>
      <w:lvlText w:val="•"/>
      <w:lvlJc w:val="left"/>
      <w:pPr>
        <w:ind w:left="6968" w:hanging="361"/>
      </w:pPr>
      <w:rPr>
        <w:rFonts w:hint="default"/>
        <w:lang w:val="en-US" w:eastAsia="en-US" w:bidi="ar-SA"/>
      </w:rPr>
    </w:lvl>
    <w:lvl w:ilvl="7" w:tplc="59C2E3F0">
      <w:numFmt w:val="bullet"/>
      <w:lvlText w:val="•"/>
      <w:lvlJc w:val="left"/>
      <w:pPr>
        <w:ind w:left="7900" w:hanging="361"/>
      </w:pPr>
      <w:rPr>
        <w:rFonts w:hint="default"/>
        <w:lang w:val="en-US" w:eastAsia="en-US" w:bidi="ar-SA"/>
      </w:rPr>
    </w:lvl>
    <w:lvl w:ilvl="8" w:tplc="07909D96">
      <w:numFmt w:val="bullet"/>
      <w:lvlText w:val="•"/>
      <w:lvlJc w:val="left"/>
      <w:pPr>
        <w:ind w:left="8831" w:hanging="361"/>
      </w:pPr>
      <w:rPr>
        <w:rFonts w:hint="default"/>
        <w:lang w:val="en-US" w:eastAsia="en-US" w:bidi="ar-SA"/>
      </w:rPr>
    </w:lvl>
  </w:abstractNum>
  <w:abstractNum w:abstractNumId="2" w15:restartNumberingAfterBreak="0">
    <w:nsid w:val="29AA0DA3"/>
    <w:multiLevelType w:val="hybridMultilevel"/>
    <w:tmpl w:val="9ABCCA9E"/>
    <w:lvl w:ilvl="0" w:tplc="BDEEFDFA">
      <w:numFmt w:val="bullet"/>
      <w:lvlText w:val=""/>
      <w:lvlJc w:val="left"/>
      <w:pPr>
        <w:ind w:left="825" w:hanging="361"/>
      </w:pPr>
      <w:rPr>
        <w:rFonts w:ascii="Symbol" w:eastAsia="Symbol" w:hAnsi="Symbol" w:cs="Symbol" w:hint="default"/>
        <w:b w:val="0"/>
        <w:bCs w:val="0"/>
        <w:i w:val="0"/>
        <w:iCs w:val="0"/>
        <w:spacing w:val="0"/>
        <w:w w:val="100"/>
        <w:sz w:val="22"/>
        <w:szCs w:val="22"/>
        <w:lang w:val="en-US" w:eastAsia="en-US" w:bidi="ar-SA"/>
      </w:rPr>
    </w:lvl>
    <w:lvl w:ilvl="1" w:tplc="F7D2DAE0">
      <w:numFmt w:val="bullet"/>
      <w:lvlText w:val="•"/>
      <w:lvlJc w:val="left"/>
      <w:pPr>
        <w:ind w:left="1519" w:hanging="361"/>
      </w:pPr>
      <w:rPr>
        <w:rFonts w:hint="default"/>
        <w:lang w:val="en-US" w:eastAsia="en-US" w:bidi="ar-SA"/>
      </w:rPr>
    </w:lvl>
    <w:lvl w:ilvl="2" w:tplc="3BACBD5C">
      <w:numFmt w:val="bullet"/>
      <w:lvlText w:val="•"/>
      <w:lvlJc w:val="left"/>
      <w:pPr>
        <w:ind w:left="2219" w:hanging="361"/>
      </w:pPr>
      <w:rPr>
        <w:rFonts w:hint="default"/>
        <w:lang w:val="en-US" w:eastAsia="en-US" w:bidi="ar-SA"/>
      </w:rPr>
    </w:lvl>
    <w:lvl w:ilvl="3" w:tplc="28466196">
      <w:numFmt w:val="bullet"/>
      <w:lvlText w:val="•"/>
      <w:lvlJc w:val="left"/>
      <w:pPr>
        <w:ind w:left="2919" w:hanging="361"/>
      </w:pPr>
      <w:rPr>
        <w:rFonts w:hint="default"/>
        <w:lang w:val="en-US" w:eastAsia="en-US" w:bidi="ar-SA"/>
      </w:rPr>
    </w:lvl>
    <w:lvl w:ilvl="4" w:tplc="1FF2EF68">
      <w:numFmt w:val="bullet"/>
      <w:lvlText w:val="•"/>
      <w:lvlJc w:val="left"/>
      <w:pPr>
        <w:ind w:left="3619" w:hanging="361"/>
      </w:pPr>
      <w:rPr>
        <w:rFonts w:hint="default"/>
        <w:lang w:val="en-US" w:eastAsia="en-US" w:bidi="ar-SA"/>
      </w:rPr>
    </w:lvl>
    <w:lvl w:ilvl="5" w:tplc="16E6D17E">
      <w:numFmt w:val="bullet"/>
      <w:lvlText w:val="•"/>
      <w:lvlJc w:val="left"/>
      <w:pPr>
        <w:ind w:left="4319" w:hanging="361"/>
      </w:pPr>
      <w:rPr>
        <w:rFonts w:hint="default"/>
        <w:lang w:val="en-US" w:eastAsia="en-US" w:bidi="ar-SA"/>
      </w:rPr>
    </w:lvl>
    <w:lvl w:ilvl="6" w:tplc="49A83A3C">
      <w:numFmt w:val="bullet"/>
      <w:lvlText w:val="•"/>
      <w:lvlJc w:val="left"/>
      <w:pPr>
        <w:ind w:left="5019" w:hanging="361"/>
      </w:pPr>
      <w:rPr>
        <w:rFonts w:hint="default"/>
        <w:lang w:val="en-US" w:eastAsia="en-US" w:bidi="ar-SA"/>
      </w:rPr>
    </w:lvl>
    <w:lvl w:ilvl="7" w:tplc="7DC2E140">
      <w:numFmt w:val="bullet"/>
      <w:lvlText w:val="•"/>
      <w:lvlJc w:val="left"/>
      <w:pPr>
        <w:ind w:left="5719" w:hanging="361"/>
      </w:pPr>
      <w:rPr>
        <w:rFonts w:hint="default"/>
        <w:lang w:val="en-US" w:eastAsia="en-US" w:bidi="ar-SA"/>
      </w:rPr>
    </w:lvl>
    <w:lvl w:ilvl="8" w:tplc="DAD0F5CE">
      <w:numFmt w:val="bullet"/>
      <w:lvlText w:val="•"/>
      <w:lvlJc w:val="left"/>
      <w:pPr>
        <w:ind w:left="6419" w:hanging="361"/>
      </w:pPr>
      <w:rPr>
        <w:rFonts w:hint="default"/>
        <w:lang w:val="en-US" w:eastAsia="en-US" w:bidi="ar-SA"/>
      </w:rPr>
    </w:lvl>
  </w:abstractNum>
  <w:abstractNum w:abstractNumId="3" w15:restartNumberingAfterBreak="0">
    <w:nsid w:val="3CF82FD3"/>
    <w:multiLevelType w:val="hybridMultilevel"/>
    <w:tmpl w:val="D81C3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280086"/>
    <w:multiLevelType w:val="hybridMultilevel"/>
    <w:tmpl w:val="72BABA58"/>
    <w:lvl w:ilvl="0" w:tplc="73D8C6D8">
      <w:start w:val="1"/>
      <w:numFmt w:val="decimal"/>
      <w:lvlText w:val="%1."/>
      <w:lvlJc w:val="left"/>
      <w:pPr>
        <w:ind w:left="1540" w:hanging="874"/>
      </w:pPr>
      <w:rPr>
        <w:rFonts w:ascii="Arial" w:eastAsia="Arial" w:hAnsi="Arial" w:cs="Arial" w:hint="default"/>
        <w:b/>
        <w:bCs/>
        <w:i w:val="0"/>
        <w:iCs w:val="0"/>
        <w:spacing w:val="0"/>
        <w:w w:val="100"/>
        <w:sz w:val="24"/>
        <w:szCs w:val="24"/>
        <w:lang w:val="en-US" w:eastAsia="en-US" w:bidi="ar-SA"/>
      </w:rPr>
    </w:lvl>
    <w:lvl w:ilvl="1" w:tplc="F6163FCC">
      <w:numFmt w:val="bullet"/>
      <w:lvlText w:val="•"/>
      <w:lvlJc w:val="left"/>
      <w:pPr>
        <w:ind w:left="2455" w:hanging="874"/>
      </w:pPr>
      <w:rPr>
        <w:rFonts w:hint="default"/>
        <w:lang w:val="en-US" w:eastAsia="en-US" w:bidi="ar-SA"/>
      </w:rPr>
    </w:lvl>
    <w:lvl w:ilvl="2" w:tplc="EFBA48E8">
      <w:numFmt w:val="bullet"/>
      <w:lvlText w:val="•"/>
      <w:lvlJc w:val="left"/>
      <w:pPr>
        <w:ind w:left="3370" w:hanging="874"/>
      </w:pPr>
      <w:rPr>
        <w:rFonts w:hint="default"/>
        <w:lang w:val="en-US" w:eastAsia="en-US" w:bidi="ar-SA"/>
      </w:rPr>
    </w:lvl>
    <w:lvl w:ilvl="3" w:tplc="6CB8654A">
      <w:numFmt w:val="bullet"/>
      <w:lvlText w:val="•"/>
      <w:lvlJc w:val="left"/>
      <w:pPr>
        <w:ind w:left="4286" w:hanging="874"/>
      </w:pPr>
      <w:rPr>
        <w:rFonts w:hint="default"/>
        <w:lang w:val="en-US" w:eastAsia="en-US" w:bidi="ar-SA"/>
      </w:rPr>
    </w:lvl>
    <w:lvl w:ilvl="4" w:tplc="2C0629C4">
      <w:numFmt w:val="bullet"/>
      <w:lvlText w:val="•"/>
      <w:lvlJc w:val="left"/>
      <w:pPr>
        <w:ind w:left="5201" w:hanging="874"/>
      </w:pPr>
      <w:rPr>
        <w:rFonts w:hint="default"/>
        <w:lang w:val="en-US" w:eastAsia="en-US" w:bidi="ar-SA"/>
      </w:rPr>
    </w:lvl>
    <w:lvl w:ilvl="5" w:tplc="AE6604D2">
      <w:numFmt w:val="bullet"/>
      <w:lvlText w:val="•"/>
      <w:lvlJc w:val="left"/>
      <w:pPr>
        <w:ind w:left="6117" w:hanging="874"/>
      </w:pPr>
      <w:rPr>
        <w:rFonts w:hint="default"/>
        <w:lang w:val="en-US" w:eastAsia="en-US" w:bidi="ar-SA"/>
      </w:rPr>
    </w:lvl>
    <w:lvl w:ilvl="6" w:tplc="3FD8CC08">
      <w:numFmt w:val="bullet"/>
      <w:lvlText w:val="•"/>
      <w:lvlJc w:val="left"/>
      <w:pPr>
        <w:ind w:left="7032" w:hanging="874"/>
      </w:pPr>
      <w:rPr>
        <w:rFonts w:hint="default"/>
        <w:lang w:val="en-US" w:eastAsia="en-US" w:bidi="ar-SA"/>
      </w:rPr>
    </w:lvl>
    <w:lvl w:ilvl="7" w:tplc="CEB0C6EE">
      <w:numFmt w:val="bullet"/>
      <w:lvlText w:val="•"/>
      <w:lvlJc w:val="left"/>
      <w:pPr>
        <w:ind w:left="7948" w:hanging="874"/>
      </w:pPr>
      <w:rPr>
        <w:rFonts w:hint="default"/>
        <w:lang w:val="en-US" w:eastAsia="en-US" w:bidi="ar-SA"/>
      </w:rPr>
    </w:lvl>
    <w:lvl w:ilvl="8" w:tplc="34B206E2">
      <w:numFmt w:val="bullet"/>
      <w:lvlText w:val="•"/>
      <w:lvlJc w:val="left"/>
      <w:pPr>
        <w:ind w:left="8863" w:hanging="874"/>
      </w:pPr>
      <w:rPr>
        <w:rFonts w:hint="default"/>
        <w:lang w:val="en-US" w:eastAsia="en-US" w:bidi="ar-SA"/>
      </w:rPr>
    </w:lvl>
  </w:abstractNum>
  <w:num w:numId="1" w16cid:durableId="907769032">
    <w:abstractNumId w:val="4"/>
  </w:num>
  <w:num w:numId="2" w16cid:durableId="1371345221">
    <w:abstractNumId w:val="1"/>
  </w:num>
  <w:num w:numId="3" w16cid:durableId="2115898013">
    <w:abstractNumId w:val="0"/>
  </w:num>
  <w:num w:numId="4" w16cid:durableId="399404238">
    <w:abstractNumId w:val="2"/>
  </w:num>
  <w:num w:numId="5" w16cid:durableId="3427114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A40"/>
    <w:rsid w:val="00020990"/>
    <w:rsid w:val="001C4414"/>
    <w:rsid w:val="001E4424"/>
    <w:rsid w:val="00260E22"/>
    <w:rsid w:val="002C20BA"/>
    <w:rsid w:val="00310A40"/>
    <w:rsid w:val="00355C9C"/>
    <w:rsid w:val="0037083D"/>
    <w:rsid w:val="00462380"/>
    <w:rsid w:val="0048136C"/>
    <w:rsid w:val="004B22CD"/>
    <w:rsid w:val="004B4DAC"/>
    <w:rsid w:val="005E44FC"/>
    <w:rsid w:val="006455F5"/>
    <w:rsid w:val="007201FD"/>
    <w:rsid w:val="008109BF"/>
    <w:rsid w:val="00922F67"/>
    <w:rsid w:val="0098148A"/>
    <w:rsid w:val="00997785"/>
    <w:rsid w:val="00A06CDD"/>
    <w:rsid w:val="00B15269"/>
    <w:rsid w:val="00C266F0"/>
    <w:rsid w:val="00C83903"/>
    <w:rsid w:val="00D178C9"/>
    <w:rsid w:val="00E01D8D"/>
    <w:rsid w:val="00E97A6C"/>
    <w:rsid w:val="00ED6D8C"/>
    <w:rsid w:val="00F10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557E0"/>
  <w15:docId w15:val="{84C9FA4B-2E87-4D49-A0E9-278938377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539" w:hanging="87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39" w:hanging="873"/>
    </w:pPr>
  </w:style>
  <w:style w:type="paragraph" w:customStyle="1" w:styleId="TableParagraph">
    <w:name w:val="Table Paragraph"/>
    <w:basedOn w:val="Normal"/>
    <w:uiPriority w:val="1"/>
    <w:qFormat/>
    <w:pPr>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177/1461355716638361" TargetMode="External"/><Relationship Id="rId13" Type="http://schemas.openxmlformats.org/officeDocument/2006/relationships/hyperlink" Target="http://www.jstor.org/stable/4127668" TargetMode="External"/><Relationship Id="rId3" Type="http://schemas.openxmlformats.org/officeDocument/2006/relationships/settings" Target="settings.xml"/><Relationship Id="rId7" Type="http://schemas.openxmlformats.org/officeDocument/2006/relationships/hyperlink" Target="https://www150.statcan.gc.ca/n1/en/pub/12-001-x/2004001/article/6990-eng.pdf?st=_70DZePF" TargetMode="External"/><Relationship Id="rId12" Type="http://schemas.openxmlformats.org/officeDocument/2006/relationships/hyperlink" Target="https://web-p-ebscohost-com.ezproxy.uwtsd.ac.uk/ehost/detail/detail?vid=0&amp;sid=14630270-29b8-4322-b4e8-22271a719977%40redis&amp;bdata=JnNpdGU9ZWhvc3QtbGl2ZQ%3d%3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journals.sagepub.com/doi/10.1177/1360780417724062" TargetMode="External"/><Relationship Id="rId11" Type="http://schemas.openxmlformats.org/officeDocument/2006/relationships/hyperlink" Target="https://doi.org/10.1016/S0047-2352(03)00002-3"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doi.org/10.1037/a0020518" TargetMode="External"/><Relationship Id="rId4" Type="http://schemas.openxmlformats.org/officeDocument/2006/relationships/webSettings" Target="webSettings.xml"/><Relationship Id="rId9" Type="http://schemas.openxmlformats.org/officeDocument/2006/relationships/hyperlink" Target="https://doi.org/10.1093/oxfordjournals.bjc.a014061.%20Accessed%2011%20Jan.%2024" TargetMode="External"/><Relationship Id="rId14" Type="http://schemas.openxmlformats.org/officeDocument/2006/relationships/hyperlink" Target="https://researchbriefings.files.parliament.uk/documents/POST-PN-0693/POST-PN-069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5533</Words>
  <Characters>31543</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Wright,Matthew swp8361</cp:lastModifiedBy>
  <cp:revision>2</cp:revision>
  <dcterms:created xsi:type="dcterms:W3CDTF">2024-03-01T12:08:00Z</dcterms:created>
  <dcterms:modified xsi:type="dcterms:W3CDTF">2024-03-01T12:08:00Z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Created">
    <vt:filetime>2023-06-28T00:00:00Z</vt:filetime>
  </property>
  <property fmtid="{D5CDD505-2E9C-101B-9397-08002B2CF9AE}" pid="4" name="Creator">
    <vt:lpwstr>Acrobat PDFMaker 23 for Word</vt:lpwstr>
  </property>
  <property fmtid="{D5CDD505-2E9C-101B-9397-08002B2CF9AE}" pid="5" name="LastSaved">
    <vt:filetime>2024-02-18T00:00:00Z</vt:filetime>
  </property>
  <property fmtid="{D5CDD505-2E9C-101B-9397-08002B2CF9AE}" pid="6" name="Owner">
    <vt:lpwstr/>
  </property>
  <property fmtid="{D5CDD505-2E9C-101B-9397-08002B2CF9AE}" pid="7" name="Producer">
    <vt:lpwstr>Adobe PDF Library 23.1.206</vt:lpwstr>
  </property>
  <property fmtid="{D5CDD505-2E9C-101B-9397-08002B2CF9AE}" pid="8" name="SPSDescription">
    <vt:lpwstr/>
  </property>
  <property fmtid="{D5CDD505-2E9C-101B-9397-08002B2CF9AE}" pid="9" name="SourceModified">
    <vt:lpwstr/>
  </property>
  <property fmtid="{D5CDD505-2E9C-101B-9397-08002B2CF9AE}" pid="10" name="Status">
    <vt:lpwstr>Final</vt:lpwstr>
  </property>
  <property fmtid="{D5CDD505-2E9C-101B-9397-08002B2CF9AE}" pid="11" name="MSIP_Label_66cf8fe5-b7b7-4df7-b38d-1c61ac2f6639_Enabled">
    <vt:lpwstr>true</vt:lpwstr>
  </property>
  <property fmtid="{D5CDD505-2E9C-101B-9397-08002B2CF9AE}" pid="12" name="MSIP_Label_66cf8fe5-b7b7-4df7-b38d-1c61ac2f6639_SetDate">
    <vt:lpwstr>2024-02-18T10:49:59Z</vt:lpwstr>
  </property>
  <property fmtid="{D5CDD505-2E9C-101B-9397-08002B2CF9AE}" pid="13" name="MSIP_Label_66cf8fe5-b7b7-4df7-b38d-1c61ac2f6639_Method">
    <vt:lpwstr>Standard</vt:lpwstr>
  </property>
  <property fmtid="{D5CDD505-2E9C-101B-9397-08002B2CF9AE}" pid="14" name="MSIP_Label_66cf8fe5-b7b7-4df7-b38d-1c61ac2f6639_Name">
    <vt:lpwstr>66cf8fe5-b7b7-4df7-b38d-1c61ac2f6639</vt:lpwstr>
  </property>
  <property fmtid="{D5CDD505-2E9C-101B-9397-08002B2CF9AE}" pid="15" name="MSIP_Label_66cf8fe5-b7b7-4df7-b38d-1c61ac2f6639_SiteId">
    <vt:lpwstr>270c2f4d-fd0c-4f08-92a9-e5bdd8a87e09</vt:lpwstr>
  </property>
  <property fmtid="{D5CDD505-2E9C-101B-9397-08002B2CF9AE}" pid="16" name="MSIP_Label_66cf8fe5-b7b7-4df7-b38d-1c61ac2f6639_ActionId">
    <vt:lpwstr>33a2531f-9f88-4bc9-94ca-ae17ce79746a</vt:lpwstr>
  </property>
  <property fmtid="{D5CDD505-2E9C-101B-9397-08002B2CF9AE}" pid="17" name="MSIP_Label_66cf8fe5-b7b7-4df7-b38d-1c61ac2f6639_ContentBits">
    <vt:lpwstr>0</vt:lpwstr>
  </property>
</Properties>
</file>