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6CCC43A8">
      <w:pPr>
        <w:keepNext w:val="0"/>
        <w:keepLines w:val="0"/>
        <w:pageBreakBefore w:val="0"/>
        <w:widowControl w:val="0"/>
        <w:numPr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line="240" w:lineRule="auto"/>
        <w:ind w:right="105" w:rightChars="50"/>
        <w:textAlignment w:val="auto"/>
        <w:rPr>
          <w:rFonts w:hint="default" w:ascii="Times New Roman" w:hAnsi="Times New Roman" w:eastAsia="宋体" w:cs="Times New Roman"/>
          <w:sz w:val="11"/>
          <w:szCs w:val="11"/>
        </w:rPr>
      </w:pPr>
      <w:r>
        <w:rPr>
          <w:rFonts w:hint="default" w:ascii="Times New Roman" w:hAnsi="Times New Roman" w:eastAsia="宋体" w:cs="Times New Roman"/>
          <w:sz w:val="11"/>
          <w:szCs w:val="11"/>
        </w:rPr>
        <w:t>Application of the Ansoff Matrix to Tesla</w:t>
      </w:r>
    </w:p>
    <w:p w14:paraId="3A8EA721">
      <w:pPr>
        <w:keepNext w:val="0"/>
        <w:keepLines w:val="0"/>
        <w:pageBreakBefore w:val="0"/>
        <w:widowControl w:val="0"/>
        <w:numPr>
          <w:ilvl w:val="0"/>
          <w:numId w:val="1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line="240" w:lineRule="auto"/>
        <w:ind w:left="210" w:leftChars="100" w:right="210" w:rightChars="100"/>
        <w:jc w:val="left"/>
        <w:textAlignment w:val="auto"/>
        <w:rPr>
          <w:rFonts w:hint="default" w:ascii="Times New Roman" w:hAnsi="Times New Roman" w:eastAsia="宋体" w:cs="Times New Roman"/>
          <w:sz w:val="11"/>
          <w:szCs w:val="11"/>
        </w:rPr>
      </w:pP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Market Penetration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 </w:t>
      </w:r>
      <w:r>
        <w:rPr>
          <w:rFonts w:hint="default" w:ascii="Times New Roman" w:hAnsi="Times New Roman" w:eastAsia="宋体" w:cs="Times New Roman"/>
          <w:sz w:val="11"/>
          <w:szCs w:val="11"/>
        </w:rPr>
        <w:t>Tesla can increase its share in current markets (e.g., U.S., Europe, China) by reducing prices of its core models (Model 3, Model Y), offering flexible financing, and expanding charging networks.</w:t>
      </w:r>
      <w:r>
        <w:rPr>
          <w:rFonts w:hint="default" w:ascii="Times New Roman" w:hAnsi="Times New Roman" w:eastAsia="宋体" w:cs="Times New Roman"/>
          <w:sz w:val="11"/>
          <w:szCs w:val="11"/>
        </w:rPr>
        <w:br w:type="textWrapping"/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Market Development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 </w:t>
      </w:r>
      <w:r>
        <w:rPr>
          <w:rFonts w:hint="default" w:ascii="Times New Roman" w:hAnsi="Times New Roman" w:eastAsia="宋体" w:cs="Times New Roman"/>
          <w:sz w:val="11"/>
          <w:szCs w:val="11"/>
        </w:rPr>
        <w:t>Tesla could expand to new geographic markets, such as India or parts of Southeast Asia and Eastern Europe, where EV adoption is still emerging but has high growth potential.</w:t>
      </w:r>
      <w:r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 </w:t>
      </w:r>
    </w:p>
    <w:p w14:paraId="6DF7F404">
      <w:pPr>
        <w:keepNext w:val="0"/>
        <w:keepLines w:val="0"/>
        <w:pageBreakBefore w:val="0"/>
        <w:widowControl w:val="0"/>
        <w:numPr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line="240" w:lineRule="auto"/>
        <w:ind w:right="210" w:rightChars="100" w:firstLine="110" w:firstLineChars="100"/>
        <w:jc w:val="left"/>
        <w:textAlignment w:val="auto"/>
        <w:rPr>
          <w:rFonts w:hint="default" w:ascii="Times New Roman" w:hAnsi="Times New Roman" w:eastAsia="宋体" w:cs="Times New Roman"/>
          <w:sz w:val="11"/>
          <w:szCs w:val="11"/>
        </w:rPr>
      </w:pP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Product Development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  <w:lang w:eastAsia="zh-CN"/>
        </w:rPr>
        <w:t>：</w:t>
      </w:r>
      <w:r>
        <w:rPr>
          <w:rFonts w:hint="default" w:ascii="Times New Roman" w:hAnsi="Times New Roman" w:eastAsia="宋体" w:cs="Times New Roman"/>
          <w:sz w:val="11"/>
          <w:szCs w:val="11"/>
        </w:rPr>
        <w:t>Tesla can develop new vehicles (like the Cybertruck or a lower-cost compact model) and expand into energy products (Powerwall, Megapack) and AI-driven software like Full Self-Driving (FSD).</w:t>
      </w:r>
    </w:p>
    <w:p w14:paraId="420753E0">
      <w:pPr>
        <w:keepNext w:val="0"/>
        <w:keepLines w:val="0"/>
        <w:pageBreakBefore w:val="0"/>
        <w:widowControl w:val="0"/>
        <w:numPr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line="240" w:lineRule="auto"/>
        <w:ind w:left="210" w:leftChars="100" w:right="210" w:rightChars="100"/>
        <w:jc w:val="left"/>
        <w:textAlignment w:val="auto"/>
        <w:rPr>
          <w:rFonts w:hint="default" w:ascii="Times New Roman" w:hAnsi="Times New Roman" w:eastAsia="宋体" w:cs="Times New Roman"/>
          <w:sz w:val="24"/>
          <w:szCs w:val="24"/>
        </w:rPr>
      </w:pP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Diversification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  <w:lang w:eastAsia="zh-CN"/>
        </w:rPr>
        <w:t>：</w:t>
      </w:r>
      <w:r>
        <w:rPr>
          <w:rFonts w:hint="default" w:ascii="Times New Roman" w:hAnsi="Times New Roman" w:eastAsia="宋体" w:cs="Times New Roman"/>
          <w:sz w:val="11"/>
          <w:szCs w:val="11"/>
        </w:rPr>
        <w:t>Tesla may diversify further into AI, robotics (Tesla Bot), or energy services, creating a broader ecosystem beyond automobiles—reducing risk from auto-sector volatility.</w:t>
      </w:r>
    </w:p>
    <w:p w14:paraId="64572A51">
      <w:pPr>
        <w:keepNext w:val="0"/>
        <w:keepLines w:val="0"/>
        <w:pageBreakBefore w:val="0"/>
        <w:widowControl w:val="0"/>
        <w:numPr>
          <w:ilvl w:val="0"/>
          <w:numId w:val="1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line="240" w:lineRule="auto"/>
        <w:ind w:left="210" w:leftChars="100" w:right="210" w:rightChars="100"/>
        <w:jc w:val="left"/>
        <w:textAlignment w:val="auto"/>
        <w:rPr>
          <w:rFonts w:hint="default" w:ascii="Times New Roman" w:hAnsi="Times New Roman" w:eastAsia="宋体" w:cs="Times New Roman"/>
          <w:sz w:val="11"/>
          <w:szCs w:val="11"/>
        </w:rPr>
      </w:pPr>
      <w:r>
        <w:rPr>
          <w:rFonts w:hint="default" w:ascii="Times New Roman" w:hAnsi="Times New Roman" w:eastAsia="宋体" w:cs="Times New Roman"/>
          <w:b/>
          <w:bCs/>
          <w:sz w:val="11"/>
          <w:szCs w:val="11"/>
          <w:lang w:val="en-US" w:eastAsia="zh-CN"/>
        </w:rPr>
        <w:t>Advantage：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Clear Growth Paths</w:t>
      </w:r>
      <w:r>
        <w:rPr>
          <w:rFonts w:hint="default" w:ascii="Times New Roman" w:hAnsi="Times New Roman" w:eastAsia="宋体" w:cs="Times New Roman"/>
          <w:sz w:val="11"/>
          <w:szCs w:val="11"/>
        </w:rPr>
        <w:t>: Helps Tesla leadership identify and weigh strategic options during uncertainty.</w:t>
      </w:r>
      <w:r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 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Balance of Risk</w:t>
      </w:r>
      <w:r>
        <w:rPr>
          <w:rFonts w:hint="default" w:ascii="Times New Roman" w:hAnsi="Times New Roman" w:eastAsia="宋体" w:cs="Times New Roman"/>
          <w:sz w:val="11"/>
          <w:szCs w:val="11"/>
        </w:rPr>
        <w:t>: Each strategy carries a different risk profile, aiding decision-making.</w:t>
      </w:r>
      <w:r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 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Product-Market Fit Focus</w:t>
      </w:r>
      <w:r>
        <w:rPr>
          <w:rFonts w:hint="default" w:ascii="Times New Roman" w:hAnsi="Times New Roman" w:eastAsia="宋体" w:cs="Times New Roman"/>
          <w:sz w:val="11"/>
          <w:szCs w:val="11"/>
        </w:rPr>
        <w:t>: Perfect for a company constantly innovating in both product and market.</w:t>
      </w:r>
    </w:p>
    <w:p w14:paraId="4FAF5B8A">
      <w:pPr>
        <w:keepNext w:val="0"/>
        <w:keepLines w:val="0"/>
        <w:pageBreakBefore w:val="0"/>
        <w:widowControl w:val="0"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ind w:left="210" w:leftChars="100" w:right="210" w:rightChars="100"/>
        <w:jc w:val="left"/>
        <w:textAlignment w:val="auto"/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</w:pPr>
      <w:r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  <w:t>Dis: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Lacks External Analysis</w:t>
      </w:r>
      <w:r>
        <w:rPr>
          <w:rFonts w:hint="default" w:ascii="Times New Roman" w:hAnsi="Times New Roman" w:eastAsia="宋体" w:cs="Times New Roman"/>
          <w:sz w:val="11"/>
          <w:szCs w:val="11"/>
        </w:rPr>
        <w:t>: Doesn’t factor in competition from BYD, Ford, etc., or regulatory hurdles.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Execution Gaps</w:t>
      </w:r>
      <w:r>
        <w:rPr>
          <w:rFonts w:hint="default" w:ascii="Times New Roman" w:hAnsi="Times New Roman" w:eastAsia="宋体" w:cs="Times New Roman"/>
          <w:sz w:val="11"/>
          <w:szCs w:val="11"/>
        </w:rPr>
        <w:t>: Suggests direction, but not the implementation path or internal capability.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Assumes Resources Available</w:t>
      </w:r>
      <w:r>
        <w:rPr>
          <w:rFonts w:hint="default" w:ascii="Times New Roman" w:hAnsi="Times New Roman" w:eastAsia="宋体" w:cs="Times New Roman"/>
          <w:sz w:val="11"/>
          <w:szCs w:val="11"/>
        </w:rPr>
        <w:t>: May overestimate Tesla’s ability to pursue all four strategies simultaneously.</w:t>
      </w:r>
    </w:p>
    <w:p w14:paraId="17D27FBD">
      <w:pPr>
        <w:numPr>
          <w:ilvl w:val="0"/>
          <w:numId w:val="1"/>
        </w:numPr>
        <w:ind w:left="0" w:leftChars="0" w:firstLine="0" w:firstLineChars="0"/>
        <w:rPr>
          <w:rFonts w:hint="default" w:ascii="Times New Roman" w:hAnsi="Times New Roman" w:eastAsia="宋体" w:cs="Times New Roman"/>
          <w:sz w:val="11"/>
          <w:szCs w:val="11"/>
        </w:rPr>
      </w:pPr>
      <w:r>
        <w:rPr>
          <w:rFonts w:hint="default" w:ascii="Times New Roman" w:hAnsi="Times New Roman" w:eastAsia="宋体" w:cs="Times New Roman"/>
          <w:b/>
          <w:bCs/>
          <w:sz w:val="11"/>
          <w:szCs w:val="11"/>
          <w:lang w:val="en-US" w:eastAsia="zh-CN"/>
        </w:rPr>
        <w:t>Vrio</w:t>
      </w:r>
      <w:r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 ：Value </w:t>
      </w:r>
      <w:r>
        <w:rPr>
          <w:rFonts w:hint="default" w:ascii="Times New Roman" w:hAnsi="Times New Roman" w:eastAsia="宋体" w:cs="Times New Roman"/>
          <w:sz w:val="11"/>
          <w:szCs w:val="11"/>
        </w:rPr>
        <w:t>Tesla’s proprietary battery tech and software enhance range and user experience.</w:t>
      </w:r>
      <w:r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 </w:t>
      </w:r>
      <w:r>
        <w:rPr>
          <w:rFonts w:hint="default" w:ascii="Times New Roman" w:hAnsi="Times New Roman" w:eastAsia="宋体" w:cs="Times New Roman"/>
          <w:b/>
          <w:bCs/>
          <w:sz w:val="11"/>
          <w:szCs w:val="11"/>
        </w:rPr>
        <w:t>Rarity</w:t>
      </w:r>
      <w:r>
        <w:rPr>
          <w:rFonts w:hint="default" w:ascii="Times New Roman" w:hAnsi="Times New Roman" w:eastAsia="宋体" w:cs="Times New Roman"/>
          <w:sz w:val="11"/>
          <w:szCs w:val="11"/>
          <w:lang w:eastAsia="zh-CN"/>
        </w:rPr>
        <w:t>：</w:t>
      </w:r>
      <w:r>
        <w:rPr>
          <w:rFonts w:hint="default" w:ascii="Times New Roman" w:hAnsi="Times New Roman" w:eastAsia="宋体" w:cs="Times New Roman"/>
          <w:sz w:val="11"/>
          <w:szCs w:val="11"/>
        </w:rPr>
        <w:t>Vertical integration (owning Gigafactories, software stack, and charging networks).</w:t>
      </w:r>
      <w:r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 </w:t>
      </w:r>
      <w:r>
        <w:rPr>
          <w:rFonts w:hint="default" w:ascii="Times New Roman" w:hAnsi="Times New Roman" w:eastAsia="宋体" w:cs="Times New Roman"/>
          <w:b/>
          <w:bCs/>
          <w:sz w:val="11"/>
          <w:szCs w:val="11"/>
        </w:rPr>
        <w:t>Imitability</w:t>
      </w:r>
      <w:r>
        <w:rPr>
          <w:rFonts w:hint="default" w:ascii="Times New Roman" w:hAnsi="Times New Roman" w:eastAsia="宋体" w:cs="Times New Roman"/>
          <w:sz w:val="11"/>
          <w:szCs w:val="11"/>
          <w:lang w:eastAsia="zh-CN"/>
        </w:rPr>
        <w:t>：</w:t>
      </w:r>
      <w:r>
        <w:rPr>
          <w:rFonts w:hint="default" w:ascii="Times New Roman" w:hAnsi="Times New Roman" w:eastAsia="宋体" w:cs="Times New Roman"/>
          <w:sz w:val="11"/>
          <w:szCs w:val="11"/>
        </w:rPr>
        <w:t>Difficult to replicate due to Elon Musk's vision, brand strength, and first-mover advantage.</w:t>
      </w:r>
    </w:p>
    <w:p w14:paraId="1D360A8F">
      <w:pPr>
        <w:numPr>
          <w:ilvl w:val="0"/>
          <w:numId w:val="0"/>
        </w:numPr>
        <w:ind w:leftChars="0"/>
        <w:rPr>
          <w:rFonts w:hint="default" w:ascii="Times New Roman" w:hAnsi="Times New Roman" w:eastAsia="宋体" w:cs="Times New Roman"/>
          <w:sz w:val="11"/>
          <w:szCs w:val="11"/>
        </w:rPr>
      </w:pPr>
      <w:r>
        <w:rPr>
          <w:rFonts w:hint="default" w:ascii="Times New Roman" w:hAnsi="Times New Roman" w:eastAsia="宋体" w:cs="Times New Roman"/>
          <w:b/>
          <w:bCs/>
          <w:sz w:val="11"/>
          <w:szCs w:val="11"/>
        </w:rPr>
        <w:t>Organization</w:t>
      </w:r>
      <w:r>
        <w:rPr>
          <w:rFonts w:hint="default" w:ascii="Times New Roman" w:hAnsi="Times New Roman" w:eastAsia="宋体" w:cs="Times New Roman"/>
          <w:sz w:val="11"/>
          <w:szCs w:val="11"/>
          <w:lang w:eastAsia="zh-CN"/>
        </w:rPr>
        <w:t>：</w:t>
      </w:r>
      <w:r>
        <w:rPr>
          <w:rFonts w:hint="default" w:ascii="Times New Roman" w:hAnsi="Times New Roman" w:eastAsia="宋体" w:cs="Times New Roman"/>
          <w:sz w:val="11"/>
          <w:szCs w:val="11"/>
        </w:rPr>
        <w:t>Tesla is structured to exploit these resources via centralized R&amp;D, in-house production, and global logistics.</w:t>
      </w:r>
    </w:p>
    <w:p w14:paraId="472373A8">
      <w:pPr>
        <w:numPr>
          <w:ilvl w:val="0"/>
          <w:numId w:val="0"/>
        </w:numPr>
        <w:ind w:leftChars="0"/>
        <w:rPr>
          <w:rFonts w:hint="default" w:ascii="Times New Roman" w:hAnsi="Times New Roman" w:eastAsia="宋体" w:cs="Times New Roman"/>
          <w:sz w:val="11"/>
          <w:szCs w:val="11"/>
        </w:rPr>
      </w:pPr>
      <w:r>
        <w:rPr>
          <w:rFonts w:hint="default" w:ascii="Times New Roman" w:hAnsi="Times New Roman" w:cs="Times New Roman"/>
          <w:sz w:val="1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3181350</wp:posOffset>
                </wp:positionH>
                <wp:positionV relativeFrom="paragraph">
                  <wp:posOffset>189865</wp:posOffset>
                </wp:positionV>
                <wp:extent cx="1955800" cy="1086485"/>
                <wp:effectExtent l="4445" t="4445" r="8255" b="13970"/>
                <wp:wrapNone/>
                <wp:docPr id="1" name="文本框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4696460" y="3417570"/>
                          <a:ext cx="1955800" cy="10864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37D0B03">
                            <w:pPr>
                              <w:pStyle w:val="5"/>
                              <w:keepNext w:val="0"/>
                              <w:keepLines w:val="0"/>
                              <w:widowControl/>
                              <w:suppressLineNumbers w:val="0"/>
                              <w:spacing w:before="0" w:beforeAutospacing="1" w:after="0" w:afterAutospacing="1"/>
                              <w:ind w:left="0" w:right="0"/>
                              <w:rPr>
                                <w:sz w:val="11"/>
                                <w:szCs w:val="11"/>
                              </w:rPr>
                            </w:pPr>
                            <w:r>
                              <w:rPr>
                                <w:sz w:val="11"/>
                                <w:szCs w:val="11"/>
                              </w:rPr>
                              <w:t xml:space="preserve">By integrating Porter’s Five Forces, RBV, Ansoff Matrix, Blue Ocean Strategy, and PESTEL, Tesla can build a robust, future-proof strategy. The company must combine </w:t>
                            </w:r>
                            <w:r>
                              <w:rPr>
                                <w:rStyle w:val="8"/>
                                <w:sz w:val="11"/>
                                <w:szCs w:val="11"/>
                              </w:rPr>
                              <w:t>innovation, operational control</w:t>
                            </w:r>
                            <w:r>
                              <w:rPr>
                                <w:sz w:val="11"/>
                                <w:szCs w:val="11"/>
                              </w:rPr>
                              <w:t xml:space="preserve">, and </w:t>
                            </w:r>
                            <w:r>
                              <w:rPr>
                                <w:rStyle w:val="8"/>
                                <w:sz w:val="11"/>
                                <w:szCs w:val="11"/>
                              </w:rPr>
                              <w:t>market agility</w:t>
                            </w:r>
                            <w:r>
                              <w:rPr>
                                <w:sz w:val="11"/>
                                <w:szCs w:val="11"/>
                              </w:rPr>
                              <w:t xml:space="preserve"> to thrive in a fast-changing competitive landscape.</w:t>
                            </w:r>
                          </w:p>
                          <w:p w14:paraId="5360EF9B">
                            <w:pPr>
                              <w:rPr>
                                <w:sz w:val="11"/>
                                <w:szCs w:val="1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26" o:spid="_x0000_s1026" o:spt="202" type="#_x0000_t202" style="position:absolute;left:0pt;margin-left:250.5pt;margin-top:14.95pt;height:85.55pt;width:154pt;z-index:251659264;mso-width-relative:page;mso-height-relative:page;" fillcolor="#FFFFFF [3201]" filled="t" stroked="t" coordsize="21600,21600" o:gfxdata="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">
                <v:fill on="t" focussize="0,0"/>
                <v:stroke weight="0.5pt" color="#000000 [3204]" joinstyle="round"/>
                <v:imagedata o:title=""/>
                <o:lock v:ext="edit" aspectratio="f"/>
                <v:textbox>
                  <w:txbxContent>
                    <w:p w14:paraId="237D0B03">
                      <w:pPr>
                        <w:pStyle w:val="5"/>
                        <w:keepNext w:val="0"/>
                        <w:keepLines w:val="0"/>
                        <w:widowControl/>
                        <w:suppressLineNumbers w:val="0"/>
                        <w:spacing w:before="0" w:beforeAutospacing="1" w:after="0" w:afterAutospacing="1"/>
                        <w:ind w:left="0" w:right="0"/>
                        <w:rPr>
                          <w:sz w:val="11"/>
                          <w:szCs w:val="11"/>
                        </w:rPr>
                      </w:pPr>
                      <w:r>
                        <w:rPr>
                          <w:sz w:val="11"/>
                          <w:szCs w:val="11"/>
                        </w:rPr>
                        <w:t xml:space="preserve">By integrating Porter’s Five Forces, RBV, Ansoff Matrix, Blue Ocean Strategy, and PESTEL, Tesla can build a robust, future-proof strategy. The company must combine </w:t>
                      </w:r>
                      <w:r>
                        <w:rPr>
                          <w:rStyle w:val="8"/>
                          <w:sz w:val="11"/>
                          <w:szCs w:val="11"/>
                        </w:rPr>
                        <w:t>innovation, operational control</w:t>
                      </w:r>
                      <w:r>
                        <w:rPr>
                          <w:sz w:val="11"/>
                          <w:szCs w:val="11"/>
                        </w:rPr>
                        <w:t xml:space="preserve">, and </w:t>
                      </w:r>
                      <w:r>
                        <w:rPr>
                          <w:rStyle w:val="8"/>
                          <w:sz w:val="11"/>
                          <w:szCs w:val="11"/>
                        </w:rPr>
                        <w:t>market agility</w:t>
                      </w:r>
                      <w:r>
                        <w:rPr>
                          <w:sz w:val="11"/>
                          <w:szCs w:val="11"/>
                        </w:rPr>
                        <w:t xml:space="preserve"> to thrive in a fast-changing competitive landscape.</w:t>
                      </w:r>
                    </w:p>
                    <w:p w14:paraId="5360EF9B">
                      <w:pPr>
                        <w:rPr>
                          <w:sz w:val="11"/>
                          <w:szCs w:val="11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hint="default" w:ascii="Times New Roman" w:hAnsi="Times New Roman" w:eastAsia="宋体" w:cs="Times New Roman"/>
          <w:sz w:val="11"/>
          <w:szCs w:val="11"/>
        </w:rPr>
        <w:t>McKinsey 7S Framework</w:t>
      </w:r>
    </w:p>
    <w:tbl>
      <w:tblPr>
        <w:tblStyle w:val="6"/>
        <w:tblW w:w="0" w:type="auto"/>
        <w:tblCellSpacing w:w="15" w:type="dxa"/>
        <w:tblInd w:w="0" w:type="dxa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shd w:val="clear" w:color="auto" w:fill="auto"/>
        <w:tblLayout w:type="autofit"/>
        <w:tblCellMar>
          <w:top w:w="15" w:type="dxa"/>
          <w:left w:w="15" w:type="dxa"/>
          <w:bottom w:w="15" w:type="dxa"/>
          <w:right w:w="15" w:type="dxa"/>
        </w:tblCellMar>
      </w:tblPr>
      <w:tblGrid>
        <w:gridCol w:w="757"/>
        <w:gridCol w:w="3555"/>
      </w:tblGrid>
      <w:tr w14:paraId="505FF3C1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15" w:type="dxa"/>
            <w:left w:w="15" w:type="dxa"/>
            <w:bottom w:w="15" w:type="dxa"/>
            <w:right w:w="15" w:type="dxa"/>
          </w:tblCellMar>
        </w:tblPrEx>
        <w:trPr>
          <w:trHeight w:val="189" w:hRule="atLeast"/>
          <w:tblHeader/>
          <w:tblCellSpacing w:w="15" w:type="dxa"/>
        </w:trPr>
        <w:tc>
          <w:tcPr>
            <w:tcW w:w="0" w:type="auto"/>
            <w:shd w:val="clear" w:color="auto" w:fill="auto"/>
            <w:vAlign w:val="center"/>
          </w:tcPr>
          <w:p w14:paraId="08FD1E17">
            <w:pPr>
              <w:keepNext w:val="0"/>
              <w:keepLines w:val="0"/>
              <w:widowControl/>
              <w:suppressLineNumbers w:val="0"/>
              <w:jc w:val="center"/>
              <w:rPr>
                <w:rFonts w:hint="default" w:ascii="Times New Roman" w:hAnsi="Times New Roman" w:cs="Times New Roman"/>
                <w:b/>
                <w:bCs/>
                <w:sz w:val="11"/>
                <w:szCs w:val="11"/>
              </w:rPr>
            </w:pPr>
            <w:r>
              <w:rPr>
                <w:rFonts w:hint="default" w:ascii="Times New Roman" w:hAnsi="Times New Roman" w:eastAsia="宋体" w:cs="Times New Roman"/>
                <w:b/>
                <w:bCs/>
                <w:kern w:val="0"/>
                <w:sz w:val="11"/>
                <w:szCs w:val="11"/>
                <w:lang w:val="en-US" w:eastAsia="zh-CN" w:bidi="ar"/>
              </w:rPr>
              <w:t>Component</w:t>
            </w:r>
          </w:p>
        </w:tc>
        <w:tc>
          <w:tcPr>
            <w:tcW w:w="0" w:type="auto"/>
            <w:shd w:val="clear" w:color="auto" w:fill="auto"/>
            <w:vAlign w:val="center"/>
          </w:tcPr>
          <w:p w14:paraId="4300AC08">
            <w:pPr>
              <w:keepNext w:val="0"/>
              <w:keepLines w:val="0"/>
              <w:widowControl/>
              <w:suppressLineNumbers w:val="0"/>
              <w:jc w:val="center"/>
              <w:rPr>
                <w:rFonts w:hint="default" w:ascii="Times New Roman" w:hAnsi="Times New Roman" w:cs="Times New Roman"/>
                <w:b/>
                <w:bCs/>
                <w:sz w:val="11"/>
                <w:szCs w:val="11"/>
              </w:rPr>
            </w:pPr>
            <w:r>
              <w:rPr>
                <w:rFonts w:hint="default" w:ascii="Times New Roman" w:hAnsi="Times New Roman" w:eastAsia="宋体" w:cs="Times New Roman"/>
                <w:b/>
                <w:bCs/>
                <w:kern w:val="0"/>
                <w:sz w:val="11"/>
                <w:szCs w:val="11"/>
                <w:lang w:val="en-US" w:eastAsia="zh-CN" w:bidi="ar"/>
              </w:rPr>
              <w:t>Tesla Example</w:t>
            </w:r>
          </w:p>
        </w:tc>
      </w:tr>
      <w:tr w14:paraId="17F43105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shd w:val="clear" w:color="auto" w:fill="auto"/>
          <w:tblCellMar>
            <w:top w:w="15" w:type="dxa"/>
            <w:left w:w="15" w:type="dxa"/>
            <w:bottom w:w="15" w:type="dxa"/>
            <w:right w:w="15" w:type="dxa"/>
          </w:tblCellMar>
        </w:tblPrEx>
        <w:trPr>
          <w:trHeight w:val="334" w:hRule="atLeast"/>
          <w:tblCellSpacing w:w="15" w:type="dxa"/>
        </w:trPr>
        <w:tc>
          <w:tcPr>
            <w:tcW w:w="0" w:type="auto"/>
            <w:shd w:val="clear" w:color="auto" w:fill="auto"/>
            <w:vAlign w:val="center"/>
          </w:tcPr>
          <w:p w14:paraId="3859BDE3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Times New Roman" w:hAnsi="Times New Roman" w:cs="Times New Roman"/>
                <w:sz w:val="11"/>
                <w:szCs w:val="11"/>
              </w:rPr>
            </w:pPr>
            <w:r>
              <w:rPr>
                <w:rStyle w:val="8"/>
                <w:rFonts w:hint="default" w:ascii="Times New Roman" w:hAnsi="Times New Roman" w:eastAsia="宋体" w:cs="Times New Roman"/>
                <w:kern w:val="0"/>
                <w:sz w:val="11"/>
                <w:szCs w:val="11"/>
                <w:lang w:val="en-US" w:eastAsia="zh-CN" w:bidi="ar"/>
              </w:rPr>
              <w:t>Strategy</w:t>
            </w:r>
          </w:p>
        </w:tc>
        <w:tc>
          <w:tcPr>
            <w:tcW w:w="0" w:type="auto"/>
            <w:shd w:val="clear" w:color="auto" w:fill="auto"/>
            <w:vAlign w:val="center"/>
          </w:tcPr>
          <w:p w14:paraId="313D3EE2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Times New Roman" w:hAnsi="Times New Roman" w:cs="Times New Roman"/>
                <w:sz w:val="11"/>
                <w:szCs w:val="11"/>
              </w:rPr>
            </w:pPr>
            <w:r>
              <w:rPr>
                <w:rFonts w:hint="default" w:ascii="Times New Roman" w:hAnsi="Times New Roman" w:eastAsia="宋体" w:cs="Times New Roman"/>
                <w:kern w:val="0"/>
                <w:sz w:val="11"/>
                <w:szCs w:val="11"/>
                <w:lang w:val="en-US" w:eastAsia="zh-CN" w:bidi="ar"/>
              </w:rPr>
              <w:t>Focus on electrification, AI, energy solutions, and global expansion.</w:t>
            </w:r>
          </w:p>
        </w:tc>
      </w:tr>
      <w:tr w14:paraId="69101608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15" w:type="dxa"/>
            <w:left w:w="15" w:type="dxa"/>
            <w:bottom w:w="15" w:type="dxa"/>
            <w:right w:w="15" w:type="dxa"/>
          </w:tblCellMar>
        </w:tblPrEx>
        <w:trPr>
          <w:trHeight w:val="182" w:hRule="atLeast"/>
          <w:tblCellSpacing w:w="15" w:type="dxa"/>
        </w:trPr>
        <w:tc>
          <w:tcPr>
            <w:tcW w:w="0" w:type="auto"/>
            <w:shd w:val="clear" w:color="auto" w:fill="auto"/>
            <w:vAlign w:val="center"/>
          </w:tcPr>
          <w:p w14:paraId="11CD10F5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Times New Roman" w:hAnsi="Times New Roman" w:cs="Times New Roman"/>
                <w:sz w:val="11"/>
                <w:szCs w:val="11"/>
              </w:rPr>
            </w:pPr>
            <w:r>
              <w:rPr>
                <w:rStyle w:val="8"/>
                <w:rFonts w:hint="default" w:ascii="Times New Roman" w:hAnsi="Times New Roman" w:eastAsia="宋体" w:cs="Times New Roman"/>
                <w:kern w:val="0"/>
                <w:sz w:val="11"/>
                <w:szCs w:val="11"/>
                <w:lang w:val="en-US" w:eastAsia="zh-CN" w:bidi="ar"/>
              </w:rPr>
              <w:t>Structure</w:t>
            </w:r>
          </w:p>
        </w:tc>
        <w:tc>
          <w:tcPr>
            <w:tcW w:w="0" w:type="auto"/>
            <w:shd w:val="clear" w:color="auto" w:fill="auto"/>
            <w:vAlign w:val="center"/>
          </w:tcPr>
          <w:p w14:paraId="78257449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Times New Roman" w:hAnsi="Times New Roman" w:cs="Times New Roman"/>
                <w:sz w:val="11"/>
                <w:szCs w:val="11"/>
              </w:rPr>
            </w:pPr>
            <w:r>
              <w:rPr>
                <w:rFonts w:hint="default" w:ascii="Times New Roman" w:hAnsi="Times New Roman" w:eastAsia="宋体" w:cs="Times New Roman"/>
                <w:kern w:val="0"/>
                <w:sz w:val="11"/>
                <w:szCs w:val="11"/>
                <w:lang w:val="en-US" w:eastAsia="zh-CN" w:bidi="ar"/>
              </w:rPr>
              <w:t>Functional and flat hierarchy supporting speed and agility.</w:t>
            </w:r>
          </w:p>
        </w:tc>
      </w:tr>
      <w:tr w14:paraId="19EA6807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15" w:type="dxa"/>
            <w:left w:w="15" w:type="dxa"/>
            <w:bottom w:w="15" w:type="dxa"/>
            <w:right w:w="15" w:type="dxa"/>
          </w:tblCellMar>
        </w:tblPrEx>
        <w:trPr>
          <w:trHeight w:val="334" w:hRule="atLeast"/>
          <w:tblCellSpacing w:w="15" w:type="dxa"/>
        </w:trPr>
        <w:tc>
          <w:tcPr>
            <w:tcW w:w="0" w:type="auto"/>
            <w:shd w:val="clear" w:color="auto" w:fill="auto"/>
            <w:vAlign w:val="center"/>
          </w:tcPr>
          <w:p w14:paraId="098952F9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Times New Roman" w:hAnsi="Times New Roman" w:cs="Times New Roman"/>
                <w:sz w:val="11"/>
                <w:szCs w:val="11"/>
              </w:rPr>
            </w:pPr>
            <w:r>
              <w:rPr>
                <w:rStyle w:val="8"/>
                <w:rFonts w:hint="default" w:ascii="Times New Roman" w:hAnsi="Times New Roman" w:eastAsia="宋体" w:cs="Times New Roman"/>
                <w:kern w:val="0"/>
                <w:sz w:val="11"/>
                <w:szCs w:val="11"/>
                <w:lang w:val="en-US" w:eastAsia="zh-CN" w:bidi="ar"/>
              </w:rPr>
              <w:t>Systems</w:t>
            </w:r>
          </w:p>
        </w:tc>
        <w:tc>
          <w:tcPr>
            <w:tcW w:w="0" w:type="auto"/>
            <w:shd w:val="clear" w:color="auto" w:fill="auto"/>
            <w:vAlign w:val="center"/>
          </w:tcPr>
          <w:p w14:paraId="462D1E6F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Times New Roman" w:hAnsi="Times New Roman" w:cs="Times New Roman"/>
                <w:sz w:val="11"/>
                <w:szCs w:val="11"/>
              </w:rPr>
            </w:pPr>
            <w:r>
              <w:rPr>
                <w:rFonts w:hint="default" w:ascii="Times New Roman" w:hAnsi="Times New Roman" w:eastAsia="宋体" w:cs="Times New Roman"/>
                <w:kern w:val="0"/>
                <w:sz w:val="11"/>
                <w:szCs w:val="11"/>
                <w:lang w:val="en-US" w:eastAsia="zh-CN" w:bidi="ar"/>
              </w:rPr>
              <w:t>In-house manufacturing, automated assembly lines, software updates via OTA.</w:t>
            </w:r>
          </w:p>
        </w:tc>
      </w:tr>
      <w:tr w14:paraId="2B93D4F9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shd w:val="clear" w:color="auto" w:fill="auto"/>
          <w:tblCellMar>
            <w:top w:w="15" w:type="dxa"/>
            <w:left w:w="15" w:type="dxa"/>
            <w:bottom w:w="15" w:type="dxa"/>
            <w:right w:w="15" w:type="dxa"/>
          </w:tblCellMar>
        </w:tblPrEx>
        <w:trPr>
          <w:trHeight w:val="334" w:hRule="atLeast"/>
          <w:tblCellSpacing w:w="15" w:type="dxa"/>
        </w:trPr>
        <w:tc>
          <w:tcPr>
            <w:tcW w:w="0" w:type="auto"/>
            <w:shd w:val="clear" w:color="auto" w:fill="auto"/>
            <w:vAlign w:val="center"/>
          </w:tcPr>
          <w:p w14:paraId="1DCA0318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Times New Roman" w:hAnsi="Times New Roman" w:cs="Times New Roman"/>
                <w:sz w:val="11"/>
                <w:szCs w:val="11"/>
              </w:rPr>
            </w:pPr>
            <w:r>
              <w:rPr>
                <w:rStyle w:val="8"/>
                <w:rFonts w:hint="default" w:ascii="Times New Roman" w:hAnsi="Times New Roman" w:eastAsia="宋体" w:cs="Times New Roman"/>
                <w:kern w:val="0"/>
                <w:sz w:val="11"/>
                <w:szCs w:val="11"/>
                <w:lang w:val="en-US" w:eastAsia="zh-CN" w:bidi="ar"/>
              </w:rPr>
              <w:t>Shared Values</w:t>
            </w:r>
          </w:p>
        </w:tc>
        <w:tc>
          <w:tcPr>
            <w:tcW w:w="0" w:type="auto"/>
            <w:shd w:val="clear" w:color="auto" w:fill="auto"/>
            <w:vAlign w:val="center"/>
          </w:tcPr>
          <w:p w14:paraId="02E58D61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Times New Roman" w:hAnsi="Times New Roman" w:cs="Times New Roman"/>
                <w:sz w:val="11"/>
                <w:szCs w:val="11"/>
              </w:rPr>
            </w:pPr>
            <w:r>
              <w:rPr>
                <w:rFonts w:hint="default" w:ascii="Times New Roman" w:hAnsi="Times New Roman" w:eastAsia="宋体" w:cs="Times New Roman"/>
                <w:kern w:val="0"/>
                <w:sz w:val="11"/>
                <w:szCs w:val="11"/>
                <w:lang w:val="en-US" w:eastAsia="zh-CN" w:bidi="ar"/>
              </w:rPr>
              <w:t>Innovation, sustainability, speed, and disruption.</w:t>
            </w:r>
          </w:p>
        </w:tc>
      </w:tr>
      <w:tr w14:paraId="51EA6D85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shd w:val="clear" w:color="auto" w:fill="auto"/>
          <w:tblCellMar>
            <w:top w:w="15" w:type="dxa"/>
            <w:left w:w="15" w:type="dxa"/>
            <w:bottom w:w="15" w:type="dxa"/>
            <w:right w:w="15" w:type="dxa"/>
          </w:tblCellMar>
        </w:tblPrEx>
        <w:trPr>
          <w:trHeight w:val="182" w:hRule="atLeast"/>
          <w:tblCellSpacing w:w="15" w:type="dxa"/>
        </w:trPr>
        <w:tc>
          <w:tcPr>
            <w:tcW w:w="0" w:type="auto"/>
            <w:shd w:val="clear" w:color="auto" w:fill="auto"/>
            <w:vAlign w:val="center"/>
          </w:tcPr>
          <w:p w14:paraId="1082175A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Times New Roman" w:hAnsi="Times New Roman" w:cs="Times New Roman"/>
                <w:sz w:val="11"/>
                <w:szCs w:val="11"/>
              </w:rPr>
            </w:pPr>
            <w:r>
              <w:rPr>
                <w:rStyle w:val="8"/>
                <w:rFonts w:hint="default" w:ascii="Times New Roman" w:hAnsi="Times New Roman" w:eastAsia="宋体" w:cs="Times New Roman"/>
                <w:kern w:val="0"/>
                <w:sz w:val="11"/>
                <w:szCs w:val="11"/>
                <w:lang w:val="en-US" w:eastAsia="zh-CN" w:bidi="ar"/>
              </w:rPr>
              <w:t>Skills</w:t>
            </w:r>
          </w:p>
        </w:tc>
        <w:tc>
          <w:tcPr>
            <w:tcW w:w="0" w:type="auto"/>
            <w:shd w:val="clear" w:color="auto" w:fill="auto"/>
            <w:vAlign w:val="center"/>
          </w:tcPr>
          <w:p w14:paraId="3AF46A4F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Times New Roman" w:hAnsi="Times New Roman" w:cs="Times New Roman"/>
                <w:sz w:val="11"/>
                <w:szCs w:val="11"/>
              </w:rPr>
            </w:pPr>
            <w:r>
              <w:rPr>
                <w:rFonts w:hint="default" w:ascii="Times New Roman" w:hAnsi="Times New Roman" w:eastAsia="宋体" w:cs="Times New Roman"/>
                <w:kern w:val="0"/>
                <w:sz w:val="11"/>
                <w:szCs w:val="11"/>
                <w:lang w:val="en-US" w:eastAsia="zh-CN" w:bidi="ar"/>
              </w:rPr>
              <w:t>Talent in AI, autonomous driving, energy engineering.</w:t>
            </w:r>
          </w:p>
        </w:tc>
      </w:tr>
      <w:tr w14:paraId="48479859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shd w:val="clear" w:color="auto" w:fill="auto"/>
          <w:tblCellMar>
            <w:top w:w="15" w:type="dxa"/>
            <w:left w:w="15" w:type="dxa"/>
            <w:bottom w:w="15" w:type="dxa"/>
            <w:right w:w="15" w:type="dxa"/>
          </w:tblCellMar>
        </w:tblPrEx>
        <w:trPr>
          <w:trHeight w:val="334" w:hRule="atLeast"/>
          <w:tblCellSpacing w:w="15" w:type="dxa"/>
        </w:trPr>
        <w:tc>
          <w:tcPr>
            <w:tcW w:w="0" w:type="auto"/>
            <w:shd w:val="clear" w:color="auto" w:fill="auto"/>
            <w:vAlign w:val="center"/>
          </w:tcPr>
          <w:p w14:paraId="4986FD89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Times New Roman" w:hAnsi="Times New Roman" w:cs="Times New Roman"/>
                <w:sz w:val="11"/>
                <w:szCs w:val="11"/>
              </w:rPr>
            </w:pPr>
            <w:r>
              <w:rPr>
                <w:rStyle w:val="8"/>
                <w:rFonts w:hint="default" w:ascii="Times New Roman" w:hAnsi="Times New Roman" w:eastAsia="宋体" w:cs="Times New Roman"/>
                <w:kern w:val="0"/>
                <w:sz w:val="11"/>
                <w:szCs w:val="11"/>
                <w:lang w:val="en-US" w:eastAsia="zh-CN" w:bidi="ar"/>
              </w:rPr>
              <w:t>Style</w:t>
            </w:r>
          </w:p>
        </w:tc>
        <w:tc>
          <w:tcPr>
            <w:tcW w:w="0" w:type="auto"/>
            <w:shd w:val="clear" w:color="auto" w:fill="auto"/>
            <w:vAlign w:val="center"/>
          </w:tcPr>
          <w:p w14:paraId="251ED862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Times New Roman" w:hAnsi="Times New Roman" w:cs="Times New Roman"/>
                <w:sz w:val="11"/>
                <w:szCs w:val="11"/>
              </w:rPr>
            </w:pPr>
            <w:r>
              <w:rPr>
                <w:rFonts w:hint="default" w:ascii="Times New Roman" w:hAnsi="Times New Roman" w:eastAsia="宋体" w:cs="Times New Roman"/>
                <w:kern w:val="0"/>
                <w:sz w:val="11"/>
                <w:szCs w:val="11"/>
                <w:lang w:val="en-US" w:eastAsia="zh-CN" w:bidi="ar"/>
              </w:rPr>
              <w:t>Visionary leadership from Elon Musk; bold and risk-taking culture.</w:t>
            </w:r>
          </w:p>
        </w:tc>
      </w:tr>
      <w:tr w14:paraId="41F56877">
        <w:tblPrEx>
          <w:tblBorders>
            <w:top w:val="none" w:color="auto" w:sz="0" w:space="0"/>
            <w:left w:val="none" w:color="auto" w:sz="0" w:space="0"/>
            <w:bottom w:val="none" w:color="auto" w:sz="0" w:space="0"/>
            <w:right w:val="none" w:color="auto" w:sz="0" w:space="0"/>
            <w:insideH w:val="none" w:color="auto" w:sz="0" w:space="0"/>
            <w:insideV w:val="none" w:color="auto" w:sz="0" w:space="0"/>
          </w:tblBorders>
          <w:tblCellMar>
            <w:top w:w="15" w:type="dxa"/>
            <w:left w:w="15" w:type="dxa"/>
            <w:bottom w:w="15" w:type="dxa"/>
            <w:right w:w="15" w:type="dxa"/>
          </w:tblCellMar>
        </w:tblPrEx>
        <w:trPr>
          <w:trHeight w:val="189" w:hRule="atLeast"/>
          <w:tblCellSpacing w:w="15" w:type="dxa"/>
        </w:trPr>
        <w:tc>
          <w:tcPr>
            <w:tcW w:w="0" w:type="auto"/>
            <w:shd w:val="clear" w:color="auto" w:fill="auto"/>
            <w:vAlign w:val="center"/>
          </w:tcPr>
          <w:p w14:paraId="1D40F991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Times New Roman" w:hAnsi="Times New Roman" w:cs="Times New Roman"/>
                <w:sz w:val="11"/>
                <w:szCs w:val="11"/>
              </w:rPr>
            </w:pPr>
            <w:r>
              <w:rPr>
                <w:rStyle w:val="8"/>
                <w:rFonts w:hint="default" w:ascii="Times New Roman" w:hAnsi="Times New Roman" w:eastAsia="宋体" w:cs="Times New Roman"/>
                <w:kern w:val="0"/>
                <w:sz w:val="11"/>
                <w:szCs w:val="11"/>
                <w:lang w:val="en-US" w:eastAsia="zh-CN" w:bidi="ar"/>
              </w:rPr>
              <w:t>Staff</w:t>
            </w:r>
          </w:p>
        </w:tc>
        <w:tc>
          <w:tcPr>
            <w:tcW w:w="0" w:type="auto"/>
            <w:shd w:val="clear" w:color="auto" w:fill="auto"/>
            <w:vAlign w:val="center"/>
          </w:tcPr>
          <w:p w14:paraId="399D5060">
            <w:pPr>
              <w:keepNext w:val="0"/>
              <w:keepLines w:val="0"/>
              <w:widowControl/>
              <w:suppressLineNumbers w:val="0"/>
              <w:jc w:val="left"/>
              <w:rPr>
                <w:rFonts w:hint="default" w:ascii="Times New Roman" w:hAnsi="Times New Roman" w:cs="Times New Roman"/>
                <w:sz w:val="11"/>
                <w:szCs w:val="11"/>
              </w:rPr>
            </w:pPr>
            <w:r>
              <w:rPr>
                <w:rFonts w:hint="default" w:ascii="Times New Roman" w:hAnsi="Times New Roman" w:eastAsia="宋体" w:cs="Times New Roman"/>
                <w:kern w:val="0"/>
                <w:sz w:val="11"/>
                <w:szCs w:val="11"/>
                <w:lang w:val="en-US" w:eastAsia="zh-CN" w:bidi="ar"/>
              </w:rPr>
              <w:t>Multinational engineering teams, high technical capacity.</w:t>
            </w:r>
          </w:p>
        </w:tc>
      </w:tr>
    </w:tbl>
    <w:p w14:paraId="630A4CA2">
      <w:pPr>
        <w:numPr>
          <w:ilvl w:val="0"/>
          <w:numId w:val="1"/>
        </w:numPr>
        <w:ind w:left="0" w:leftChars="0" w:firstLine="0" w:firstLineChars="0"/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</w:pPr>
      <w:r>
        <w:rPr>
          <w:rFonts w:hint="default" w:ascii="Times New Roman" w:hAnsi="Times New Roman" w:eastAsia="宋体" w:cs="Times New Roman"/>
          <w:sz w:val="11"/>
          <w:szCs w:val="11"/>
        </w:rPr>
        <w:t>Maslow’s hierarchy of needs by offering safety features to address security needs</w:t>
      </w:r>
      <w:r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     </w:t>
      </w:r>
      <w:r>
        <w:rPr>
          <w:rFonts w:hint="default" w:ascii="Times New Roman" w:hAnsi="Times New Roman" w:cs="Times New Roman"/>
          <w:sz w:val="11"/>
          <w:szCs w:val="11"/>
        </w:rPr>
        <w:t xml:space="preserve">Understanding customer psychology enhances strategic effectiveness. Tesla applies Maslow’s hierarchy of needs by offering safety features to address security needs, promoting a premium image for esteem, and inspiring self-actualization through its sustainability mission. Its cars become not just vehicles but symbols of identity and values.For example, the </w:t>
      </w:r>
      <w:r>
        <w:rPr>
          <w:rStyle w:val="8"/>
          <w:rFonts w:hint="default" w:ascii="Times New Roman" w:hAnsi="Times New Roman" w:cs="Times New Roman"/>
          <w:sz w:val="11"/>
          <w:szCs w:val="11"/>
        </w:rPr>
        <w:t>Model 3</w:t>
      </w:r>
      <w:r>
        <w:rPr>
          <w:rFonts w:hint="default" w:ascii="Times New Roman" w:hAnsi="Times New Roman" w:cs="Times New Roman"/>
          <w:sz w:val="11"/>
          <w:szCs w:val="11"/>
        </w:rPr>
        <w:t xml:space="preserve"> is positioned as an affordable yet high-tech electric car. It combines strong safety features with a sleek, futuristic design and appeals to middle-class consumers seeking both status and sustainability. This psychological alignment has made the Model 3 one of the world’s best-selling EVs, reinforcing Tesla’s brand loyalty and competitive edge.</w:t>
      </w:r>
    </w:p>
    <w:p w14:paraId="3F66621C">
      <w:pPr>
        <w:numPr>
          <w:ilvl w:val="0"/>
          <w:numId w:val="1"/>
        </w:numPr>
        <w:ind w:left="0" w:leftChars="0" w:firstLine="0" w:firstLineChars="0"/>
        <w:rPr>
          <w:rFonts w:hint="default" w:ascii="Times New Roman" w:hAnsi="Times New Roman" w:eastAsia="宋体" w:cs="Times New Roman"/>
          <w:sz w:val="11"/>
          <w:szCs w:val="11"/>
        </w:rPr>
      </w:pPr>
      <w:r>
        <w:rPr>
          <w:rFonts w:hint="default" w:ascii="Times New Roman" w:hAnsi="Times New Roman" w:eastAsia="宋体" w:cs="Times New Roman"/>
          <w:sz w:val="11"/>
          <w:szCs w:val="11"/>
        </w:rPr>
        <w:t>Porter’s Five Forces – Understanding Competitive Pressur</w:t>
      </w:r>
      <w:r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 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Rivalry</w:t>
      </w:r>
      <w:r>
        <w:rPr>
          <w:rFonts w:hint="default" w:ascii="Times New Roman" w:hAnsi="Times New Roman" w:eastAsia="宋体" w:cs="Times New Roman"/>
          <w:sz w:val="11"/>
          <w:szCs w:val="11"/>
        </w:rPr>
        <w:t>: Intensifying with global automakers like BYD, VW, and Ford.</w:t>
      </w:r>
    </w:p>
    <w:p w14:paraId="22035856">
      <w:pPr>
        <w:numPr>
          <w:ilvl w:val="0"/>
          <w:numId w:val="0"/>
        </w:numPr>
        <w:ind w:leftChars="0"/>
        <w:rPr>
          <w:rFonts w:hint="default" w:ascii="Times New Roman" w:hAnsi="Times New Roman" w:eastAsia="宋体" w:cs="Times New Roman"/>
          <w:sz w:val="11"/>
          <w:szCs w:val="11"/>
        </w:rPr>
      </w:pP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New Entrants</w:t>
      </w:r>
      <w:r>
        <w:rPr>
          <w:rFonts w:hint="default" w:ascii="Times New Roman" w:hAnsi="Times New Roman" w:eastAsia="宋体" w:cs="Times New Roman"/>
          <w:sz w:val="11"/>
          <w:szCs w:val="11"/>
        </w:rPr>
        <w:t>: Moderate threat from startups with digital-first platforms</w:t>
      </w:r>
      <w:r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 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Supplier Power</w:t>
      </w:r>
      <w:r>
        <w:rPr>
          <w:rFonts w:hint="default" w:ascii="Times New Roman" w:hAnsi="Times New Roman" w:eastAsia="宋体" w:cs="Times New Roman"/>
          <w:sz w:val="11"/>
          <w:szCs w:val="11"/>
        </w:rPr>
        <w:t>: Battery suppliers gaining leverage.</w:t>
      </w:r>
    </w:p>
    <w:p w14:paraId="33601265">
      <w:pPr>
        <w:numPr>
          <w:ilvl w:val="0"/>
          <w:numId w:val="0"/>
        </w:numPr>
        <w:ind w:leftChars="0"/>
        <w:rPr>
          <w:rFonts w:hint="default" w:ascii="Times New Roman" w:hAnsi="Times New Roman" w:cs="Times New Roman"/>
          <w:sz w:val="11"/>
          <w:szCs w:val="11"/>
        </w:rPr>
      </w:pP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Buyer Power</w:t>
      </w:r>
      <w:r>
        <w:rPr>
          <w:rFonts w:hint="default" w:ascii="Times New Roman" w:hAnsi="Times New Roman" w:eastAsia="宋体" w:cs="Times New Roman"/>
          <w:sz w:val="11"/>
          <w:szCs w:val="11"/>
        </w:rPr>
        <w:t>: More consumer choices reduce loyalty.</w:t>
      </w:r>
      <w:r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 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Substitutes</w:t>
      </w:r>
      <w:r>
        <w:rPr>
          <w:rFonts w:hint="default" w:ascii="Times New Roman" w:hAnsi="Times New Roman" w:eastAsia="宋体" w:cs="Times New Roman"/>
          <w:sz w:val="11"/>
          <w:szCs w:val="11"/>
        </w:rPr>
        <w:t>: Hybrids, hydrogen vehicles, and public transport.</w:t>
      </w:r>
      <w:r>
        <w:rPr>
          <w:rFonts w:hint="default" w:ascii="Times New Roman" w:hAnsi="Times New Roman" w:eastAsia="宋体" w:cs="Times New Roman"/>
          <w:b/>
          <w:bCs/>
          <w:sz w:val="11"/>
          <w:szCs w:val="11"/>
        </w:rPr>
        <w:t xml:space="preserve">Tesla should enhance </w:t>
      </w:r>
      <w:r>
        <w:rPr>
          <w:rStyle w:val="8"/>
          <w:rFonts w:hint="default" w:ascii="Times New Roman" w:hAnsi="Times New Roman" w:eastAsia="宋体" w:cs="Times New Roman"/>
          <w:b/>
          <w:bCs/>
          <w:sz w:val="11"/>
          <w:szCs w:val="11"/>
        </w:rPr>
        <w:t>differentiation</w:t>
      </w:r>
      <w:r>
        <w:rPr>
          <w:rFonts w:hint="default" w:ascii="Times New Roman" w:hAnsi="Times New Roman" w:eastAsia="宋体" w:cs="Times New Roman"/>
          <w:b/>
          <w:bCs/>
          <w:sz w:val="11"/>
          <w:szCs w:val="11"/>
        </w:rPr>
        <w:t xml:space="preserve"> through software (e.g., FSD), integrated services (e.g., energy ecosystem), and customer experience to protect margins.</w:t>
      </w:r>
      <w:r>
        <w:rPr>
          <w:rFonts w:hint="default" w:ascii="Times New Roman" w:hAnsi="Times New Roman" w:eastAsia="宋体" w:cs="Times New Roman"/>
          <w:b/>
          <w:bCs/>
          <w:sz w:val="11"/>
          <w:szCs w:val="11"/>
          <w:lang w:eastAsia="zh-CN"/>
        </w:rPr>
        <w:t>（</w:t>
      </w:r>
      <w:r>
        <w:rPr>
          <w:rFonts w:hint="default" w:ascii="Times New Roman" w:hAnsi="Times New Roman" w:eastAsia="宋体" w:cs="Times New Roman"/>
          <w:b/>
          <w:bCs/>
          <w:sz w:val="11"/>
          <w:szCs w:val="11"/>
          <w:lang w:val="en-US" w:eastAsia="zh-CN"/>
        </w:rPr>
        <w:t>2</w:t>
      </w:r>
      <w:r>
        <w:rPr>
          <w:rFonts w:hint="default" w:ascii="Times New Roman" w:hAnsi="Times New Roman" w:eastAsia="宋体" w:cs="Times New Roman"/>
          <w:b/>
          <w:bCs/>
          <w:sz w:val="11"/>
          <w:szCs w:val="11"/>
          <w:lang w:eastAsia="zh-CN"/>
        </w:rPr>
        <w:t>）</w:t>
      </w:r>
      <w:r>
        <w:rPr>
          <w:rFonts w:hint="default" w:ascii="Times New Roman" w:hAnsi="Times New Roman" w:cs="Times New Roman"/>
          <w:sz w:val="11"/>
          <w:szCs w:val="11"/>
        </w:rPr>
        <w:t>Resource-Based View (RBV) – Leveraging Unique Capabilities</w:t>
      </w:r>
      <w:r>
        <w:rPr>
          <w:rFonts w:hint="default" w:ascii="Times New Roman" w:hAnsi="Times New Roman" w:cs="Times New Roman"/>
          <w:sz w:val="11"/>
          <w:szCs w:val="11"/>
          <w:lang w:val="en-US" w:eastAsia="zh-CN"/>
        </w:rPr>
        <w:t xml:space="preserve"> </w:t>
      </w:r>
      <w:r>
        <w:rPr>
          <w:rFonts w:hint="default" w:ascii="Times New Roman" w:hAnsi="Times New Roman" w:cs="Times New Roman"/>
          <w:sz w:val="11"/>
          <w:szCs w:val="11"/>
        </w:rPr>
        <w:t>Tesla’s VRIO resources</w:t>
      </w:r>
    </w:p>
    <w:p w14:paraId="2D50D816">
      <w:pPr>
        <w:numPr>
          <w:ilvl w:val="0"/>
          <w:numId w:val="0"/>
        </w:numPr>
        <w:ind w:left="110" w:leftChars="0" w:hanging="110" w:hangingChars="100"/>
        <w:rPr>
          <w:rFonts w:hint="default" w:ascii="Times New Roman" w:hAnsi="Times New Roman" w:cs="Times New Roman"/>
          <w:sz w:val="11"/>
          <w:szCs w:val="11"/>
        </w:rPr>
      </w:pP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Valuable</w:t>
      </w:r>
      <w:r>
        <w:rPr>
          <w:rFonts w:hint="default" w:ascii="Times New Roman" w:hAnsi="Times New Roman" w:eastAsia="宋体" w:cs="Times New Roman"/>
          <w:sz w:val="11"/>
          <w:szCs w:val="11"/>
        </w:rPr>
        <w:t>: Full Self-Driving software</w:t>
      </w:r>
      <w:r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. 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Rare</w:t>
      </w:r>
      <w:r>
        <w:rPr>
          <w:rFonts w:hint="default" w:ascii="Times New Roman" w:hAnsi="Times New Roman" w:eastAsia="宋体" w:cs="Times New Roman"/>
          <w:sz w:val="11"/>
          <w:szCs w:val="11"/>
        </w:rPr>
        <w:t>: Global Supercharger network.</w:t>
      </w:r>
      <w:r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 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Inimitable</w:t>
      </w:r>
      <w:r>
        <w:rPr>
          <w:rFonts w:hint="default" w:ascii="Times New Roman" w:hAnsi="Times New Roman" w:eastAsia="宋体" w:cs="Times New Roman"/>
          <w:sz w:val="11"/>
          <w:szCs w:val="11"/>
        </w:rPr>
        <w:t>: AI-chip design, direct sales model.</w:t>
      </w:r>
      <w:r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 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Organized</w:t>
      </w:r>
      <w:r>
        <w:rPr>
          <w:rFonts w:hint="default" w:ascii="Times New Roman" w:hAnsi="Times New Roman" w:eastAsia="宋体" w:cs="Times New Roman"/>
          <w:sz w:val="11"/>
          <w:szCs w:val="11"/>
        </w:rPr>
        <w:t>: In-house battery productionand vehicle software.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Strategy</w:t>
      </w:r>
      <w:r>
        <w:rPr>
          <w:rFonts w:hint="default" w:ascii="Times New Roman" w:hAnsi="Times New Roman" w:eastAsia="宋体" w:cs="Times New Roman"/>
          <w:sz w:val="11"/>
          <w:szCs w:val="11"/>
        </w:rPr>
        <w:t>: Focus on scaling in-house capabilities and protecting core tech advantages.</w:t>
      </w:r>
      <w:r>
        <w:rPr>
          <w:rFonts w:hint="default" w:ascii="Times New Roman" w:hAnsi="Times New Roman" w:eastAsia="宋体" w:cs="Times New Roman"/>
          <w:b/>
          <w:bCs/>
          <w:sz w:val="11"/>
          <w:szCs w:val="11"/>
          <w:lang w:eastAsia="zh-CN"/>
        </w:rPr>
        <w:t>（</w:t>
      </w:r>
      <w:r>
        <w:rPr>
          <w:rFonts w:hint="default" w:ascii="Times New Roman" w:hAnsi="Times New Roman" w:eastAsia="宋体" w:cs="Times New Roman"/>
          <w:b/>
          <w:bCs/>
          <w:sz w:val="11"/>
          <w:szCs w:val="11"/>
          <w:lang w:val="en-US" w:eastAsia="zh-CN"/>
        </w:rPr>
        <w:t>3</w:t>
      </w:r>
      <w:r>
        <w:rPr>
          <w:rFonts w:hint="default" w:ascii="Times New Roman" w:hAnsi="Times New Roman" w:eastAsia="宋体" w:cs="Times New Roman"/>
          <w:b/>
          <w:bCs/>
          <w:sz w:val="11"/>
          <w:szCs w:val="11"/>
          <w:lang w:eastAsia="zh-CN"/>
        </w:rPr>
        <w:t>）</w:t>
      </w:r>
      <w:r>
        <w:rPr>
          <w:rFonts w:hint="default" w:ascii="Times New Roman" w:hAnsi="Times New Roman" w:eastAsia="宋体" w:cs="Times New Roman"/>
          <w:b/>
          <w:bCs/>
          <w:sz w:val="11"/>
          <w:szCs w:val="11"/>
        </w:rPr>
        <w:t>Ansoff Matrix</w:t>
      </w:r>
      <w:r>
        <w:rPr>
          <w:rFonts w:hint="default" w:ascii="Times New Roman" w:hAnsi="Times New Roman" w:eastAsia="宋体" w:cs="Times New Roman"/>
          <w:sz w:val="11"/>
          <w:szCs w:val="11"/>
        </w:rPr>
        <w:t xml:space="preserve"> – Strategic Growth Options</w:t>
      </w:r>
      <w:r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  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Market Penetration</w:t>
      </w:r>
      <w:r>
        <w:rPr>
          <w:rFonts w:hint="default" w:ascii="Times New Roman" w:hAnsi="Times New Roman" w:eastAsia="宋体" w:cs="Times New Roman"/>
          <w:sz w:val="11"/>
          <w:szCs w:val="11"/>
        </w:rPr>
        <w:t>: Boost sales of existing models through localized pricing</w:t>
      </w:r>
      <w:r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  <w:t>.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Market Development</w:t>
      </w:r>
      <w:r>
        <w:rPr>
          <w:rFonts w:hint="default" w:ascii="Times New Roman" w:hAnsi="Times New Roman" w:eastAsia="宋体" w:cs="Times New Roman"/>
          <w:sz w:val="11"/>
          <w:szCs w:val="11"/>
        </w:rPr>
        <w:t>: Enter Southeast Asia, India</w:t>
      </w:r>
      <w:r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. 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Product Development</w:t>
      </w:r>
      <w:r>
        <w:rPr>
          <w:rFonts w:hint="default" w:ascii="Times New Roman" w:hAnsi="Times New Roman" w:eastAsia="宋体" w:cs="Times New Roman"/>
          <w:sz w:val="11"/>
          <w:szCs w:val="11"/>
        </w:rPr>
        <w:t>: Introduce Cybertruck, Robotaxi</w:t>
      </w:r>
      <w:r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 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Diversification</w:t>
      </w:r>
      <w:r>
        <w:rPr>
          <w:rFonts w:hint="default" w:ascii="Times New Roman" w:hAnsi="Times New Roman" w:eastAsia="宋体" w:cs="Times New Roman"/>
          <w:sz w:val="11"/>
          <w:szCs w:val="11"/>
        </w:rPr>
        <w:t>: Expand Tesla Energy (solar roofs, storage).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Strategy</w:t>
      </w:r>
      <w:r>
        <w:rPr>
          <w:rFonts w:hint="default" w:ascii="Times New Roman" w:hAnsi="Times New Roman" w:eastAsia="宋体" w:cs="Times New Roman"/>
          <w:sz w:val="11"/>
          <w:szCs w:val="11"/>
        </w:rPr>
        <w:t xml:space="preserve">: Pursue both 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geographic expansion and product innovation</w:t>
      </w:r>
      <w:r>
        <w:rPr>
          <w:rFonts w:hint="default" w:ascii="Times New Roman" w:hAnsi="Times New Roman" w:eastAsia="宋体" w:cs="Times New Roman"/>
          <w:sz w:val="11"/>
          <w:szCs w:val="11"/>
        </w:rPr>
        <w:t xml:space="preserve"> simultaneously.</w:t>
      </w:r>
      <w:r>
        <w:rPr>
          <w:rFonts w:hint="default" w:ascii="Times New Roman" w:hAnsi="Times New Roman" w:eastAsia="宋体" w:cs="Times New Roman"/>
          <w:b/>
          <w:bCs/>
          <w:sz w:val="11"/>
          <w:szCs w:val="11"/>
          <w:lang w:eastAsia="zh-CN"/>
        </w:rPr>
        <w:t>（</w:t>
      </w:r>
      <w:r>
        <w:rPr>
          <w:rFonts w:hint="default" w:ascii="Times New Roman" w:hAnsi="Times New Roman" w:eastAsia="宋体" w:cs="Times New Roman"/>
          <w:b/>
          <w:bCs/>
          <w:sz w:val="11"/>
          <w:szCs w:val="11"/>
          <w:lang w:val="en-US" w:eastAsia="zh-CN"/>
        </w:rPr>
        <w:t>4</w:t>
      </w:r>
      <w:r>
        <w:rPr>
          <w:rFonts w:hint="default" w:ascii="Times New Roman" w:hAnsi="Times New Roman" w:eastAsia="宋体" w:cs="Times New Roman"/>
          <w:b/>
          <w:bCs/>
          <w:sz w:val="11"/>
          <w:szCs w:val="11"/>
          <w:lang w:eastAsia="zh-CN"/>
        </w:rPr>
        <w:t>）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Blue Ocean Strategy – New Market Creation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 </w:t>
      </w:r>
      <w:r>
        <w:rPr>
          <w:rFonts w:hint="default" w:ascii="Times New Roman" w:hAnsi="Times New Roman" w:eastAsia="宋体" w:cs="Times New Roman"/>
          <w:sz w:val="11"/>
          <w:szCs w:val="11"/>
        </w:rPr>
        <w:t xml:space="preserve">Rather than fight in saturated EV segments:Develop 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mobility-as-a-service</w:t>
      </w:r>
      <w:r>
        <w:rPr>
          <w:rFonts w:hint="default" w:ascii="Times New Roman" w:hAnsi="Times New Roman" w:eastAsia="宋体" w:cs="Times New Roman"/>
          <w:sz w:val="11"/>
          <w:szCs w:val="11"/>
        </w:rPr>
        <w:t xml:space="preserve"> via Robotaxis</w:t>
      </w:r>
      <w:r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 </w:t>
      </w:r>
      <w:r>
        <w:rPr>
          <w:rFonts w:hint="default" w:ascii="Times New Roman" w:hAnsi="Times New Roman" w:eastAsia="宋体" w:cs="Times New Roman"/>
          <w:sz w:val="11"/>
          <w:szCs w:val="11"/>
        </w:rPr>
        <w:t xml:space="preserve">.Scale energy services in 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off-grid economies</w:t>
      </w:r>
      <w:r>
        <w:rPr>
          <w:rFonts w:hint="default" w:ascii="Times New Roman" w:hAnsi="Times New Roman" w:eastAsia="宋体" w:cs="Times New Roman"/>
          <w:sz w:val="11"/>
          <w:szCs w:val="11"/>
        </w:rPr>
        <w:t>.</w:t>
      </w:r>
      <w:r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 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Strategy</w:t>
      </w:r>
      <w:r>
        <w:rPr>
          <w:rFonts w:hint="default" w:ascii="Times New Roman" w:hAnsi="Times New Roman" w:eastAsia="宋体" w:cs="Times New Roman"/>
          <w:sz w:val="11"/>
          <w:szCs w:val="11"/>
        </w:rPr>
        <w:t xml:space="preserve">: Create 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uncontested market spaces</w:t>
      </w:r>
      <w:r>
        <w:rPr>
          <w:rFonts w:hint="default" w:ascii="Times New Roman" w:hAnsi="Times New Roman" w:eastAsia="宋体" w:cs="Times New Roman"/>
          <w:sz w:val="11"/>
          <w:szCs w:val="11"/>
        </w:rPr>
        <w:t xml:space="preserve"> through innovation and vertical integration.</w:t>
      </w:r>
      <w:r>
        <w:rPr>
          <w:rFonts w:hint="default" w:ascii="Times New Roman" w:hAnsi="Times New Roman" w:eastAsia="宋体" w:cs="Times New Roman"/>
          <w:b/>
          <w:bCs/>
          <w:sz w:val="11"/>
          <w:szCs w:val="11"/>
          <w:lang w:eastAsia="zh-CN"/>
        </w:rPr>
        <w:t>（</w:t>
      </w:r>
      <w:r>
        <w:rPr>
          <w:rFonts w:hint="default" w:ascii="Times New Roman" w:hAnsi="Times New Roman" w:eastAsia="宋体" w:cs="Times New Roman"/>
          <w:b/>
          <w:bCs/>
          <w:sz w:val="11"/>
          <w:szCs w:val="11"/>
          <w:lang w:val="en-US" w:eastAsia="zh-CN"/>
        </w:rPr>
        <w:t>5</w:t>
      </w:r>
      <w:r>
        <w:rPr>
          <w:rFonts w:hint="default" w:ascii="Times New Roman" w:hAnsi="Times New Roman" w:eastAsia="宋体" w:cs="Times New Roman"/>
          <w:b/>
          <w:bCs/>
          <w:sz w:val="11"/>
          <w:szCs w:val="11"/>
          <w:lang w:eastAsia="zh-CN"/>
        </w:rPr>
        <w:t>）</w:t>
      </w:r>
      <w:r>
        <w:rPr>
          <w:rFonts w:hint="default" w:ascii="Times New Roman" w:hAnsi="Times New Roman" w:eastAsia="宋体" w:cs="Times New Roman"/>
          <w:b/>
          <w:bCs/>
          <w:sz w:val="11"/>
          <w:szCs w:val="11"/>
        </w:rPr>
        <w:t>PESTEL</w:t>
      </w:r>
      <w:r>
        <w:rPr>
          <w:rFonts w:hint="default" w:ascii="Times New Roman" w:hAnsi="Times New Roman" w:eastAsia="宋体" w:cs="Times New Roman"/>
          <w:sz w:val="11"/>
          <w:szCs w:val="11"/>
        </w:rPr>
        <w:t xml:space="preserve"> – Aligning with Macro Trends</w:t>
      </w:r>
      <w:r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  <w:t xml:space="preserve"> 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Political</w:t>
      </w:r>
      <w:r>
        <w:rPr>
          <w:rFonts w:hint="default" w:ascii="Times New Roman" w:hAnsi="Times New Roman" w:eastAsia="宋体" w:cs="Times New Roman"/>
          <w:sz w:val="11"/>
          <w:szCs w:val="11"/>
        </w:rPr>
        <w:t>: Navigate global EV regulations.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Economic</w:t>
      </w:r>
      <w:r>
        <w:rPr>
          <w:rFonts w:hint="default" w:ascii="Times New Roman" w:hAnsi="Times New Roman" w:eastAsia="宋体" w:cs="Times New Roman"/>
          <w:sz w:val="11"/>
          <w:szCs w:val="11"/>
        </w:rPr>
        <w:t>: Manage cost volatility through localization.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Social</w:t>
      </w:r>
      <w:r>
        <w:rPr>
          <w:rFonts w:hint="default" w:ascii="Times New Roman" w:hAnsi="Times New Roman" w:eastAsia="宋体" w:cs="Times New Roman"/>
          <w:sz w:val="11"/>
          <w:szCs w:val="11"/>
        </w:rPr>
        <w:t>: Strengthen Tesla’s green brand.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Tech</w:t>
      </w:r>
      <w:r>
        <w:rPr>
          <w:rFonts w:hint="default" w:ascii="Times New Roman" w:hAnsi="Times New Roman" w:eastAsia="宋体" w:cs="Times New Roman"/>
          <w:sz w:val="11"/>
          <w:szCs w:val="11"/>
        </w:rPr>
        <w:t>: Stay ahead in AI, autonomous driving.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Environmental</w:t>
      </w:r>
      <w:r>
        <w:rPr>
          <w:rFonts w:hint="default" w:ascii="Times New Roman" w:hAnsi="Times New Roman" w:eastAsia="宋体" w:cs="Times New Roman"/>
          <w:sz w:val="11"/>
          <w:szCs w:val="11"/>
        </w:rPr>
        <w:t>: Align with carbon neutrality goals.</w:t>
      </w:r>
      <w:r>
        <w:rPr>
          <w:rStyle w:val="8"/>
          <w:rFonts w:hint="default" w:ascii="Times New Roman" w:hAnsi="Times New Roman" w:eastAsia="宋体" w:cs="Times New Roman"/>
          <w:sz w:val="11"/>
          <w:szCs w:val="11"/>
        </w:rPr>
        <w:t>Legal</w:t>
      </w:r>
      <w:r>
        <w:rPr>
          <w:rFonts w:hint="default" w:ascii="Times New Roman" w:hAnsi="Times New Roman" w:eastAsia="宋体" w:cs="Times New Roman"/>
          <w:sz w:val="11"/>
          <w:szCs w:val="11"/>
        </w:rPr>
        <w:t>: Address safety and regulatory compliance.</w:t>
      </w:r>
      <w:r>
        <w:rPr>
          <w:rStyle w:val="8"/>
          <w:rFonts w:hint="default" w:ascii="Times New Roman" w:hAnsi="Times New Roman" w:cs="Times New Roman"/>
          <w:sz w:val="11"/>
          <w:szCs w:val="11"/>
        </w:rPr>
        <w:t>Strategy</w:t>
      </w:r>
      <w:r>
        <w:rPr>
          <w:rFonts w:hint="default" w:ascii="Times New Roman" w:hAnsi="Times New Roman" w:cs="Times New Roman"/>
          <w:sz w:val="11"/>
          <w:szCs w:val="11"/>
        </w:rPr>
        <w:t>: Align proactively with external forces and regulations.</w:t>
      </w:r>
      <w:bookmarkStart w:id="0" w:name="_GoBack"/>
      <w:bookmarkEnd w:id="0"/>
    </w:p>
    <w:p w14:paraId="5059630C">
      <w:pPr>
        <w:numPr>
          <w:numId w:val="0"/>
        </w:numPr>
        <w:ind w:leftChars="-100"/>
        <w:rPr>
          <w:rFonts w:hint="default" w:ascii="Times New Roman" w:hAnsi="Times New Roman" w:eastAsia="宋体" w:cs="Times New Roman"/>
          <w:sz w:val="11"/>
          <w:szCs w:val="11"/>
          <w:lang w:val="en-US" w:eastAsia="zh-CN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Symbol">
    <w:panose1 w:val="05050102010706020507"/>
    <w:charset w:val="00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0"/>
    <w:family w:val="auto"/>
    <w:pitch w:val="default"/>
    <w:sig w:usb0="E0002EFF" w:usb1="C000785B" w:usb2="00000009" w:usb3="00000000" w:csb0="400001FF" w:csb1="FFFF0000"/>
  </w:font>
  <w:font w:name="Courier New">
    <w:panose1 w:val="02070309020205020404"/>
    <w:charset w:val="00"/>
    <w:family w:val="auto"/>
    <w:pitch w:val="default"/>
    <w:sig w:usb0="E0002EFF" w:usb1="C0007843" w:usb2="00000009" w:usb3="00000000" w:csb0="400001FF" w:csb1="FFFF0000"/>
  </w:font>
  <w:font w:name="Wingdings">
    <w:panose1 w:val="05000000000000000000"/>
    <w:charset w:val="00"/>
    <w:family w:val="auto"/>
    <w:pitch w:val="default"/>
    <w:sig w:usb0="00000000" w:usb1="00000000" w:usb2="00000000" w:usb3="00000000" w:csb0="80000000" w:csb1="00000000"/>
  </w:font>
  <w:font w:name="Chiller">
    <w:panose1 w:val="04020404031007020602"/>
    <w:charset w:val="00"/>
    <w:family w:val="auto"/>
    <w:pitch w:val="default"/>
    <w:sig w:usb0="00000003" w:usb1="00000000" w:usb2="00000000" w:usb3="00000000" w:csb0="20000001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96E0817A"/>
    <w:multiLevelType w:val="singleLevel"/>
    <w:tmpl w:val="96E0817A"/>
    <w:lvl w:ilvl="0" w:tentative="0">
      <w:start w:val="1"/>
      <w:numFmt w:val="decimal"/>
      <w:lvlText w:val="%1."/>
      <w:lvlJc w:val="left"/>
      <w:pPr>
        <w:tabs>
          <w:tab w:val="left" w:pos="312"/>
        </w:tabs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38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0000"/>
    <w:rsid w:val="06CE5D97"/>
    <w:rsid w:val="15A703A2"/>
    <w:rsid w:val="25CB2911"/>
    <w:rsid w:val="2C0D24CA"/>
    <w:rsid w:val="445370F2"/>
    <w:rsid w:val="4EFB5E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/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paragraph" w:styleId="2">
    <w:name w:val="heading 1"/>
    <w:basedOn w:val="1"/>
    <w:next w:val="1"/>
    <w:link w:val="9"/>
    <w:qFormat/>
    <w:uiPriority w:val="0"/>
    <w:pPr>
      <w:keepNext/>
      <w:keepLines/>
      <w:spacing w:before="340" w:beforeLines="0" w:beforeAutospacing="0" w:after="330" w:afterLines="0" w:afterAutospacing="0" w:line="576" w:lineRule="auto"/>
      <w:outlineLvl w:val="0"/>
    </w:pPr>
    <w:rPr>
      <w:b/>
      <w:kern w:val="44"/>
      <w:sz w:val="44"/>
    </w:rPr>
  </w:style>
  <w:style w:type="paragraph" w:styleId="3">
    <w:name w:val="heading 3"/>
    <w:basedOn w:val="1"/>
    <w:next w:val="1"/>
    <w:semiHidden/>
    <w:unhideWhenUsed/>
    <w:qFormat/>
    <w:uiPriority w:val="0"/>
    <w:pPr>
      <w:spacing w:before="0" w:beforeAutospacing="1" w:after="0" w:afterAutospacing="1"/>
      <w:jc w:val="left"/>
    </w:pPr>
    <w:rPr>
      <w:rFonts w:hint="eastAsia" w:ascii="宋体" w:hAnsi="宋体" w:eastAsia="宋体" w:cs="宋体"/>
      <w:b/>
      <w:bCs/>
      <w:kern w:val="0"/>
      <w:sz w:val="27"/>
      <w:szCs w:val="27"/>
      <w:lang w:val="en-US" w:eastAsia="zh-CN" w:bidi="ar"/>
    </w:rPr>
  </w:style>
  <w:style w:type="paragraph" w:styleId="4">
    <w:name w:val="heading 4"/>
    <w:basedOn w:val="1"/>
    <w:next w:val="1"/>
    <w:semiHidden/>
    <w:unhideWhenUsed/>
    <w:qFormat/>
    <w:uiPriority w:val="0"/>
    <w:pPr>
      <w:spacing w:before="0" w:beforeAutospacing="1" w:after="0" w:afterAutospacing="1"/>
      <w:jc w:val="left"/>
    </w:pPr>
    <w:rPr>
      <w:rFonts w:hint="eastAsia" w:ascii="宋体" w:hAnsi="宋体" w:eastAsia="宋体" w:cs="宋体"/>
      <w:b/>
      <w:bCs/>
      <w:kern w:val="0"/>
      <w:sz w:val="24"/>
      <w:szCs w:val="24"/>
      <w:lang w:val="en-US" w:eastAsia="zh-CN" w:bidi="ar"/>
    </w:rPr>
  </w:style>
  <w:style w:type="character" w:default="1" w:styleId="7">
    <w:name w:val="Default Paragraph Font"/>
    <w:semiHidden/>
    <w:qFormat/>
    <w:uiPriority w:val="0"/>
  </w:style>
  <w:style w:type="table" w:default="1" w:styleId="6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5">
    <w:name w:val="Normal (Web)"/>
    <w:basedOn w:val="1"/>
    <w:uiPriority w:val="0"/>
    <w:rPr>
      <w:sz w:val="24"/>
    </w:rPr>
  </w:style>
  <w:style w:type="character" w:styleId="8">
    <w:name w:val="Strong"/>
    <w:basedOn w:val="7"/>
    <w:qFormat/>
    <w:uiPriority w:val="0"/>
    <w:rPr>
      <w:b/>
    </w:rPr>
  </w:style>
  <w:style w:type="character" w:customStyle="1" w:styleId="9">
    <w:name w:val="标题 1 Char"/>
    <w:link w:val="2"/>
    <w:qFormat/>
    <w:uiPriority w:val="0"/>
    <w:rPr>
      <w:b/>
      <w:kern w:val="44"/>
      <w:sz w:val="44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numbering" Target="numbering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/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450</Words>
  <Characters>2847</Characters>
  <Lines>0</Lines>
  <Paragraphs>0</Paragraphs>
  <TotalTime>56</TotalTime>
  <ScaleCrop>false</ScaleCrop>
  <LinksUpToDate>false</LinksUpToDate>
  <CharactersWithSpaces>3249</CharactersWithSpaces>
  <Application>WPS Office_12.1.0.20784_F1E327BC-269C-435d-A152-05C5408002CA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2025-05-06T12:42:00Z</dcterms:created>
  <dc:creator>lenovo</dc:creator>
  <cp:lastModifiedBy>WPS_1479666331</cp:lastModifiedBy>
  <dcterms:modified xsi:type="dcterms:W3CDTF">2025-05-06T14:43:09Z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2052-12.1.0.20784</vt:lpwstr>
  </property>
  <property fmtid="{D5CDD505-2E9C-101B-9397-08002B2CF9AE}" pid="3" name="KSOTemplateDocerSaveRecord">
    <vt:lpwstr>eyJoZGlkIjoiN2MxMTU1NTI4MGEzZDk0NWI2ZTkwYzQ2OTBhZjhhZTkiLCJ1c2VySWQiOiIxNDc5NjY2MzMxIn0=</vt:lpwstr>
  </property>
  <property fmtid="{D5CDD505-2E9C-101B-9397-08002B2CF9AE}" pid="4" name="ICV">
    <vt:lpwstr>3033024DDF234B88808218A0A57EC9A9_12</vt:lpwstr>
  </property>
</Properties>
</file>