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360"/>
        <w:rPr>
          <w:rFonts w:ascii="Arial" w:cs="Arial" w:hAnsi="Arial"/>
          <w:sz w:val="24"/>
          <w:szCs w:val="24"/>
          <w:lang w:val="en-GB"/>
        </w:rPr>
      </w:pPr>
    </w:p>
    <w:p>
      <w:pPr>
        <w:pStyle w:val="style0"/>
        <w:spacing w:lineRule="auto" w:line="360"/>
        <w:ind w:left="720"/>
        <w:jc w:val="center"/>
        <w:rPr>
          <w:rFonts w:ascii="Arial" w:cs="Arial" w:hAnsi="Arial"/>
          <w:bCs/>
          <w:sz w:val="24"/>
          <w:szCs w:val="24"/>
        </w:rPr>
      </w:pPr>
      <w:r>
        <w:rPr>
          <w:rFonts w:ascii="Arial" w:cs="Arial" w:hAnsi="Arial"/>
          <w:bCs/>
          <w:sz w:val="24"/>
          <w:szCs w:val="24"/>
        </w:rPr>
        <w:t>REFORMS O</w:t>
      </w:r>
      <w:r>
        <w:rPr>
          <w:rFonts w:cs="Arial" w:hAnsi="Arial"/>
          <w:bCs/>
          <w:sz w:val="24"/>
          <w:szCs w:val="24"/>
          <w:lang w:val="en-US"/>
        </w:rPr>
        <w:t xml:space="preserve">F HOMICIDE </w:t>
      </w: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r>
        <w:rPr>
          <w:rFonts w:ascii="Arial" w:cs="Arial" w:hAnsi="Arial"/>
          <w:sz w:val="24"/>
          <w:szCs w:val="24"/>
        </w:rPr>
        <w:t xml:space="preserve">BY </w:t>
      </w:r>
      <w:r>
        <w:rPr>
          <w:rFonts w:ascii="Arial" w:cs="Arial" w:hAnsi="Arial"/>
          <w:sz w:val="24"/>
          <w:szCs w:val="24"/>
        </w:rPr>
        <w:t>Masoom</w:t>
      </w:r>
      <w:r>
        <w:rPr>
          <w:rFonts w:ascii="Arial" w:cs="Arial" w:hAnsi="Arial"/>
          <w:sz w:val="24"/>
          <w:szCs w:val="24"/>
        </w:rPr>
        <w:t xml:space="preserve"> Ashraf</w:t>
      </w:r>
    </w:p>
    <w:p>
      <w:pPr>
        <w:pStyle w:val="style0"/>
        <w:spacing w:lineRule="auto" w:line="360"/>
        <w:jc w:val="center"/>
        <w:rPr>
          <w:rFonts w:ascii="Arial" w:cs="Arial" w:hAnsi="Arial"/>
          <w:sz w:val="24"/>
          <w:szCs w:val="24"/>
        </w:rPr>
      </w:pPr>
      <w:r>
        <w:rPr>
          <w:rFonts w:ascii="Arial" w:cs="Arial" w:hAnsi="Arial"/>
          <w:sz w:val="24"/>
          <w:szCs w:val="24"/>
        </w:rPr>
        <w:t>2225233</w:t>
      </w:r>
    </w:p>
    <w:p>
      <w:pPr>
        <w:pStyle w:val="style0"/>
        <w:tabs>
          <w:tab w:val="left" w:leader="none" w:pos="5200"/>
        </w:tabs>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r>
        <w:rPr>
          <w:rFonts w:ascii="Arial" w:cs="Arial" w:hAnsi="Arial"/>
          <w:sz w:val="24"/>
          <w:szCs w:val="24"/>
        </w:rPr>
        <w:t>BMPL4009 + Criminal law</w:t>
      </w:r>
    </w:p>
    <w:p>
      <w:pPr>
        <w:pStyle w:val="style0"/>
        <w:spacing w:lineRule="auto" w:line="360"/>
        <w:jc w:val="center"/>
        <w:rPr>
          <w:rFonts w:ascii="Arial" w:cs="Arial" w:hAnsi="Arial"/>
          <w:sz w:val="24"/>
          <w:szCs w:val="24"/>
        </w:rPr>
      </w:pPr>
      <w:r>
        <w:rPr>
          <w:rFonts w:ascii="Arial" w:cs="Arial" w:hAnsi="Arial"/>
          <w:sz w:val="24"/>
          <w:szCs w:val="24"/>
        </w:rPr>
        <w:t>Zita</w:t>
      </w:r>
      <w:r>
        <w:rPr>
          <w:rFonts w:ascii="Arial" w:cs="Arial" w:hAnsi="Arial"/>
          <w:sz w:val="24"/>
          <w:szCs w:val="24"/>
        </w:rPr>
        <w:t xml:space="preserve"> Draper</w:t>
      </w:r>
    </w:p>
    <w:p>
      <w:pPr>
        <w:pStyle w:val="style0"/>
        <w:spacing w:lineRule="auto" w:line="360"/>
        <w:jc w:val="center"/>
        <w:rPr>
          <w:rFonts w:ascii="Arial" w:cs="Arial" w:hAnsi="Arial"/>
          <w:sz w:val="24"/>
          <w:szCs w:val="24"/>
        </w:rPr>
      </w:pPr>
      <w:r>
        <w:rPr>
          <w:rFonts w:ascii="Arial" w:cs="Arial" w:hAnsi="Arial"/>
          <w:sz w:val="24"/>
          <w:szCs w:val="24"/>
        </w:rPr>
        <w:t>University of wales Trinity St David</w:t>
      </w: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r>
        <w:rPr>
          <w:rFonts w:ascii="Arial" w:cs="Arial" w:hAnsi="Arial"/>
          <w:sz w:val="24"/>
          <w:szCs w:val="24"/>
        </w:rPr>
        <w:t>5</w:t>
      </w:r>
      <w:r>
        <w:rPr>
          <w:rFonts w:ascii="Arial" w:cs="Arial" w:hAnsi="Arial"/>
          <w:sz w:val="24"/>
          <w:szCs w:val="24"/>
          <w:vertAlign w:val="superscript"/>
        </w:rPr>
        <w:t>th</w:t>
      </w:r>
      <w:r>
        <w:rPr>
          <w:rFonts w:ascii="Arial" w:cs="Arial" w:hAnsi="Arial"/>
          <w:sz w:val="24"/>
          <w:szCs w:val="24"/>
        </w:rPr>
        <w:t xml:space="preserve"> JUNE 2023</w:t>
      </w: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bookmarkStart w:id="0" w:name="_GoBack"/>
    <w:bookmarkEnd w:id="0"/>
    <w:p>
      <w:pPr>
        <w:pStyle w:val="style0"/>
        <w:spacing w:after="0" w:lineRule="auto" w:line="360"/>
        <w:rPr>
          <w:rFonts w:ascii="Arial" w:cs="Arial" w:hAnsi="Arial"/>
          <w:b/>
          <w:sz w:val="24"/>
          <w:szCs w:val="24"/>
          <w:lang w:val="en-GB"/>
        </w:rPr>
      </w:pPr>
    </w:p>
    <w:p>
      <w:pPr>
        <w:pStyle w:val="style0"/>
        <w:tabs>
          <w:tab w:val="left" w:leader="none" w:pos="4100"/>
        </w:tabs>
        <w:spacing w:lineRule="auto" w:line="360"/>
        <w:rPr>
          <w:rFonts w:ascii="Arial" w:cs="Arial" w:hAnsi="Arial"/>
          <w:b/>
          <w:sz w:val="24"/>
          <w:szCs w:val="24"/>
        </w:rPr>
      </w:pPr>
      <w:r>
        <w:rPr>
          <w:rFonts w:ascii="Arial" w:cs="Arial" w:hAnsi="Arial"/>
          <w:b/>
          <w:sz w:val="24"/>
          <w:szCs w:val="24"/>
          <w:lang w:val="en-GB"/>
        </w:rPr>
        <w:t>Introduction</w:t>
      </w:r>
      <w:r>
        <w:rPr>
          <w:rFonts w:ascii="Arial" w:cs="Arial" w:hAnsi="Arial"/>
          <w:b/>
          <w:sz w:val="24"/>
          <w:szCs w:val="24"/>
          <w:lang w:val="en-GB"/>
        </w:rPr>
        <w:tab/>
      </w:r>
    </w:p>
    <w:p>
      <w:pPr>
        <w:pStyle w:val="style0"/>
        <w:spacing w:lineRule="auto" w:line="360"/>
        <w:jc w:val="both"/>
        <w:rPr>
          <w:rFonts w:ascii="Arial" w:cs="Arial" w:hAnsi="Arial"/>
          <w:sz w:val="24"/>
          <w:szCs w:val="24"/>
        </w:rPr>
      </w:pPr>
      <w:r>
        <w:rPr>
          <w:rFonts w:ascii="Arial" w:cs="Arial" w:hAnsi="Arial"/>
          <w:sz w:val="24"/>
          <w:szCs w:val="24"/>
        </w:rPr>
        <w:t>The statement insinuates that the current laws on homicide have not been based on very steady foundat</w:t>
      </w:r>
      <w:r>
        <w:rPr>
          <w:rFonts w:ascii="Arial" w:cs="Arial" w:hAnsi="Arial"/>
          <w:sz w:val="24"/>
          <w:szCs w:val="24"/>
        </w:rPr>
        <w:t>ions for a very long time. T</w:t>
      </w:r>
      <w:r>
        <w:rPr>
          <w:rFonts w:ascii="Arial" w:cs="Arial" w:hAnsi="Arial"/>
          <w:sz w:val="24"/>
          <w:szCs w:val="24"/>
        </w:rPr>
        <w:t>herefore,</w:t>
      </w:r>
      <w:r>
        <w:rPr>
          <w:rFonts w:ascii="Arial" w:cs="Arial" w:hAnsi="Arial"/>
          <w:sz w:val="24"/>
          <w:szCs w:val="24"/>
        </w:rPr>
        <w:t xml:space="preserve"> this</w:t>
      </w:r>
      <w:r>
        <w:rPr>
          <w:rFonts w:ascii="Arial" w:cs="Arial" w:hAnsi="Arial"/>
          <w:sz w:val="24"/>
          <w:szCs w:val="24"/>
        </w:rPr>
        <w:t xml:space="preserve"> brings the</w:t>
      </w:r>
      <w:r>
        <w:rPr>
          <w:rFonts w:ascii="Arial" w:cs="Arial" w:hAnsi="Arial"/>
          <w:sz w:val="24"/>
          <w:szCs w:val="24"/>
        </w:rPr>
        <w:t xml:space="preserve"> need for </w:t>
      </w:r>
      <w:r>
        <w:rPr>
          <w:rFonts w:ascii="Arial" w:cs="Arial" w:hAnsi="Arial"/>
          <w:sz w:val="24"/>
          <w:szCs w:val="24"/>
        </w:rPr>
        <w:t>some sections of the law to be changed.</w:t>
      </w:r>
      <w:r>
        <w:rPr>
          <w:rFonts w:ascii="Arial" w:cs="Arial" w:hAnsi="Arial"/>
          <w:sz w:val="24"/>
          <w:szCs w:val="24"/>
        </w:rPr>
        <w:t xml:space="preserve"> Homicide ca</w:t>
      </w:r>
      <w:r>
        <w:rPr>
          <w:rFonts w:ascii="Arial" w:cs="Arial" w:hAnsi="Arial"/>
          <w:sz w:val="24"/>
          <w:szCs w:val="24"/>
        </w:rPr>
        <w:t>n be described as the act of one individual</w:t>
      </w:r>
      <w:r>
        <w:rPr>
          <w:rFonts w:ascii="Arial" w:cs="Arial" w:hAnsi="Arial"/>
          <w:sz w:val="24"/>
          <w:szCs w:val="24"/>
        </w:rPr>
        <w:t xml:space="preserve"> killing another </w:t>
      </w:r>
      <w:r>
        <w:rPr>
          <w:rFonts w:ascii="Arial" w:cs="Arial" w:hAnsi="Arial"/>
          <w:sz w:val="24"/>
          <w:szCs w:val="24"/>
        </w:rPr>
        <w:t>human being</w:t>
      </w:r>
      <w:r>
        <w:rPr>
          <w:rFonts w:ascii="Arial" w:cs="Arial" w:hAnsi="Arial"/>
          <w:sz w:val="24"/>
          <w:szCs w:val="24"/>
        </w:rPr>
        <w:t>.</w:t>
      </w:r>
      <w:r>
        <w:rPr>
          <w:rFonts w:ascii="Arial" w:cs="Arial" w:hAnsi="Arial"/>
          <w:sz w:val="24"/>
          <w:szCs w:val="24"/>
        </w:rPr>
        <w:t xml:space="preserve"> Henceforth we </w:t>
      </w:r>
      <w:r>
        <w:rPr>
          <w:rFonts w:ascii="Arial" w:cs="Arial" w:hAnsi="Arial"/>
          <w:sz w:val="24"/>
          <w:szCs w:val="24"/>
        </w:rPr>
        <w:t>consider</w:t>
      </w:r>
      <w:r>
        <w:rPr>
          <w:rFonts w:ascii="Arial" w:cs="Arial" w:hAnsi="Arial"/>
          <w:sz w:val="24"/>
          <w:szCs w:val="24"/>
        </w:rPr>
        <w:t xml:space="preserve"> the current</w:t>
      </w:r>
      <w:r>
        <w:rPr>
          <w:rFonts w:ascii="Arial" w:cs="Arial" w:hAnsi="Arial"/>
          <w:sz w:val="24"/>
          <w:szCs w:val="24"/>
        </w:rPr>
        <w:t xml:space="preserve"> homicide law, a few key issues such as</w:t>
      </w:r>
      <w:r>
        <w:rPr>
          <w:rFonts w:ascii="Arial" w:cs="Arial" w:hAnsi="Arial"/>
          <w:sz w:val="24"/>
          <w:szCs w:val="24"/>
        </w:rPr>
        <w:t xml:space="preserve"> suggested improvements, the government's </w:t>
      </w:r>
      <w:r>
        <w:rPr>
          <w:rFonts w:ascii="Arial" w:cs="Arial" w:hAnsi="Arial"/>
          <w:sz w:val="24"/>
          <w:szCs w:val="24"/>
        </w:rPr>
        <w:t xml:space="preserve">take on </w:t>
      </w:r>
      <w:r>
        <w:rPr>
          <w:rFonts w:ascii="Arial" w:cs="Arial" w:hAnsi="Arial"/>
          <w:sz w:val="24"/>
          <w:szCs w:val="24"/>
        </w:rPr>
        <w:t>approval or rejection of the reforms, and the arguments for and against the reforms to assess the claim</w:t>
      </w:r>
      <w:r>
        <w:rPr>
          <w:rFonts w:ascii="Arial" w:cs="Arial" w:hAnsi="Arial"/>
          <w:sz w:val="24"/>
          <w:szCs w:val="24"/>
        </w:rPr>
        <w:t xml:space="preserve"> (</w:t>
      </w:r>
      <w:r>
        <w:rPr>
          <w:rFonts w:ascii="Arial" w:cs="Arial" w:hAnsi="Arial"/>
          <w:color w:val="222222"/>
          <w:sz w:val="24"/>
          <w:szCs w:val="24"/>
          <w:shd w:val="clear" w:color="auto" w:fill="ffffff"/>
        </w:rPr>
        <w:t>Bell, 2017</w:t>
      </w:r>
      <w:r>
        <w:rPr>
          <w:rFonts w:ascii="Arial" w:cs="Arial" w:hAnsi="Arial"/>
          <w:sz w:val="24"/>
          <w:szCs w:val="24"/>
        </w:rPr>
        <w:t>)</w:t>
      </w:r>
      <w:r>
        <w:rPr>
          <w:rFonts w:ascii="Arial" w:cs="Arial" w:hAnsi="Arial"/>
          <w:sz w:val="24"/>
          <w:szCs w:val="24"/>
        </w:rPr>
        <w:t>.</w:t>
      </w:r>
    </w:p>
    <w:p>
      <w:pPr>
        <w:pStyle w:val="style0"/>
        <w:spacing w:after="0" w:lineRule="auto" w:line="360"/>
        <w:jc w:val="both"/>
        <w:rPr>
          <w:rFonts w:ascii="Arial" w:cs="Arial" w:hAnsi="Arial"/>
          <w:sz w:val="24"/>
          <w:szCs w:val="24"/>
        </w:rPr>
      </w:pPr>
      <w:r>
        <w:rPr>
          <w:rFonts w:ascii="Arial" w:cs="Arial" w:hAnsi="Arial"/>
          <w:sz w:val="24"/>
          <w:szCs w:val="24"/>
        </w:rPr>
        <w:t>There are currently two principal homicide offenses under England and Wales law.</w:t>
      </w:r>
      <w:r>
        <w:rPr>
          <w:rFonts w:ascii="Arial" w:cs="Arial" w:hAnsi="Arial"/>
          <w:sz w:val="24"/>
          <w:szCs w:val="24"/>
        </w:rPr>
        <w:t xml:space="preserve"> </w:t>
      </w:r>
      <w:r>
        <w:rPr>
          <w:rFonts w:ascii="Arial" w:cs="Arial" w:hAnsi="Arial"/>
          <w:sz w:val="24"/>
          <w:szCs w:val="24"/>
        </w:rPr>
        <w:t>Murder can be defined as the premeditated and intentiona</w:t>
      </w:r>
      <w:r>
        <w:rPr>
          <w:rFonts w:ascii="Arial" w:cs="Arial" w:hAnsi="Arial"/>
          <w:sz w:val="24"/>
          <w:szCs w:val="24"/>
        </w:rPr>
        <w:t>l killing of another individual</w:t>
      </w:r>
      <w:r>
        <w:rPr>
          <w:rFonts w:ascii="Arial" w:cs="Arial" w:hAnsi="Arial"/>
          <w:sz w:val="24"/>
          <w:szCs w:val="24"/>
        </w:rPr>
        <w:t>. Malice aforethought describes an act performed</w:t>
      </w:r>
      <w:r>
        <w:rPr>
          <w:rFonts w:ascii="Arial" w:cs="Arial" w:hAnsi="Arial"/>
          <w:sz w:val="24"/>
          <w:szCs w:val="24"/>
        </w:rPr>
        <w:t xml:space="preserve"> with the specific goal of causing death or serious bodily harm</w:t>
      </w:r>
      <w:r>
        <w:rPr>
          <w:rFonts w:ascii="Arial" w:cs="Arial" w:hAnsi="Arial"/>
          <w:sz w:val="24"/>
          <w:szCs w:val="24"/>
        </w:rPr>
        <w:t xml:space="preserve"> (</w:t>
      </w:r>
      <w:r>
        <w:rPr>
          <w:rFonts w:ascii="Arial" w:cs="Arial" w:hAnsi="Arial"/>
          <w:color w:val="222222"/>
          <w:sz w:val="24"/>
          <w:szCs w:val="24"/>
          <w:shd w:val="clear" w:color="auto" w:fill="ffffff"/>
        </w:rPr>
        <w:t>Acker and Lanier, 2020</w:t>
      </w:r>
      <w:r>
        <w:rPr>
          <w:rFonts w:ascii="Arial" w:cs="Arial" w:hAnsi="Arial"/>
          <w:sz w:val="24"/>
          <w:szCs w:val="24"/>
        </w:rPr>
        <w:t>)</w:t>
      </w:r>
      <w:r>
        <w:rPr>
          <w:rFonts w:ascii="Arial" w:cs="Arial" w:hAnsi="Arial"/>
          <w:sz w:val="24"/>
          <w:szCs w:val="24"/>
        </w:rPr>
        <w:t xml:space="preserve">. The prosecution must determine beyond a reasonable doubt both the </w:t>
      </w:r>
      <w:r>
        <w:rPr>
          <w:rFonts w:ascii="Arial" w:cs="Arial" w:hAnsi="Arial"/>
          <w:sz w:val="24"/>
          <w:szCs w:val="24"/>
        </w:rPr>
        <w:t>actus</w:t>
      </w:r>
      <w:r>
        <w:rPr>
          <w:rFonts w:ascii="Arial" w:cs="Arial" w:hAnsi="Arial"/>
          <w:sz w:val="24"/>
          <w:szCs w:val="24"/>
        </w:rPr>
        <w:t xml:space="preserve"> </w:t>
      </w:r>
      <w:r>
        <w:rPr>
          <w:rFonts w:ascii="Arial" w:cs="Arial" w:hAnsi="Arial"/>
          <w:sz w:val="24"/>
          <w:szCs w:val="24"/>
        </w:rPr>
        <w:t>reus</w:t>
      </w:r>
      <w:r>
        <w:rPr>
          <w:rFonts w:ascii="Arial" w:cs="Arial" w:hAnsi="Arial"/>
          <w:sz w:val="24"/>
          <w:szCs w:val="24"/>
        </w:rPr>
        <w:t xml:space="preserve"> (the actual act of killing) and the </w:t>
      </w:r>
      <w:r>
        <w:rPr>
          <w:rFonts w:ascii="Arial" w:cs="Arial" w:hAnsi="Arial"/>
          <w:sz w:val="24"/>
          <w:szCs w:val="24"/>
        </w:rPr>
        <w:t>mens</w:t>
      </w:r>
      <w:r>
        <w:rPr>
          <w:rFonts w:ascii="Arial" w:cs="Arial" w:hAnsi="Arial"/>
          <w:sz w:val="24"/>
          <w:szCs w:val="24"/>
        </w:rPr>
        <w:t xml:space="preserve"> </w:t>
      </w:r>
      <w:r>
        <w:rPr>
          <w:rFonts w:ascii="Arial" w:cs="Arial" w:hAnsi="Arial"/>
          <w:sz w:val="24"/>
          <w:szCs w:val="24"/>
        </w:rPr>
        <w:t>rea</w:t>
      </w:r>
      <w:r>
        <w:rPr>
          <w:rFonts w:ascii="Arial" w:cs="Arial" w:hAnsi="Arial"/>
          <w:sz w:val="24"/>
          <w:szCs w:val="24"/>
        </w:rPr>
        <w:t xml:space="preserve"> (the specific purpose to kill). </w:t>
      </w:r>
      <w:r>
        <w:rPr>
          <w:rFonts w:ascii="Arial" w:cs="Arial" w:hAnsi="Arial"/>
          <w:sz w:val="24"/>
          <w:szCs w:val="24"/>
        </w:rPr>
        <w:t>Direct intent, where the</w:t>
      </w:r>
      <w:r>
        <w:rPr>
          <w:rFonts w:ascii="Arial" w:cs="Arial" w:hAnsi="Arial"/>
          <w:sz w:val="24"/>
          <w:szCs w:val="24"/>
        </w:rPr>
        <w:t xml:space="preserve"> offender means to c</w:t>
      </w:r>
      <w:r>
        <w:rPr>
          <w:rFonts w:ascii="Arial" w:cs="Arial" w:hAnsi="Arial"/>
          <w:sz w:val="24"/>
          <w:szCs w:val="24"/>
        </w:rPr>
        <w:t>ause death and oblique intent</w:t>
      </w:r>
      <w:r>
        <w:rPr>
          <w:rFonts w:ascii="Arial" w:cs="Arial" w:hAnsi="Arial"/>
          <w:sz w:val="24"/>
          <w:szCs w:val="24"/>
        </w:rPr>
        <w:t xml:space="preserve"> (</w:t>
      </w:r>
      <w:r>
        <w:rPr>
          <w:rFonts w:ascii="Arial" w:cs="Arial" w:hAnsi="Arial"/>
          <w:color w:val="222222"/>
          <w:sz w:val="24"/>
          <w:szCs w:val="24"/>
          <w:shd w:val="clear" w:color="auto" w:fill="ffffff"/>
        </w:rPr>
        <w:t>Kugler</w:t>
      </w:r>
      <w:r>
        <w:rPr>
          <w:rFonts w:ascii="Arial" w:cs="Arial" w:hAnsi="Arial"/>
          <w:color w:val="222222"/>
          <w:sz w:val="24"/>
          <w:szCs w:val="24"/>
          <w:shd w:val="clear" w:color="auto" w:fill="ffffff"/>
        </w:rPr>
        <w:t>, 2017</w:t>
      </w:r>
      <w:r>
        <w:rPr>
          <w:rFonts w:ascii="Arial" w:cs="Arial" w:hAnsi="Arial"/>
          <w:sz w:val="24"/>
          <w:szCs w:val="24"/>
        </w:rPr>
        <w:t>)</w:t>
      </w:r>
      <w:r>
        <w:rPr>
          <w:rFonts w:ascii="Arial" w:cs="Arial" w:hAnsi="Arial"/>
          <w:sz w:val="24"/>
          <w:szCs w:val="24"/>
        </w:rPr>
        <w:t>.</w:t>
      </w:r>
    </w:p>
    <w:p>
      <w:pPr>
        <w:pStyle w:val="style0"/>
        <w:spacing w:after="0" w:lineRule="auto" w:line="360"/>
        <w:jc w:val="both"/>
        <w:rPr>
          <w:rFonts w:ascii="Arial" w:cs="Arial" w:hAnsi="Arial"/>
          <w:sz w:val="24"/>
          <w:szCs w:val="24"/>
        </w:rPr>
      </w:pPr>
      <w:r>
        <w:rPr>
          <w:rFonts w:ascii="Arial" w:cs="Arial" w:hAnsi="Arial"/>
          <w:sz w:val="24"/>
          <w:szCs w:val="24"/>
        </w:rPr>
        <w:t>Manslaughter refers to wrongful deaths committed by the accused without the requisite murderous intent. There are two types of manslaughter: they include voluntarily and those committed involuntarily</w:t>
      </w:r>
      <w:r>
        <w:rPr>
          <w:rFonts w:ascii="Arial" w:cs="Arial" w:hAnsi="Arial"/>
          <w:sz w:val="24"/>
          <w:szCs w:val="24"/>
        </w:rPr>
        <w:t xml:space="preserve"> (</w:t>
      </w:r>
      <w:r>
        <w:rPr>
          <w:rFonts w:ascii="Arial" w:cs="Arial" w:hAnsi="Arial"/>
          <w:color w:val="222222"/>
          <w:sz w:val="24"/>
          <w:szCs w:val="24"/>
          <w:shd w:val="clear" w:color="auto" w:fill="ffffff"/>
        </w:rPr>
        <w:t>Hamilton, 2011</w:t>
      </w:r>
      <w:r>
        <w:rPr>
          <w:rFonts w:ascii="Arial" w:cs="Arial" w:hAnsi="Arial"/>
          <w:sz w:val="24"/>
          <w:szCs w:val="24"/>
        </w:rPr>
        <w:t>)</w:t>
      </w:r>
      <w:r>
        <w:rPr>
          <w:rFonts w:ascii="Arial" w:cs="Arial" w:hAnsi="Arial"/>
          <w:sz w:val="24"/>
          <w:szCs w:val="24"/>
        </w:rPr>
        <w:t xml:space="preserve">. In voluntarily manslaughter, this involves the defendant </w:t>
      </w:r>
      <w:r>
        <w:rPr>
          <w:rFonts w:ascii="Arial" w:cs="Arial" w:hAnsi="Arial"/>
          <w:sz w:val="24"/>
          <w:szCs w:val="24"/>
        </w:rPr>
        <w:t>will</w:t>
      </w:r>
      <w:r>
        <w:rPr>
          <w:rFonts w:ascii="Arial" w:cs="Arial" w:hAnsi="Arial"/>
          <w:sz w:val="24"/>
          <w:szCs w:val="24"/>
        </w:rPr>
        <w:t>ingfully</w:t>
      </w:r>
      <w:r>
        <w:rPr>
          <w:rFonts w:ascii="Arial" w:cs="Arial" w:hAnsi="Arial"/>
          <w:sz w:val="24"/>
          <w:szCs w:val="24"/>
        </w:rPr>
        <w:t xml:space="preserve"> murdering another person, but the death is justified by extenuating circumstances. The crime is considered voluntary manslaughter. Murder charge may be reduced to manslaughter under specific conditions, including diminished responsibility and lack of control</w:t>
      </w:r>
      <w:r>
        <w:rPr>
          <w:rFonts w:ascii="Arial" w:cs="Arial" w:hAnsi="Arial"/>
          <w:sz w:val="24"/>
          <w:szCs w:val="24"/>
        </w:rPr>
        <w:t xml:space="preserve"> (</w:t>
      </w:r>
      <w:r>
        <w:rPr>
          <w:rFonts w:ascii="Arial" w:cs="Arial" w:hAnsi="Arial"/>
          <w:color w:val="222222"/>
          <w:sz w:val="24"/>
          <w:szCs w:val="24"/>
          <w:shd w:val="clear" w:color="auto" w:fill="ffffff"/>
        </w:rPr>
        <w:t>Elliott,</w:t>
      </w:r>
      <w:r>
        <w:rPr>
          <w:rFonts w:ascii="Arial" w:cs="Arial" w:hAnsi="Arial"/>
          <w:color w:val="222222"/>
          <w:sz w:val="24"/>
          <w:szCs w:val="24"/>
          <w:shd w:val="clear" w:color="auto" w:fill="ffffff"/>
        </w:rPr>
        <w:t xml:space="preserve"> 2011</w:t>
      </w:r>
      <w:r>
        <w:rPr>
          <w:rFonts w:ascii="Arial" w:cs="Arial" w:hAnsi="Arial"/>
          <w:sz w:val="24"/>
          <w:szCs w:val="24"/>
        </w:rPr>
        <w:t>)</w:t>
      </w:r>
      <w:r>
        <w:rPr>
          <w:rFonts w:ascii="Arial" w:cs="Arial" w:hAnsi="Arial"/>
          <w:sz w:val="24"/>
          <w:szCs w:val="24"/>
        </w:rPr>
        <w:t xml:space="preserve">. </w:t>
      </w:r>
    </w:p>
    <w:p>
      <w:pPr>
        <w:pStyle w:val="style0"/>
        <w:spacing w:after="0" w:lineRule="auto" w:line="360"/>
        <w:jc w:val="both"/>
        <w:rPr>
          <w:rFonts w:ascii="Arial" w:cs="Arial" w:hAnsi="Arial"/>
          <w:sz w:val="24"/>
          <w:szCs w:val="24"/>
        </w:rPr>
      </w:pPr>
      <w:r>
        <w:rPr>
          <w:rFonts w:ascii="Arial" w:cs="Arial" w:hAnsi="Arial"/>
          <w:sz w:val="24"/>
          <w:szCs w:val="24"/>
        </w:rPr>
        <w:t>On the other hand, involuntarily manslaughter can be explained as a circumstance where an individual causes death unintentionally or without malice aforethought. In scenarios of gross negligence manslaughter, the defendant's carelessness dire</w:t>
      </w:r>
      <w:r>
        <w:rPr>
          <w:rFonts w:ascii="Arial" w:cs="Arial" w:hAnsi="Arial"/>
          <w:sz w:val="24"/>
          <w:szCs w:val="24"/>
        </w:rPr>
        <w:t>ctly causes the victim's death (</w:t>
      </w:r>
      <w:r>
        <w:rPr>
          <w:rFonts w:ascii="Arial" w:cs="Arial" w:hAnsi="Arial"/>
          <w:color w:val="222222"/>
          <w:sz w:val="24"/>
          <w:szCs w:val="24"/>
          <w:shd w:val="clear" w:color="auto" w:fill="ffffff"/>
        </w:rPr>
        <w:t>Solaiman</w:t>
      </w:r>
      <w:r>
        <w:rPr>
          <w:rFonts w:ascii="Arial" w:cs="Arial" w:hAnsi="Arial"/>
          <w:color w:val="222222"/>
          <w:sz w:val="24"/>
          <w:szCs w:val="24"/>
          <w:shd w:val="clear" w:color="auto" w:fill="ffffff"/>
        </w:rPr>
        <w:t>, 2021</w:t>
      </w:r>
      <w:r>
        <w:rPr>
          <w:rFonts w:ascii="Arial" w:cs="Arial" w:hAnsi="Arial"/>
          <w:sz w:val="24"/>
          <w:szCs w:val="24"/>
        </w:rPr>
        <w:t>). I</w:t>
      </w:r>
      <w:r>
        <w:rPr>
          <w:rFonts w:ascii="Arial" w:cs="Arial" w:hAnsi="Arial"/>
          <w:sz w:val="24"/>
          <w:szCs w:val="24"/>
        </w:rPr>
        <w:t>n cases of unlawful act manslaughter, the defendant's illegal activity directly causes the victim's death, even if the actor had no malicious intent.</w:t>
      </w:r>
    </w:p>
    <w:p>
      <w:pPr>
        <w:pStyle w:val="style0"/>
        <w:spacing w:after="0" w:lineRule="auto" w:line="360"/>
        <w:jc w:val="both"/>
        <w:rPr>
          <w:rFonts w:ascii="Arial" w:cs="Arial" w:hAnsi="Arial"/>
          <w:sz w:val="24"/>
          <w:szCs w:val="24"/>
        </w:rPr>
      </w:pPr>
      <w:r>
        <w:rPr>
          <w:rFonts w:ascii="Arial" w:cs="Arial" w:hAnsi="Arial"/>
          <w:sz w:val="24"/>
          <w:szCs w:val="24"/>
        </w:rPr>
        <w:t xml:space="preserve">Another homicide crime is </w:t>
      </w:r>
      <w:r>
        <w:rPr>
          <w:rFonts w:ascii="Arial" w:cs="Arial" w:hAnsi="Arial"/>
          <w:sz w:val="24"/>
          <w:szCs w:val="24"/>
        </w:rPr>
        <w:t>infanticide</w:t>
      </w:r>
      <w:r>
        <w:rPr>
          <w:rFonts w:ascii="Arial" w:cs="Arial" w:hAnsi="Arial"/>
          <w:sz w:val="24"/>
          <w:szCs w:val="24"/>
        </w:rPr>
        <w:t>,</w:t>
      </w:r>
      <w:r>
        <w:rPr>
          <w:rFonts w:ascii="Arial" w:cs="Arial" w:hAnsi="Arial"/>
          <w:sz w:val="24"/>
          <w:szCs w:val="24"/>
        </w:rPr>
        <w:t xml:space="preserve"> it</w:t>
      </w:r>
      <w:r>
        <w:rPr>
          <w:rFonts w:ascii="Arial" w:cs="Arial" w:hAnsi="Arial"/>
          <w:sz w:val="24"/>
          <w:szCs w:val="24"/>
        </w:rPr>
        <w:t xml:space="preserve"> refers to the specific crime of murdering an infant below the age of 12 </w:t>
      </w:r>
      <w:r>
        <w:rPr>
          <w:rFonts w:ascii="Arial" w:cs="Arial" w:hAnsi="Arial"/>
          <w:sz w:val="24"/>
          <w:szCs w:val="24"/>
        </w:rPr>
        <w:t>months by their mother. An interesting part of this case is that</w:t>
      </w:r>
      <w:r>
        <w:rPr>
          <w:rFonts w:ascii="Arial" w:cs="Arial" w:hAnsi="Arial"/>
          <w:sz w:val="24"/>
          <w:szCs w:val="24"/>
        </w:rPr>
        <w:t xml:space="preserve"> </w:t>
      </w:r>
      <w:r>
        <w:rPr>
          <w:rFonts w:ascii="Arial" w:cs="Arial" w:hAnsi="Arial"/>
          <w:sz w:val="24"/>
          <w:szCs w:val="24"/>
        </w:rPr>
        <w:t xml:space="preserve">the potential sentence for this type of homicide is life in </w:t>
      </w:r>
      <w:r>
        <w:rPr>
          <w:rFonts w:ascii="Arial" w:cs="Arial" w:hAnsi="Arial"/>
          <w:sz w:val="24"/>
          <w:szCs w:val="24"/>
        </w:rPr>
        <w:t>prison,</w:t>
      </w:r>
      <w:r>
        <w:rPr>
          <w:rFonts w:ascii="Arial" w:cs="Arial" w:hAnsi="Arial"/>
          <w:sz w:val="24"/>
          <w:szCs w:val="24"/>
        </w:rPr>
        <w:t xml:space="preserve"> this crime is viewed as less serious than murder.</w:t>
      </w:r>
    </w:p>
    <w:p>
      <w:pPr>
        <w:pStyle w:val="style0"/>
        <w:spacing w:after="0" w:lineRule="auto" w:line="360"/>
        <w:jc w:val="both"/>
        <w:rPr>
          <w:rFonts w:ascii="Arial" w:cs="Arial" w:hAnsi="Arial"/>
          <w:sz w:val="24"/>
          <w:szCs w:val="24"/>
        </w:rPr>
      </w:pPr>
      <w:r>
        <w:rPr>
          <w:rFonts w:ascii="Arial" w:cs="Arial" w:hAnsi="Arial"/>
          <w:sz w:val="24"/>
          <w:szCs w:val="24"/>
        </w:rPr>
        <w:t xml:space="preserve">Lastly, we have corporate </w:t>
      </w:r>
      <w:r>
        <w:rPr>
          <w:rFonts w:ascii="Arial" w:cs="Arial" w:hAnsi="Arial"/>
          <w:sz w:val="24"/>
          <w:szCs w:val="24"/>
        </w:rPr>
        <w:t>manslaughter,</w:t>
      </w:r>
      <w:r>
        <w:rPr>
          <w:rFonts w:ascii="Arial" w:cs="Arial" w:hAnsi="Arial"/>
          <w:sz w:val="24"/>
          <w:szCs w:val="24"/>
        </w:rPr>
        <w:t xml:space="preserve"> </w:t>
      </w:r>
      <w:r>
        <w:rPr>
          <w:rFonts w:ascii="Arial" w:cs="Arial" w:hAnsi="Arial"/>
          <w:sz w:val="24"/>
          <w:szCs w:val="24"/>
        </w:rPr>
        <w:t>this is used to describe the legal responsibility of a business or organization for the death of an individual caused by reckless or careless decisions taken by higher-ups</w:t>
      </w:r>
      <w:r>
        <w:rPr>
          <w:rFonts w:ascii="Arial" w:cs="Arial" w:hAnsi="Arial"/>
          <w:sz w:val="24"/>
          <w:szCs w:val="24"/>
        </w:rPr>
        <w:t xml:space="preserve"> (</w:t>
      </w:r>
      <w:r>
        <w:rPr>
          <w:rFonts w:ascii="Arial" w:cs="Arial" w:hAnsi="Arial"/>
          <w:color w:val="222222"/>
          <w:sz w:val="24"/>
          <w:szCs w:val="24"/>
          <w:shd w:val="clear" w:color="auto" w:fill="ffffff"/>
        </w:rPr>
        <w:t>Burgason</w:t>
      </w:r>
      <w:r>
        <w:rPr>
          <w:rFonts w:ascii="Arial" w:cs="Arial" w:hAnsi="Arial"/>
          <w:color w:val="222222"/>
          <w:sz w:val="24"/>
          <w:szCs w:val="24"/>
          <w:shd w:val="clear" w:color="auto" w:fill="ffffff"/>
        </w:rPr>
        <w:t xml:space="preserve"> et al., 2021</w:t>
      </w:r>
      <w:r>
        <w:rPr>
          <w:rFonts w:ascii="Arial" w:cs="Arial" w:hAnsi="Arial"/>
          <w:sz w:val="24"/>
          <w:szCs w:val="24"/>
        </w:rPr>
        <w:t>)</w:t>
      </w:r>
      <w:r>
        <w:rPr>
          <w:rFonts w:ascii="Arial" w:cs="Arial" w:hAnsi="Arial"/>
          <w:sz w:val="24"/>
          <w:szCs w:val="24"/>
        </w:rPr>
        <w:t>. In such kind of crime, the company must answer, not just the individuals that committed it.</w:t>
      </w:r>
    </w:p>
    <w:p>
      <w:pPr>
        <w:pStyle w:val="style0"/>
        <w:spacing w:after="0" w:lineRule="auto" w:line="360"/>
        <w:jc w:val="both"/>
        <w:rPr>
          <w:rFonts w:ascii="Arial" w:cs="Arial" w:hAnsi="Arial"/>
          <w:sz w:val="24"/>
          <w:szCs w:val="24"/>
        </w:rPr>
      </w:pPr>
      <w:r>
        <w:rPr>
          <w:rFonts w:ascii="Arial" w:cs="Arial" w:hAnsi="Arial"/>
          <w:sz w:val="24"/>
          <w:szCs w:val="24"/>
        </w:rPr>
        <w:t>The interesting fact is that Parliament has not revisited the law of murder since it passed the Homicide Act, and the current statute does not reflect the initial thought that was in place. According to</w:t>
      </w:r>
      <w:r>
        <w:rPr>
          <w:rFonts w:ascii="Arial" w:cs="Arial" w:hAnsi="Arial"/>
          <w:sz w:val="24"/>
          <w:szCs w:val="24"/>
        </w:rPr>
        <w:t xml:space="preserve"> </w:t>
      </w:r>
      <w:r>
        <w:rPr>
          <w:rFonts w:ascii="Arial" w:cs="Arial" w:hAnsi="Arial"/>
          <w:color w:val="222222"/>
          <w:sz w:val="24"/>
          <w:szCs w:val="24"/>
          <w:shd w:val="clear" w:color="auto" w:fill="ffffff"/>
        </w:rPr>
        <w:t>Robins, 2018</w:t>
      </w:r>
      <w:r>
        <w:rPr>
          <w:rFonts w:ascii="Arial" w:cs="Arial" w:hAnsi="Arial"/>
          <w:sz w:val="24"/>
          <w:szCs w:val="24"/>
        </w:rPr>
        <w:t xml:space="preserve"> the Lord Chief Justice's testimony before the Royal Commission, the law does not consider individuals guilty of murder simply because they intend t</w:t>
      </w:r>
      <w:r>
        <w:rPr>
          <w:rFonts w:ascii="Arial" w:cs="Arial" w:hAnsi="Arial"/>
          <w:sz w:val="24"/>
          <w:szCs w:val="24"/>
        </w:rPr>
        <w:t>o inflict severe harm. Those that</w:t>
      </w:r>
      <w:r>
        <w:rPr>
          <w:rFonts w:ascii="Arial" w:cs="Arial" w:hAnsi="Arial"/>
          <w:sz w:val="24"/>
          <w:szCs w:val="24"/>
        </w:rPr>
        <w:t xml:space="preserve"> set out to wrea</w:t>
      </w:r>
      <w:r>
        <w:rPr>
          <w:rFonts w:ascii="Arial" w:cs="Arial" w:hAnsi="Arial"/>
          <w:sz w:val="24"/>
          <w:szCs w:val="24"/>
        </w:rPr>
        <w:t>k great harm must also know</w:t>
      </w:r>
      <w:r>
        <w:rPr>
          <w:rFonts w:ascii="Arial" w:cs="Arial" w:hAnsi="Arial"/>
          <w:sz w:val="24"/>
          <w:szCs w:val="24"/>
        </w:rPr>
        <w:t xml:space="preserve"> they are risking human lives.</w:t>
      </w:r>
    </w:p>
    <w:p>
      <w:pPr>
        <w:pStyle w:val="style0"/>
        <w:spacing w:after="0" w:lineRule="auto" w:line="360"/>
        <w:jc w:val="both"/>
        <w:rPr>
          <w:rFonts w:ascii="Arial" w:cs="Arial" w:hAnsi="Arial"/>
          <w:sz w:val="24"/>
          <w:szCs w:val="24"/>
        </w:rPr>
      </w:pPr>
      <w:r>
        <w:rPr>
          <w:rFonts w:ascii="Arial" w:cs="Arial" w:hAnsi="Arial"/>
          <w:sz w:val="24"/>
          <w:szCs w:val="24"/>
        </w:rPr>
        <w:t xml:space="preserve">In the submission of the Royal </w:t>
      </w:r>
      <w:r>
        <w:rPr>
          <w:rFonts w:ascii="Arial" w:cs="Arial" w:hAnsi="Arial"/>
          <w:sz w:val="24"/>
          <w:szCs w:val="24"/>
        </w:rPr>
        <w:t>Commission</w:t>
      </w:r>
      <w:r>
        <w:rPr>
          <w:rFonts w:ascii="Arial" w:cs="Arial" w:hAnsi="Arial"/>
          <w:sz w:val="24"/>
          <w:szCs w:val="24"/>
        </w:rPr>
        <w:t xml:space="preserve">, a very disheartening part is that </w:t>
      </w:r>
      <w:r>
        <w:rPr>
          <w:rFonts w:ascii="Arial" w:cs="Arial" w:hAnsi="Arial"/>
          <w:sz w:val="24"/>
          <w:szCs w:val="24"/>
        </w:rPr>
        <w:t>he declined to change the idea of mental wellness as a condition during the trial. The lord chief justice found certain clauses satisfactory, and without further scrutiny or proper discussion, Parliament approved the law and adopted it into the 1957 Act.</w:t>
      </w:r>
      <w:r>
        <w:rPr>
          <w:rFonts w:ascii="Arial" w:cs="Arial" w:hAnsi="Arial"/>
          <w:sz w:val="24"/>
          <w:szCs w:val="24"/>
        </w:rPr>
        <w:t xml:space="preserve"> </w:t>
      </w:r>
    </w:p>
    <w:p>
      <w:pPr>
        <w:pStyle w:val="style0"/>
        <w:spacing w:after="0" w:lineRule="auto" w:line="360"/>
        <w:jc w:val="both"/>
        <w:rPr>
          <w:rFonts w:ascii="Arial" w:cs="Arial" w:hAnsi="Arial"/>
          <w:sz w:val="24"/>
          <w:szCs w:val="24"/>
        </w:rPr>
      </w:pPr>
      <w:r>
        <w:rPr>
          <w:rFonts w:ascii="Arial" w:cs="Arial" w:hAnsi="Arial"/>
          <w:b/>
          <w:sz w:val="24"/>
          <w:szCs w:val="24"/>
          <w:lang w:val="en-GB"/>
        </w:rPr>
        <w:t>K</w:t>
      </w:r>
      <w:r>
        <w:rPr>
          <w:rFonts w:ascii="Arial" w:cs="Arial" w:hAnsi="Arial"/>
          <w:b/>
          <w:sz w:val="24"/>
          <w:szCs w:val="24"/>
          <w:lang w:val="en-GB"/>
        </w:rPr>
        <w:t>ey issues</w:t>
      </w:r>
      <w:r>
        <w:rPr>
          <w:rFonts w:ascii="Arial" w:cs="Arial" w:hAnsi="Arial"/>
          <w:b/>
          <w:sz w:val="24"/>
          <w:szCs w:val="24"/>
          <w:lang w:val="en-GB"/>
        </w:rPr>
        <w:t xml:space="preserve"> in the homicide law</w:t>
      </w:r>
    </w:p>
    <w:p>
      <w:pPr>
        <w:pStyle w:val="style0"/>
        <w:spacing w:lineRule="auto" w:line="360"/>
        <w:jc w:val="both"/>
        <w:rPr>
          <w:rFonts w:ascii="Arial" w:cs="Arial" w:hAnsi="Arial"/>
          <w:sz w:val="24"/>
          <w:szCs w:val="24"/>
        </w:rPr>
      </w:pPr>
      <w:r>
        <w:rPr>
          <w:rFonts w:ascii="Arial" w:cs="Arial" w:hAnsi="Arial"/>
          <w:sz w:val="24"/>
          <w:szCs w:val="24"/>
        </w:rPr>
        <w:t xml:space="preserve">In </w:t>
      </w:r>
      <w:r>
        <w:rPr>
          <w:rFonts w:ascii="Arial" w:cs="Arial" w:hAnsi="Arial"/>
          <w:sz w:val="24"/>
          <w:szCs w:val="24"/>
        </w:rPr>
        <w:t xml:space="preserve">context of UK </w:t>
      </w:r>
      <w:r>
        <w:rPr>
          <w:rFonts w:ascii="Arial" w:cs="Arial" w:hAnsi="Arial"/>
          <w:sz w:val="24"/>
          <w:szCs w:val="24"/>
        </w:rPr>
        <w:t xml:space="preserve">and </w:t>
      </w:r>
      <w:r>
        <w:rPr>
          <w:rFonts w:ascii="Arial" w:cs="Arial" w:hAnsi="Arial"/>
          <w:sz w:val="24"/>
          <w:szCs w:val="24"/>
        </w:rPr>
        <w:t>Wales</w:t>
      </w:r>
      <w:r>
        <w:rPr>
          <w:rFonts w:ascii="Arial" w:cs="Arial" w:hAnsi="Arial"/>
          <w:sz w:val="24"/>
          <w:szCs w:val="24"/>
        </w:rPr>
        <w:t xml:space="preserve"> law, there are possible</w:t>
      </w:r>
      <w:r>
        <w:rPr>
          <w:rFonts w:ascii="Arial" w:cs="Arial" w:hAnsi="Arial"/>
          <w:sz w:val="24"/>
          <w:szCs w:val="24"/>
        </w:rPr>
        <w:t xml:space="preserve"> key issues surrounding partial </w:t>
      </w:r>
      <w:r>
        <w:rPr>
          <w:rFonts w:ascii="Arial" w:cs="Arial" w:hAnsi="Arial"/>
          <w:sz w:val="24"/>
          <w:szCs w:val="24"/>
        </w:rPr>
        <w:t>defenc</w:t>
      </w:r>
      <w:r>
        <w:rPr>
          <w:rFonts w:ascii="Arial" w:cs="Arial" w:hAnsi="Arial"/>
          <w:sz w:val="24"/>
          <w:szCs w:val="24"/>
        </w:rPr>
        <w:t>es</w:t>
      </w:r>
      <w:r>
        <w:rPr>
          <w:rFonts w:ascii="Arial" w:cs="Arial" w:hAnsi="Arial"/>
          <w:sz w:val="24"/>
          <w:szCs w:val="24"/>
        </w:rPr>
        <w:t xml:space="preserve"> to mur</w:t>
      </w:r>
      <w:r>
        <w:rPr>
          <w:rFonts w:ascii="Arial" w:cs="Arial" w:hAnsi="Arial"/>
          <w:sz w:val="24"/>
          <w:szCs w:val="24"/>
        </w:rPr>
        <w:t>der, the controversy associated with</w:t>
      </w:r>
      <w:r>
        <w:rPr>
          <w:rFonts w:ascii="Arial" w:cs="Arial" w:hAnsi="Arial"/>
          <w:sz w:val="24"/>
          <w:szCs w:val="24"/>
        </w:rPr>
        <w:t xml:space="preserve"> the intent required for murder, and the breadth</w:t>
      </w:r>
      <w:r>
        <w:rPr>
          <w:rFonts w:ascii="Arial" w:cs="Arial" w:hAnsi="Arial"/>
          <w:sz w:val="24"/>
          <w:szCs w:val="24"/>
        </w:rPr>
        <w:t xml:space="preserve"> of manslaughter. We discuss each issue and bring out the clarity of the hidden factor.</w:t>
      </w:r>
    </w:p>
    <w:p>
      <w:pPr>
        <w:pStyle w:val="style0"/>
        <w:spacing w:after="0" w:lineRule="auto" w:line="360"/>
        <w:jc w:val="both"/>
        <w:rPr>
          <w:rFonts w:ascii="Arial" w:cs="Arial" w:hAnsi="Arial"/>
          <w:sz w:val="24"/>
          <w:szCs w:val="24"/>
        </w:rPr>
      </w:pPr>
      <w:r>
        <w:rPr>
          <w:rFonts w:ascii="Arial" w:cs="Arial" w:hAnsi="Arial"/>
          <w:sz w:val="24"/>
          <w:szCs w:val="24"/>
        </w:rPr>
        <w:t xml:space="preserve">Partial </w:t>
      </w:r>
      <w:r>
        <w:rPr>
          <w:rFonts w:ascii="Arial" w:cs="Arial" w:hAnsi="Arial"/>
          <w:sz w:val="24"/>
          <w:szCs w:val="24"/>
        </w:rPr>
        <w:t>defences</w:t>
      </w:r>
      <w:r>
        <w:rPr>
          <w:rFonts w:ascii="Arial" w:cs="Arial" w:hAnsi="Arial"/>
          <w:sz w:val="24"/>
          <w:szCs w:val="24"/>
        </w:rPr>
        <w:t xml:space="preserve"> to murder are legal provisions that enable defendants to argue that their culpability for murder should be reduced to a bit lenient offense such as voluntary manslaughter.</w:t>
      </w:r>
      <w:r>
        <w:rPr>
          <w:rFonts w:ascii="Arial" w:cs="Arial" w:hAnsi="Arial"/>
          <w:sz w:val="24"/>
          <w:szCs w:val="24"/>
        </w:rPr>
        <w:t xml:space="preserve"> </w:t>
      </w:r>
      <w:r>
        <w:rPr>
          <w:rFonts w:ascii="Arial" w:cs="Arial" w:hAnsi="Arial"/>
          <w:sz w:val="24"/>
          <w:szCs w:val="24"/>
        </w:rPr>
        <w:t>Such defenses acknowledge that even though the defendant caused the victim's death, there are circumstances that might have triggered their moral blam</w:t>
      </w:r>
      <w:r>
        <w:rPr>
          <w:rFonts w:ascii="Arial" w:cs="Arial" w:hAnsi="Arial"/>
          <w:sz w:val="24"/>
          <w:szCs w:val="24"/>
        </w:rPr>
        <w:t>eworthiness</w:t>
      </w:r>
      <w:r>
        <w:rPr>
          <w:rFonts w:ascii="Arial" w:cs="Arial" w:hAnsi="Arial"/>
          <w:sz w:val="24"/>
          <w:szCs w:val="24"/>
        </w:rPr>
        <w:t xml:space="preserve"> (</w:t>
      </w:r>
      <w:r>
        <w:rPr>
          <w:rFonts w:ascii="Arial" w:cs="Arial" w:hAnsi="Arial"/>
          <w:color w:val="222222"/>
          <w:sz w:val="24"/>
          <w:szCs w:val="24"/>
          <w:shd w:val="clear" w:color="auto" w:fill="ffffff"/>
        </w:rPr>
        <w:t xml:space="preserve">Long, </w:t>
      </w:r>
      <w:r>
        <w:rPr>
          <w:rFonts w:ascii="Arial" w:cs="Arial" w:hAnsi="Arial"/>
          <w:color w:val="222222"/>
          <w:sz w:val="24"/>
          <w:szCs w:val="24"/>
          <w:shd w:val="clear" w:color="auto" w:fill="ffffff"/>
        </w:rPr>
        <w:t>2018</w:t>
      </w:r>
      <w:r>
        <w:rPr>
          <w:rFonts w:ascii="Arial" w:cs="Arial" w:hAnsi="Arial"/>
          <w:sz w:val="24"/>
          <w:szCs w:val="24"/>
        </w:rPr>
        <w:t>)</w:t>
      </w:r>
      <w:r>
        <w:rPr>
          <w:rFonts w:ascii="Arial" w:cs="Arial" w:hAnsi="Arial"/>
          <w:sz w:val="24"/>
          <w:szCs w:val="24"/>
        </w:rPr>
        <w:t>. According to the UK</w:t>
      </w:r>
      <w:r>
        <w:rPr>
          <w:rFonts w:ascii="Arial" w:cs="Arial" w:hAnsi="Arial"/>
          <w:sz w:val="24"/>
          <w:szCs w:val="24"/>
        </w:rPr>
        <w:t xml:space="preserve"> and Wales law, there are three significant partial defenses. They include loss of control, suicide pact, and diminished responsibility.</w:t>
      </w:r>
    </w:p>
    <w:p>
      <w:pPr>
        <w:pStyle w:val="style0"/>
        <w:spacing w:after="0" w:lineRule="auto" w:line="360"/>
        <w:jc w:val="both"/>
        <w:rPr>
          <w:rFonts w:ascii="Arial" w:cs="Arial" w:hAnsi="Arial"/>
          <w:sz w:val="24"/>
          <w:szCs w:val="24"/>
        </w:rPr>
      </w:pPr>
      <w:r>
        <w:rPr>
          <w:rFonts w:ascii="Arial" w:cs="Arial" w:hAnsi="Arial"/>
          <w:sz w:val="24"/>
          <w:szCs w:val="24"/>
        </w:rPr>
        <w:t>For instance, the defendant might argue that they caused the crime due to diminished responsibility. As provided in the law, a p</w:t>
      </w:r>
      <w:r>
        <w:rPr>
          <w:rFonts w:ascii="Arial" w:cs="Arial" w:hAnsi="Arial"/>
          <w:sz w:val="24"/>
          <w:szCs w:val="24"/>
        </w:rPr>
        <w:t xml:space="preserve">arty is not to be convicted, if </w:t>
      </w:r>
      <w:r>
        <w:rPr>
          <w:rFonts w:ascii="Arial" w:cs="Arial" w:hAnsi="Arial"/>
          <w:sz w:val="24"/>
          <w:szCs w:val="24"/>
        </w:rPr>
        <w:t xml:space="preserve">during the time of </w:t>
      </w:r>
      <w:r>
        <w:rPr>
          <w:rFonts w:ascii="Arial" w:cs="Arial" w:hAnsi="Arial"/>
          <w:sz w:val="24"/>
          <w:szCs w:val="24"/>
        </w:rPr>
        <w:t>committing</w:t>
      </w:r>
      <w:r>
        <w:rPr>
          <w:rFonts w:ascii="Arial" w:cs="Arial" w:hAnsi="Arial"/>
          <w:sz w:val="24"/>
          <w:szCs w:val="24"/>
        </w:rPr>
        <w:t xml:space="preserve"> the incident</w:t>
      </w:r>
      <w:r>
        <w:rPr>
          <w:rFonts w:ascii="Arial" w:cs="Arial" w:hAnsi="Arial"/>
          <w:sz w:val="24"/>
          <w:szCs w:val="24"/>
        </w:rPr>
        <w:t>, he was suffering from an a</w:t>
      </w:r>
      <w:r>
        <w:rPr>
          <w:rFonts w:ascii="Arial" w:cs="Arial" w:hAnsi="Arial"/>
          <w:sz w:val="24"/>
          <w:szCs w:val="24"/>
        </w:rPr>
        <w:t xml:space="preserve">bnormality of mental </w:t>
      </w:r>
      <w:r>
        <w:rPr>
          <w:rFonts w:ascii="Arial" w:cs="Arial" w:hAnsi="Arial"/>
          <w:sz w:val="24"/>
          <w:szCs w:val="24"/>
        </w:rPr>
        <w:t>unwellness</w:t>
      </w:r>
      <w:r>
        <w:rPr>
          <w:rFonts w:ascii="Arial" w:cs="Arial" w:hAnsi="Arial"/>
          <w:sz w:val="24"/>
          <w:szCs w:val="24"/>
        </w:rPr>
        <w:t xml:space="preserve">. </w:t>
      </w:r>
      <w:r>
        <w:rPr>
          <w:rFonts w:ascii="Arial" w:cs="Arial" w:hAnsi="Arial"/>
          <w:sz w:val="24"/>
          <w:szCs w:val="24"/>
        </w:rPr>
        <w:t xml:space="preserve">This might include but not limited to a recognized medical condition, a substantial impairment and providing an explanation of doing such acts and </w:t>
      </w:r>
      <w:r>
        <w:rPr>
          <w:rFonts w:ascii="Arial" w:cs="Arial" w:hAnsi="Arial"/>
          <w:sz w:val="24"/>
          <w:szCs w:val="24"/>
        </w:rPr>
        <w:t>omissions</w:t>
      </w:r>
      <w:r>
        <w:rPr>
          <w:rFonts w:ascii="Arial" w:cs="Arial" w:hAnsi="Arial"/>
          <w:sz w:val="24"/>
          <w:szCs w:val="24"/>
        </w:rPr>
        <w:t xml:space="preserve"> in doing or being partly to the killing</w:t>
      </w:r>
      <w:r>
        <w:rPr>
          <w:rFonts w:ascii="Arial" w:cs="Arial" w:hAnsi="Arial"/>
          <w:sz w:val="24"/>
          <w:szCs w:val="24"/>
        </w:rPr>
        <w:t xml:space="preserve"> (</w:t>
      </w:r>
      <w:r>
        <w:rPr>
          <w:rFonts w:ascii="Arial" w:cs="Arial" w:hAnsi="Arial"/>
          <w:color w:val="222222"/>
          <w:sz w:val="24"/>
          <w:szCs w:val="24"/>
          <w:shd w:val="clear" w:color="auto" w:fill="ffffff"/>
        </w:rPr>
        <w:t>Bonicalzi</w:t>
      </w:r>
      <w:r>
        <w:rPr>
          <w:rFonts w:ascii="Arial" w:cs="Arial" w:hAnsi="Arial"/>
          <w:color w:val="222222"/>
          <w:sz w:val="24"/>
          <w:szCs w:val="24"/>
          <w:shd w:val="clear" w:color="auto" w:fill="ffffff"/>
        </w:rPr>
        <w:t xml:space="preserve"> and Haggard, </w:t>
      </w:r>
      <w:r>
        <w:rPr>
          <w:rFonts w:ascii="Arial" w:cs="Arial" w:hAnsi="Arial"/>
          <w:color w:val="222222"/>
          <w:sz w:val="24"/>
          <w:szCs w:val="24"/>
          <w:shd w:val="clear" w:color="auto" w:fill="ffffff"/>
        </w:rPr>
        <w:t>2019</w:t>
      </w:r>
      <w:r>
        <w:rPr>
          <w:rFonts w:ascii="Arial" w:cs="Arial" w:hAnsi="Arial"/>
          <w:sz w:val="24"/>
          <w:szCs w:val="24"/>
        </w:rPr>
        <w:t>)</w:t>
      </w:r>
      <w:r>
        <w:rPr>
          <w:rFonts w:ascii="Arial" w:cs="Arial" w:hAnsi="Arial"/>
          <w:sz w:val="24"/>
          <w:szCs w:val="24"/>
        </w:rPr>
        <w:t>.</w:t>
      </w:r>
    </w:p>
    <w:p>
      <w:pPr>
        <w:pStyle w:val="style0"/>
        <w:spacing w:lineRule="auto" w:line="360"/>
        <w:rPr>
          <w:rFonts w:ascii="Arial" w:cs="Arial" w:hAnsi="Arial"/>
          <w:b/>
          <w:sz w:val="24"/>
          <w:szCs w:val="24"/>
        </w:rPr>
      </w:pPr>
      <w:r>
        <w:rPr>
          <w:rFonts w:ascii="Arial" w:cs="Arial" w:hAnsi="Arial"/>
          <w:b/>
          <w:sz w:val="24"/>
          <w:szCs w:val="24"/>
        </w:rPr>
        <w:t>Loss of control</w:t>
      </w:r>
    </w:p>
    <w:p>
      <w:pPr>
        <w:pStyle w:val="style0"/>
        <w:spacing w:lineRule="auto" w:line="360"/>
        <w:jc w:val="both"/>
        <w:rPr>
          <w:rFonts w:ascii="Arial" w:cs="Arial" w:hAnsi="Arial"/>
          <w:sz w:val="24"/>
          <w:szCs w:val="24"/>
        </w:rPr>
      </w:pPr>
      <w:r>
        <w:rPr>
          <w:rFonts w:ascii="Arial" w:cs="Arial" w:hAnsi="Arial"/>
          <w:sz w:val="24"/>
          <w:szCs w:val="24"/>
        </w:rPr>
        <w:t>Under</w:t>
      </w:r>
      <w:r>
        <w:rPr>
          <w:rFonts w:ascii="Arial" w:cs="Arial" w:hAnsi="Arial"/>
          <w:sz w:val="24"/>
          <w:szCs w:val="24"/>
        </w:rPr>
        <w:t xml:space="preserve"> loss of control, the </w:t>
      </w:r>
      <w:r>
        <w:rPr>
          <w:rFonts w:ascii="Arial" w:cs="Arial" w:hAnsi="Arial"/>
          <w:sz w:val="24"/>
          <w:szCs w:val="24"/>
        </w:rPr>
        <w:t>defence</w:t>
      </w:r>
      <w:r>
        <w:rPr>
          <w:rFonts w:ascii="Arial" w:cs="Arial" w:hAnsi="Arial"/>
          <w:sz w:val="24"/>
          <w:szCs w:val="24"/>
        </w:rPr>
        <w:t xml:space="preserve"> recognizes that </w:t>
      </w:r>
      <w:r>
        <w:rPr>
          <w:rFonts w:ascii="Arial" w:cs="Arial" w:hAnsi="Arial"/>
          <w:sz w:val="24"/>
          <w:szCs w:val="24"/>
        </w:rPr>
        <w:t xml:space="preserve">defendant's actions resulted from a lack of </w:t>
      </w:r>
      <w:r>
        <w:rPr>
          <w:rFonts w:ascii="Arial" w:cs="Arial" w:hAnsi="Arial"/>
          <w:sz w:val="24"/>
          <w:szCs w:val="24"/>
        </w:rPr>
        <w:t>self-control</w:t>
      </w:r>
      <w:r>
        <w:rPr>
          <w:rFonts w:ascii="Arial" w:cs="Arial" w:hAnsi="Arial"/>
          <w:sz w:val="24"/>
          <w:szCs w:val="24"/>
        </w:rPr>
        <w:t xml:space="preserve"> that had a qualifying trigger. The law provides instances that prove an action was a qualifying trigger. It includes the justifiable cause of being seriously wronged or constituted circumstances of an extremely grave character</w:t>
      </w:r>
      <w:r>
        <w:rPr>
          <w:rFonts w:ascii="Arial" w:cs="Arial" w:hAnsi="Arial"/>
          <w:sz w:val="24"/>
          <w:szCs w:val="24"/>
        </w:rPr>
        <w:t xml:space="preserve"> (</w:t>
      </w:r>
      <w:r>
        <w:rPr>
          <w:rFonts w:ascii="Arial" w:cs="Arial" w:hAnsi="Arial"/>
          <w:color w:val="222222"/>
          <w:sz w:val="24"/>
          <w:szCs w:val="24"/>
          <w:shd w:val="clear" w:color="auto" w:fill="ffffff"/>
        </w:rPr>
        <w:t>Ellison, 2019</w:t>
      </w:r>
      <w:r>
        <w:rPr>
          <w:rFonts w:ascii="Arial" w:cs="Arial" w:hAnsi="Arial"/>
          <w:sz w:val="24"/>
          <w:szCs w:val="24"/>
        </w:rPr>
        <w:t>)</w:t>
      </w:r>
      <w:r>
        <w:rPr>
          <w:rFonts w:ascii="Arial" w:cs="Arial" w:hAnsi="Arial"/>
          <w:sz w:val="24"/>
          <w:szCs w:val="24"/>
        </w:rPr>
        <w:t xml:space="preserve">. </w:t>
      </w:r>
    </w:p>
    <w:p>
      <w:pPr>
        <w:pStyle w:val="style0"/>
        <w:spacing w:after="0" w:lineRule="auto" w:line="360"/>
        <w:jc w:val="both"/>
        <w:rPr>
          <w:rFonts w:ascii="Arial" w:cs="Arial" w:hAnsi="Arial"/>
          <w:sz w:val="24"/>
          <w:szCs w:val="24"/>
        </w:rPr>
      </w:pPr>
      <w:r>
        <w:rPr>
          <w:rFonts w:ascii="Arial" w:cs="Arial" w:hAnsi="Arial"/>
          <w:sz w:val="24"/>
          <w:szCs w:val="24"/>
        </w:rPr>
        <w:t>If two or more people come to an agreement to commit suicide, and one of them survives, they may use the Suicide Pact as a legal defense. The defendant may avoid a murder conviction by arguing that the victim approved of the killing.</w:t>
      </w:r>
    </w:p>
    <w:p>
      <w:pPr>
        <w:pStyle w:val="style0"/>
        <w:spacing w:lineRule="auto" w:line="360"/>
        <w:rPr>
          <w:rFonts w:ascii="Arial" w:cs="Arial" w:hAnsi="Arial"/>
          <w:b/>
          <w:sz w:val="24"/>
          <w:szCs w:val="24"/>
        </w:rPr>
      </w:pPr>
      <w:r>
        <w:rPr>
          <w:rFonts w:ascii="Arial" w:cs="Arial" w:hAnsi="Arial"/>
          <w:b/>
          <w:sz w:val="24"/>
          <w:szCs w:val="24"/>
        </w:rPr>
        <w:t>Controversy surrounding the intent to commit murder</w:t>
      </w:r>
    </w:p>
    <w:p>
      <w:pPr>
        <w:pStyle w:val="style0"/>
        <w:spacing w:lineRule="auto" w:line="360"/>
        <w:jc w:val="both"/>
        <w:rPr>
          <w:rFonts w:ascii="Arial" w:cs="Arial" w:hAnsi="Arial"/>
          <w:sz w:val="24"/>
          <w:szCs w:val="24"/>
          <w:lang w:val="en-GB"/>
        </w:rPr>
      </w:pPr>
      <w:r>
        <w:rPr>
          <w:rFonts w:ascii="Arial" w:cs="Arial" w:hAnsi="Arial"/>
          <w:sz w:val="24"/>
          <w:szCs w:val="24"/>
          <w:lang w:val="en-GB"/>
        </w:rPr>
        <w:t>The element of murder that requires premeditation is crucial in criminal law. Murder is the premeditated and deliberate killing of an</w:t>
      </w:r>
      <w:r>
        <w:rPr>
          <w:rFonts w:ascii="Arial" w:cs="Arial" w:hAnsi="Arial"/>
          <w:sz w:val="24"/>
          <w:szCs w:val="24"/>
          <w:lang w:val="en-GB"/>
        </w:rPr>
        <w:t xml:space="preserve">other individual in England and Wales. </w:t>
      </w:r>
      <w:r>
        <w:rPr>
          <w:rFonts w:ascii="Arial" w:cs="Arial" w:hAnsi="Arial"/>
          <w:sz w:val="24"/>
          <w:szCs w:val="24"/>
          <w:lang w:val="en-GB"/>
        </w:rPr>
        <w:t>To commit</w:t>
      </w:r>
      <w:r>
        <w:rPr>
          <w:rFonts w:ascii="Arial" w:cs="Arial" w:hAnsi="Arial"/>
          <w:sz w:val="24"/>
          <w:szCs w:val="24"/>
          <w:lang w:val="en-GB"/>
        </w:rPr>
        <w:t xml:space="preserve"> an offense wi</w:t>
      </w:r>
      <w:r>
        <w:rPr>
          <w:rFonts w:ascii="Arial" w:cs="Arial" w:hAnsi="Arial"/>
          <w:sz w:val="24"/>
          <w:szCs w:val="24"/>
          <w:lang w:val="en-GB"/>
        </w:rPr>
        <w:t>th "malice aforethought" implies</w:t>
      </w:r>
      <w:r>
        <w:rPr>
          <w:rFonts w:ascii="Arial" w:cs="Arial" w:hAnsi="Arial"/>
          <w:sz w:val="24"/>
          <w:szCs w:val="24"/>
          <w:lang w:val="en-GB"/>
        </w:rPr>
        <w:t xml:space="preserve"> that the offe</w:t>
      </w:r>
      <w:r>
        <w:rPr>
          <w:rFonts w:ascii="Arial" w:cs="Arial" w:hAnsi="Arial"/>
          <w:sz w:val="24"/>
          <w:szCs w:val="24"/>
          <w:lang w:val="en-GB"/>
        </w:rPr>
        <w:t>nder intended to do severe damage</w:t>
      </w:r>
      <w:r>
        <w:rPr>
          <w:rFonts w:ascii="Arial" w:cs="Arial" w:hAnsi="Arial"/>
          <w:sz w:val="24"/>
          <w:szCs w:val="24"/>
          <w:lang w:val="en-GB"/>
        </w:rPr>
        <w:t xml:space="preserve"> or murder the victim</w:t>
      </w:r>
      <w:r>
        <w:rPr>
          <w:rFonts w:ascii="Arial" w:cs="Arial" w:hAnsi="Arial"/>
          <w:sz w:val="24"/>
          <w:szCs w:val="24"/>
          <w:lang w:val="en-GB"/>
        </w:rPr>
        <w:t xml:space="preserve"> (</w:t>
      </w:r>
      <w:r>
        <w:rPr>
          <w:rFonts w:ascii="Arial" w:cs="Arial" w:hAnsi="Arial"/>
          <w:color w:val="222222"/>
          <w:sz w:val="24"/>
          <w:szCs w:val="24"/>
          <w:shd w:val="clear" w:color="auto" w:fill="ffffff"/>
        </w:rPr>
        <w:t>Baker, 2021</w:t>
      </w:r>
      <w:r>
        <w:rPr>
          <w:rFonts w:ascii="Arial" w:cs="Arial" w:hAnsi="Arial"/>
          <w:sz w:val="24"/>
          <w:szCs w:val="24"/>
          <w:lang w:val="en-GB"/>
        </w:rPr>
        <w:t>)</w:t>
      </w:r>
      <w:r>
        <w:rPr>
          <w:rFonts w:ascii="Arial" w:cs="Arial" w:hAnsi="Arial"/>
          <w:sz w:val="24"/>
          <w:szCs w:val="24"/>
          <w:lang w:val="en-GB"/>
        </w:rPr>
        <w:t>.</w:t>
      </w:r>
    </w:p>
    <w:p>
      <w:pPr>
        <w:pStyle w:val="style0"/>
        <w:spacing w:after="0" w:lineRule="auto" w:line="360"/>
        <w:jc w:val="both"/>
        <w:rPr>
          <w:rFonts w:ascii="Arial" w:cs="Arial" w:hAnsi="Arial"/>
          <w:sz w:val="24"/>
          <w:szCs w:val="24"/>
          <w:lang w:val="en-GB"/>
        </w:rPr>
      </w:pPr>
      <w:r>
        <w:rPr>
          <w:rFonts w:ascii="Arial" w:cs="Arial" w:hAnsi="Arial"/>
          <w:sz w:val="24"/>
          <w:szCs w:val="24"/>
          <w:lang w:val="en-GB"/>
        </w:rPr>
        <w:t>The subjective assessment</w:t>
      </w:r>
      <w:r>
        <w:rPr>
          <w:rFonts w:ascii="Arial" w:cs="Arial" w:hAnsi="Arial"/>
          <w:sz w:val="24"/>
          <w:szCs w:val="24"/>
          <w:lang w:val="en-GB"/>
        </w:rPr>
        <w:t xml:space="preserve"> of the defendant’s mental wellness</w:t>
      </w:r>
      <w:r>
        <w:rPr>
          <w:rFonts w:ascii="Arial" w:cs="Arial" w:hAnsi="Arial"/>
          <w:sz w:val="24"/>
          <w:szCs w:val="24"/>
          <w:lang w:val="en-GB"/>
        </w:rPr>
        <w:t xml:space="preserve"> during the offense is at the heart of the debate regarding intent for murder. The existing law has been criticized for its focus on the defendant's intent, which some say blurs the line b</w:t>
      </w:r>
      <w:r>
        <w:rPr>
          <w:rFonts w:ascii="Arial" w:cs="Arial" w:hAnsi="Arial"/>
          <w:sz w:val="24"/>
          <w:szCs w:val="24"/>
          <w:lang w:val="en-GB"/>
        </w:rPr>
        <w:t>etween murder and manslaughter.</w:t>
      </w:r>
    </w:p>
    <w:p>
      <w:pPr>
        <w:pStyle w:val="style0"/>
        <w:spacing w:lineRule="auto" w:line="360"/>
        <w:rPr>
          <w:rFonts w:ascii="Arial" w:cs="Arial" w:hAnsi="Arial"/>
          <w:b/>
          <w:sz w:val="24"/>
          <w:szCs w:val="24"/>
          <w:lang w:val="en-GB"/>
        </w:rPr>
      </w:pPr>
      <w:r>
        <w:rPr>
          <w:rFonts w:ascii="Arial" w:cs="Arial" w:hAnsi="Arial"/>
          <w:b/>
          <w:sz w:val="24"/>
          <w:szCs w:val="24"/>
          <w:lang w:val="en-GB"/>
        </w:rPr>
        <w:t>Breadth of manslaughter</w:t>
      </w:r>
    </w:p>
    <w:p>
      <w:pPr>
        <w:pStyle w:val="style0"/>
        <w:spacing w:lineRule="auto" w:line="360"/>
        <w:jc w:val="both"/>
        <w:rPr>
          <w:rFonts w:ascii="Arial" w:cs="Arial" w:hAnsi="Arial"/>
          <w:sz w:val="24"/>
          <w:szCs w:val="24"/>
          <w:lang w:val="en-GB"/>
        </w:rPr>
      </w:pPr>
      <w:r>
        <w:rPr>
          <w:rFonts w:ascii="Arial" w:cs="Arial" w:hAnsi="Arial"/>
          <w:sz w:val="24"/>
          <w:szCs w:val="24"/>
          <w:lang w:val="en-GB"/>
        </w:rPr>
        <w:t>Unlike murder, the primary goal in manslaughter cases is not to kill or seriously injure</w:t>
      </w:r>
      <w:r>
        <w:rPr>
          <w:rFonts w:ascii="Arial" w:cs="Arial" w:hAnsi="Arial"/>
          <w:sz w:val="24"/>
          <w:szCs w:val="24"/>
          <w:lang w:val="en-GB"/>
        </w:rPr>
        <w:t xml:space="preserve"> the victim. However, many</w:t>
      </w:r>
      <w:r>
        <w:rPr>
          <w:rFonts w:ascii="Arial" w:cs="Arial" w:hAnsi="Arial"/>
          <w:sz w:val="24"/>
          <w:szCs w:val="24"/>
          <w:lang w:val="en-GB"/>
        </w:rPr>
        <w:t xml:space="preserve"> believe the current rule on manslaughter is far too inclusive</w:t>
      </w:r>
      <w:r>
        <w:rPr>
          <w:rFonts w:ascii="Arial" w:cs="Arial" w:hAnsi="Arial"/>
          <w:sz w:val="24"/>
          <w:szCs w:val="24"/>
          <w:lang w:val="en-GB"/>
        </w:rPr>
        <w:t xml:space="preserve"> or lenient</w:t>
      </w:r>
      <w:r>
        <w:rPr>
          <w:rFonts w:ascii="Arial" w:cs="Arial" w:hAnsi="Arial"/>
          <w:sz w:val="24"/>
          <w:szCs w:val="24"/>
          <w:lang w:val="en-GB"/>
        </w:rPr>
        <w:t xml:space="preserve">. </w:t>
      </w:r>
      <w:r>
        <w:rPr>
          <w:rFonts w:ascii="Arial" w:cs="Arial" w:hAnsi="Arial"/>
          <w:sz w:val="24"/>
          <w:szCs w:val="24"/>
          <w:lang w:val="en-GB"/>
        </w:rPr>
        <w:t>Therefore</w:t>
      </w:r>
      <w:r>
        <w:rPr>
          <w:rFonts w:ascii="Arial" w:cs="Arial" w:hAnsi="Arial"/>
          <w:sz w:val="24"/>
          <w:szCs w:val="24"/>
          <w:lang w:val="en-GB"/>
        </w:rPr>
        <w:t xml:space="preserve"> covering a wide variety of situations that are best dealt with by other crimes or classifications.</w:t>
      </w:r>
    </w:p>
    <w:p>
      <w:pPr>
        <w:pStyle w:val="style0"/>
        <w:spacing w:after="0" w:lineRule="auto" w:line="360"/>
        <w:jc w:val="both"/>
        <w:rPr>
          <w:rFonts w:ascii="Arial" w:cs="Arial" w:hAnsi="Arial"/>
          <w:sz w:val="24"/>
          <w:szCs w:val="24"/>
          <w:lang w:val="en-GB"/>
        </w:rPr>
      </w:pPr>
      <w:r>
        <w:rPr>
          <w:rFonts w:ascii="Arial" w:cs="Arial" w:hAnsi="Arial"/>
          <w:sz w:val="24"/>
          <w:szCs w:val="24"/>
          <w:lang w:val="en-GB"/>
        </w:rPr>
        <w:t>Some people think the present manslaughter laws aren't strict enough since they don't differentiate between cases of simple negligence and recklessness or other elements that lead to someone's death</w:t>
      </w:r>
      <w:r>
        <w:rPr>
          <w:rFonts w:ascii="Arial" w:cs="Arial" w:hAnsi="Arial"/>
          <w:sz w:val="24"/>
          <w:szCs w:val="24"/>
          <w:lang w:val="en-GB"/>
        </w:rPr>
        <w:t xml:space="preserve"> (</w:t>
      </w:r>
      <w:r>
        <w:rPr>
          <w:rFonts w:ascii="Arial" w:cs="Arial" w:hAnsi="Arial"/>
          <w:color w:val="222222"/>
          <w:sz w:val="24"/>
          <w:szCs w:val="24"/>
          <w:shd w:val="clear" w:color="auto" w:fill="ffffff"/>
        </w:rPr>
        <w:t>Simester</w:t>
      </w:r>
      <w:r>
        <w:rPr>
          <w:rFonts w:ascii="Arial" w:cs="Arial" w:hAnsi="Arial"/>
          <w:color w:val="222222"/>
          <w:sz w:val="24"/>
          <w:szCs w:val="24"/>
          <w:shd w:val="clear" w:color="auto" w:fill="ffffff"/>
        </w:rPr>
        <w:t>, 2021</w:t>
      </w:r>
      <w:r>
        <w:rPr>
          <w:rFonts w:ascii="Arial" w:cs="Arial" w:hAnsi="Arial"/>
          <w:sz w:val="24"/>
          <w:szCs w:val="24"/>
          <w:lang w:val="en-GB"/>
        </w:rPr>
        <w:t>)</w:t>
      </w:r>
      <w:r>
        <w:rPr>
          <w:rFonts w:ascii="Arial" w:cs="Arial" w:hAnsi="Arial"/>
          <w:sz w:val="24"/>
          <w:szCs w:val="24"/>
          <w:lang w:val="en-GB"/>
        </w:rPr>
        <w:t xml:space="preserve">. Inconsistencies in the handling of </w:t>
      </w:r>
      <w:r>
        <w:rPr>
          <w:rFonts w:ascii="Arial" w:cs="Arial" w:hAnsi="Arial"/>
          <w:sz w:val="24"/>
          <w:szCs w:val="24"/>
          <w:lang w:val="en-GB"/>
        </w:rPr>
        <w:t>individual cases can give the impression that justice is being meted out unevenly or not at all.</w:t>
      </w:r>
    </w:p>
    <w:p>
      <w:pPr>
        <w:pStyle w:val="style0"/>
        <w:spacing w:lineRule="auto" w:line="360"/>
        <w:rPr>
          <w:rFonts w:ascii="Arial" w:cs="Arial" w:hAnsi="Arial"/>
          <w:b/>
          <w:sz w:val="24"/>
          <w:szCs w:val="24"/>
        </w:rPr>
      </w:pPr>
      <w:r>
        <w:rPr>
          <w:rFonts w:ascii="Arial" w:cs="Arial" w:hAnsi="Arial"/>
          <w:b/>
          <w:sz w:val="24"/>
          <w:szCs w:val="24"/>
          <w:lang w:val="en-GB"/>
        </w:rPr>
        <w:t xml:space="preserve">The proposals </w:t>
      </w:r>
      <w:r>
        <w:rPr>
          <w:rFonts w:ascii="Arial" w:cs="Arial" w:hAnsi="Arial"/>
          <w:b/>
          <w:sz w:val="24"/>
          <w:szCs w:val="24"/>
          <w:lang w:val="en-GB"/>
        </w:rPr>
        <w:t>forwarded by the Law Commission and other bodies</w:t>
      </w:r>
    </w:p>
    <w:p>
      <w:pPr>
        <w:pStyle w:val="style0"/>
        <w:spacing w:lineRule="auto" w:line="360"/>
        <w:jc w:val="both"/>
        <w:rPr>
          <w:rFonts w:ascii="Arial" w:cs="Arial" w:hAnsi="Arial"/>
          <w:sz w:val="24"/>
          <w:szCs w:val="24"/>
          <w:lang w:val="en-GB"/>
        </w:rPr>
      </w:pPr>
      <w:r>
        <w:rPr>
          <w:rFonts w:ascii="Arial" w:cs="Arial" w:hAnsi="Arial"/>
          <w:sz w:val="24"/>
          <w:szCs w:val="24"/>
          <w:lang w:val="en-GB"/>
        </w:rPr>
        <w:t>Several proposals have been made by the Law Commission</w:t>
      </w:r>
      <w:r>
        <w:rPr>
          <w:rFonts w:ascii="Arial" w:cs="Arial" w:hAnsi="Arial"/>
          <w:sz w:val="24"/>
          <w:szCs w:val="24"/>
          <w:lang w:val="en-GB"/>
        </w:rPr>
        <w:t>,</w:t>
      </w:r>
      <w:r>
        <w:rPr>
          <w:rFonts w:ascii="Arial" w:cs="Arial" w:hAnsi="Arial"/>
          <w:sz w:val="24"/>
          <w:szCs w:val="24"/>
          <w:lang w:val="en-GB"/>
        </w:rPr>
        <w:t xml:space="preserve"> an independent body in the UK and WALES</w:t>
      </w:r>
      <w:r>
        <w:rPr>
          <w:rFonts w:ascii="Arial" w:cs="Arial" w:hAnsi="Arial"/>
          <w:sz w:val="24"/>
          <w:szCs w:val="24"/>
          <w:lang w:val="en-GB"/>
        </w:rPr>
        <w:t>. T</w:t>
      </w:r>
      <w:r>
        <w:rPr>
          <w:rFonts w:ascii="Arial" w:cs="Arial" w:hAnsi="Arial"/>
          <w:sz w:val="24"/>
          <w:szCs w:val="24"/>
          <w:lang w:val="en-GB"/>
        </w:rPr>
        <w:t xml:space="preserve">he </w:t>
      </w:r>
      <w:r>
        <w:rPr>
          <w:rFonts w:ascii="Arial" w:cs="Arial" w:hAnsi="Arial"/>
          <w:sz w:val="24"/>
          <w:szCs w:val="24"/>
          <w:lang w:val="en-GB"/>
        </w:rPr>
        <w:t xml:space="preserve">main aim is to </w:t>
      </w:r>
      <w:r>
        <w:rPr>
          <w:rFonts w:ascii="Arial" w:cs="Arial" w:hAnsi="Arial"/>
          <w:sz w:val="24"/>
          <w:szCs w:val="24"/>
          <w:lang w:val="en-GB"/>
        </w:rPr>
        <w:t>ad</w:t>
      </w:r>
      <w:r>
        <w:rPr>
          <w:rFonts w:ascii="Arial" w:cs="Arial" w:hAnsi="Arial"/>
          <w:sz w:val="24"/>
          <w:szCs w:val="24"/>
          <w:lang w:val="en-GB"/>
        </w:rPr>
        <w:t>dress</w:t>
      </w:r>
      <w:r>
        <w:rPr>
          <w:rFonts w:ascii="Arial" w:cs="Arial" w:hAnsi="Arial"/>
          <w:sz w:val="24"/>
          <w:szCs w:val="24"/>
          <w:lang w:val="en-GB"/>
        </w:rPr>
        <w:t xml:space="preserve"> issues that have arisen </w:t>
      </w:r>
      <w:r>
        <w:rPr>
          <w:rFonts w:ascii="Arial" w:cs="Arial" w:hAnsi="Arial"/>
          <w:sz w:val="24"/>
          <w:szCs w:val="24"/>
          <w:lang w:val="en-GB"/>
        </w:rPr>
        <w:t>concerning</w:t>
      </w:r>
      <w:r>
        <w:rPr>
          <w:rFonts w:ascii="Arial" w:cs="Arial" w:hAnsi="Arial"/>
          <w:sz w:val="24"/>
          <w:szCs w:val="24"/>
          <w:lang w:val="en-GB"/>
        </w:rPr>
        <w:t xml:space="preserve"> the current</w:t>
      </w:r>
      <w:r>
        <w:rPr>
          <w:rFonts w:ascii="Arial" w:cs="Arial" w:hAnsi="Arial"/>
          <w:sz w:val="24"/>
          <w:szCs w:val="24"/>
          <w:lang w:val="en-GB"/>
        </w:rPr>
        <w:t xml:space="preserve"> law in place</w:t>
      </w:r>
      <w:r>
        <w:rPr>
          <w:rFonts w:ascii="Arial" w:cs="Arial" w:hAnsi="Arial"/>
          <w:sz w:val="24"/>
          <w:szCs w:val="24"/>
          <w:lang w:val="en-GB"/>
        </w:rPr>
        <w:t>.</w:t>
      </w:r>
    </w:p>
    <w:p>
      <w:pPr>
        <w:pStyle w:val="style0"/>
        <w:spacing w:after="0" w:lineRule="auto" w:line="360"/>
        <w:jc w:val="both"/>
        <w:rPr>
          <w:rFonts w:ascii="Arial" w:cs="Arial" w:hAnsi="Arial"/>
          <w:sz w:val="24"/>
          <w:szCs w:val="24"/>
          <w:lang w:val="en-GB"/>
        </w:rPr>
      </w:pPr>
      <w:r>
        <w:rPr>
          <w:rFonts w:ascii="Arial" w:cs="Arial" w:hAnsi="Arial"/>
          <w:sz w:val="24"/>
          <w:szCs w:val="24"/>
          <w:lang w:val="en-GB"/>
        </w:rPr>
        <w:t xml:space="preserve">For instance in the current partial </w:t>
      </w:r>
      <w:r>
        <w:rPr>
          <w:rFonts w:ascii="Arial" w:cs="Arial" w:hAnsi="Arial"/>
          <w:sz w:val="24"/>
          <w:szCs w:val="24"/>
          <w:lang w:val="en-GB"/>
        </w:rPr>
        <w:t>defences</w:t>
      </w:r>
      <w:r>
        <w:rPr>
          <w:rFonts w:ascii="Arial" w:cs="Arial" w:hAnsi="Arial"/>
          <w:sz w:val="24"/>
          <w:szCs w:val="24"/>
          <w:lang w:val="en-GB"/>
        </w:rPr>
        <w:t xml:space="preserve"> of lessened responsibility and loss of control.</w:t>
      </w:r>
      <w:r>
        <w:rPr>
          <w:rFonts w:ascii="Arial" w:cs="Arial" w:hAnsi="Arial"/>
          <w:sz w:val="24"/>
          <w:szCs w:val="24"/>
          <w:lang w:val="en-GB"/>
        </w:rPr>
        <w:t xml:space="preserve"> The Law Commission has put forward a new partial </w:t>
      </w:r>
      <w:r>
        <w:rPr>
          <w:rFonts w:ascii="Arial" w:cs="Arial" w:hAnsi="Arial"/>
          <w:sz w:val="24"/>
          <w:szCs w:val="24"/>
          <w:lang w:val="en-GB"/>
        </w:rPr>
        <w:t>defence</w:t>
      </w:r>
      <w:r>
        <w:rPr>
          <w:rFonts w:ascii="Arial" w:cs="Arial" w:hAnsi="Arial"/>
          <w:sz w:val="24"/>
          <w:szCs w:val="24"/>
          <w:lang w:val="en-GB"/>
        </w:rPr>
        <w:t xml:space="preserve"> simply titled "loss of control." The purpose of this proposal change is to ensure the legislation</w:t>
      </w:r>
      <w:r>
        <w:rPr>
          <w:rFonts w:ascii="Arial" w:cs="Arial" w:hAnsi="Arial"/>
          <w:sz w:val="24"/>
          <w:szCs w:val="24"/>
          <w:lang w:val="en-GB"/>
        </w:rPr>
        <w:t xml:space="preserve"> is</w:t>
      </w:r>
      <w:r>
        <w:rPr>
          <w:rFonts w:ascii="Arial" w:cs="Arial" w:hAnsi="Arial"/>
          <w:sz w:val="24"/>
          <w:szCs w:val="24"/>
          <w:lang w:val="en-GB"/>
        </w:rPr>
        <w:t xml:space="preserve"> easier to understand and apply uniformly</w:t>
      </w:r>
      <w:r>
        <w:rPr>
          <w:rFonts w:ascii="Arial" w:cs="Arial" w:hAnsi="Arial"/>
          <w:sz w:val="24"/>
          <w:szCs w:val="24"/>
          <w:lang w:val="en-GB"/>
        </w:rPr>
        <w:t xml:space="preserve"> (</w:t>
      </w:r>
      <w:r>
        <w:rPr>
          <w:rFonts w:ascii="Arial" w:cs="Arial" w:hAnsi="Arial"/>
          <w:color w:val="222222"/>
          <w:sz w:val="24"/>
          <w:szCs w:val="24"/>
          <w:shd w:val="clear" w:color="auto" w:fill="ffffff"/>
        </w:rPr>
        <w:t>Atkins</w:t>
      </w:r>
      <w:r>
        <w:rPr>
          <w:rFonts w:ascii="Arial" w:cs="Arial" w:hAnsi="Arial"/>
          <w:color w:val="222222"/>
          <w:sz w:val="24"/>
          <w:szCs w:val="24"/>
          <w:shd w:val="clear" w:color="auto" w:fill="ffffff"/>
        </w:rPr>
        <w:t xml:space="preserve"> and Brenda, 2018</w:t>
      </w:r>
      <w:r>
        <w:rPr>
          <w:rFonts w:ascii="Arial" w:cs="Arial" w:hAnsi="Arial"/>
          <w:sz w:val="24"/>
          <w:szCs w:val="24"/>
          <w:lang w:val="en-GB"/>
        </w:rPr>
        <w:t>)</w:t>
      </w:r>
      <w:r>
        <w:rPr>
          <w:rFonts w:ascii="Arial" w:cs="Arial" w:hAnsi="Arial"/>
          <w:sz w:val="24"/>
          <w:szCs w:val="24"/>
          <w:lang w:val="en-GB"/>
        </w:rPr>
        <w:t>.</w:t>
      </w:r>
    </w:p>
    <w:p>
      <w:pPr>
        <w:pStyle w:val="style0"/>
        <w:spacing w:after="0" w:lineRule="auto" w:line="360"/>
        <w:jc w:val="both"/>
        <w:rPr>
          <w:rFonts w:ascii="Arial" w:cs="Arial" w:hAnsi="Arial"/>
          <w:sz w:val="24"/>
          <w:szCs w:val="24"/>
          <w:lang w:val="en-GB"/>
        </w:rPr>
      </w:pPr>
      <w:r>
        <w:rPr>
          <w:rFonts w:ascii="Arial" w:cs="Arial" w:hAnsi="Arial"/>
          <w:sz w:val="24"/>
          <w:szCs w:val="24"/>
          <w:lang w:val="en-GB"/>
        </w:rPr>
        <w:t>In recent years the Intentional homicide law has been called for clarification and updating the law on intention</w:t>
      </w:r>
      <w:r>
        <w:rPr>
          <w:rFonts w:ascii="Arial" w:cs="Arial" w:hAnsi="Arial"/>
          <w:sz w:val="24"/>
          <w:szCs w:val="24"/>
          <w:lang w:val="en-GB"/>
        </w:rPr>
        <w:t xml:space="preserve"> (</w:t>
      </w:r>
      <w:r>
        <w:rPr>
          <w:rFonts w:ascii="Arial" w:cs="Arial" w:hAnsi="Arial"/>
          <w:color w:val="222222"/>
          <w:sz w:val="24"/>
          <w:szCs w:val="24"/>
          <w:shd w:val="clear" w:color="auto" w:fill="ffffff"/>
        </w:rPr>
        <w:t>Kaplan et al., 2021</w:t>
      </w:r>
      <w:r>
        <w:rPr>
          <w:rFonts w:ascii="Arial" w:cs="Arial" w:hAnsi="Arial"/>
          <w:sz w:val="24"/>
          <w:szCs w:val="24"/>
          <w:lang w:val="en-GB"/>
        </w:rPr>
        <w:t>)</w:t>
      </w:r>
      <w:r>
        <w:rPr>
          <w:rFonts w:ascii="Arial" w:cs="Arial" w:hAnsi="Arial"/>
          <w:sz w:val="24"/>
          <w:szCs w:val="24"/>
          <w:lang w:val="en-GB"/>
        </w:rPr>
        <w:t>. The complexity surrounding the whole idea of oblique intent has prompted the Law Commission to suggest amendments to offer a clear definition of intention.</w:t>
      </w:r>
    </w:p>
    <w:p>
      <w:pPr>
        <w:pStyle w:val="style0"/>
        <w:spacing w:after="0" w:lineRule="auto" w:line="360"/>
        <w:jc w:val="both"/>
        <w:rPr>
          <w:rFonts w:ascii="Arial" w:cs="Arial" w:hAnsi="Arial"/>
          <w:sz w:val="24"/>
          <w:szCs w:val="24"/>
          <w:lang w:val="en-GB"/>
        </w:rPr>
      </w:pPr>
      <w:r>
        <w:rPr>
          <w:rFonts w:ascii="Arial" w:cs="Arial" w:hAnsi="Arial"/>
          <w:sz w:val="24"/>
          <w:szCs w:val="24"/>
          <w:lang w:val="en-GB"/>
        </w:rPr>
        <w:t>Proposals to amend the law on different degrees of murder.</w:t>
      </w:r>
      <w:r>
        <w:rPr>
          <w:rFonts w:ascii="Arial" w:cs="Arial" w:hAnsi="Arial"/>
          <w:sz w:val="24"/>
          <w:szCs w:val="24"/>
          <w:lang w:val="en-GB"/>
        </w:rPr>
        <w:t xml:space="preserve"> Some of the proposals include different degrees of murder ranging from first degree to second degree.</w:t>
      </w:r>
      <w:r>
        <w:rPr>
          <w:rFonts w:ascii="Arial" w:cs="Arial" w:hAnsi="Arial"/>
          <w:sz w:val="24"/>
          <w:szCs w:val="24"/>
          <w:lang w:val="en-GB"/>
        </w:rPr>
        <w:t xml:space="preserve"> This would ensure the different cases on murder have different charge sheets.</w:t>
      </w:r>
    </w:p>
    <w:p>
      <w:pPr>
        <w:pStyle w:val="style0"/>
        <w:spacing w:lineRule="auto" w:line="360"/>
        <w:rPr>
          <w:rFonts w:ascii="Arial" w:cs="Arial" w:hAnsi="Arial"/>
          <w:b/>
          <w:sz w:val="24"/>
          <w:szCs w:val="24"/>
          <w:lang w:val="en-GB"/>
        </w:rPr>
      </w:pPr>
      <w:r>
        <w:rPr>
          <w:rFonts w:ascii="Arial" w:cs="Arial" w:hAnsi="Arial"/>
          <w:b/>
          <w:sz w:val="24"/>
          <w:szCs w:val="24"/>
          <w:lang w:val="en-GB"/>
        </w:rPr>
        <w:t>Why have the government accepted some proposals for reform and rejected others? Were they right to do this?</w:t>
      </w:r>
    </w:p>
    <w:p>
      <w:pPr>
        <w:pStyle w:val="style0"/>
        <w:spacing w:lineRule="auto" w:line="360"/>
        <w:jc w:val="both"/>
        <w:rPr>
          <w:rFonts w:ascii="Arial" w:cs="Arial" w:hAnsi="Arial"/>
          <w:sz w:val="24"/>
          <w:szCs w:val="24"/>
          <w:lang w:val="en-GB"/>
        </w:rPr>
      </w:pPr>
      <w:r>
        <w:rPr>
          <w:rFonts w:ascii="Arial" w:cs="Arial" w:hAnsi="Arial"/>
          <w:sz w:val="24"/>
          <w:szCs w:val="24"/>
          <w:lang w:val="en-GB"/>
        </w:rPr>
        <w:t>Several factors such as Political</w:t>
      </w:r>
      <w:r>
        <w:rPr>
          <w:rFonts w:ascii="Arial" w:cs="Arial" w:hAnsi="Arial"/>
          <w:sz w:val="24"/>
          <w:szCs w:val="24"/>
          <w:lang w:val="en-GB"/>
        </w:rPr>
        <w:t>, public opinion, and the feasibility of executing the reforms al</w:t>
      </w:r>
      <w:r>
        <w:rPr>
          <w:rFonts w:ascii="Arial" w:cs="Arial" w:hAnsi="Arial"/>
          <w:sz w:val="24"/>
          <w:szCs w:val="24"/>
          <w:lang w:val="en-GB"/>
        </w:rPr>
        <w:t xml:space="preserve">l play a role in whether </w:t>
      </w:r>
      <w:r>
        <w:rPr>
          <w:rFonts w:ascii="Arial" w:cs="Arial" w:hAnsi="Arial"/>
          <w:sz w:val="24"/>
          <w:szCs w:val="24"/>
          <w:lang w:val="en-GB"/>
        </w:rPr>
        <w:t>these suggestions are accepted</w:t>
      </w:r>
      <w:r>
        <w:rPr>
          <w:rFonts w:ascii="Arial" w:cs="Arial" w:hAnsi="Arial"/>
          <w:sz w:val="24"/>
          <w:szCs w:val="24"/>
          <w:lang w:val="en-GB"/>
        </w:rPr>
        <w:t xml:space="preserve"> or denied</w:t>
      </w:r>
      <w:r>
        <w:rPr>
          <w:rFonts w:ascii="Arial" w:cs="Arial" w:hAnsi="Arial"/>
          <w:sz w:val="24"/>
          <w:szCs w:val="24"/>
          <w:lang w:val="en-GB"/>
        </w:rPr>
        <w:t xml:space="preserve"> by the government. Some</w:t>
      </w:r>
      <w:r>
        <w:rPr>
          <w:rFonts w:ascii="Arial" w:cs="Arial" w:hAnsi="Arial"/>
          <w:sz w:val="24"/>
          <w:szCs w:val="24"/>
          <w:lang w:val="en-GB"/>
        </w:rPr>
        <w:t xml:space="preserve"> of the</w:t>
      </w:r>
      <w:r>
        <w:rPr>
          <w:rFonts w:ascii="Arial" w:cs="Arial" w:hAnsi="Arial"/>
          <w:sz w:val="24"/>
          <w:szCs w:val="24"/>
          <w:lang w:val="en-GB"/>
        </w:rPr>
        <w:t xml:space="preserve"> proposals ma</w:t>
      </w:r>
      <w:r>
        <w:rPr>
          <w:rFonts w:ascii="Arial" w:cs="Arial" w:hAnsi="Arial"/>
          <w:sz w:val="24"/>
          <w:szCs w:val="24"/>
          <w:lang w:val="en-GB"/>
        </w:rPr>
        <w:t xml:space="preserve">y be accepted by the government, </w:t>
      </w:r>
      <w:r>
        <w:rPr>
          <w:rFonts w:ascii="Arial" w:cs="Arial" w:hAnsi="Arial"/>
          <w:sz w:val="24"/>
          <w:szCs w:val="24"/>
          <w:lang w:val="en-GB"/>
        </w:rPr>
        <w:t>if they meet t</w:t>
      </w:r>
      <w:r>
        <w:rPr>
          <w:rFonts w:ascii="Arial" w:cs="Arial" w:hAnsi="Arial"/>
          <w:sz w:val="24"/>
          <w:szCs w:val="24"/>
          <w:lang w:val="en-GB"/>
        </w:rPr>
        <w:t>he government's policy agenda as well as</w:t>
      </w:r>
      <w:r>
        <w:rPr>
          <w:rFonts w:ascii="Arial" w:cs="Arial" w:hAnsi="Arial"/>
          <w:sz w:val="24"/>
          <w:szCs w:val="24"/>
          <w:lang w:val="en-GB"/>
        </w:rPr>
        <w:t xml:space="preserve"> receive a huge</w:t>
      </w:r>
      <w:r>
        <w:rPr>
          <w:rFonts w:ascii="Arial" w:cs="Arial" w:hAnsi="Arial"/>
          <w:sz w:val="24"/>
          <w:szCs w:val="24"/>
          <w:lang w:val="en-GB"/>
        </w:rPr>
        <w:t xml:space="preserve"> backing fr</w:t>
      </w:r>
      <w:r>
        <w:rPr>
          <w:rFonts w:ascii="Arial" w:cs="Arial" w:hAnsi="Arial"/>
          <w:sz w:val="24"/>
          <w:szCs w:val="24"/>
          <w:lang w:val="en-GB"/>
        </w:rPr>
        <w:t xml:space="preserve">om legal </w:t>
      </w:r>
      <w:r>
        <w:rPr>
          <w:rFonts w:ascii="Arial" w:cs="Arial" w:hAnsi="Arial"/>
          <w:sz w:val="24"/>
          <w:szCs w:val="24"/>
          <w:lang w:val="en-GB"/>
        </w:rPr>
        <w:t>experts and the public. T</w:t>
      </w:r>
      <w:r>
        <w:rPr>
          <w:rFonts w:ascii="Arial" w:cs="Arial" w:hAnsi="Arial"/>
          <w:sz w:val="24"/>
          <w:szCs w:val="24"/>
          <w:lang w:val="en-GB"/>
        </w:rPr>
        <w:t>he implementation</w:t>
      </w:r>
      <w:r>
        <w:rPr>
          <w:rFonts w:ascii="Arial" w:cs="Arial" w:hAnsi="Arial"/>
          <w:sz w:val="24"/>
          <w:szCs w:val="24"/>
          <w:lang w:val="en-GB"/>
        </w:rPr>
        <w:t xml:space="preserve"> </w:t>
      </w:r>
      <w:r>
        <w:rPr>
          <w:rFonts w:ascii="Arial" w:cs="Arial" w:hAnsi="Arial"/>
          <w:sz w:val="24"/>
          <w:szCs w:val="24"/>
          <w:lang w:val="en-GB"/>
        </w:rPr>
        <w:t>framework of the</w:t>
      </w:r>
      <w:r>
        <w:rPr>
          <w:rFonts w:ascii="Arial" w:cs="Arial" w:hAnsi="Arial"/>
          <w:sz w:val="24"/>
          <w:szCs w:val="24"/>
          <w:lang w:val="en-GB"/>
        </w:rPr>
        <w:t xml:space="preserve"> proposals in the</w:t>
      </w:r>
      <w:r>
        <w:rPr>
          <w:rFonts w:ascii="Arial" w:cs="Arial" w:hAnsi="Arial"/>
          <w:sz w:val="24"/>
          <w:szCs w:val="24"/>
          <w:lang w:val="en-GB"/>
        </w:rPr>
        <w:t xml:space="preserve"> current legal system</w:t>
      </w:r>
      <w:r>
        <w:rPr>
          <w:rFonts w:ascii="Arial" w:cs="Arial" w:hAnsi="Arial"/>
          <w:sz w:val="24"/>
          <w:szCs w:val="24"/>
          <w:lang w:val="en-GB"/>
        </w:rPr>
        <w:t xml:space="preserve"> as well play</w:t>
      </w:r>
      <w:r>
        <w:rPr>
          <w:rFonts w:ascii="Arial" w:cs="Arial" w:hAnsi="Arial"/>
          <w:sz w:val="24"/>
          <w:szCs w:val="24"/>
          <w:lang w:val="en-GB"/>
        </w:rPr>
        <w:t xml:space="preserve"> an integral role</w:t>
      </w:r>
      <w:r>
        <w:rPr>
          <w:rFonts w:ascii="Arial" w:cs="Arial" w:hAnsi="Arial"/>
          <w:sz w:val="24"/>
          <w:szCs w:val="24"/>
          <w:lang w:val="en-GB"/>
        </w:rPr>
        <w:t xml:space="preserve"> (</w:t>
      </w:r>
      <w:r>
        <w:rPr>
          <w:rFonts w:ascii="Arial" w:cs="Arial" w:hAnsi="Arial"/>
          <w:color w:val="222222"/>
          <w:sz w:val="24"/>
          <w:szCs w:val="24"/>
          <w:shd w:val="clear" w:color="auto" w:fill="ffffff"/>
        </w:rPr>
        <w:t>Rosenbloom</w:t>
      </w:r>
      <w:r>
        <w:rPr>
          <w:rFonts w:ascii="Arial" w:cs="Arial" w:hAnsi="Arial"/>
          <w:color w:val="222222"/>
          <w:sz w:val="24"/>
          <w:szCs w:val="24"/>
          <w:shd w:val="clear" w:color="auto" w:fill="ffffff"/>
        </w:rPr>
        <w:t xml:space="preserve"> et al., 2022</w:t>
      </w:r>
      <w:r>
        <w:rPr>
          <w:rFonts w:ascii="Arial" w:cs="Arial" w:hAnsi="Arial"/>
          <w:sz w:val="24"/>
          <w:szCs w:val="24"/>
          <w:lang w:val="en-GB"/>
        </w:rPr>
        <w:t>)</w:t>
      </w:r>
      <w:r>
        <w:rPr>
          <w:rFonts w:ascii="Arial" w:cs="Arial" w:hAnsi="Arial"/>
          <w:sz w:val="24"/>
          <w:szCs w:val="24"/>
          <w:lang w:val="en-GB"/>
        </w:rPr>
        <w:t>. If a project is deemed impra</w:t>
      </w:r>
      <w:r>
        <w:rPr>
          <w:rFonts w:ascii="Arial" w:cs="Arial" w:hAnsi="Arial"/>
          <w:sz w:val="24"/>
          <w:szCs w:val="24"/>
          <w:lang w:val="en-GB"/>
        </w:rPr>
        <w:t xml:space="preserve">cticable or too expensive, possible strong </w:t>
      </w:r>
      <w:r>
        <w:rPr>
          <w:rFonts w:ascii="Arial" w:cs="Arial" w:hAnsi="Arial"/>
          <w:sz w:val="24"/>
          <w:szCs w:val="24"/>
          <w:lang w:val="en-GB"/>
        </w:rPr>
        <w:t>resistance or a lack of consensus on its necessity or usefulness, it may be rejected.</w:t>
      </w:r>
    </w:p>
    <w:p>
      <w:pPr>
        <w:pStyle w:val="style0"/>
        <w:tabs>
          <w:tab w:val="left" w:leader="none" w:pos="7900"/>
        </w:tabs>
        <w:spacing w:lineRule="auto" w:line="360"/>
        <w:rPr>
          <w:rFonts w:ascii="Arial" w:cs="Arial" w:hAnsi="Arial"/>
          <w:b/>
          <w:sz w:val="24"/>
          <w:szCs w:val="24"/>
        </w:rPr>
      </w:pPr>
      <w:r>
        <w:rPr>
          <w:rFonts w:ascii="Arial" w:cs="Arial" w:hAnsi="Arial"/>
          <w:b/>
          <w:sz w:val="24"/>
          <w:szCs w:val="24"/>
          <w:lang w:val="en-GB"/>
        </w:rPr>
        <w:t>What are the arguments against reform?</w:t>
      </w:r>
      <w:r>
        <w:rPr>
          <w:rFonts w:ascii="Arial" w:cs="Arial" w:hAnsi="Arial"/>
          <w:b/>
          <w:sz w:val="24"/>
          <w:szCs w:val="24"/>
          <w:lang w:val="en-GB"/>
        </w:rPr>
        <w:tab/>
      </w:r>
    </w:p>
    <w:p>
      <w:pPr>
        <w:pStyle w:val="style0"/>
        <w:spacing w:lineRule="auto" w:line="360"/>
        <w:jc w:val="both"/>
        <w:rPr>
          <w:rFonts w:ascii="Arial" w:cs="Arial" w:hAnsi="Arial"/>
          <w:sz w:val="24"/>
          <w:szCs w:val="24"/>
          <w:lang w:val="en-GB"/>
        </w:rPr>
      </w:pPr>
      <w:r>
        <w:rPr>
          <w:rFonts w:ascii="Arial" w:cs="Arial" w:hAnsi="Arial"/>
          <w:sz w:val="24"/>
          <w:szCs w:val="24"/>
          <w:lang w:val="en-GB"/>
        </w:rPr>
        <w:t>Critics of reform may raise questions about how feasible it is to carry out the changes being proposed. They fear that adding new laws or changing current ones will cause extra duties for government bureaucrats, higher costs, and more trouble enforcing the law. It's possible they'll argue that homicide law reform isn't the best use of limited criminal justice resources</w:t>
      </w:r>
      <w:r>
        <w:rPr>
          <w:rFonts w:ascii="Arial" w:cs="Arial" w:hAnsi="Arial"/>
          <w:sz w:val="24"/>
          <w:szCs w:val="24"/>
          <w:lang w:val="en-GB"/>
        </w:rPr>
        <w:t xml:space="preserve"> (</w:t>
      </w:r>
      <w:r>
        <w:rPr>
          <w:rFonts w:ascii="Arial" w:cs="Arial" w:hAnsi="Arial"/>
          <w:color w:val="222222"/>
          <w:sz w:val="24"/>
          <w:szCs w:val="24"/>
          <w:shd w:val="clear" w:color="auto" w:fill="ffffff"/>
        </w:rPr>
        <w:t>Brookman</w:t>
      </w:r>
      <w:r>
        <w:rPr>
          <w:rFonts w:ascii="Arial" w:cs="Arial" w:hAnsi="Arial"/>
          <w:color w:val="222222"/>
          <w:sz w:val="24"/>
          <w:szCs w:val="24"/>
          <w:shd w:val="clear" w:color="auto" w:fill="ffffff"/>
        </w:rPr>
        <w:t xml:space="preserve"> et al., 2019</w:t>
      </w:r>
      <w:r>
        <w:rPr>
          <w:rFonts w:ascii="Arial" w:cs="Arial" w:hAnsi="Arial"/>
          <w:sz w:val="24"/>
          <w:szCs w:val="24"/>
          <w:lang w:val="en-GB"/>
        </w:rPr>
        <w:t>)</w:t>
      </w:r>
      <w:r>
        <w:rPr>
          <w:rFonts w:ascii="Arial" w:cs="Arial" w:hAnsi="Arial"/>
          <w:sz w:val="24"/>
          <w:szCs w:val="24"/>
          <w:lang w:val="en-GB"/>
        </w:rPr>
        <w:t>.</w:t>
      </w:r>
    </w:p>
    <w:p>
      <w:pPr>
        <w:pStyle w:val="style0"/>
        <w:spacing w:lineRule="auto" w:line="360"/>
        <w:jc w:val="both"/>
        <w:rPr>
          <w:rFonts w:ascii="Arial" w:cs="Arial" w:hAnsi="Arial"/>
          <w:sz w:val="24"/>
          <w:szCs w:val="24"/>
          <w:lang w:val="en-GB"/>
        </w:rPr>
      </w:pPr>
      <w:r>
        <w:rPr>
          <w:rFonts w:ascii="Arial" w:cs="Arial" w:hAnsi="Arial"/>
          <w:sz w:val="24"/>
          <w:szCs w:val="24"/>
          <w:lang w:val="en-GB"/>
        </w:rPr>
        <w:t>Some opponents of reform maintain that consistency in the interpretation and application of homicide offenses is based on centuries of legal tradition and precedents. They worry that if precedent isn't strictly adhered to, it could lead to inconsistent judicial rulings and a breakdown in public trust in the judicial system.</w:t>
      </w:r>
    </w:p>
    <w:p>
      <w:pPr>
        <w:pStyle w:val="style0"/>
        <w:spacing w:after="0" w:lineRule="auto" w:line="360"/>
        <w:jc w:val="both"/>
        <w:rPr>
          <w:rFonts w:ascii="Arial" w:cs="Arial" w:hAnsi="Arial"/>
          <w:sz w:val="24"/>
          <w:szCs w:val="24"/>
          <w:lang w:val="en-GB"/>
        </w:rPr>
      </w:pPr>
      <w:r>
        <w:rPr>
          <w:rFonts w:ascii="Arial" w:cs="Arial" w:hAnsi="Arial"/>
          <w:sz w:val="24"/>
          <w:szCs w:val="24"/>
          <w:lang w:val="en-GB"/>
        </w:rPr>
        <w:t>Some may worry that changing the legislation surrounding murder could have unexpecte</w:t>
      </w:r>
      <w:r>
        <w:rPr>
          <w:rFonts w:ascii="Arial" w:cs="Arial" w:hAnsi="Arial"/>
          <w:sz w:val="24"/>
          <w:szCs w:val="24"/>
          <w:lang w:val="en-GB"/>
        </w:rPr>
        <w:t>d repercussions. The great concern is</w:t>
      </w:r>
      <w:r>
        <w:rPr>
          <w:rFonts w:ascii="Arial" w:cs="Arial" w:hAnsi="Arial"/>
          <w:sz w:val="24"/>
          <w:szCs w:val="24"/>
          <w:lang w:val="en-GB"/>
        </w:rPr>
        <w:t xml:space="preserve"> that if the legislation is changed, it could lead to unintended consequences. Some may argue that the existing legal framework finds an appropriate balance between safeguarding individual liberties and advancing th</w:t>
      </w:r>
      <w:r>
        <w:rPr>
          <w:rFonts w:ascii="Arial" w:cs="Arial" w:hAnsi="Arial"/>
          <w:sz w:val="24"/>
          <w:szCs w:val="24"/>
          <w:lang w:val="en-GB"/>
        </w:rPr>
        <w:t>e cause of justice, hence such</w:t>
      </w:r>
      <w:r>
        <w:rPr>
          <w:rFonts w:ascii="Arial" w:cs="Arial" w:hAnsi="Arial"/>
          <w:sz w:val="24"/>
          <w:szCs w:val="24"/>
          <w:lang w:val="en-GB"/>
        </w:rPr>
        <w:t xml:space="preserve"> proposed changes</w:t>
      </w:r>
      <w:r>
        <w:rPr>
          <w:rFonts w:ascii="Arial" w:cs="Arial" w:hAnsi="Arial"/>
          <w:sz w:val="24"/>
          <w:szCs w:val="24"/>
          <w:lang w:val="en-GB"/>
        </w:rPr>
        <w:t xml:space="preserve"> would threaten this stability</w:t>
      </w:r>
      <w:r>
        <w:rPr>
          <w:rFonts w:ascii="Arial" w:cs="Arial" w:hAnsi="Arial"/>
          <w:sz w:val="24"/>
          <w:szCs w:val="24"/>
          <w:lang w:val="en-GB"/>
        </w:rPr>
        <w:t xml:space="preserve"> (</w:t>
      </w:r>
      <w:r>
        <w:rPr>
          <w:rFonts w:ascii="Arial" w:cs="Arial" w:hAnsi="Arial"/>
          <w:color w:val="222222"/>
          <w:sz w:val="24"/>
          <w:szCs w:val="24"/>
          <w:shd w:val="clear" w:color="auto" w:fill="ffffff"/>
        </w:rPr>
        <w:t>Juss</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2016</w:t>
      </w:r>
      <w:r>
        <w:rPr>
          <w:rFonts w:ascii="Arial" w:cs="Arial" w:hAnsi="Arial"/>
          <w:sz w:val="24"/>
          <w:szCs w:val="24"/>
          <w:lang w:val="en-GB"/>
        </w:rPr>
        <w:t>)</w:t>
      </w:r>
      <w:r>
        <w:rPr>
          <w:rFonts w:ascii="Arial" w:cs="Arial" w:hAnsi="Arial"/>
          <w:sz w:val="24"/>
          <w:szCs w:val="24"/>
          <w:lang w:val="en-GB"/>
        </w:rPr>
        <w:t>.</w:t>
      </w:r>
    </w:p>
    <w:p>
      <w:pPr>
        <w:pStyle w:val="style0"/>
        <w:tabs>
          <w:tab w:val="right" w:leader="none" w:pos="9360"/>
        </w:tabs>
        <w:spacing w:lineRule="auto" w:line="360"/>
        <w:rPr>
          <w:rFonts w:ascii="Arial" w:cs="Arial" w:hAnsi="Arial"/>
          <w:b/>
          <w:sz w:val="24"/>
          <w:szCs w:val="24"/>
          <w:lang w:val="en-GB"/>
        </w:rPr>
      </w:pPr>
      <w:r>
        <w:rPr>
          <w:rFonts w:ascii="Arial" w:cs="Arial" w:hAnsi="Arial"/>
          <w:b/>
          <w:sz w:val="24"/>
          <w:szCs w:val="24"/>
          <w:lang w:val="en-GB"/>
        </w:rPr>
        <w:t>Conclusion</w:t>
      </w:r>
      <w:r>
        <w:rPr>
          <w:rFonts w:ascii="Arial" w:cs="Arial" w:hAnsi="Arial"/>
          <w:b/>
          <w:sz w:val="24"/>
          <w:szCs w:val="24"/>
          <w:lang w:val="en-GB"/>
        </w:rPr>
        <w:tab/>
      </w:r>
    </w:p>
    <w:p>
      <w:pPr>
        <w:pStyle w:val="style0"/>
        <w:spacing w:lineRule="auto" w:line="360"/>
        <w:jc w:val="both"/>
        <w:rPr>
          <w:rFonts w:ascii="Arial" w:cs="Arial" w:hAnsi="Arial"/>
          <w:sz w:val="24"/>
          <w:szCs w:val="24"/>
          <w:lang w:val="en-GB"/>
        </w:rPr>
      </w:pPr>
      <w:r>
        <w:rPr>
          <w:rFonts w:ascii="Arial" w:cs="Arial" w:hAnsi="Arial"/>
          <w:sz w:val="24"/>
          <w:szCs w:val="24"/>
          <w:lang w:val="en-GB"/>
        </w:rPr>
        <w:t>In conclusion the Homicide law of UK and WALES looks lenient to some extent, although the lord chief justice and the Royal Commission can defend their stands in accordance to the law. In future more strict penalties as provided by the proposals made should be pronounced law .This will ensure that such crimes will not have space in society as well as reduce court appearance. It will be great boost since government will save on expenditure that would be used in court</w:t>
      </w:r>
      <w:r>
        <w:rPr>
          <w:rFonts w:ascii="Arial" w:cs="Arial" w:hAnsi="Arial"/>
          <w:sz w:val="24"/>
          <w:szCs w:val="24"/>
          <w:lang w:val="en-GB"/>
        </w:rPr>
        <w:t xml:space="preserve">. Each and every proposal brings about </w:t>
      </w:r>
      <w:r>
        <w:rPr>
          <w:rFonts w:ascii="Arial" w:cs="Arial" w:hAnsi="Arial"/>
          <w:sz w:val="24"/>
          <w:szCs w:val="24"/>
          <w:lang w:val="en-GB"/>
        </w:rPr>
        <w:t>its</w:t>
      </w:r>
      <w:r>
        <w:rPr>
          <w:rFonts w:ascii="Arial" w:cs="Arial" w:hAnsi="Arial"/>
          <w:sz w:val="24"/>
          <w:szCs w:val="24"/>
          <w:lang w:val="en-GB"/>
        </w:rPr>
        <w:t xml:space="preserve"> challenges</w:t>
      </w:r>
      <w:r>
        <w:rPr>
          <w:rFonts w:ascii="Arial" w:cs="Arial" w:hAnsi="Arial"/>
          <w:sz w:val="24"/>
          <w:szCs w:val="24"/>
          <w:lang w:val="en-GB"/>
        </w:rPr>
        <w:t>,</w:t>
      </w:r>
      <w:r>
        <w:rPr>
          <w:rFonts w:ascii="Arial" w:cs="Arial" w:hAnsi="Arial"/>
          <w:sz w:val="24"/>
          <w:szCs w:val="24"/>
          <w:lang w:val="en-GB"/>
        </w:rPr>
        <w:t xml:space="preserve"> </w:t>
      </w:r>
      <w:r>
        <w:rPr>
          <w:rFonts w:ascii="Arial" w:cs="Arial" w:hAnsi="Arial"/>
          <w:sz w:val="24"/>
          <w:szCs w:val="24"/>
          <w:lang w:val="en-GB"/>
        </w:rPr>
        <w:t xml:space="preserve">since it </w:t>
      </w:r>
      <w:r>
        <w:rPr>
          <w:rFonts w:ascii="Arial" w:cs="Arial" w:hAnsi="Arial"/>
          <w:sz w:val="24"/>
          <w:szCs w:val="24"/>
          <w:lang w:val="en-GB"/>
        </w:rPr>
        <w:t>arises</w:t>
      </w:r>
      <w:r>
        <w:rPr>
          <w:rFonts w:ascii="Arial" w:cs="Arial" w:hAnsi="Arial"/>
          <w:sz w:val="24"/>
          <w:szCs w:val="24"/>
          <w:lang w:val="en-GB"/>
        </w:rPr>
        <w:t xml:space="preserve"> satisfaction and dissatisfaction </w:t>
      </w:r>
      <w:r>
        <w:rPr>
          <w:rFonts w:ascii="Arial" w:cs="Arial" w:hAnsi="Arial"/>
          <w:sz w:val="24"/>
          <w:szCs w:val="24"/>
          <w:lang w:val="en-GB"/>
        </w:rPr>
        <w:t>in equal measure</w:t>
      </w:r>
      <w:r>
        <w:rPr>
          <w:rFonts w:ascii="Arial" w:cs="Arial" w:hAnsi="Arial"/>
          <w:sz w:val="24"/>
          <w:szCs w:val="24"/>
          <w:lang w:val="en-GB"/>
        </w:rPr>
        <w:t>.</w:t>
      </w:r>
      <w:r>
        <w:rPr>
          <w:rFonts w:ascii="Arial" w:cs="Arial" w:hAnsi="Arial"/>
          <w:sz w:val="24"/>
          <w:szCs w:val="24"/>
          <w:lang w:val="en-GB"/>
        </w:rPr>
        <w:t xml:space="preserve"> </w:t>
      </w:r>
    </w:p>
    <w:p>
      <w:pPr>
        <w:pStyle w:val="style0"/>
        <w:spacing w:after="0" w:lineRule="auto" w:line="360"/>
        <w:jc w:val="both"/>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lang w:val="en-GB"/>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sz w:val="24"/>
          <w:szCs w:val="24"/>
        </w:rPr>
      </w:pPr>
    </w:p>
    <w:p>
      <w:pPr>
        <w:pStyle w:val="style0"/>
        <w:spacing w:after="0" w:lineRule="auto" w:line="360"/>
        <w:rPr>
          <w:rFonts w:ascii="Arial" w:cs="Arial" w:hAnsi="Arial"/>
          <w:b/>
          <w:sz w:val="24"/>
          <w:szCs w:val="24"/>
        </w:rPr>
      </w:pPr>
      <w:r>
        <w:rPr>
          <w:rFonts w:ascii="Arial" w:cs="Arial" w:hAnsi="Arial"/>
          <w:b/>
          <w:sz w:val="24"/>
          <w:szCs w:val="24"/>
        </w:rPr>
        <w:t>References</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 xml:space="preserve">Acker, J.R. and Lanier, C.S., 2020. </w:t>
      </w:r>
      <w:r>
        <w:rPr>
          <w:rFonts w:ascii="Arial" w:cs="Arial" w:hAnsi="Arial"/>
          <w:color w:val="222222"/>
          <w:sz w:val="24"/>
          <w:szCs w:val="24"/>
          <w:shd w:val="clear" w:color="auto" w:fill="ffffff"/>
        </w:rPr>
        <w:t>The dimensions of capital murder.</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In </w:t>
      </w:r>
      <w:r>
        <w:rPr>
          <w:rFonts w:ascii="Arial" w:cs="Arial" w:hAnsi="Arial"/>
          <w:iCs/>
          <w:color w:val="222222"/>
          <w:sz w:val="24"/>
          <w:szCs w:val="24"/>
          <w:shd w:val="clear" w:color="auto" w:fill="ffffff"/>
        </w:rPr>
        <w:t>The American Court System</w:t>
      </w:r>
      <w:r>
        <w:rPr>
          <w:rFonts w:ascii="Arial" w:cs="Arial" w:hAnsi="Arial"/>
          <w:color w:val="222222"/>
          <w:sz w:val="24"/>
          <w:szCs w:val="24"/>
          <w:shd w:val="clear" w:color="auto" w:fill="ffffff"/>
        </w:rPr>
        <w:t> (pp. 1-39).</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Atkins, S. and Brenda Hale, B., 2018.</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Women and the Law</w:t>
      </w:r>
      <w:r>
        <w:rPr>
          <w:rFonts w:ascii="Arial" w:cs="Arial" w:hAnsi="Arial"/>
          <w:color w:val="222222"/>
          <w:sz w:val="24"/>
          <w:szCs w:val="24"/>
          <w:shd w:val="clear" w:color="auto" w:fill="ffffff"/>
        </w:rPr>
        <w:t xml:space="preserve"> (p. 284). </w:t>
      </w:r>
      <w:r>
        <w:rPr>
          <w:rFonts w:ascii="Arial" w:cs="Arial" w:hAnsi="Arial"/>
          <w:color w:val="222222"/>
          <w:sz w:val="24"/>
          <w:szCs w:val="24"/>
          <w:shd w:val="clear" w:color="auto" w:fill="ffffff"/>
        </w:rPr>
        <w:t>University of London.</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 xml:space="preserve">Baker, D.J., 2021. </w:t>
      </w:r>
      <w:r>
        <w:rPr>
          <w:rFonts w:ascii="Arial" w:cs="Arial" w:hAnsi="Arial"/>
          <w:color w:val="222222"/>
          <w:sz w:val="24"/>
          <w:szCs w:val="24"/>
          <w:shd w:val="clear" w:color="auto" w:fill="ffffff"/>
        </w:rPr>
        <w:t>Rethinking the Mental Element in Involuntary Manslaughter.</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The Journal of Criminal Law</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85</w:t>
      </w:r>
      <w:r>
        <w:rPr>
          <w:rFonts w:ascii="Arial" w:cs="Arial" w:hAnsi="Arial"/>
          <w:color w:val="222222"/>
          <w:sz w:val="24"/>
          <w:szCs w:val="24"/>
          <w:shd w:val="clear" w:color="auto" w:fill="ffffff"/>
        </w:rPr>
        <w:t>(4), pp.280-301.</w:t>
      </w:r>
    </w:p>
    <w:p>
      <w:pPr>
        <w:pStyle w:val="style0"/>
        <w:spacing w:lineRule="auto" w:line="360"/>
        <w:jc w:val="both"/>
        <w:rPr>
          <w:rFonts w:ascii="Arial" w:cs="Arial" w:hAnsi="Arial"/>
          <w:b/>
          <w:sz w:val="24"/>
          <w:szCs w:val="24"/>
        </w:rPr>
      </w:pPr>
      <w:r>
        <w:rPr>
          <w:rFonts w:ascii="Arial" w:cs="Arial" w:hAnsi="Arial"/>
          <w:color w:val="222222"/>
          <w:sz w:val="24"/>
          <w:szCs w:val="24"/>
          <w:shd w:val="clear" w:color="auto" w:fill="ffffff"/>
        </w:rPr>
        <w:t>Bell, D. ed., 2017.</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The radical right</w:t>
      </w:r>
      <w:r>
        <w:rPr>
          <w:rFonts w:ascii="Arial" w:cs="Arial" w:hAnsi="Arial"/>
          <w:color w:val="222222"/>
          <w:sz w:val="24"/>
          <w:szCs w:val="24"/>
          <w:shd w:val="clear" w:color="auto" w:fill="ffffff"/>
        </w:rPr>
        <w:t>.</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Bonicalzi</w:t>
      </w:r>
      <w:r>
        <w:rPr>
          <w:rFonts w:ascii="Arial" w:cs="Arial" w:hAnsi="Arial"/>
          <w:color w:val="222222"/>
          <w:sz w:val="24"/>
          <w:szCs w:val="24"/>
          <w:shd w:val="clear" w:color="auto" w:fill="ffffff"/>
        </w:rPr>
        <w:t>, S. and Haggard, P., 2019.</w:t>
      </w:r>
      <w:r>
        <w:rPr>
          <w:rFonts w:ascii="Arial" w:cs="Arial" w:hAnsi="Arial"/>
          <w:color w:val="222222"/>
          <w:sz w:val="24"/>
          <w:szCs w:val="24"/>
          <w:shd w:val="clear" w:color="auto" w:fill="ffffff"/>
        </w:rPr>
        <w:t xml:space="preserve"> Responsibility </w:t>
      </w:r>
      <w:r>
        <w:rPr>
          <w:rFonts w:ascii="Arial" w:cs="Arial" w:hAnsi="Arial"/>
          <w:color w:val="222222"/>
          <w:sz w:val="24"/>
          <w:szCs w:val="24"/>
          <w:shd w:val="clear" w:color="auto" w:fill="ffffff"/>
        </w:rPr>
        <w:t>Between</w:t>
      </w:r>
      <w:r>
        <w:rPr>
          <w:rFonts w:ascii="Arial" w:cs="Arial" w:hAnsi="Arial"/>
          <w:color w:val="222222"/>
          <w:sz w:val="24"/>
          <w:szCs w:val="24"/>
          <w:shd w:val="clear" w:color="auto" w:fill="ffffff"/>
        </w:rPr>
        <w:t xml:space="preserve"> Neuroscience and Criminal Law. </w:t>
      </w:r>
      <w:r>
        <w:rPr>
          <w:rFonts w:ascii="Arial" w:cs="Arial" w:hAnsi="Arial"/>
          <w:color w:val="222222"/>
          <w:sz w:val="24"/>
          <w:szCs w:val="24"/>
          <w:shd w:val="clear" w:color="auto" w:fill="ffffff"/>
        </w:rPr>
        <w:t>The Control Component of Criminal Liability.</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Rivista</w:t>
      </w:r>
      <w:r>
        <w:rPr>
          <w:rFonts w:ascii="Arial" w:cs="Arial" w:hAnsi="Arial"/>
          <w:iCs/>
          <w:color w:val="222222"/>
          <w:sz w:val="24"/>
          <w:szCs w:val="24"/>
          <w:shd w:val="clear" w:color="auto" w:fill="ffffff"/>
        </w:rPr>
        <w:t xml:space="preserve"> </w:t>
      </w:r>
      <w:r>
        <w:rPr>
          <w:rFonts w:ascii="Arial" w:cs="Arial" w:hAnsi="Arial"/>
          <w:iCs/>
          <w:color w:val="222222"/>
          <w:sz w:val="24"/>
          <w:szCs w:val="24"/>
          <w:shd w:val="clear" w:color="auto" w:fill="ffffff"/>
        </w:rPr>
        <w:t>internazionale</w:t>
      </w:r>
      <w:r>
        <w:rPr>
          <w:rFonts w:ascii="Arial" w:cs="Arial" w:hAnsi="Arial"/>
          <w:iCs/>
          <w:color w:val="222222"/>
          <w:sz w:val="24"/>
          <w:szCs w:val="24"/>
          <w:shd w:val="clear" w:color="auto" w:fill="ffffff"/>
        </w:rPr>
        <w:t xml:space="preserve"> di </w:t>
      </w:r>
      <w:r>
        <w:rPr>
          <w:rFonts w:ascii="Arial" w:cs="Arial" w:hAnsi="Arial"/>
          <w:iCs/>
          <w:color w:val="222222"/>
          <w:sz w:val="24"/>
          <w:szCs w:val="24"/>
          <w:shd w:val="clear" w:color="auto" w:fill="ffffff"/>
        </w:rPr>
        <w:t>Filosofia</w:t>
      </w:r>
      <w:r>
        <w:rPr>
          <w:rFonts w:ascii="Arial" w:cs="Arial" w:hAnsi="Arial"/>
          <w:iCs/>
          <w:color w:val="222222"/>
          <w:sz w:val="24"/>
          <w:szCs w:val="24"/>
          <w:shd w:val="clear" w:color="auto" w:fill="ffffff"/>
        </w:rPr>
        <w:t xml:space="preserve"> e </w:t>
      </w:r>
      <w:r>
        <w:rPr>
          <w:rFonts w:ascii="Arial" w:cs="Arial" w:hAnsi="Arial"/>
          <w:iCs/>
          <w:color w:val="222222"/>
          <w:sz w:val="24"/>
          <w:szCs w:val="24"/>
          <w:shd w:val="clear" w:color="auto" w:fill="ffffff"/>
        </w:rPr>
        <w:t>Psicologia</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10</w:t>
      </w:r>
      <w:r>
        <w:rPr>
          <w:rFonts w:ascii="Arial" w:cs="Arial" w:hAnsi="Arial"/>
          <w:color w:val="222222"/>
          <w:sz w:val="24"/>
          <w:szCs w:val="24"/>
          <w:shd w:val="clear" w:color="auto" w:fill="ffffff"/>
        </w:rPr>
        <w:t>(2), pp.103-119.</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Brookman</w:t>
      </w:r>
      <w:r>
        <w:rPr>
          <w:rFonts w:ascii="Arial" w:cs="Arial" w:hAnsi="Arial"/>
          <w:color w:val="222222"/>
          <w:sz w:val="24"/>
          <w:szCs w:val="24"/>
          <w:shd w:val="clear" w:color="auto" w:fill="ffffff"/>
        </w:rPr>
        <w:t xml:space="preserve">, F., Pike, S. and Maguire, E., 2019. </w:t>
      </w:r>
      <w:r>
        <w:rPr>
          <w:rFonts w:ascii="Arial" w:cs="Arial" w:hAnsi="Arial"/>
          <w:color w:val="222222"/>
          <w:sz w:val="24"/>
          <w:szCs w:val="24"/>
          <w:shd w:val="clear" w:color="auto" w:fill="ffffff"/>
        </w:rPr>
        <w:t>Dancing around Miranda: the effects of legal reform on.</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Criminal Law Bulletin</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55</w:t>
      </w:r>
      <w:r>
        <w:rPr>
          <w:rFonts w:ascii="Arial" w:cs="Arial" w:hAnsi="Arial"/>
          <w:color w:val="222222"/>
          <w:sz w:val="24"/>
          <w:szCs w:val="24"/>
          <w:shd w:val="clear" w:color="auto" w:fill="ffffff"/>
        </w:rPr>
        <w:t>(5).</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Burgason</w:t>
      </w:r>
      <w:r>
        <w:rPr>
          <w:rFonts w:ascii="Arial" w:cs="Arial" w:hAnsi="Arial"/>
          <w:color w:val="222222"/>
          <w:sz w:val="24"/>
          <w:szCs w:val="24"/>
          <w:shd w:val="clear" w:color="auto" w:fill="ffffff"/>
        </w:rPr>
        <w:t xml:space="preserve">, K.A., </w:t>
      </w:r>
      <w:r>
        <w:rPr>
          <w:rFonts w:ascii="Arial" w:cs="Arial" w:hAnsi="Arial"/>
          <w:color w:val="222222"/>
          <w:sz w:val="24"/>
          <w:szCs w:val="24"/>
          <w:shd w:val="clear" w:color="auto" w:fill="ffffff"/>
        </w:rPr>
        <w:t>Ruelas</w:t>
      </w:r>
      <w:r>
        <w:rPr>
          <w:rFonts w:ascii="Arial" w:cs="Arial" w:hAnsi="Arial"/>
          <w:color w:val="222222"/>
          <w:sz w:val="24"/>
          <w:szCs w:val="24"/>
          <w:shd w:val="clear" w:color="auto" w:fill="ffffff"/>
        </w:rPr>
        <w:t xml:space="preserve">, M. and </w:t>
      </w:r>
      <w:r>
        <w:rPr>
          <w:rFonts w:ascii="Arial" w:cs="Arial" w:hAnsi="Arial"/>
          <w:color w:val="222222"/>
          <w:sz w:val="24"/>
          <w:szCs w:val="24"/>
          <w:shd w:val="clear" w:color="auto" w:fill="ffffff"/>
        </w:rPr>
        <w:t>Zawisza</w:t>
      </w:r>
      <w:r>
        <w:rPr>
          <w:rFonts w:ascii="Arial" w:cs="Arial" w:hAnsi="Arial"/>
          <w:color w:val="222222"/>
          <w:sz w:val="24"/>
          <w:szCs w:val="24"/>
          <w:shd w:val="clear" w:color="auto" w:fill="ffffff"/>
        </w:rPr>
        <w:t>, T.T., 2021.</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Homicide Case Studies: Real World Assessment and Decision-making</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 xml:space="preserve">Elliott, C., 2011. </w:t>
      </w:r>
      <w:r>
        <w:rPr>
          <w:rFonts w:ascii="Arial" w:cs="Arial" w:hAnsi="Arial"/>
          <w:color w:val="222222"/>
          <w:sz w:val="24"/>
          <w:szCs w:val="24"/>
          <w:shd w:val="clear" w:color="auto" w:fill="ffffff"/>
        </w:rPr>
        <w:t xml:space="preserve">A comparative analysis of English and French </w:t>
      </w:r>
      <w:r>
        <w:rPr>
          <w:rFonts w:ascii="Arial" w:cs="Arial" w:hAnsi="Arial"/>
          <w:color w:val="222222"/>
          <w:sz w:val="24"/>
          <w:szCs w:val="24"/>
          <w:shd w:val="clear" w:color="auto" w:fill="ffffff"/>
        </w:rPr>
        <w:t>defences</w:t>
      </w:r>
      <w:r>
        <w:rPr>
          <w:rFonts w:ascii="Arial" w:cs="Arial" w:hAnsi="Arial"/>
          <w:color w:val="222222"/>
          <w:sz w:val="24"/>
          <w:szCs w:val="24"/>
          <w:shd w:val="clear" w:color="auto" w:fill="ffffff"/>
        </w:rPr>
        <w:t xml:space="preserve"> to demonstrate the limitations of the concept of loss of control.</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 xml:space="preserve">Ellison, L., 2019. </w:t>
      </w:r>
      <w:r>
        <w:rPr>
          <w:rFonts w:ascii="Arial" w:cs="Arial" w:hAnsi="Arial"/>
          <w:color w:val="222222"/>
          <w:sz w:val="24"/>
          <w:szCs w:val="24"/>
          <w:shd w:val="clear" w:color="auto" w:fill="ffffff"/>
        </w:rPr>
        <w:t>Coercive and controlling men and the women who kill them.</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Wolverhampton</w:t>
      </w:r>
      <w:r>
        <w:rPr>
          <w:rFonts w:ascii="Arial" w:cs="Arial" w:hAnsi="Arial"/>
          <w:iCs/>
          <w:color w:val="222222"/>
          <w:sz w:val="24"/>
          <w:szCs w:val="24"/>
          <w:shd w:val="clear" w:color="auto" w:fill="ffffff"/>
        </w:rPr>
        <w:t xml:space="preserve"> Law Journal</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3</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Hamilton, M., 2011.</w:t>
      </w:r>
      <w:r>
        <w:rPr>
          <w:rFonts w:ascii="Arial" w:cs="Arial" w:hAnsi="Arial"/>
          <w:color w:val="222222"/>
          <w:sz w:val="24"/>
          <w:szCs w:val="24"/>
          <w:shd w:val="clear" w:color="auto" w:fill="ffffff"/>
        </w:rPr>
        <w:t xml:space="preserve"> Reinvigorating </w:t>
      </w:r>
      <w:r>
        <w:rPr>
          <w:rFonts w:ascii="Arial" w:cs="Arial" w:hAnsi="Arial"/>
          <w:color w:val="222222"/>
          <w:sz w:val="24"/>
          <w:szCs w:val="24"/>
          <w:shd w:val="clear" w:color="auto" w:fill="ffffff"/>
        </w:rPr>
        <w:t>actus</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reus</w:t>
      </w:r>
      <w:r>
        <w:rPr>
          <w:rFonts w:ascii="Arial" w:cs="Arial" w:hAnsi="Arial"/>
          <w:color w:val="222222"/>
          <w:sz w:val="24"/>
          <w:szCs w:val="24"/>
          <w:shd w:val="clear" w:color="auto" w:fill="ffffff"/>
        </w:rPr>
        <w:t>: the case for involuntary actions by veterans with post-traumatic stress disorder. </w:t>
      </w:r>
      <w:r>
        <w:rPr>
          <w:rFonts w:ascii="Arial" w:cs="Arial" w:hAnsi="Arial"/>
          <w:iCs/>
          <w:color w:val="222222"/>
          <w:sz w:val="24"/>
          <w:szCs w:val="24"/>
          <w:shd w:val="clear" w:color="auto" w:fill="ffffff"/>
        </w:rPr>
        <w:t>Berkeley J. Crim. L.</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16</w:t>
      </w:r>
      <w:r>
        <w:rPr>
          <w:rFonts w:ascii="Arial" w:cs="Arial" w:hAnsi="Arial"/>
          <w:color w:val="222222"/>
          <w:sz w:val="24"/>
          <w:szCs w:val="24"/>
          <w:shd w:val="clear" w:color="auto" w:fill="ffffff"/>
        </w:rPr>
        <w:t>, p.340.</w:t>
      </w:r>
    </w:p>
    <w:p>
      <w:pPr>
        <w:pStyle w:val="style0"/>
        <w:tabs>
          <w:tab w:val="left" w:leader="none" w:pos="8170"/>
        </w:tabs>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Juss</w:t>
      </w:r>
      <w:r>
        <w:rPr>
          <w:rFonts w:ascii="Arial" w:cs="Arial" w:hAnsi="Arial"/>
          <w:color w:val="222222"/>
          <w:sz w:val="24"/>
          <w:szCs w:val="24"/>
          <w:shd w:val="clear" w:color="auto" w:fill="ffffff"/>
        </w:rPr>
        <w:t>, S., 2016. </w:t>
      </w:r>
      <w:r>
        <w:rPr>
          <w:rFonts w:ascii="Arial" w:cs="Arial" w:hAnsi="Arial"/>
          <w:iCs/>
          <w:color w:val="222222"/>
          <w:sz w:val="24"/>
          <w:szCs w:val="24"/>
          <w:shd w:val="clear" w:color="auto" w:fill="ffffff"/>
        </w:rPr>
        <w:t>International migration and global justice</w:t>
      </w:r>
      <w:r>
        <w:rPr>
          <w:rFonts w:ascii="Arial" w:cs="Arial" w:hAnsi="Arial"/>
          <w:color w:val="222222"/>
          <w:sz w:val="24"/>
          <w:szCs w:val="24"/>
          <w:shd w:val="clear" w:color="auto" w:fill="ffffff"/>
        </w:rPr>
        <w:t>.</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r>
        <w:rPr>
          <w:rFonts w:ascii="Arial" w:cs="Arial" w:hAnsi="Arial"/>
          <w:color w:val="222222"/>
          <w:sz w:val="24"/>
          <w:szCs w:val="24"/>
          <w:shd w:val="clear" w:color="auto" w:fill="ffffff"/>
        </w:rPr>
        <w:tab/>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Kaplan, J., Weisberg, R. and Binder, G., 2021. </w:t>
      </w:r>
      <w:r>
        <w:rPr>
          <w:rFonts w:ascii="Arial" w:cs="Arial" w:hAnsi="Arial"/>
          <w:iCs/>
          <w:color w:val="222222"/>
          <w:sz w:val="24"/>
          <w:szCs w:val="24"/>
          <w:shd w:val="clear" w:color="auto" w:fill="ffffff"/>
        </w:rPr>
        <w:t>Criminal law: Cases and materials</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Aspen Publishing.</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Kugler</w:t>
      </w:r>
      <w:r>
        <w:rPr>
          <w:rFonts w:ascii="Arial" w:cs="Arial" w:hAnsi="Arial"/>
          <w:color w:val="222222"/>
          <w:sz w:val="24"/>
          <w:szCs w:val="24"/>
          <w:shd w:val="clear" w:color="auto" w:fill="ffffff"/>
        </w:rPr>
        <w:t>, I., 2017. </w:t>
      </w:r>
      <w:r>
        <w:rPr>
          <w:rFonts w:ascii="Arial" w:cs="Arial" w:hAnsi="Arial"/>
          <w:iCs/>
          <w:color w:val="222222"/>
          <w:sz w:val="24"/>
          <w:szCs w:val="24"/>
          <w:shd w:val="clear" w:color="auto" w:fill="ffffff"/>
        </w:rPr>
        <w:t>Direct and oblique intention in the criminal law: An inquiry into degrees of blameworthiness</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Long, A.B., 2018.</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Abolishing the Suicide Rule.</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Nw. UL Rev.</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113</w:t>
      </w:r>
      <w:r>
        <w:rPr>
          <w:rFonts w:ascii="Arial" w:cs="Arial" w:hAnsi="Arial"/>
          <w:color w:val="222222"/>
          <w:sz w:val="24"/>
          <w:szCs w:val="24"/>
          <w:shd w:val="clear" w:color="auto" w:fill="ffffff"/>
        </w:rPr>
        <w:t>, p.767.</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Robins, J., 2018. </w:t>
      </w:r>
      <w:r>
        <w:rPr>
          <w:rFonts w:ascii="Arial" w:cs="Arial" w:hAnsi="Arial"/>
          <w:iCs/>
          <w:color w:val="222222"/>
          <w:sz w:val="24"/>
          <w:szCs w:val="24"/>
          <w:shd w:val="clear" w:color="auto" w:fill="ffffff"/>
        </w:rPr>
        <w:t>Guilty until proven innocent: the crisis in our justice system</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Biteback</w:t>
      </w:r>
      <w:r>
        <w:rPr>
          <w:rFonts w:ascii="Arial" w:cs="Arial" w:hAnsi="Arial"/>
          <w:color w:val="222222"/>
          <w:sz w:val="24"/>
          <w:szCs w:val="24"/>
          <w:shd w:val="clear" w:color="auto" w:fill="ffffff"/>
        </w:rPr>
        <w:t xml:space="preserve"> Publishing.</w:t>
      </w:r>
    </w:p>
    <w:p>
      <w:pPr>
        <w:pStyle w:val="style0"/>
        <w:spacing w:lineRule="auto" w:line="360"/>
        <w:jc w:val="both"/>
        <w:rPr>
          <w:rFonts w:ascii="Arial" w:cs="Arial" w:hAnsi="Arial"/>
          <w:sz w:val="24"/>
          <w:szCs w:val="24"/>
        </w:rPr>
      </w:pPr>
      <w:r>
        <w:rPr>
          <w:rFonts w:ascii="Arial" w:cs="Arial" w:hAnsi="Arial"/>
          <w:color w:val="222222"/>
          <w:sz w:val="24"/>
          <w:szCs w:val="24"/>
          <w:shd w:val="clear" w:color="auto" w:fill="ffffff"/>
        </w:rPr>
        <w:t>Rosenbloom</w:t>
      </w:r>
      <w:r>
        <w:rPr>
          <w:rFonts w:ascii="Arial" w:cs="Arial" w:hAnsi="Arial"/>
          <w:color w:val="222222"/>
          <w:sz w:val="24"/>
          <w:szCs w:val="24"/>
          <w:shd w:val="clear" w:color="auto" w:fill="ffffff"/>
        </w:rPr>
        <w:t xml:space="preserve">, D.H., </w:t>
      </w:r>
      <w:r>
        <w:rPr>
          <w:rFonts w:ascii="Arial" w:cs="Arial" w:hAnsi="Arial"/>
          <w:color w:val="222222"/>
          <w:sz w:val="24"/>
          <w:szCs w:val="24"/>
          <w:shd w:val="clear" w:color="auto" w:fill="ffffff"/>
        </w:rPr>
        <w:t>Kravchuk</w:t>
      </w:r>
      <w:r>
        <w:rPr>
          <w:rFonts w:ascii="Arial" w:cs="Arial" w:hAnsi="Arial"/>
          <w:color w:val="222222"/>
          <w:sz w:val="24"/>
          <w:szCs w:val="24"/>
          <w:shd w:val="clear" w:color="auto" w:fill="ffffff"/>
        </w:rPr>
        <w:t xml:space="preserve">, R.S. and </w:t>
      </w:r>
      <w:r>
        <w:rPr>
          <w:rFonts w:ascii="Arial" w:cs="Arial" w:hAnsi="Arial"/>
          <w:color w:val="222222"/>
          <w:sz w:val="24"/>
          <w:szCs w:val="24"/>
          <w:shd w:val="clear" w:color="auto" w:fill="ffffff"/>
        </w:rPr>
        <w:t>Clerkin</w:t>
      </w:r>
      <w:r>
        <w:rPr>
          <w:rFonts w:ascii="Arial" w:cs="Arial" w:hAnsi="Arial"/>
          <w:color w:val="222222"/>
          <w:sz w:val="24"/>
          <w:szCs w:val="24"/>
          <w:shd w:val="clear" w:color="auto" w:fill="ffffff"/>
        </w:rPr>
        <w:t>, R.M., 2022. </w:t>
      </w:r>
      <w:r>
        <w:rPr>
          <w:rFonts w:ascii="Arial" w:cs="Arial" w:hAnsi="Arial"/>
          <w:iCs/>
          <w:color w:val="222222"/>
          <w:sz w:val="24"/>
          <w:szCs w:val="24"/>
          <w:shd w:val="clear" w:color="auto" w:fill="ffffff"/>
        </w:rPr>
        <w:t>Public administration: Understanding management, politics, and law in the public sector</w:t>
      </w:r>
      <w:r>
        <w:rPr>
          <w:rFonts w:ascii="Arial" w:cs="Arial" w:hAnsi="Arial"/>
          <w:color w:val="222222"/>
          <w:sz w:val="24"/>
          <w:szCs w:val="24"/>
          <w:shd w:val="clear" w:color="auto" w:fill="ffffff"/>
        </w:rPr>
        <w:t xml:space="preserve">. </w:t>
      </w:r>
      <w:r>
        <w:rPr>
          <w:rFonts w:ascii="Arial" w:cs="Arial" w:hAnsi="Arial"/>
          <w:color w:val="222222"/>
          <w:sz w:val="24"/>
          <w:szCs w:val="24"/>
          <w:shd w:val="clear" w:color="auto" w:fill="ffffff"/>
        </w:rPr>
        <w:t>Routledge</w:t>
      </w:r>
      <w:r>
        <w:rPr>
          <w:rFonts w:ascii="Arial" w:cs="Arial" w:hAnsi="Arial"/>
          <w:color w:val="222222"/>
          <w:sz w:val="24"/>
          <w:szCs w:val="24"/>
          <w:shd w:val="clear" w:color="auto" w:fill="ffffff"/>
        </w:rPr>
        <w:t>.</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Simester</w:t>
      </w:r>
      <w:r>
        <w:rPr>
          <w:rFonts w:ascii="Arial" w:cs="Arial" w:hAnsi="Arial"/>
          <w:color w:val="222222"/>
          <w:sz w:val="24"/>
          <w:szCs w:val="24"/>
          <w:shd w:val="clear" w:color="auto" w:fill="ffffff"/>
        </w:rPr>
        <w:t>, A., 2021. </w:t>
      </w:r>
      <w:r>
        <w:rPr>
          <w:rFonts w:ascii="Arial" w:cs="Arial" w:hAnsi="Arial"/>
          <w:iCs/>
          <w:color w:val="222222"/>
          <w:sz w:val="24"/>
          <w:szCs w:val="24"/>
          <w:shd w:val="clear" w:color="auto" w:fill="ffffff"/>
        </w:rPr>
        <w:t>Fundamentals of criminal law: responsibility, culpability, and wrongdoing</w:t>
      </w:r>
      <w:r>
        <w:rPr>
          <w:rFonts w:ascii="Arial" w:cs="Arial" w:hAnsi="Arial"/>
          <w:color w:val="222222"/>
          <w:sz w:val="24"/>
          <w:szCs w:val="24"/>
          <w:shd w:val="clear" w:color="auto" w:fill="ffffff"/>
        </w:rPr>
        <w:t>. Oxford University Press, USA.</w:t>
      </w:r>
    </w:p>
    <w:p>
      <w:pPr>
        <w:pStyle w:val="style0"/>
        <w:spacing w:lineRule="auto" w:line="360"/>
        <w:jc w:val="both"/>
        <w:rPr>
          <w:rFonts w:ascii="Arial" w:cs="Arial" w:hAnsi="Arial"/>
          <w:color w:val="222222"/>
          <w:sz w:val="24"/>
          <w:szCs w:val="24"/>
          <w:shd w:val="clear" w:color="auto" w:fill="ffffff"/>
        </w:rPr>
      </w:pPr>
      <w:r>
        <w:rPr>
          <w:rFonts w:ascii="Arial" w:cs="Arial" w:hAnsi="Arial"/>
          <w:color w:val="222222"/>
          <w:sz w:val="24"/>
          <w:szCs w:val="24"/>
          <w:shd w:val="clear" w:color="auto" w:fill="ffffff"/>
        </w:rPr>
        <w:t>Solaiman</w:t>
      </w:r>
      <w:r>
        <w:rPr>
          <w:rFonts w:ascii="Arial" w:cs="Arial" w:hAnsi="Arial"/>
          <w:color w:val="222222"/>
          <w:sz w:val="24"/>
          <w:szCs w:val="24"/>
          <w:shd w:val="clear" w:color="auto" w:fill="ffffff"/>
        </w:rPr>
        <w:t>, S.M., 2021. Laws Governing Manslaughter by Food Safety Crimes in the United Kingdom, Australia, Bangladesh and India: A Critical Review. </w:t>
      </w:r>
      <w:r>
        <w:rPr>
          <w:rFonts w:ascii="Arial" w:cs="Arial" w:hAnsi="Arial"/>
          <w:iCs/>
          <w:color w:val="222222"/>
          <w:sz w:val="24"/>
          <w:szCs w:val="24"/>
          <w:shd w:val="clear" w:color="auto" w:fill="ffffff"/>
        </w:rPr>
        <w:t>NCJ Int'l L.</w:t>
      </w:r>
      <w:r>
        <w:rPr>
          <w:rFonts w:ascii="Arial" w:cs="Arial" w:hAnsi="Arial"/>
          <w:color w:val="222222"/>
          <w:sz w:val="24"/>
          <w:szCs w:val="24"/>
          <w:shd w:val="clear" w:color="auto" w:fill="ffffff"/>
        </w:rPr>
        <w:t>, </w:t>
      </w:r>
      <w:r>
        <w:rPr>
          <w:rFonts w:ascii="Arial" w:cs="Arial" w:hAnsi="Arial"/>
          <w:iCs/>
          <w:color w:val="222222"/>
          <w:sz w:val="24"/>
          <w:szCs w:val="24"/>
          <w:shd w:val="clear" w:color="auto" w:fill="ffffff"/>
        </w:rPr>
        <w:t>47</w:t>
      </w:r>
      <w:r>
        <w:rPr>
          <w:rFonts w:ascii="Arial" w:cs="Arial" w:hAnsi="Arial"/>
          <w:color w:val="222222"/>
          <w:sz w:val="24"/>
          <w:szCs w:val="24"/>
          <w:shd w:val="clear" w:color="auto" w:fill="ffffff"/>
        </w:rPr>
        <w:t>, p.75.</w:t>
      </w:r>
    </w:p>
    <w:sectPr>
      <w:footerReference w:type="default" r:id="rId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alibri">
    <w:altName w:val="Calibri"/>
    <w:panose1 w:val="020f0502020002030204"/>
    <w:charset w:val="00"/>
    <w:family w:val="swiss"/>
    <w:pitch w:val="variable"/>
    <w:sig w:usb0="E10002FF" w:usb1="4000ACFF" w:usb2="00000009" w:usb3="00000000" w:csb0="0000019F" w:csb1="00000000"/>
  </w:font>
  <w:font w:name="Arial">
    <w:altName w:val="Arial"/>
    <w:panose1 w:val="020b0604020002020204"/>
    <w:charset w:val="00"/>
    <w:family w:val="swiss"/>
    <w:pitch w:val="variable"/>
    <w:sig w:usb0="E0002AFF" w:usb1="C0007843" w:usb2="00000009" w:usb3="00000000" w:csb0="000001FF" w:csb1="00000000"/>
  </w:font>
  <w:font w:name="Calibri Light">
    <w:altName w:val="Arial"/>
    <w:panose1 w:val="00000000000000000000"/>
    <w:charset w:val="00"/>
    <w:family w:val="swiss"/>
    <w:pitch w:val="variable"/>
    <w:sig w:usb0="00000000"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pBdr>
        <w:top w:val="single" w:sz="4" w:space="1" w:color="d9d9d9"/>
      </w:pBdr>
      <w:rPr>
        <w:b/>
        <w:bCs/>
      </w:rPr>
    </w:pPr>
    <w:r>
      <w:rPr/>
      <w:fldChar w:fldCharType="begin"/>
    </w:r>
    <w:r>
      <w:instrText xml:space="preserve"> PAGE   \* MERGEFORMAT </w:instrText>
    </w:r>
    <w:r>
      <w:rPr/>
      <w:fldChar w:fldCharType="separate"/>
    </w:r>
    <w:r>
      <w:rPr>
        <w:b/>
        <w:bCs/>
        <w:noProof/>
      </w:rPr>
      <w:t>8</w:t>
    </w:r>
    <w:r>
      <w:rPr>
        <w:b/>
        <w:bCs/>
        <w:noProof/>
      </w:rPr>
      <w:fldChar w:fldCharType="end"/>
    </w:r>
    <w:r>
      <w:rPr>
        <w:b/>
        <w:bCs/>
      </w:rPr>
      <w:t xml:space="preserve"> | </w:t>
    </w:r>
    <w:r>
      <w:rPr>
        <w:color w:val="7f7f7f"/>
        <w:spacing w:val="60"/>
      </w:rPr>
      <w:t>Page</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9B8CC18"/>
    <w:lvl w:ilvl="0" w:tplc="EBB6529C">
      <w:start w:val="1"/>
      <w:numFmt w:val="bullet"/>
      <w:lvlText w:val=""/>
      <w:lvlJc w:val="left"/>
      <w:pPr>
        <w:tabs>
          <w:tab w:val="left" w:leader="none" w:pos="720"/>
        </w:tabs>
        <w:ind w:left="720" w:hanging="360"/>
      </w:pPr>
      <w:rPr>
        <w:rFonts w:ascii="Wingdings" w:hAnsi="Wingdings" w:hint="default"/>
      </w:rPr>
    </w:lvl>
    <w:lvl w:ilvl="1" w:tplc="868040F0" w:tentative="1">
      <w:start w:val="1"/>
      <w:numFmt w:val="bullet"/>
      <w:lvlText w:val=""/>
      <w:lvlJc w:val="left"/>
      <w:pPr>
        <w:tabs>
          <w:tab w:val="left" w:leader="none" w:pos="1440"/>
        </w:tabs>
        <w:ind w:left="1440" w:hanging="360"/>
      </w:pPr>
      <w:rPr>
        <w:rFonts w:ascii="Wingdings" w:hAnsi="Wingdings" w:hint="default"/>
      </w:rPr>
    </w:lvl>
    <w:lvl w:ilvl="2" w:tplc="A5FC3DD2" w:tentative="1">
      <w:start w:val="1"/>
      <w:numFmt w:val="bullet"/>
      <w:lvlText w:val=""/>
      <w:lvlJc w:val="left"/>
      <w:pPr>
        <w:tabs>
          <w:tab w:val="left" w:leader="none" w:pos="2160"/>
        </w:tabs>
        <w:ind w:left="2160" w:hanging="360"/>
      </w:pPr>
      <w:rPr>
        <w:rFonts w:ascii="Wingdings" w:hAnsi="Wingdings" w:hint="default"/>
      </w:rPr>
    </w:lvl>
    <w:lvl w:ilvl="3" w:tplc="1FCC2AE2" w:tentative="1">
      <w:start w:val="1"/>
      <w:numFmt w:val="bullet"/>
      <w:lvlText w:val=""/>
      <w:lvlJc w:val="left"/>
      <w:pPr>
        <w:tabs>
          <w:tab w:val="left" w:leader="none" w:pos="2880"/>
        </w:tabs>
        <w:ind w:left="2880" w:hanging="360"/>
      </w:pPr>
      <w:rPr>
        <w:rFonts w:ascii="Wingdings" w:hAnsi="Wingdings" w:hint="default"/>
      </w:rPr>
    </w:lvl>
    <w:lvl w:ilvl="4" w:tplc="9962CA9A" w:tentative="1">
      <w:start w:val="1"/>
      <w:numFmt w:val="bullet"/>
      <w:lvlText w:val=""/>
      <w:lvlJc w:val="left"/>
      <w:pPr>
        <w:tabs>
          <w:tab w:val="left" w:leader="none" w:pos="3600"/>
        </w:tabs>
        <w:ind w:left="3600" w:hanging="360"/>
      </w:pPr>
      <w:rPr>
        <w:rFonts w:ascii="Wingdings" w:hAnsi="Wingdings" w:hint="default"/>
      </w:rPr>
    </w:lvl>
    <w:lvl w:ilvl="5" w:tplc="0A8AB4E0" w:tentative="1">
      <w:start w:val="1"/>
      <w:numFmt w:val="bullet"/>
      <w:lvlText w:val=""/>
      <w:lvlJc w:val="left"/>
      <w:pPr>
        <w:tabs>
          <w:tab w:val="left" w:leader="none" w:pos="4320"/>
        </w:tabs>
        <w:ind w:left="4320" w:hanging="360"/>
      </w:pPr>
      <w:rPr>
        <w:rFonts w:ascii="Wingdings" w:hAnsi="Wingdings" w:hint="default"/>
      </w:rPr>
    </w:lvl>
    <w:lvl w:ilvl="6" w:tplc="AA12068C" w:tentative="1">
      <w:start w:val="1"/>
      <w:numFmt w:val="bullet"/>
      <w:lvlText w:val=""/>
      <w:lvlJc w:val="left"/>
      <w:pPr>
        <w:tabs>
          <w:tab w:val="left" w:leader="none" w:pos="5040"/>
        </w:tabs>
        <w:ind w:left="5040" w:hanging="360"/>
      </w:pPr>
      <w:rPr>
        <w:rFonts w:ascii="Wingdings" w:hAnsi="Wingdings" w:hint="default"/>
      </w:rPr>
    </w:lvl>
    <w:lvl w:ilvl="7" w:tplc="7376F25E" w:tentative="1">
      <w:start w:val="1"/>
      <w:numFmt w:val="bullet"/>
      <w:lvlText w:val=""/>
      <w:lvlJc w:val="left"/>
      <w:pPr>
        <w:tabs>
          <w:tab w:val="left" w:leader="none" w:pos="5760"/>
        </w:tabs>
        <w:ind w:left="5760" w:hanging="360"/>
      </w:pPr>
      <w:rPr>
        <w:rFonts w:ascii="Wingdings" w:hAnsi="Wingdings" w:hint="default"/>
      </w:rPr>
    </w:lvl>
    <w:lvl w:ilvl="8" w:tplc="AAA88632" w:tentative="1">
      <w:start w:val="1"/>
      <w:numFmt w:val="bullet"/>
      <w:lvlText w:val=""/>
      <w:lvlJc w:val="left"/>
      <w:pPr>
        <w:tabs>
          <w:tab w:val="left" w:leader="none" w:pos="6480"/>
        </w:tabs>
        <w:ind w:left="6480" w:hanging="360"/>
      </w:pPr>
      <w:rPr>
        <w:rFonts w:ascii="Wingdings" w:hAnsi="Wingdings" w:hint="default"/>
      </w:rPr>
    </w:lvl>
  </w:abstractNum>
  <w:abstractNum w:abstractNumId="1">
    <w:nsid w:val="00000001"/>
    <w:multiLevelType w:val="hybridMultilevel"/>
    <w:tmpl w:val="18969CF8"/>
    <w:lvl w:ilvl="0" w:tplc="D046BC94">
      <w:start w:val="1"/>
      <w:numFmt w:val="bullet"/>
      <w:lvlText w:val=""/>
      <w:lvlJc w:val="left"/>
      <w:pPr>
        <w:tabs>
          <w:tab w:val="left" w:leader="none" w:pos="720"/>
        </w:tabs>
        <w:ind w:left="720" w:hanging="360"/>
      </w:pPr>
      <w:rPr>
        <w:rFonts w:ascii="Wingdings" w:hAnsi="Wingdings" w:hint="default"/>
      </w:rPr>
    </w:lvl>
    <w:lvl w:ilvl="1" w:tplc="0A6E7ABC" w:tentative="1">
      <w:start w:val="1"/>
      <w:numFmt w:val="bullet"/>
      <w:lvlText w:val=""/>
      <w:lvlJc w:val="left"/>
      <w:pPr>
        <w:tabs>
          <w:tab w:val="left" w:leader="none" w:pos="1440"/>
        </w:tabs>
        <w:ind w:left="1440" w:hanging="360"/>
      </w:pPr>
      <w:rPr>
        <w:rFonts w:ascii="Wingdings" w:hAnsi="Wingdings" w:hint="default"/>
      </w:rPr>
    </w:lvl>
    <w:lvl w:ilvl="2" w:tplc="0B1A2C9E" w:tentative="1">
      <w:start w:val="1"/>
      <w:numFmt w:val="bullet"/>
      <w:lvlText w:val=""/>
      <w:lvlJc w:val="left"/>
      <w:pPr>
        <w:tabs>
          <w:tab w:val="left" w:leader="none" w:pos="2160"/>
        </w:tabs>
        <w:ind w:left="2160" w:hanging="360"/>
      </w:pPr>
      <w:rPr>
        <w:rFonts w:ascii="Wingdings" w:hAnsi="Wingdings" w:hint="default"/>
      </w:rPr>
    </w:lvl>
    <w:lvl w:ilvl="3" w:tplc="2B1655AA" w:tentative="1">
      <w:start w:val="1"/>
      <w:numFmt w:val="bullet"/>
      <w:lvlText w:val=""/>
      <w:lvlJc w:val="left"/>
      <w:pPr>
        <w:tabs>
          <w:tab w:val="left" w:leader="none" w:pos="2880"/>
        </w:tabs>
        <w:ind w:left="2880" w:hanging="360"/>
      </w:pPr>
      <w:rPr>
        <w:rFonts w:ascii="Wingdings" w:hAnsi="Wingdings" w:hint="default"/>
      </w:rPr>
    </w:lvl>
    <w:lvl w:ilvl="4" w:tplc="E1726E5A" w:tentative="1">
      <w:start w:val="1"/>
      <w:numFmt w:val="bullet"/>
      <w:lvlText w:val=""/>
      <w:lvlJc w:val="left"/>
      <w:pPr>
        <w:tabs>
          <w:tab w:val="left" w:leader="none" w:pos="3600"/>
        </w:tabs>
        <w:ind w:left="3600" w:hanging="360"/>
      </w:pPr>
      <w:rPr>
        <w:rFonts w:ascii="Wingdings" w:hAnsi="Wingdings" w:hint="default"/>
      </w:rPr>
    </w:lvl>
    <w:lvl w:ilvl="5" w:tplc="F9BEB932" w:tentative="1">
      <w:start w:val="1"/>
      <w:numFmt w:val="bullet"/>
      <w:lvlText w:val=""/>
      <w:lvlJc w:val="left"/>
      <w:pPr>
        <w:tabs>
          <w:tab w:val="left" w:leader="none" w:pos="4320"/>
        </w:tabs>
        <w:ind w:left="4320" w:hanging="360"/>
      </w:pPr>
      <w:rPr>
        <w:rFonts w:ascii="Wingdings" w:hAnsi="Wingdings" w:hint="default"/>
      </w:rPr>
    </w:lvl>
    <w:lvl w:ilvl="6" w:tplc="47026D82" w:tentative="1">
      <w:start w:val="1"/>
      <w:numFmt w:val="bullet"/>
      <w:lvlText w:val=""/>
      <w:lvlJc w:val="left"/>
      <w:pPr>
        <w:tabs>
          <w:tab w:val="left" w:leader="none" w:pos="5040"/>
        </w:tabs>
        <w:ind w:left="5040" w:hanging="360"/>
      </w:pPr>
      <w:rPr>
        <w:rFonts w:ascii="Wingdings" w:hAnsi="Wingdings" w:hint="default"/>
      </w:rPr>
    </w:lvl>
    <w:lvl w:ilvl="7" w:tplc="A5089656" w:tentative="1">
      <w:start w:val="1"/>
      <w:numFmt w:val="bullet"/>
      <w:lvlText w:val=""/>
      <w:lvlJc w:val="left"/>
      <w:pPr>
        <w:tabs>
          <w:tab w:val="left" w:leader="none" w:pos="5760"/>
        </w:tabs>
        <w:ind w:left="5760" w:hanging="360"/>
      </w:pPr>
      <w:rPr>
        <w:rFonts w:ascii="Wingdings" w:hAnsi="Wingdings" w:hint="default"/>
      </w:rPr>
    </w:lvl>
    <w:lvl w:ilvl="8" w:tplc="CD0CD336" w:tentative="1">
      <w:start w:val="1"/>
      <w:numFmt w:val="bullet"/>
      <w:lvlText w:val=""/>
      <w:lvlJc w:val="left"/>
      <w:pPr>
        <w:tabs>
          <w:tab w:val="left" w:leader="none" w:pos="6480"/>
        </w:tabs>
        <w:ind w:left="6480" w:hanging="360"/>
      </w:pPr>
      <w:rPr>
        <w:rFonts w:ascii="Wingdings" w:hAnsi="Wingdings" w:hint="default"/>
      </w:rPr>
    </w:lvl>
  </w:abstractNum>
  <w:abstractNum w:abstractNumId="2">
    <w:nsid w:val="00000002"/>
    <w:multiLevelType w:val="hybridMultilevel"/>
    <w:tmpl w:val="63AC3CA4"/>
    <w:lvl w:ilvl="0" w:tplc="6F1ACF8A">
      <w:start w:val="1"/>
      <w:numFmt w:val="bullet"/>
      <w:lvlText w:val=""/>
      <w:lvlJc w:val="left"/>
      <w:pPr>
        <w:tabs>
          <w:tab w:val="left" w:leader="none" w:pos="720"/>
        </w:tabs>
        <w:ind w:left="720" w:hanging="360"/>
      </w:pPr>
      <w:rPr>
        <w:rFonts w:ascii="Wingdings" w:hAnsi="Wingdings" w:hint="default"/>
      </w:rPr>
    </w:lvl>
    <w:lvl w:ilvl="1" w:tplc="934AEADA" w:tentative="1">
      <w:start w:val="1"/>
      <w:numFmt w:val="bullet"/>
      <w:lvlText w:val=""/>
      <w:lvlJc w:val="left"/>
      <w:pPr>
        <w:tabs>
          <w:tab w:val="left" w:leader="none" w:pos="1440"/>
        </w:tabs>
        <w:ind w:left="1440" w:hanging="360"/>
      </w:pPr>
      <w:rPr>
        <w:rFonts w:ascii="Wingdings" w:hAnsi="Wingdings" w:hint="default"/>
      </w:rPr>
    </w:lvl>
    <w:lvl w:ilvl="2" w:tplc="5A1EBF34" w:tentative="1">
      <w:start w:val="1"/>
      <w:numFmt w:val="bullet"/>
      <w:lvlText w:val=""/>
      <w:lvlJc w:val="left"/>
      <w:pPr>
        <w:tabs>
          <w:tab w:val="left" w:leader="none" w:pos="2160"/>
        </w:tabs>
        <w:ind w:left="2160" w:hanging="360"/>
      </w:pPr>
      <w:rPr>
        <w:rFonts w:ascii="Wingdings" w:hAnsi="Wingdings" w:hint="default"/>
      </w:rPr>
    </w:lvl>
    <w:lvl w:ilvl="3" w:tplc="AE1CE7CA" w:tentative="1">
      <w:start w:val="1"/>
      <w:numFmt w:val="bullet"/>
      <w:lvlText w:val=""/>
      <w:lvlJc w:val="left"/>
      <w:pPr>
        <w:tabs>
          <w:tab w:val="left" w:leader="none" w:pos="2880"/>
        </w:tabs>
        <w:ind w:left="2880" w:hanging="360"/>
      </w:pPr>
      <w:rPr>
        <w:rFonts w:ascii="Wingdings" w:hAnsi="Wingdings" w:hint="default"/>
      </w:rPr>
    </w:lvl>
    <w:lvl w:ilvl="4" w:tplc="DEA632D6" w:tentative="1">
      <w:start w:val="1"/>
      <w:numFmt w:val="bullet"/>
      <w:lvlText w:val=""/>
      <w:lvlJc w:val="left"/>
      <w:pPr>
        <w:tabs>
          <w:tab w:val="left" w:leader="none" w:pos="3600"/>
        </w:tabs>
        <w:ind w:left="3600" w:hanging="360"/>
      </w:pPr>
      <w:rPr>
        <w:rFonts w:ascii="Wingdings" w:hAnsi="Wingdings" w:hint="default"/>
      </w:rPr>
    </w:lvl>
    <w:lvl w:ilvl="5" w:tplc="88128A2E" w:tentative="1">
      <w:start w:val="1"/>
      <w:numFmt w:val="bullet"/>
      <w:lvlText w:val=""/>
      <w:lvlJc w:val="left"/>
      <w:pPr>
        <w:tabs>
          <w:tab w:val="left" w:leader="none" w:pos="4320"/>
        </w:tabs>
        <w:ind w:left="4320" w:hanging="360"/>
      </w:pPr>
      <w:rPr>
        <w:rFonts w:ascii="Wingdings" w:hAnsi="Wingdings" w:hint="default"/>
      </w:rPr>
    </w:lvl>
    <w:lvl w:ilvl="6" w:tplc="A546126C" w:tentative="1">
      <w:start w:val="1"/>
      <w:numFmt w:val="bullet"/>
      <w:lvlText w:val=""/>
      <w:lvlJc w:val="left"/>
      <w:pPr>
        <w:tabs>
          <w:tab w:val="left" w:leader="none" w:pos="5040"/>
        </w:tabs>
        <w:ind w:left="5040" w:hanging="360"/>
      </w:pPr>
      <w:rPr>
        <w:rFonts w:ascii="Wingdings" w:hAnsi="Wingdings" w:hint="default"/>
      </w:rPr>
    </w:lvl>
    <w:lvl w:ilvl="7" w:tplc="F7924190" w:tentative="1">
      <w:start w:val="1"/>
      <w:numFmt w:val="bullet"/>
      <w:lvlText w:val=""/>
      <w:lvlJc w:val="left"/>
      <w:pPr>
        <w:tabs>
          <w:tab w:val="left" w:leader="none" w:pos="5760"/>
        </w:tabs>
        <w:ind w:left="5760" w:hanging="360"/>
      </w:pPr>
      <w:rPr>
        <w:rFonts w:ascii="Wingdings" w:hAnsi="Wingdings" w:hint="default"/>
      </w:rPr>
    </w:lvl>
    <w:lvl w:ilvl="8" w:tplc="AD02D104" w:tentative="1">
      <w:start w:val="1"/>
      <w:numFmt w:val="bullet"/>
      <w:lvlText w:val=""/>
      <w:lvlJc w:val="left"/>
      <w:pPr>
        <w:tabs>
          <w:tab w:val="left" w:leader="none" w:pos="6480"/>
        </w:tabs>
        <w:ind w:left="6480" w:hanging="360"/>
      </w:pPr>
      <w:rPr>
        <w:rFonts w:ascii="Wingdings" w:hAnsi="Wingdings" w:hint="default"/>
      </w:rPr>
    </w:lvl>
  </w:abstractNum>
  <w:abstractNum w:abstractNumId="3">
    <w:nsid w:val="00000003"/>
    <w:multiLevelType w:val="hybridMultilevel"/>
    <w:tmpl w:val="473677B4"/>
    <w:lvl w:ilvl="0" w:tplc="C8645C32">
      <w:start w:val="1"/>
      <w:numFmt w:val="bullet"/>
      <w:lvlText w:val=""/>
      <w:lvlJc w:val="left"/>
      <w:pPr>
        <w:tabs>
          <w:tab w:val="left" w:leader="none" w:pos="720"/>
        </w:tabs>
        <w:ind w:left="720" w:hanging="360"/>
      </w:pPr>
      <w:rPr>
        <w:rFonts w:ascii="Wingdings" w:hAnsi="Wingdings" w:hint="default"/>
      </w:rPr>
    </w:lvl>
    <w:lvl w:ilvl="1" w:tplc="4F8E4EBE" w:tentative="1">
      <w:start w:val="1"/>
      <w:numFmt w:val="bullet"/>
      <w:lvlText w:val=""/>
      <w:lvlJc w:val="left"/>
      <w:pPr>
        <w:tabs>
          <w:tab w:val="left" w:leader="none" w:pos="1440"/>
        </w:tabs>
        <w:ind w:left="1440" w:hanging="360"/>
      </w:pPr>
      <w:rPr>
        <w:rFonts w:ascii="Wingdings" w:hAnsi="Wingdings" w:hint="default"/>
      </w:rPr>
    </w:lvl>
    <w:lvl w:ilvl="2" w:tplc="6406B916" w:tentative="1">
      <w:start w:val="1"/>
      <w:numFmt w:val="bullet"/>
      <w:lvlText w:val=""/>
      <w:lvlJc w:val="left"/>
      <w:pPr>
        <w:tabs>
          <w:tab w:val="left" w:leader="none" w:pos="2160"/>
        </w:tabs>
        <w:ind w:left="2160" w:hanging="360"/>
      </w:pPr>
      <w:rPr>
        <w:rFonts w:ascii="Wingdings" w:hAnsi="Wingdings" w:hint="default"/>
      </w:rPr>
    </w:lvl>
    <w:lvl w:ilvl="3" w:tplc="F53824C2" w:tentative="1">
      <w:start w:val="1"/>
      <w:numFmt w:val="bullet"/>
      <w:lvlText w:val=""/>
      <w:lvlJc w:val="left"/>
      <w:pPr>
        <w:tabs>
          <w:tab w:val="left" w:leader="none" w:pos="2880"/>
        </w:tabs>
        <w:ind w:left="2880" w:hanging="360"/>
      </w:pPr>
      <w:rPr>
        <w:rFonts w:ascii="Wingdings" w:hAnsi="Wingdings" w:hint="default"/>
      </w:rPr>
    </w:lvl>
    <w:lvl w:ilvl="4" w:tplc="8F24EE94" w:tentative="1">
      <w:start w:val="1"/>
      <w:numFmt w:val="bullet"/>
      <w:lvlText w:val=""/>
      <w:lvlJc w:val="left"/>
      <w:pPr>
        <w:tabs>
          <w:tab w:val="left" w:leader="none" w:pos="3600"/>
        </w:tabs>
        <w:ind w:left="3600" w:hanging="360"/>
      </w:pPr>
      <w:rPr>
        <w:rFonts w:ascii="Wingdings" w:hAnsi="Wingdings" w:hint="default"/>
      </w:rPr>
    </w:lvl>
    <w:lvl w:ilvl="5" w:tplc="64268E0E" w:tentative="1">
      <w:start w:val="1"/>
      <w:numFmt w:val="bullet"/>
      <w:lvlText w:val=""/>
      <w:lvlJc w:val="left"/>
      <w:pPr>
        <w:tabs>
          <w:tab w:val="left" w:leader="none" w:pos="4320"/>
        </w:tabs>
        <w:ind w:left="4320" w:hanging="360"/>
      </w:pPr>
      <w:rPr>
        <w:rFonts w:ascii="Wingdings" w:hAnsi="Wingdings" w:hint="default"/>
      </w:rPr>
    </w:lvl>
    <w:lvl w:ilvl="6" w:tplc="50703D8A" w:tentative="1">
      <w:start w:val="1"/>
      <w:numFmt w:val="bullet"/>
      <w:lvlText w:val=""/>
      <w:lvlJc w:val="left"/>
      <w:pPr>
        <w:tabs>
          <w:tab w:val="left" w:leader="none" w:pos="5040"/>
        </w:tabs>
        <w:ind w:left="5040" w:hanging="360"/>
      </w:pPr>
      <w:rPr>
        <w:rFonts w:ascii="Wingdings" w:hAnsi="Wingdings" w:hint="default"/>
      </w:rPr>
    </w:lvl>
    <w:lvl w:ilvl="7" w:tplc="57D60F3C" w:tentative="1">
      <w:start w:val="1"/>
      <w:numFmt w:val="bullet"/>
      <w:lvlText w:val=""/>
      <w:lvlJc w:val="left"/>
      <w:pPr>
        <w:tabs>
          <w:tab w:val="left" w:leader="none" w:pos="5760"/>
        </w:tabs>
        <w:ind w:left="5760" w:hanging="360"/>
      </w:pPr>
      <w:rPr>
        <w:rFonts w:ascii="Wingdings" w:hAnsi="Wingdings" w:hint="default"/>
      </w:rPr>
    </w:lvl>
    <w:lvl w:ilvl="8" w:tplc="DD5C97B6" w:tentative="1">
      <w:start w:val="1"/>
      <w:numFmt w:val="bullet"/>
      <w:lvlText w:val=""/>
      <w:lvlJc w:val="left"/>
      <w:pPr>
        <w:tabs>
          <w:tab w:val="left" w:leader="none"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a47de694-edcf-45bb-bdd8-37b427b59a0e"/>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fdc0c024-c989-4f9f-b482-2471fe0ba48f"/>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1982</Words>
  <Pages>8</Pages>
  <Characters>10746</Characters>
  <Application>WPS Office</Application>
  <DocSecurity>0</DocSecurity>
  <Paragraphs>93</Paragraphs>
  <ScaleCrop>false</ScaleCrop>
  <LinksUpToDate>false</LinksUpToDate>
  <CharactersWithSpaces>12675</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2023-06-30T15:38:00Z</dcterms:created>
  <dc:creator>user</dc:creator>
  <lastModifiedBy>Infinix X657B</lastModifiedBy>
  <dcterms:modified xsi:type="dcterms:W3CDTF">2023-06-30T18:28:04Z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1c2519c922844d4ca397cee1d8095573</vt:lpwstr>
  </property>
</Properties>
</file>