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64F0DC" w14:textId="19280DA7" w:rsidR="00B42BAE" w:rsidRPr="00CD5CDB" w:rsidRDefault="00B42BAE" w:rsidP="00B42BAE">
      <w:pPr>
        <w:pBdr>
          <w:top w:val="nil"/>
          <w:left w:val="nil"/>
          <w:bottom w:val="nil"/>
          <w:right w:val="nil"/>
          <w:between w:val="nil"/>
          <w:bar w:val="nil"/>
        </w:pBdr>
        <w:spacing w:after="0" w:line="240" w:lineRule="auto"/>
        <w:rPr>
          <w:rFonts w:ascii="Trebuchet MS" w:eastAsia="Arial Unicode MS" w:hAnsi="Trebuchet MS" w:cs="Arial Unicode MS"/>
          <w:b/>
          <w:bCs/>
          <w:color w:val="4472C4" w:themeColor="accent1"/>
          <w:u w:color="000000"/>
          <w:bdr w:val="nil"/>
          <w:lang w:val="en-US" w:eastAsia="en-GB"/>
        </w:rPr>
      </w:pPr>
      <w:r w:rsidRPr="00CD5CDB">
        <w:rPr>
          <w:rFonts w:ascii="Trebuchet MS" w:eastAsia="Arial Unicode MS" w:hAnsi="Trebuchet MS" w:cs="Arial Unicode MS"/>
          <w:b/>
          <w:bCs/>
          <w:color w:val="4472C4" w:themeColor="accent1"/>
          <w:u w:color="000000"/>
          <w:bdr w:val="nil"/>
          <w:lang w:val="en-US" w:eastAsia="en-GB"/>
        </w:rPr>
        <w:t xml:space="preserve">AC 1.1 </w:t>
      </w:r>
    </w:p>
    <w:p w14:paraId="732BC465" w14:textId="0C640C2B" w:rsidR="00B42BAE" w:rsidRPr="00A37E18" w:rsidRDefault="00B42BAE" w:rsidP="00423149">
      <w:pPr>
        <w:pBdr>
          <w:top w:val="nil"/>
          <w:left w:val="nil"/>
          <w:bottom w:val="nil"/>
          <w:right w:val="nil"/>
          <w:between w:val="nil"/>
          <w:bar w:val="nil"/>
        </w:pBdr>
        <w:spacing w:before="100" w:beforeAutospacing="1" w:after="100" w:afterAutospacing="1" w:line="240" w:lineRule="auto"/>
        <w:jc w:val="both"/>
        <w:rPr>
          <w:rFonts w:ascii="Trebuchet MS" w:eastAsia="Arial Unicode MS" w:hAnsi="Trebuchet MS" w:cs="Arial Unicode MS"/>
          <w:color w:val="000000"/>
          <w:u w:color="000000"/>
          <w:bdr w:val="nil"/>
          <w:lang w:eastAsia="en-GB"/>
        </w:rPr>
      </w:pPr>
      <w:r w:rsidRPr="00B42BAE">
        <w:rPr>
          <w:rFonts w:ascii="Trebuchet MS" w:eastAsia="Arial Unicode MS" w:hAnsi="Trebuchet MS" w:cs="Arial Unicode MS"/>
          <w:color w:val="000000"/>
          <w:u w:color="000000"/>
          <w:bdr w:val="nil"/>
          <w:lang w:eastAsia="en-GB"/>
        </w:rPr>
        <w:t>Employee involvement and employee participation are related but distinct concepts within employment relations, playing an important role in building organisational relationships, particularly in the public sector. While the terms are sometimes used interchangeably, they differ in scope, formality and their implications for power and decision</w:t>
      </w:r>
      <w:r w:rsidR="00E53875">
        <w:rPr>
          <w:rFonts w:ascii="Trebuchet MS" w:eastAsia="Arial Unicode MS" w:hAnsi="Trebuchet MS" w:cs="Arial Unicode MS"/>
          <w:color w:val="000000"/>
          <w:u w:color="000000"/>
          <w:bdr w:val="nil"/>
          <w:lang w:eastAsia="en-GB"/>
        </w:rPr>
        <w:t xml:space="preserve"> </w:t>
      </w:r>
      <w:r w:rsidRPr="00B42BAE">
        <w:rPr>
          <w:rFonts w:ascii="Trebuchet MS" w:eastAsia="Arial Unicode MS" w:hAnsi="Trebuchet MS" w:cs="Arial Unicode MS"/>
          <w:color w:val="000000"/>
          <w:u w:color="000000"/>
          <w:bdr w:val="nil"/>
          <w:lang w:eastAsia="en-GB"/>
        </w:rPr>
        <w:t>making.</w:t>
      </w:r>
    </w:p>
    <w:p w14:paraId="711A3938" w14:textId="58CD62E8" w:rsidR="00B42BAE" w:rsidRPr="00A37E18" w:rsidRDefault="00B42BAE" w:rsidP="00B440CE">
      <w:pPr>
        <w:pBdr>
          <w:top w:val="nil"/>
          <w:left w:val="nil"/>
          <w:bottom w:val="nil"/>
          <w:right w:val="nil"/>
          <w:between w:val="nil"/>
          <w:bar w:val="nil"/>
        </w:pBdr>
        <w:spacing w:before="100" w:beforeAutospacing="1" w:after="100" w:afterAutospacing="1" w:line="240" w:lineRule="auto"/>
        <w:jc w:val="both"/>
        <w:rPr>
          <w:rFonts w:ascii="Trebuchet MS" w:eastAsia="Arial Unicode MS" w:hAnsi="Trebuchet MS" w:cs="Arial Unicode MS"/>
          <w:color w:val="000000"/>
          <w:u w:color="000000"/>
          <w:bdr w:val="nil"/>
          <w:lang w:eastAsia="en-GB"/>
        </w:rPr>
      </w:pPr>
      <w:r w:rsidRPr="00B42BAE">
        <w:rPr>
          <w:rFonts w:ascii="Trebuchet MS" w:eastAsia="Arial Unicode MS" w:hAnsi="Trebuchet MS" w:cs="Arial Unicode MS"/>
          <w:color w:val="000000"/>
          <w:u w:color="000000"/>
          <w:bdr w:val="nil"/>
          <w:lang w:eastAsia="en-GB"/>
        </w:rPr>
        <w:t>Employee involvement refers to management</w:t>
      </w:r>
      <w:r w:rsidR="00CE179B">
        <w:rPr>
          <w:rFonts w:ascii="Trebuchet MS" w:eastAsia="Arial Unicode MS" w:hAnsi="Trebuchet MS" w:cs="Arial Unicode MS"/>
          <w:color w:val="000000"/>
          <w:u w:color="000000"/>
          <w:bdr w:val="nil"/>
          <w:lang w:eastAsia="en-GB"/>
        </w:rPr>
        <w:t xml:space="preserve"> </w:t>
      </w:r>
      <w:r w:rsidRPr="00B42BAE">
        <w:rPr>
          <w:rFonts w:ascii="Trebuchet MS" w:eastAsia="Arial Unicode MS" w:hAnsi="Trebuchet MS" w:cs="Arial Unicode MS"/>
          <w:color w:val="000000"/>
          <w:u w:color="000000"/>
          <w:bdr w:val="nil"/>
          <w:lang w:eastAsia="en-GB"/>
        </w:rPr>
        <w:t xml:space="preserve">led initiatives </w:t>
      </w:r>
      <w:r w:rsidR="00CE179B">
        <w:rPr>
          <w:rFonts w:ascii="Trebuchet MS" w:eastAsia="Arial Unicode MS" w:hAnsi="Trebuchet MS" w:cs="Arial Unicode MS"/>
          <w:color w:val="000000"/>
          <w:u w:color="000000"/>
          <w:bdr w:val="nil"/>
          <w:lang w:eastAsia="en-GB"/>
        </w:rPr>
        <w:t>aiming</w:t>
      </w:r>
      <w:r w:rsidRPr="00B42BAE">
        <w:rPr>
          <w:rFonts w:ascii="Trebuchet MS" w:eastAsia="Arial Unicode MS" w:hAnsi="Trebuchet MS" w:cs="Arial Unicode MS"/>
          <w:color w:val="000000"/>
          <w:u w:color="000000"/>
          <w:bdr w:val="nil"/>
          <w:lang w:eastAsia="en-GB"/>
        </w:rPr>
        <w:t xml:space="preserve"> to engage employees in improving organisational performance through information sharing, consultation and empowerment at individual </w:t>
      </w:r>
      <w:r w:rsidR="00CE179B">
        <w:rPr>
          <w:rFonts w:ascii="Trebuchet MS" w:eastAsia="Arial Unicode MS" w:hAnsi="Trebuchet MS" w:cs="Arial Unicode MS"/>
          <w:color w:val="000000"/>
          <w:u w:color="000000"/>
          <w:bdr w:val="nil"/>
          <w:lang w:eastAsia="en-GB"/>
        </w:rPr>
        <w:t>and</w:t>
      </w:r>
      <w:r w:rsidRPr="00B42BAE">
        <w:rPr>
          <w:rFonts w:ascii="Trebuchet MS" w:eastAsia="Arial Unicode MS" w:hAnsi="Trebuchet MS" w:cs="Arial Unicode MS"/>
          <w:color w:val="000000"/>
          <w:u w:color="000000"/>
          <w:bdr w:val="nil"/>
          <w:lang w:eastAsia="en-GB"/>
        </w:rPr>
        <w:t xml:space="preserve"> team level (CIPD, 2023). </w:t>
      </w:r>
      <w:r w:rsidR="00CD5E5F">
        <w:rPr>
          <w:rFonts w:ascii="Trebuchet MS" w:eastAsia="Arial Unicode MS" w:hAnsi="Trebuchet MS" w:cs="Arial Unicode MS"/>
          <w:color w:val="000000"/>
          <w:u w:color="000000"/>
          <w:bdr w:val="nil"/>
          <w:lang w:eastAsia="en-GB"/>
        </w:rPr>
        <w:t>I</w:t>
      </w:r>
      <w:r w:rsidRPr="00B42BAE">
        <w:rPr>
          <w:rFonts w:ascii="Trebuchet MS" w:eastAsia="Arial Unicode MS" w:hAnsi="Trebuchet MS" w:cs="Arial Unicode MS"/>
          <w:color w:val="000000"/>
          <w:u w:color="000000"/>
          <w:bdr w:val="nil"/>
          <w:lang w:eastAsia="en-GB"/>
        </w:rPr>
        <w:t xml:space="preserve">nvolvement often takes the form of staff surveys, improvement groups, team briefings and continuous improvement initiatives such as those associated with public service reform </w:t>
      </w:r>
      <w:r w:rsidR="00A62F2D">
        <w:rPr>
          <w:rFonts w:ascii="Trebuchet MS" w:eastAsia="Arial Unicode MS" w:hAnsi="Trebuchet MS" w:cs="Arial Unicode MS"/>
          <w:color w:val="000000"/>
          <w:u w:color="000000"/>
          <w:bdr w:val="nil"/>
          <w:lang w:eastAsia="en-GB"/>
        </w:rPr>
        <w:t>(White, 2003)</w:t>
      </w:r>
      <w:r w:rsidRPr="00B42BAE">
        <w:rPr>
          <w:rFonts w:ascii="Trebuchet MS" w:eastAsia="Arial Unicode MS" w:hAnsi="Trebuchet MS" w:cs="Arial Unicode MS"/>
          <w:color w:val="000000"/>
          <w:u w:color="000000"/>
          <w:bdr w:val="nil"/>
          <w:lang w:eastAsia="en-GB"/>
        </w:rPr>
        <w:t>. These mechanisms are typically informal</w:t>
      </w:r>
      <w:r w:rsidR="009A7AE7">
        <w:rPr>
          <w:rFonts w:ascii="Trebuchet MS" w:eastAsia="Arial Unicode MS" w:hAnsi="Trebuchet MS" w:cs="Arial Unicode MS"/>
          <w:color w:val="000000"/>
          <w:u w:color="000000"/>
          <w:bdr w:val="nil"/>
          <w:lang w:eastAsia="en-GB"/>
        </w:rPr>
        <w:t xml:space="preserve">, </w:t>
      </w:r>
      <w:r w:rsidRPr="00B42BAE">
        <w:rPr>
          <w:rFonts w:ascii="Trebuchet MS" w:eastAsia="Arial Unicode MS" w:hAnsi="Trebuchet MS" w:cs="Arial Unicode MS"/>
          <w:color w:val="000000"/>
          <w:u w:color="000000"/>
          <w:bdr w:val="nil"/>
          <w:lang w:eastAsia="en-GB"/>
        </w:rPr>
        <w:t>focus</w:t>
      </w:r>
      <w:r w:rsidR="009A7AE7">
        <w:rPr>
          <w:rFonts w:ascii="Trebuchet MS" w:eastAsia="Arial Unicode MS" w:hAnsi="Trebuchet MS" w:cs="Arial Unicode MS"/>
          <w:color w:val="000000"/>
          <w:u w:color="000000"/>
          <w:bdr w:val="nil"/>
          <w:lang w:eastAsia="en-GB"/>
        </w:rPr>
        <w:t>sing</w:t>
      </w:r>
      <w:r w:rsidRPr="00B42BAE">
        <w:rPr>
          <w:rFonts w:ascii="Trebuchet MS" w:eastAsia="Arial Unicode MS" w:hAnsi="Trebuchet MS" w:cs="Arial Unicode MS"/>
          <w:color w:val="000000"/>
          <w:u w:color="000000"/>
          <w:bdr w:val="nil"/>
          <w:lang w:eastAsia="en-GB"/>
        </w:rPr>
        <w:t xml:space="preserve"> on enhancing commitment, motivation and service quality rather than redistributing decision</w:t>
      </w:r>
      <w:r w:rsidR="00724B8B">
        <w:rPr>
          <w:rFonts w:ascii="Trebuchet MS" w:eastAsia="Arial Unicode MS" w:hAnsi="Trebuchet MS" w:cs="Arial Unicode MS"/>
          <w:color w:val="000000"/>
          <w:u w:color="000000"/>
          <w:bdr w:val="nil"/>
          <w:lang w:eastAsia="en-GB"/>
        </w:rPr>
        <w:t xml:space="preserve"> </w:t>
      </w:r>
      <w:r w:rsidRPr="00B42BAE">
        <w:rPr>
          <w:rFonts w:ascii="Trebuchet MS" w:eastAsia="Arial Unicode MS" w:hAnsi="Trebuchet MS" w:cs="Arial Unicode MS"/>
          <w:color w:val="000000"/>
          <w:u w:color="000000"/>
          <w:bdr w:val="nil"/>
          <w:lang w:eastAsia="en-GB"/>
        </w:rPr>
        <w:t>making authority.</w:t>
      </w:r>
    </w:p>
    <w:p w14:paraId="16121427" w14:textId="67ACB25B" w:rsidR="00B42BAE" w:rsidRPr="00A37E18" w:rsidRDefault="00B42BAE" w:rsidP="00B440CE">
      <w:pPr>
        <w:pBdr>
          <w:top w:val="nil"/>
          <w:left w:val="nil"/>
          <w:bottom w:val="nil"/>
          <w:right w:val="nil"/>
          <w:between w:val="nil"/>
          <w:bar w:val="nil"/>
        </w:pBdr>
        <w:spacing w:before="100" w:beforeAutospacing="1" w:after="100" w:afterAutospacing="1" w:line="240" w:lineRule="auto"/>
        <w:jc w:val="both"/>
        <w:rPr>
          <w:rFonts w:ascii="Trebuchet MS" w:eastAsia="Arial Unicode MS" w:hAnsi="Trebuchet MS" w:cs="Arial Unicode MS"/>
          <w:color w:val="000000"/>
          <w:u w:color="000000"/>
          <w:bdr w:val="nil"/>
          <w:lang w:eastAsia="en-GB"/>
        </w:rPr>
      </w:pPr>
      <w:r w:rsidRPr="00B42BAE">
        <w:rPr>
          <w:rFonts w:ascii="Trebuchet MS" w:eastAsia="Arial Unicode MS" w:hAnsi="Trebuchet MS" w:cs="Arial Unicode MS"/>
          <w:color w:val="000000"/>
          <w:u w:color="000000"/>
          <w:bdr w:val="nil"/>
          <w:lang w:eastAsia="en-GB"/>
        </w:rPr>
        <w:t>Employee participation, by contrast, involves more formal and collective mechanisms through which employees influence organisational decision-making, often via representative structures (Marchington et al., 2016). In the public sector, participation has traditionally been institutionalised through trade union recognition, joint consultative committees and partnership arrangements, particularly within local government, health services and education. Participation reflects a pluralist employment relations perspective, recognising divergent interests between employers and employees and providing structured channels for dialogue and negotiation.</w:t>
      </w:r>
    </w:p>
    <w:p w14:paraId="4E9BEAEB" w14:textId="51EA8996" w:rsidR="00B42BAE" w:rsidRPr="00A37E18" w:rsidRDefault="00B42BAE" w:rsidP="00B440CE">
      <w:pPr>
        <w:pBdr>
          <w:top w:val="nil"/>
          <w:left w:val="nil"/>
          <w:bottom w:val="nil"/>
          <w:right w:val="nil"/>
          <w:between w:val="nil"/>
          <w:bar w:val="nil"/>
        </w:pBdr>
        <w:spacing w:before="100" w:beforeAutospacing="1" w:after="100" w:afterAutospacing="1" w:line="240" w:lineRule="auto"/>
        <w:jc w:val="both"/>
        <w:rPr>
          <w:rFonts w:ascii="Trebuchet MS" w:eastAsia="Arial Unicode MS" w:hAnsi="Trebuchet MS" w:cs="Arial Unicode MS"/>
          <w:color w:val="000000"/>
          <w:u w:color="000000"/>
          <w:bdr w:val="nil"/>
          <w:lang w:eastAsia="en-GB"/>
        </w:rPr>
      </w:pPr>
      <w:r w:rsidRPr="00B42BAE">
        <w:rPr>
          <w:rFonts w:ascii="Trebuchet MS" w:eastAsia="Arial Unicode MS" w:hAnsi="Trebuchet MS" w:cs="Arial Unicode MS"/>
          <w:color w:val="000000"/>
          <w:u w:color="000000"/>
          <w:bdr w:val="nil"/>
          <w:lang w:eastAsia="en-GB"/>
        </w:rPr>
        <w:t>Both involvement and participation contribute to relationship building, but in different ways. Employee involvement tends to enhance day-to-day relationships between staff and line managers by fostering trust, communication and a sense of being valued. In public sector organisations, where intrinsic motivation and public service ethos are significant, involvement initiatives can strengthen psychological contracts and support collaborative cultures (Bach and Winegar, 2014).</w:t>
      </w:r>
    </w:p>
    <w:p w14:paraId="4E900F8A" w14:textId="18D8E7AD" w:rsidR="00B42BAE" w:rsidRPr="00A37E18" w:rsidRDefault="00B42BAE" w:rsidP="00B440CE">
      <w:pPr>
        <w:pBdr>
          <w:top w:val="nil"/>
          <w:left w:val="nil"/>
          <w:bottom w:val="nil"/>
          <w:right w:val="nil"/>
          <w:between w:val="nil"/>
          <w:bar w:val="nil"/>
        </w:pBdr>
        <w:spacing w:before="100" w:beforeAutospacing="1" w:after="100" w:afterAutospacing="1" w:line="240" w:lineRule="auto"/>
        <w:jc w:val="both"/>
        <w:rPr>
          <w:rFonts w:ascii="Trebuchet MS" w:eastAsia="Arial Unicode MS" w:hAnsi="Trebuchet MS" w:cs="Arial Unicode MS"/>
          <w:color w:val="000000"/>
          <w:u w:color="000000"/>
          <w:bdr w:val="nil"/>
          <w:lang w:eastAsia="en-GB"/>
        </w:rPr>
      </w:pPr>
      <w:r w:rsidRPr="00B42BAE">
        <w:rPr>
          <w:rFonts w:ascii="Trebuchet MS" w:eastAsia="Arial Unicode MS" w:hAnsi="Trebuchet MS" w:cs="Arial Unicode MS"/>
          <w:color w:val="000000"/>
          <w:u w:color="000000"/>
          <w:bdr w:val="nil"/>
          <w:lang w:eastAsia="en-GB"/>
        </w:rPr>
        <w:t>Employee participation, meanwhile, builds relationships at an institutional level by legitimising employee voice and promoting fairness and transparency in decision</w:t>
      </w:r>
      <w:r w:rsidR="00CE09B4">
        <w:rPr>
          <w:rFonts w:ascii="Trebuchet MS" w:eastAsia="Arial Unicode MS" w:hAnsi="Trebuchet MS" w:cs="Arial Unicode MS"/>
          <w:color w:val="000000"/>
          <w:u w:color="000000"/>
          <w:bdr w:val="nil"/>
          <w:lang w:eastAsia="en-GB"/>
        </w:rPr>
        <w:t xml:space="preserve"> </w:t>
      </w:r>
      <w:r w:rsidRPr="00B42BAE">
        <w:rPr>
          <w:rFonts w:ascii="Trebuchet MS" w:eastAsia="Arial Unicode MS" w:hAnsi="Trebuchet MS" w:cs="Arial Unicode MS"/>
          <w:color w:val="000000"/>
          <w:u w:color="000000"/>
          <w:bdr w:val="nil"/>
          <w:lang w:eastAsia="en-GB"/>
        </w:rPr>
        <w:t>making. In the UK public sector, where</w:t>
      </w:r>
      <w:r w:rsidR="00064B30">
        <w:rPr>
          <w:rFonts w:ascii="Trebuchet MS" w:eastAsia="Arial Unicode MS" w:hAnsi="Trebuchet MS" w:cs="Arial Unicode MS"/>
          <w:color w:val="000000"/>
          <w:u w:color="000000"/>
          <w:bdr w:val="nil"/>
          <w:lang w:eastAsia="en-GB"/>
        </w:rPr>
        <w:t xml:space="preserve"> workforce</w:t>
      </w:r>
      <w:r w:rsidRPr="00B42BAE">
        <w:rPr>
          <w:rFonts w:ascii="Trebuchet MS" w:eastAsia="Arial Unicode MS" w:hAnsi="Trebuchet MS" w:cs="Arial Unicode MS"/>
          <w:color w:val="000000"/>
          <w:u w:color="000000"/>
          <w:bdr w:val="nil"/>
          <w:lang w:eastAsia="en-GB"/>
        </w:rPr>
        <w:t xml:space="preserve"> change is often driven by austerity, restructuring and policy reform, robust participation mechanisms can help manage conflict, maintain morale and sustain long-term cooperation between management and trade unions (Heery and Noon, 2017).</w:t>
      </w:r>
    </w:p>
    <w:p w14:paraId="07B0F6A1" w14:textId="5929572B" w:rsidR="00B42BAE" w:rsidRPr="00B42BAE" w:rsidRDefault="00B42BAE" w:rsidP="00B440CE">
      <w:pPr>
        <w:pBdr>
          <w:top w:val="nil"/>
          <w:left w:val="nil"/>
          <w:bottom w:val="nil"/>
          <w:right w:val="nil"/>
          <w:between w:val="nil"/>
          <w:bar w:val="nil"/>
        </w:pBdr>
        <w:spacing w:before="100" w:beforeAutospacing="1" w:after="100" w:afterAutospacing="1" w:line="240" w:lineRule="auto"/>
        <w:jc w:val="both"/>
        <w:rPr>
          <w:rFonts w:ascii="Trebuchet MS" w:eastAsia="Arial Unicode MS" w:hAnsi="Trebuchet MS" w:cs="Arial Unicode MS"/>
          <w:color w:val="000000"/>
          <w:u w:color="000000"/>
          <w:bdr w:val="nil"/>
          <w:lang w:eastAsia="en-GB"/>
        </w:rPr>
      </w:pPr>
      <w:r w:rsidRPr="00B42BAE">
        <w:rPr>
          <w:rFonts w:ascii="Trebuchet MS" w:eastAsia="Arial Unicode MS" w:hAnsi="Trebuchet MS" w:cs="Arial Unicode MS"/>
          <w:color w:val="000000"/>
          <w:u w:color="000000"/>
          <w:bdr w:val="nil"/>
          <w:lang w:eastAsia="en-GB"/>
        </w:rPr>
        <w:t>In practice, effective employment relations in the public sector rely on a combination of involvement and participation. Together, they create complementary channels of communication that strengthen trust, enhance organisational legitimacy and support more resilient workplace relationships.</w:t>
      </w:r>
    </w:p>
    <w:p w14:paraId="303C8912" w14:textId="0BB5FF25" w:rsidR="00423149" w:rsidRDefault="00C802AA" w:rsidP="008C40DB">
      <w:pPr>
        <w:pBdr>
          <w:top w:val="nil"/>
          <w:left w:val="nil"/>
          <w:bottom w:val="nil"/>
          <w:right w:val="nil"/>
          <w:between w:val="nil"/>
          <w:bar w:val="nil"/>
        </w:pBdr>
        <w:spacing w:before="100" w:beforeAutospacing="1" w:after="100" w:afterAutospacing="1" w:line="240" w:lineRule="auto"/>
        <w:jc w:val="both"/>
        <w:rPr>
          <w:rFonts w:ascii="Trebuchet MS" w:eastAsia="Arial Unicode MS" w:hAnsi="Trebuchet MS" w:cs="Arial Unicode MS"/>
          <w:u w:color="000000"/>
          <w:bdr w:val="nil"/>
          <w:lang w:eastAsia="en-GB"/>
        </w:rPr>
      </w:pPr>
      <w:r w:rsidRPr="00C0731C">
        <w:rPr>
          <w:rFonts w:ascii="Trebuchet MS" w:eastAsia="Arial Unicode MS" w:hAnsi="Trebuchet MS" w:cs="Arial Unicode MS"/>
          <w:u w:color="000000"/>
          <w:bdr w:val="nil"/>
          <w:lang w:eastAsia="en-GB"/>
        </w:rPr>
        <w:t>In Wales, t</w:t>
      </w:r>
      <w:r w:rsidR="00875326" w:rsidRPr="00875326">
        <w:rPr>
          <w:rFonts w:ascii="Trebuchet MS" w:eastAsia="Arial Unicode MS" w:hAnsi="Trebuchet MS" w:cs="Arial Unicode MS"/>
          <w:u w:color="000000"/>
          <w:bdr w:val="nil"/>
          <w:lang w:eastAsia="en-GB"/>
        </w:rPr>
        <w:t xml:space="preserve">he Social Partnership and Public Procurement (Wales) Act 2023 places </w:t>
      </w:r>
      <w:r w:rsidR="00872E5F" w:rsidRPr="00C0731C">
        <w:rPr>
          <w:rFonts w:ascii="Trebuchet MS" w:eastAsia="Arial Unicode MS" w:hAnsi="Trebuchet MS" w:cs="Arial Unicode MS"/>
          <w:u w:color="000000"/>
          <w:bdr w:val="nil"/>
          <w:lang w:eastAsia="en-GB"/>
        </w:rPr>
        <w:t xml:space="preserve">employee involvement and participation </w:t>
      </w:r>
      <w:r w:rsidR="00875326" w:rsidRPr="00875326">
        <w:rPr>
          <w:rFonts w:ascii="Trebuchet MS" w:eastAsia="Arial Unicode MS" w:hAnsi="Trebuchet MS" w:cs="Arial Unicode MS"/>
          <w:u w:color="000000"/>
          <w:bdr w:val="nil"/>
          <w:lang w:eastAsia="en-GB"/>
        </w:rPr>
        <w:t xml:space="preserve">on a legal footing, requiring specified public bodies to work with recognised trade unions </w:t>
      </w:r>
      <w:r w:rsidR="00872E5F" w:rsidRPr="00C0731C">
        <w:rPr>
          <w:rFonts w:ascii="Trebuchet MS" w:eastAsia="Arial Unicode MS" w:hAnsi="Trebuchet MS" w:cs="Arial Unicode MS"/>
          <w:u w:color="000000"/>
          <w:bdr w:val="nil"/>
          <w:lang w:eastAsia="en-GB"/>
        </w:rPr>
        <w:t>or em</w:t>
      </w:r>
      <w:r w:rsidR="00220CBF" w:rsidRPr="00C0731C">
        <w:rPr>
          <w:rFonts w:ascii="Trebuchet MS" w:eastAsia="Arial Unicode MS" w:hAnsi="Trebuchet MS" w:cs="Arial Unicode MS"/>
          <w:u w:color="000000"/>
          <w:bdr w:val="nil"/>
          <w:lang w:eastAsia="en-GB"/>
        </w:rPr>
        <w:t xml:space="preserve">ployee forums </w:t>
      </w:r>
      <w:r w:rsidR="00875326" w:rsidRPr="00875326">
        <w:rPr>
          <w:rFonts w:ascii="Trebuchet MS" w:eastAsia="Arial Unicode MS" w:hAnsi="Trebuchet MS" w:cs="Arial Unicode MS"/>
          <w:u w:color="000000"/>
          <w:bdr w:val="nil"/>
          <w:lang w:eastAsia="en-GB"/>
        </w:rPr>
        <w:t>when setting well</w:t>
      </w:r>
      <w:r w:rsidR="00875326" w:rsidRPr="00875326">
        <w:rPr>
          <w:rFonts w:ascii="Trebuchet MS" w:eastAsia="Arial Unicode MS" w:hAnsi="Trebuchet MS" w:cs="Arial Unicode MS"/>
          <w:u w:color="000000"/>
          <w:bdr w:val="nil"/>
          <w:lang w:eastAsia="en-GB"/>
        </w:rPr>
        <w:noBreakHyphen/>
        <w:t>being objectives and when making strategic decisions that affect the workforce</w:t>
      </w:r>
      <w:r w:rsidR="00C0731C" w:rsidRPr="00C0731C">
        <w:rPr>
          <w:rFonts w:ascii="Trebuchet MS" w:eastAsia="Arial Unicode MS" w:hAnsi="Trebuchet MS" w:cs="Arial Unicode MS"/>
          <w:u w:color="000000"/>
          <w:bdr w:val="nil"/>
          <w:lang w:eastAsia="en-GB"/>
        </w:rPr>
        <w:t xml:space="preserve">. This </w:t>
      </w:r>
      <w:r w:rsidR="00164C3D" w:rsidRPr="00164C3D">
        <w:rPr>
          <w:rFonts w:ascii="Trebuchet MS" w:eastAsia="Arial Unicode MS" w:hAnsi="Trebuchet MS" w:cs="Arial Unicode MS"/>
          <w:u w:color="000000"/>
          <w:bdr w:val="nil"/>
          <w:lang w:eastAsia="en-GB"/>
        </w:rPr>
        <w:t>represents an evolution from employee involvement and participation as optional mechanisms towards a legally embedded model of collective employee voice</w:t>
      </w:r>
      <w:r w:rsidR="00C0731C" w:rsidRPr="00C0731C">
        <w:rPr>
          <w:rFonts w:ascii="Trebuchet MS" w:eastAsia="Arial Unicode MS" w:hAnsi="Trebuchet MS" w:cs="Arial Unicode MS"/>
          <w:u w:color="000000"/>
          <w:bdr w:val="nil"/>
          <w:lang w:eastAsia="en-GB"/>
        </w:rPr>
        <w:t>.</w:t>
      </w:r>
    </w:p>
    <w:p w14:paraId="05D1A3EC" w14:textId="6565C876" w:rsidR="00B42BAE" w:rsidRPr="00CD5CDB" w:rsidRDefault="00B42BAE" w:rsidP="00B42BAE">
      <w:pPr>
        <w:pBdr>
          <w:top w:val="nil"/>
          <w:left w:val="nil"/>
          <w:bottom w:val="nil"/>
          <w:right w:val="nil"/>
          <w:between w:val="nil"/>
          <w:bar w:val="nil"/>
        </w:pBdr>
        <w:spacing w:after="0" w:line="240" w:lineRule="auto"/>
        <w:rPr>
          <w:rFonts w:ascii="Trebuchet MS" w:eastAsia="Arial Unicode MS" w:hAnsi="Trebuchet MS" w:cs="Arial Unicode MS"/>
          <w:b/>
          <w:bCs/>
          <w:color w:val="4472C4" w:themeColor="accent1"/>
          <w:u w:color="000000"/>
          <w:bdr w:val="nil"/>
          <w:lang w:val="en-US" w:eastAsia="en-GB"/>
        </w:rPr>
      </w:pPr>
      <w:r w:rsidRPr="00CD5CDB">
        <w:rPr>
          <w:rFonts w:ascii="Trebuchet MS" w:eastAsia="Arial Unicode MS" w:hAnsi="Trebuchet MS" w:cs="Arial Unicode MS"/>
          <w:b/>
          <w:bCs/>
          <w:color w:val="4472C4" w:themeColor="accent1"/>
          <w:u w:color="000000"/>
          <w:bdr w:val="nil"/>
          <w:lang w:val="en-US" w:eastAsia="en-GB"/>
        </w:rPr>
        <w:t>AC 1.2</w:t>
      </w:r>
    </w:p>
    <w:p w14:paraId="044E8F42" w14:textId="351CA485" w:rsidR="009C49C9" w:rsidRPr="00B440CE" w:rsidRDefault="009C49C9" w:rsidP="00D45E63">
      <w:pPr>
        <w:pStyle w:val="NormalWeb"/>
        <w:jc w:val="both"/>
        <w:rPr>
          <w:rFonts w:ascii="Trebuchet MS" w:hAnsi="Trebuchet MS" w:cs="Segoe UI"/>
          <w:sz w:val="22"/>
          <w:szCs w:val="22"/>
        </w:rPr>
      </w:pPr>
      <w:r w:rsidRPr="00B440CE">
        <w:rPr>
          <w:rFonts w:ascii="Trebuchet MS" w:hAnsi="Trebuchet MS" w:cs="Segoe UI"/>
          <w:sz w:val="22"/>
          <w:szCs w:val="22"/>
        </w:rPr>
        <w:t>Both union and non</w:t>
      </w:r>
      <w:r w:rsidRPr="00B440CE">
        <w:rPr>
          <w:rFonts w:ascii="Trebuchet MS" w:hAnsi="Trebuchet MS" w:cs="Segoe UI"/>
          <w:sz w:val="22"/>
          <w:szCs w:val="22"/>
        </w:rPr>
        <w:noBreakHyphen/>
        <w:t xml:space="preserve">union representation provide a </w:t>
      </w:r>
      <w:r w:rsidRPr="00B440CE">
        <w:rPr>
          <w:rStyle w:val="Strong"/>
          <w:rFonts w:ascii="Trebuchet MS" w:hAnsi="Trebuchet MS" w:cs="Segoe UI"/>
          <w:b w:val="0"/>
          <w:bCs w:val="0"/>
          <w:sz w:val="22"/>
          <w:szCs w:val="22"/>
        </w:rPr>
        <w:t>collective employee voice</w:t>
      </w:r>
      <w:r w:rsidRPr="00B440CE">
        <w:rPr>
          <w:rFonts w:ascii="Trebuchet MS" w:hAnsi="Trebuchet MS" w:cs="Segoe UI"/>
          <w:sz w:val="22"/>
          <w:szCs w:val="22"/>
        </w:rPr>
        <w:t>, enabling dialogue between employees and management on workplace issues. In public</w:t>
      </w:r>
      <w:r w:rsidR="009C0DCE" w:rsidRPr="00B440CE">
        <w:rPr>
          <w:rFonts w:ascii="Trebuchet MS" w:hAnsi="Trebuchet MS" w:cs="Segoe UI"/>
          <w:sz w:val="22"/>
          <w:szCs w:val="22"/>
        </w:rPr>
        <w:t xml:space="preserve"> </w:t>
      </w:r>
      <w:r w:rsidRPr="00B440CE">
        <w:rPr>
          <w:rFonts w:ascii="Trebuchet MS" w:hAnsi="Trebuchet MS" w:cs="Segoe UI"/>
          <w:sz w:val="22"/>
          <w:szCs w:val="22"/>
        </w:rPr>
        <w:t xml:space="preserve">sector organisations, this supports transparency and fairness, particularly in contexts characterised </w:t>
      </w:r>
      <w:r w:rsidRPr="00B440CE">
        <w:rPr>
          <w:rFonts w:ascii="Trebuchet MS" w:hAnsi="Trebuchet MS" w:cs="Segoe UI"/>
          <w:sz w:val="22"/>
          <w:szCs w:val="22"/>
        </w:rPr>
        <w:lastRenderedPageBreak/>
        <w:t>by political oversight, service pressures and frequent organisational change (Marchington et al., 2016).</w:t>
      </w:r>
    </w:p>
    <w:p w14:paraId="54DA940B" w14:textId="77777777" w:rsidR="009C49C9" w:rsidRPr="00B440CE" w:rsidRDefault="009C49C9" w:rsidP="00D45E63">
      <w:pPr>
        <w:pStyle w:val="NormalWeb"/>
        <w:jc w:val="both"/>
        <w:rPr>
          <w:rFonts w:ascii="Trebuchet MS" w:hAnsi="Trebuchet MS" w:cs="Segoe UI"/>
          <w:sz w:val="22"/>
          <w:szCs w:val="22"/>
        </w:rPr>
      </w:pPr>
      <w:r w:rsidRPr="00B440CE">
        <w:rPr>
          <w:rFonts w:ascii="Trebuchet MS" w:hAnsi="Trebuchet MS" w:cs="Segoe UI"/>
          <w:sz w:val="22"/>
          <w:szCs w:val="22"/>
        </w:rPr>
        <w:t xml:space="preserve">Both forms of representation can also contribute to </w:t>
      </w:r>
      <w:r w:rsidRPr="00B440CE">
        <w:rPr>
          <w:rStyle w:val="Strong"/>
          <w:rFonts w:ascii="Trebuchet MS" w:hAnsi="Trebuchet MS" w:cs="Segoe UI"/>
          <w:b w:val="0"/>
          <w:bCs w:val="0"/>
          <w:sz w:val="22"/>
          <w:szCs w:val="22"/>
        </w:rPr>
        <w:t>relationship building</w:t>
      </w:r>
      <w:r w:rsidRPr="00B440CE">
        <w:rPr>
          <w:rFonts w:ascii="Trebuchet MS" w:hAnsi="Trebuchet MS" w:cs="Segoe UI"/>
          <w:sz w:val="22"/>
          <w:szCs w:val="22"/>
        </w:rPr>
        <w:t xml:space="preserve"> by facilitating communication, improving understanding and helping to resolve issues collaboratively. In public services, where professional commitment and public service motivation are significant, representative engagement can reinforce trust and cooperation between staff and management (CIPD, 2022).</w:t>
      </w:r>
    </w:p>
    <w:p w14:paraId="606E4542" w14:textId="571BD542" w:rsidR="009C49C9" w:rsidRPr="00B440CE" w:rsidRDefault="00652066" w:rsidP="00D45E63">
      <w:pPr>
        <w:pStyle w:val="NormalWeb"/>
        <w:jc w:val="both"/>
        <w:rPr>
          <w:rFonts w:ascii="Trebuchet MS" w:hAnsi="Trebuchet MS" w:cs="Segoe UI"/>
          <w:sz w:val="22"/>
          <w:szCs w:val="22"/>
        </w:rPr>
      </w:pPr>
      <w:r>
        <w:rPr>
          <w:rFonts w:ascii="Trebuchet MS" w:hAnsi="Trebuchet MS" w:cs="Segoe UI"/>
          <w:sz w:val="22"/>
          <w:szCs w:val="22"/>
        </w:rPr>
        <w:t>B</w:t>
      </w:r>
      <w:r w:rsidR="009C49C9" w:rsidRPr="00B440CE">
        <w:rPr>
          <w:rFonts w:ascii="Trebuchet MS" w:hAnsi="Trebuchet MS" w:cs="Segoe UI"/>
          <w:sz w:val="22"/>
          <w:szCs w:val="22"/>
        </w:rPr>
        <w:t>oth union and non</w:t>
      </w:r>
      <w:r w:rsidR="009C49C9" w:rsidRPr="00B440CE">
        <w:rPr>
          <w:rFonts w:ascii="Trebuchet MS" w:hAnsi="Trebuchet MS" w:cs="Segoe UI"/>
          <w:sz w:val="22"/>
          <w:szCs w:val="22"/>
        </w:rPr>
        <w:noBreakHyphen/>
        <w:t xml:space="preserve">union representatives play a role in </w:t>
      </w:r>
      <w:r w:rsidR="009C49C9" w:rsidRPr="00B440CE">
        <w:rPr>
          <w:rStyle w:val="Strong"/>
          <w:rFonts w:ascii="Trebuchet MS" w:hAnsi="Trebuchet MS" w:cs="Segoe UI"/>
          <w:b w:val="0"/>
          <w:bCs w:val="0"/>
          <w:sz w:val="22"/>
          <w:szCs w:val="22"/>
        </w:rPr>
        <w:t>managing organisational change</w:t>
      </w:r>
      <w:r w:rsidR="009C49C9" w:rsidRPr="00B440CE">
        <w:rPr>
          <w:rFonts w:ascii="Trebuchet MS" w:hAnsi="Trebuchet MS" w:cs="Segoe UI"/>
          <w:b/>
          <w:bCs/>
          <w:sz w:val="22"/>
          <w:szCs w:val="22"/>
        </w:rPr>
        <w:t>.</w:t>
      </w:r>
      <w:r w:rsidR="009C49C9" w:rsidRPr="00B440CE">
        <w:rPr>
          <w:rFonts w:ascii="Trebuchet MS" w:hAnsi="Trebuchet MS" w:cs="Segoe UI"/>
          <w:sz w:val="22"/>
          <w:szCs w:val="22"/>
        </w:rPr>
        <w:t xml:space="preserve"> Public</w:t>
      </w:r>
      <w:r w:rsidR="009C49C9" w:rsidRPr="00B440CE">
        <w:rPr>
          <w:rFonts w:ascii="Trebuchet MS" w:hAnsi="Trebuchet MS" w:cs="Segoe UI"/>
          <w:sz w:val="22"/>
          <w:szCs w:val="22"/>
        </w:rPr>
        <w:noBreakHyphen/>
        <w:t>sector reform, restructuring and austerity measures are recurring features of public services, and representative involvement can help reduce resistance by allowing employee views to be heard and concerns addressed (White, 2003).</w:t>
      </w:r>
    </w:p>
    <w:p w14:paraId="6E60A9D1" w14:textId="77777777" w:rsidR="009C49C9" w:rsidRPr="00B440CE" w:rsidRDefault="009C49C9" w:rsidP="00D45E63">
      <w:pPr>
        <w:pStyle w:val="NormalWeb"/>
        <w:jc w:val="both"/>
        <w:rPr>
          <w:rFonts w:ascii="Trebuchet MS" w:hAnsi="Trebuchet MS" w:cs="Segoe UI"/>
          <w:b/>
          <w:bCs/>
          <w:sz w:val="22"/>
          <w:szCs w:val="22"/>
        </w:rPr>
      </w:pPr>
      <w:r w:rsidRPr="00B440CE">
        <w:rPr>
          <w:rFonts w:ascii="Trebuchet MS" w:hAnsi="Trebuchet MS" w:cs="Segoe UI"/>
          <w:sz w:val="22"/>
          <w:szCs w:val="22"/>
        </w:rPr>
        <w:t>Despite these similarities, union and non</w:t>
      </w:r>
      <w:r w:rsidRPr="00B440CE">
        <w:rPr>
          <w:rFonts w:ascii="Trebuchet MS" w:hAnsi="Trebuchet MS" w:cs="Segoe UI"/>
          <w:sz w:val="22"/>
          <w:szCs w:val="22"/>
        </w:rPr>
        <w:noBreakHyphen/>
        <w:t xml:space="preserve">union representation differ markedly in the public sector due to questions of </w:t>
      </w:r>
      <w:r w:rsidRPr="00B440CE">
        <w:rPr>
          <w:rStyle w:val="Strong"/>
          <w:rFonts w:ascii="Trebuchet MS" w:hAnsi="Trebuchet MS" w:cs="Segoe UI"/>
          <w:b w:val="0"/>
          <w:bCs w:val="0"/>
          <w:sz w:val="22"/>
          <w:szCs w:val="22"/>
        </w:rPr>
        <w:t>independence, legitimacy and power</w:t>
      </w:r>
      <w:r w:rsidRPr="00B440CE">
        <w:rPr>
          <w:rFonts w:ascii="Trebuchet MS" w:hAnsi="Trebuchet MS" w:cs="Segoe UI"/>
          <w:b/>
          <w:bCs/>
          <w:sz w:val="22"/>
          <w:szCs w:val="22"/>
        </w:rPr>
        <w:t>.</w:t>
      </w:r>
    </w:p>
    <w:p w14:paraId="0D5FB2A3" w14:textId="12F9C0E7" w:rsidR="009C49C9" w:rsidRPr="00B440CE" w:rsidRDefault="009C49C9" w:rsidP="00D45E63">
      <w:pPr>
        <w:pStyle w:val="NormalWeb"/>
        <w:jc w:val="both"/>
        <w:rPr>
          <w:rFonts w:ascii="Trebuchet MS" w:hAnsi="Trebuchet MS" w:cs="Segoe UI"/>
          <w:sz w:val="22"/>
          <w:szCs w:val="22"/>
        </w:rPr>
      </w:pPr>
      <w:r w:rsidRPr="00B440CE">
        <w:rPr>
          <w:rFonts w:ascii="Trebuchet MS" w:hAnsi="Trebuchet MS" w:cs="Segoe UI"/>
          <w:sz w:val="22"/>
          <w:szCs w:val="22"/>
        </w:rPr>
        <w:t xml:space="preserve">Trade unions are </w:t>
      </w:r>
      <w:r w:rsidRPr="00B440CE">
        <w:rPr>
          <w:rStyle w:val="Strong"/>
          <w:rFonts w:ascii="Trebuchet MS" w:hAnsi="Trebuchet MS" w:cs="Segoe UI"/>
          <w:b w:val="0"/>
          <w:bCs w:val="0"/>
          <w:sz w:val="22"/>
          <w:szCs w:val="22"/>
        </w:rPr>
        <w:t>independent organisations</w:t>
      </w:r>
      <w:r w:rsidRPr="00B440CE">
        <w:rPr>
          <w:rFonts w:ascii="Trebuchet MS" w:hAnsi="Trebuchet MS" w:cs="Segoe UI"/>
          <w:sz w:val="22"/>
          <w:szCs w:val="22"/>
        </w:rPr>
        <w:t>, legally separate from the employer</w:t>
      </w:r>
      <w:r w:rsidR="00790196">
        <w:rPr>
          <w:rFonts w:ascii="Trebuchet MS" w:hAnsi="Trebuchet MS" w:cs="Segoe UI"/>
          <w:sz w:val="22"/>
          <w:szCs w:val="22"/>
        </w:rPr>
        <w:t>,</w:t>
      </w:r>
      <w:r w:rsidRPr="00B440CE">
        <w:rPr>
          <w:rFonts w:ascii="Trebuchet MS" w:hAnsi="Trebuchet MS" w:cs="Segoe UI"/>
          <w:sz w:val="22"/>
          <w:szCs w:val="22"/>
        </w:rPr>
        <w:t xml:space="preserve"> accountable to their members. This independence strengthens their legitimacy and capacity to challenge management decisions, particularly in large</w:t>
      </w:r>
      <w:r w:rsidR="00790196">
        <w:rPr>
          <w:rFonts w:ascii="Trebuchet MS" w:hAnsi="Trebuchet MS" w:cs="Segoe UI"/>
          <w:sz w:val="22"/>
          <w:szCs w:val="22"/>
        </w:rPr>
        <w:t xml:space="preserve">, </w:t>
      </w:r>
      <w:r w:rsidRPr="00B440CE">
        <w:rPr>
          <w:rFonts w:ascii="Trebuchet MS" w:hAnsi="Trebuchet MS" w:cs="Segoe UI"/>
          <w:sz w:val="22"/>
          <w:szCs w:val="22"/>
        </w:rPr>
        <w:t>hierarchical public</w:t>
      </w:r>
      <w:r w:rsidR="00CD07BE" w:rsidRPr="00B440CE">
        <w:rPr>
          <w:rFonts w:ascii="Trebuchet MS" w:hAnsi="Trebuchet MS" w:cs="Segoe UI"/>
          <w:sz w:val="22"/>
          <w:szCs w:val="22"/>
        </w:rPr>
        <w:t xml:space="preserve"> </w:t>
      </w:r>
      <w:r w:rsidRPr="00B440CE">
        <w:rPr>
          <w:rFonts w:ascii="Trebuchet MS" w:hAnsi="Trebuchet MS" w:cs="Segoe UI"/>
          <w:sz w:val="22"/>
          <w:szCs w:val="22"/>
        </w:rPr>
        <w:t>sector bodies such as local authorities, NHS organisations and government departments (Heery and Noon, 2017). Non</w:t>
      </w:r>
      <w:r w:rsidRPr="00B440CE">
        <w:rPr>
          <w:rFonts w:ascii="Trebuchet MS" w:hAnsi="Trebuchet MS" w:cs="Segoe UI"/>
          <w:sz w:val="22"/>
          <w:szCs w:val="22"/>
        </w:rPr>
        <w:noBreakHyphen/>
        <w:t>union representatives, by contrast, are typically employees of the organisation and may be perceived as less autonomous, limiting their influence (Bach, 2011).</w:t>
      </w:r>
    </w:p>
    <w:p w14:paraId="2B54D209" w14:textId="77777777" w:rsidR="009C49C9" w:rsidRPr="00B440CE" w:rsidRDefault="009C49C9" w:rsidP="00D45E63">
      <w:pPr>
        <w:pStyle w:val="NormalWeb"/>
        <w:jc w:val="both"/>
        <w:rPr>
          <w:rFonts w:ascii="Trebuchet MS" w:hAnsi="Trebuchet MS" w:cs="Segoe UI"/>
          <w:sz w:val="22"/>
          <w:szCs w:val="22"/>
        </w:rPr>
      </w:pPr>
      <w:r w:rsidRPr="00B440CE">
        <w:rPr>
          <w:rFonts w:ascii="Trebuchet MS" w:hAnsi="Trebuchet MS" w:cs="Segoe UI"/>
          <w:sz w:val="22"/>
          <w:szCs w:val="22"/>
        </w:rPr>
        <w:t xml:space="preserve">A key distinction lies in </w:t>
      </w:r>
      <w:r w:rsidRPr="00B440CE">
        <w:rPr>
          <w:rStyle w:val="Strong"/>
          <w:rFonts w:ascii="Trebuchet MS" w:hAnsi="Trebuchet MS" w:cs="Segoe UI"/>
          <w:b w:val="0"/>
          <w:bCs w:val="0"/>
          <w:sz w:val="22"/>
          <w:szCs w:val="22"/>
        </w:rPr>
        <w:t>collective bargaining</w:t>
      </w:r>
      <w:r w:rsidRPr="00B440CE">
        <w:rPr>
          <w:rFonts w:ascii="Trebuchet MS" w:hAnsi="Trebuchet MS" w:cs="Segoe UI"/>
          <w:sz w:val="22"/>
          <w:szCs w:val="22"/>
        </w:rPr>
        <w:t>. Trade unions are able to negotiate binding agreements on pay, terms and conditions, redistributing power within the employment relationship. This is especially important in the public sector, where national and sectoral bargaining arrangements remain influential (Bach and Edwards, 2013). Non</w:t>
      </w:r>
      <w:r w:rsidRPr="00B440CE">
        <w:rPr>
          <w:rFonts w:ascii="Trebuchet MS" w:hAnsi="Trebuchet MS" w:cs="Segoe UI"/>
          <w:sz w:val="22"/>
          <w:szCs w:val="22"/>
        </w:rPr>
        <w:noBreakHyphen/>
        <w:t>union representation is largely consultative, with final decision</w:t>
      </w:r>
      <w:r w:rsidRPr="00B440CE">
        <w:rPr>
          <w:rFonts w:ascii="Trebuchet MS" w:hAnsi="Trebuchet MS" w:cs="Segoe UI"/>
          <w:sz w:val="22"/>
          <w:szCs w:val="22"/>
        </w:rPr>
        <w:noBreakHyphen/>
        <w:t>making authority resting with management (Marchington et al., 2016).</w:t>
      </w:r>
    </w:p>
    <w:p w14:paraId="700A6D4C" w14:textId="61A2DA9D" w:rsidR="009C49C9" w:rsidRPr="00B440CE" w:rsidRDefault="009C49C9" w:rsidP="00D45E63">
      <w:pPr>
        <w:pStyle w:val="NormalWeb"/>
        <w:jc w:val="both"/>
        <w:rPr>
          <w:rFonts w:ascii="Trebuchet MS" w:hAnsi="Trebuchet MS" w:cs="Segoe UI"/>
          <w:sz w:val="22"/>
          <w:szCs w:val="22"/>
        </w:rPr>
      </w:pPr>
      <w:r w:rsidRPr="00B440CE">
        <w:rPr>
          <w:rFonts w:ascii="Trebuchet MS" w:hAnsi="Trebuchet MS" w:cs="Segoe UI"/>
          <w:sz w:val="22"/>
          <w:szCs w:val="22"/>
        </w:rPr>
        <w:t xml:space="preserve">Union representation is also supported by stronger </w:t>
      </w:r>
      <w:r w:rsidRPr="00B440CE">
        <w:rPr>
          <w:rStyle w:val="Strong"/>
          <w:rFonts w:ascii="Trebuchet MS" w:hAnsi="Trebuchet MS" w:cs="Segoe UI"/>
          <w:b w:val="0"/>
          <w:bCs w:val="0"/>
          <w:sz w:val="22"/>
          <w:szCs w:val="22"/>
        </w:rPr>
        <w:t>legal and institutional frameworks</w:t>
      </w:r>
      <w:r w:rsidRPr="00B440CE">
        <w:rPr>
          <w:rFonts w:ascii="Trebuchet MS" w:hAnsi="Trebuchet MS" w:cs="Segoe UI"/>
          <w:sz w:val="22"/>
          <w:szCs w:val="22"/>
        </w:rPr>
        <w:t xml:space="preserve">. In Wales, this has been taken further through the </w:t>
      </w:r>
      <w:r w:rsidRPr="00B440CE">
        <w:rPr>
          <w:rStyle w:val="Strong"/>
          <w:rFonts w:ascii="Trebuchet MS" w:hAnsi="Trebuchet MS" w:cs="Segoe UI"/>
          <w:b w:val="0"/>
          <w:bCs w:val="0"/>
          <w:sz w:val="22"/>
          <w:szCs w:val="22"/>
        </w:rPr>
        <w:t>Social Partnership and Public Procurement (Wales) Act 2023</w:t>
      </w:r>
      <w:r w:rsidRPr="00B440CE">
        <w:rPr>
          <w:rFonts w:ascii="Trebuchet MS" w:hAnsi="Trebuchet MS" w:cs="Segoe UI"/>
          <w:b/>
          <w:bCs/>
          <w:sz w:val="22"/>
          <w:szCs w:val="22"/>
        </w:rPr>
        <w:t>,</w:t>
      </w:r>
      <w:r w:rsidRPr="00B440CE">
        <w:rPr>
          <w:rFonts w:ascii="Trebuchet MS" w:hAnsi="Trebuchet MS" w:cs="Segoe UI"/>
          <w:sz w:val="22"/>
          <w:szCs w:val="22"/>
        </w:rPr>
        <w:t xml:space="preserve"> which places a statutory duty on public bodies to work with recognised trade unions and to seek consensus or compromise on strategic decisions. This embeds union participation within public</w:t>
      </w:r>
      <w:r w:rsidRPr="00B440CE">
        <w:rPr>
          <w:rFonts w:ascii="Trebuchet MS" w:hAnsi="Trebuchet MS" w:cs="Segoe UI"/>
          <w:sz w:val="22"/>
          <w:szCs w:val="22"/>
        </w:rPr>
        <w:noBreakHyphen/>
        <w:t xml:space="preserve">sector governance rather than treating it as discretionary consultation (Welsh Government, 2025). </w:t>
      </w:r>
    </w:p>
    <w:p w14:paraId="22680AA7" w14:textId="6A27AFFF" w:rsidR="00423149" w:rsidRDefault="00794449" w:rsidP="008C40DB">
      <w:pPr>
        <w:pStyle w:val="NormalWeb"/>
        <w:jc w:val="both"/>
        <w:rPr>
          <w:rFonts w:ascii="Trebuchet MS" w:hAnsi="Trebuchet MS" w:cs="Segoe UI"/>
          <w:sz w:val="22"/>
          <w:szCs w:val="22"/>
        </w:rPr>
      </w:pPr>
      <w:r w:rsidRPr="00B440CE">
        <w:rPr>
          <w:rFonts w:ascii="Trebuchet MS" w:hAnsi="Trebuchet MS" w:cs="Segoe UI"/>
          <w:sz w:val="22"/>
          <w:szCs w:val="22"/>
        </w:rPr>
        <w:t>In summary, b</w:t>
      </w:r>
      <w:r w:rsidR="009C49C9" w:rsidRPr="00B440CE">
        <w:rPr>
          <w:rFonts w:ascii="Trebuchet MS" w:hAnsi="Trebuchet MS" w:cs="Segoe UI"/>
          <w:sz w:val="22"/>
          <w:szCs w:val="22"/>
        </w:rPr>
        <w:t>oth union and non</w:t>
      </w:r>
      <w:r w:rsidR="009C49C9" w:rsidRPr="00B440CE">
        <w:rPr>
          <w:rFonts w:ascii="Trebuchet MS" w:hAnsi="Trebuchet MS" w:cs="Segoe UI"/>
          <w:sz w:val="22"/>
          <w:szCs w:val="22"/>
        </w:rPr>
        <w:noBreakHyphen/>
        <w:t xml:space="preserve">union representation support employee voice and relationship building in the public sector. However, trade unions provide a more </w:t>
      </w:r>
      <w:r w:rsidR="009C49C9" w:rsidRPr="00B440CE">
        <w:rPr>
          <w:rStyle w:val="Strong"/>
          <w:rFonts w:ascii="Trebuchet MS" w:hAnsi="Trebuchet MS" w:cs="Segoe UI"/>
          <w:b w:val="0"/>
          <w:bCs w:val="0"/>
          <w:sz w:val="22"/>
          <w:szCs w:val="22"/>
        </w:rPr>
        <w:t>independent, powerful and institutionally embedded form of representation</w:t>
      </w:r>
      <w:r w:rsidR="009C49C9" w:rsidRPr="00B440CE">
        <w:rPr>
          <w:rFonts w:ascii="Trebuchet MS" w:hAnsi="Trebuchet MS" w:cs="Segoe UI"/>
          <w:sz w:val="22"/>
          <w:szCs w:val="22"/>
        </w:rPr>
        <w:t>, particularly in Wales where social partnership elevates union participation into law. This strengthens legitimacy, trust and long</w:t>
      </w:r>
      <w:r w:rsidR="009C49C9" w:rsidRPr="00B440CE">
        <w:rPr>
          <w:rFonts w:ascii="Trebuchet MS" w:hAnsi="Trebuchet MS" w:cs="Segoe UI"/>
          <w:sz w:val="22"/>
          <w:szCs w:val="22"/>
        </w:rPr>
        <w:noBreakHyphen/>
        <w:t>term cooperation in managing public</w:t>
      </w:r>
      <w:r w:rsidR="009C49C9" w:rsidRPr="00B440CE">
        <w:rPr>
          <w:rFonts w:ascii="Trebuchet MS" w:hAnsi="Trebuchet MS" w:cs="Segoe UI"/>
          <w:sz w:val="22"/>
          <w:szCs w:val="22"/>
        </w:rPr>
        <w:noBreakHyphen/>
        <w:t>sector change.</w:t>
      </w:r>
    </w:p>
    <w:p w14:paraId="6F6E4851" w14:textId="5827432F" w:rsidR="00B42BAE" w:rsidRPr="00D97335" w:rsidRDefault="00B42BAE" w:rsidP="00800DC2">
      <w:pPr>
        <w:pBdr>
          <w:top w:val="nil"/>
          <w:left w:val="nil"/>
          <w:bottom w:val="nil"/>
          <w:right w:val="nil"/>
          <w:between w:val="nil"/>
          <w:bar w:val="nil"/>
        </w:pBdr>
        <w:spacing w:after="0" w:line="360" w:lineRule="auto"/>
        <w:rPr>
          <w:rFonts w:ascii="Trebuchet MS" w:eastAsia="Arial" w:hAnsi="Trebuchet MS" w:cs="Arial"/>
          <w:b/>
          <w:bCs/>
          <w:color w:val="4472C4" w:themeColor="accent1"/>
          <w:u w:color="000000"/>
          <w:bdr w:val="nil"/>
          <w:lang w:val="en-US" w:eastAsia="en-GB"/>
        </w:rPr>
      </w:pPr>
      <w:r w:rsidRPr="00D97335">
        <w:rPr>
          <w:rFonts w:ascii="Trebuchet MS" w:eastAsia="Arial" w:hAnsi="Trebuchet MS" w:cs="Arial"/>
          <w:b/>
          <w:bCs/>
          <w:color w:val="4472C4" w:themeColor="accent1"/>
          <w:u w:color="000000"/>
          <w:bdr w:val="nil"/>
          <w:lang w:val="en-US" w:eastAsia="en-GB"/>
        </w:rPr>
        <w:t>AC 1.3</w:t>
      </w:r>
    </w:p>
    <w:p w14:paraId="707FCB1C" w14:textId="3C1933EC" w:rsidR="005462B2" w:rsidRPr="00A37E18" w:rsidRDefault="005462B2" w:rsidP="00BF2947">
      <w:pPr>
        <w:pStyle w:val="NormalWeb"/>
        <w:jc w:val="both"/>
        <w:rPr>
          <w:rFonts w:ascii="Trebuchet MS" w:hAnsi="Trebuchet MS" w:cs="Segoe UI"/>
          <w:sz w:val="22"/>
          <w:szCs w:val="22"/>
        </w:rPr>
      </w:pPr>
      <w:r w:rsidRPr="00A37E18">
        <w:rPr>
          <w:rFonts w:ascii="Trebuchet MS" w:hAnsi="Trebuchet MS" w:cs="Segoe UI"/>
          <w:sz w:val="22"/>
          <w:szCs w:val="22"/>
        </w:rPr>
        <w:t xml:space="preserve">The CIPD (2026) defines employee voice as employees’ ability to express views, concerns and ideas, and to influence decisions that affect their work. </w:t>
      </w:r>
    </w:p>
    <w:p w14:paraId="719FD234" w14:textId="2A2D1054" w:rsidR="005462B2" w:rsidRPr="00A37E18" w:rsidRDefault="000073AF" w:rsidP="00BF2947">
      <w:pPr>
        <w:pStyle w:val="NormalWeb"/>
        <w:jc w:val="both"/>
        <w:rPr>
          <w:rFonts w:ascii="Trebuchet MS" w:hAnsi="Trebuchet MS" w:cs="Segoe UI"/>
          <w:sz w:val="22"/>
          <w:szCs w:val="22"/>
        </w:rPr>
      </w:pPr>
      <w:r>
        <w:rPr>
          <w:rFonts w:ascii="Trebuchet MS" w:hAnsi="Trebuchet MS" w:cs="Segoe UI"/>
          <w:sz w:val="22"/>
          <w:szCs w:val="22"/>
        </w:rPr>
        <w:t xml:space="preserve">There is </w:t>
      </w:r>
      <w:r w:rsidR="005462B2" w:rsidRPr="00A37E18">
        <w:rPr>
          <w:rFonts w:ascii="Trebuchet MS" w:hAnsi="Trebuchet MS" w:cs="Segoe UI"/>
          <w:sz w:val="22"/>
          <w:szCs w:val="22"/>
        </w:rPr>
        <w:t xml:space="preserve">evidence </w:t>
      </w:r>
      <w:r>
        <w:rPr>
          <w:rFonts w:ascii="Trebuchet MS" w:hAnsi="Trebuchet MS" w:cs="Segoe UI"/>
          <w:sz w:val="22"/>
          <w:szCs w:val="22"/>
        </w:rPr>
        <w:t xml:space="preserve">to </w:t>
      </w:r>
      <w:r w:rsidR="00194225">
        <w:rPr>
          <w:rFonts w:ascii="Trebuchet MS" w:hAnsi="Trebuchet MS" w:cs="Segoe UI"/>
          <w:sz w:val="22"/>
          <w:szCs w:val="22"/>
        </w:rPr>
        <w:t>support</w:t>
      </w:r>
      <w:r w:rsidR="005462B2" w:rsidRPr="00A37E18">
        <w:rPr>
          <w:rFonts w:ascii="Trebuchet MS" w:hAnsi="Trebuchet MS" w:cs="Segoe UI"/>
          <w:sz w:val="22"/>
          <w:szCs w:val="22"/>
        </w:rPr>
        <w:t xml:space="preserve"> a positive relationship between effective employee voice and performance outcomes. CIPD research consistently demonstrates that organisations with effective voice mechanisms benefit from higher levels of engagement, improved decision</w:t>
      </w:r>
      <w:r w:rsidR="005462B2" w:rsidRPr="00A37E18">
        <w:rPr>
          <w:rFonts w:ascii="Trebuchet MS" w:hAnsi="Trebuchet MS" w:cs="Segoe UI"/>
          <w:sz w:val="22"/>
          <w:szCs w:val="22"/>
        </w:rPr>
        <w:noBreakHyphen/>
        <w:t xml:space="preserve">making and enhanced productivity (CIPD, 2026). The </w:t>
      </w:r>
      <w:r w:rsidR="005462B2" w:rsidRPr="009164E1">
        <w:rPr>
          <w:rStyle w:val="Strong"/>
          <w:rFonts w:ascii="Trebuchet MS" w:hAnsi="Trebuchet MS" w:cs="Segoe UI"/>
          <w:b w:val="0"/>
          <w:bCs w:val="0"/>
          <w:sz w:val="22"/>
          <w:szCs w:val="22"/>
        </w:rPr>
        <w:t>CIPD Good Work Index 2025</w:t>
      </w:r>
      <w:r w:rsidR="005462B2" w:rsidRPr="00A37E18">
        <w:rPr>
          <w:rFonts w:ascii="Trebuchet MS" w:hAnsi="Trebuchet MS" w:cs="Segoe UI"/>
          <w:sz w:val="22"/>
          <w:szCs w:val="22"/>
        </w:rPr>
        <w:t xml:space="preserve"> shows a significant association between employee voice and outcomes such as job satisfaction, discretionary effort, reduced absence and intention to stay, all of which </w:t>
      </w:r>
      <w:r w:rsidR="005462B2" w:rsidRPr="00A37E18">
        <w:rPr>
          <w:rFonts w:ascii="Trebuchet MS" w:hAnsi="Trebuchet MS" w:cs="Segoe UI"/>
          <w:sz w:val="22"/>
          <w:szCs w:val="22"/>
        </w:rPr>
        <w:lastRenderedPageBreak/>
        <w:t xml:space="preserve">underpin sustainable organisational performance (Young and Tong, 2025). In the public sector, where service quality is closely linked to employee motivation and wellbeing, </w:t>
      </w:r>
      <w:r w:rsidR="00D32DAE">
        <w:rPr>
          <w:rFonts w:ascii="Trebuchet MS" w:hAnsi="Trebuchet MS" w:cs="Segoe UI"/>
          <w:sz w:val="22"/>
          <w:szCs w:val="22"/>
        </w:rPr>
        <w:t>empl</w:t>
      </w:r>
      <w:r w:rsidR="000B7850">
        <w:rPr>
          <w:rFonts w:ascii="Trebuchet MS" w:hAnsi="Trebuchet MS" w:cs="Segoe UI"/>
          <w:sz w:val="22"/>
          <w:szCs w:val="22"/>
        </w:rPr>
        <w:t xml:space="preserve">oyee </w:t>
      </w:r>
      <w:r w:rsidR="005462B2" w:rsidRPr="00A37E18">
        <w:rPr>
          <w:rFonts w:ascii="Trebuchet MS" w:hAnsi="Trebuchet MS" w:cs="Segoe UI"/>
          <w:sz w:val="22"/>
          <w:szCs w:val="22"/>
        </w:rPr>
        <w:t>voice enables frontline staff to identify inefficiencies and risks early, improving service delivery and public value</w:t>
      </w:r>
      <w:r w:rsidR="002C3E0E">
        <w:rPr>
          <w:rFonts w:ascii="Trebuchet MS" w:hAnsi="Trebuchet MS" w:cs="Segoe UI"/>
          <w:sz w:val="22"/>
          <w:szCs w:val="22"/>
        </w:rPr>
        <w:t xml:space="preserve"> (Budd, 2004)</w:t>
      </w:r>
      <w:r w:rsidR="009C74C5">
        <w:rPr>
          <w:rFonts w:ascii="Trebuchet MS" w:hAnsi="Trebuchet MS" w:cs="Segoe UI"/>
          <w:sz w:val="22"/>
          <w:szCs w:val="22"/>
        </w:rPr>
        <w:t>.</w:t>
      </w:r>
    </w:p>
    <w:p w14:paraId="1B4FF76D" w14:textId="0C467371" w:rsidR="005462B2" w:rsidRDefault="003D6FE3" w:rsidP="00BF2947">
      <w:pPr>
        <w:pStyle w:val="NormalWeb"/>
        <w:jc w:val="both"/>
        <w:rPr>
          <w:rFonts w:ascii="Trebuchet MS" w:hAnsi="Trebuchet MS" w:cs="Segoe UI"/>
          <w:sz w:val="22"/>
          <w:szCs w:val="22"/>
        </w:rPr>
      </w:pPr>
      <w:r>
        <w:rPr>
          <w:rFonts w:ascii="Trebuchet MS" w:hAnsi="Trebuchet MS" w:cs="Segoe UI"/>
          <w:sz w:val="22"/>
          <w:szCs w:val="22"/>
        </w:rPr>
        <w:t>Employee</w:t>
      </w:r>
      <w:r w:rsidR="005462B2" w:rsidRPr="00A37E18">
        <w:rPr>
          <w:rFonts w:ascii="Trebuchet MS" w:hAnsi="Trebuchet MS" w:cs="Segoe UI"/>
          <w:sz w:val="22"/>
          <w:szCs w:val="22"/>
        </w:rPr>
        <w:t xml:space="preserve"> voice supports high</w:t>
      </w:r>
      <w:r w:rsidR="005462B2" w:rsidRPr="00A37E18">
        <w:rPr>
          <w:rFonts w:ascii="Trebuchet MS" w:hAnsi="Trebuchet MS" w:cs="Segoe UI"/>
          <w:sz w:val="22"/>
          <w:szCs w:val="22"/>
        </w:rPr>
        <w:noBreakHyphen/>
        <w:t>performance working by leveraging employee knowledge and fostering psychological safety. When employees feel safe to speak up, innovation and problem</w:t>
      </w:r>
      <w:r w:rsidR="005462B2" w:rsidRPr="00A37E18">
        <w:rPr>
          <w:rFonts w:ascii="Trebuchet MS" w:hAnsi="Trebuchet MS" w:cs="Segoe UI"/>
          <w:sz w:val="22"/>
          <w:szCs w:val="22"/>
        </w:rPr>
        <w:noBreakHyphen/>
        <w:t xml:space="preserve">solving improve, particularly during periods of organisational change (Morrison, 2023). </w:t>
      </w:r>
      <w:r w:rsidR="00F60C39">
        <w:rPr>
          <w:rFonts w:ascii="Trebuchet MS" w:hAnsi="Trebuchet MS" w:cs="Segoe UI"/>
          <w:sz w:val="22"/>
          <w:szCs w:val="22"/>
        </w:rPr>
        <w:t>P</w:t>
      </w:r>
      <w:r w:rsidR="005462B2" w:rsidRPr="00A37E18">
        <w:rPr>
          <w:rFonts w:ascii="Trebuchet MS" w:hAnsi="Trebuchet MS" w:cs="Segoe UI"/>
          <w:sz w:val="22"/>
          <w:szCs w:val="22"/>
        </w:rPr>
        <w:t>ublic sector research indicates that employee voice is especially beneficial under conditions of high stakeholder pressure, where employee insight helps organisations balance competing demands effectively (Kim and Cho, 2024).</w:t>
      </w:r>
    </w:p>
    <w:p w14:paraId="4E723667" w14:textId="52E1650D" w:rsidR="000B3C4D" w:rsidRPr="000B3C4D" w:rsidRDefault="000B3C4D" w:rsidP="00BF2947">
      <w:pPr>
        <w:pStyle w:val="jot-paragraph-element"/>
        <w:jc w:val="both"/>
        <w:rPr>
          <w:rFonts w:ascii="Trebuchet MS" w:hAnsi="Trebuchet MS"/>
          <w:sz w:val="22"/>
          <w:szCs w:val="22"/>
        </w:rPr>
      </w:pPr>
      <w:r w:rsidRPr="000B3C4D">
        <w:rPr>
          <w:rFonts w:ascii="Trebuchet MS" w:hAnsi="Trebuchet MS"/>
          <w:sz w:val="22"/>
          <w:szCs w:val="22"/>
        </w:rPr>
        <w:t>To demonstrate the strong link between employee engagement and trust performance, the case of Salford Royal NHS Foundation Trust provides compelling evidence</w:t>
      </w:r>
      <w:r w:rsidR="00CD45D8">
        <w:rPr>
          <w:rFonts w:ascii="Trebuchet MS" w:hAnsi="Trebuchet MS"/>
          <w:sz w:val="22"/>
          <w:szCs w:val="22"/>
        </w:rPr>
        <w:t xml:space="preserve"> (Dawson, 2014)</w:t>
      </w:r>
      <w:r w:rsidR="00BF2947">
        <w:rPr>
          <w:rFonts w:ascii="Trebuchet MS" w:hAnsi="Trebuchet MS"/>
          <w:sz w:val="22"/>
          <w:szCs w:val="22"/>
        </w:rPr>
        <w:t>.</w:t>
      </w:r>
      <w:r w:rsidRPr="000B3C4D">
        <w:rPr>
          <w:rFonts w:ascii="Trebuchet MS" w:hAnsi="Trebuchet MS"/>
          <w:sz w:val="22"/>
          <w:szCs w:val="22"/>
        </w:rPr>
        <w:t> The Trust consistently achieve</w:t>
      </w:r>
      <w:r w:rsidR="00747B9A">
        <w:rPr>
          <w:rFonts w:ascii="Trebuchet MS" w:hAnsi="Trebuchet MS"/>
          <w:sz w:val="22"/>
          <w:szCs w:val="22"/>
        </w:rPr>
        <w:t>d</w:t>
      </w:r>
      <w:r w:rsidRPr="000B3C4D">
        <w:rPr>
          <w:rFonts w:ascii="Trebuchet MS" w:hAnsi="Trebuchet MS"/>
          <w:sz w:val="22"/>
          <w:szCs w:val="22"/>
        </w:rPr>
        <w:t xml:space="preserve"> high levels of employee engagement, reflected in staff surveys where it rank</w:t>
      </w:r>
      <w:r w:rsidR="006465ED">
        <w:rPr>
          <w:rFonts w:ascii="Trebuchet MS" w:hAnsi="Trebuchet MS"/>
          <w:sz w:val="22"/>
          <w:szCs w:val="22"/>
        </w:rPr>
        <w:t>ed</w:t>
      </w:r>
      <w:r w:rsidRPr="000B3C4D">
        <w:rPr>
          <w:rFonts w:ascii="Trebuchet MS" w:hAnsi="Trebuchet MS"/>
          <w:sz w:val="22"/>
          <w:szCs w:val="22"/>
        </w:rPr>
        <w:t xml:space="preserve"> top among acute trusts in England. This engagement </w:t>
      </w:r>
      <w:r w:rsidR="006465ED">
        <w:rPr>
          <w:rFonts w:ascii="Trebuchet MS" w:hAnsi="Trebuchet MS"/>
          <w:sz w:val="22"/>
          <w:szCs w:val="22"/>
        </w:rPr>
        <w:t>was</w:t>
      </w:r>
      <w:r w:rsidRPr="000B3C4D">
        <w:rPr>
          <w:rFonts w:ascii="Trebuchet MS" w:hAnsi="Trebuchet MS"/>
          <w:sz w:val="22"/>
          <w:szCs w:val="22"/>
        </w:rPr>
        <w:t xml:space="preserve"> directly matched by exceptional organisational performance, including very high patient satisfaction and one of the lowest mortality rates in the country. The Trust recognise</w:t>
      </w:r>
      <w:r w:rsidR="006465ED">
        <w:rPr>
          <w:rFonts w:ascii="Trebuchet MS" w:hAnsi="Trebuchet MS"/>
          <w:sz w:val="22"/>
          <w:szCs w:val="22"/>
        </w:rPr>
        <w:t>d</w:t>
      </w:r>
      <w:r w:rsidRPr="000B3C4D">
        <w:rPr>
          <w:rFonts w:ascii="Trebuchet MS" w:hAnsi="Trebuchet MS"/>
          <w:sz w:val="22"/>
          <w:szCs w:val="22"/>
        </w:rPr>
        <w:t xml:space="preserve"> that employee engagement is crucial for improving services, and </w:t>
      </w:r>
      <w:r w:rsidR="006E3389">
        <w:rPr>
          <w:rFonts w:ascii="Trebuchet MS" w:hAnsi="Trebuchet MS"/>
          <w:sz w:val="22"/>
          <w:szCs w:val="22"/>
        </w:rPr>
        <w:t>supports</w:t>
      </w:r>
      <w:r w:rsidRPr="000B3C4D">
        <w:rPr>
          <w:rFonts w:ascii="Trebuchet MS" w:hAnsi="Trebuchet MS"/>
          <w:sz w:val="22"/>
          <w:szCs w:val="22"/>
        </w:rPr>
        <w:t xml:space="preserve"> a culture of devolved decision-making, visible leadership, and shared values. </w:t>
      </w:r>
      <w:r w:rsidR="00205800">
        <w:rPr>
          <w:rFonts w:ascii="Trebuchet MS" w:hAnsi="Trebuchet MS"/>
          <w:sz w:val="22"/>
          <w:szCs w:val="22"/>
        </w:rPr>
        <w:t>S</w:t>
      </w:r>
      <w:r w:rsidRPr="000B3C4D">
        <w:rPr>
          <w:rFonts w:ascii="Trebuchet MS" w:hAnsi="Trebuchet MS"/>
          <w:sz w:val="22"/>
          <w:szCs w:val="22"/>
        </w:rPr>
        <w:t>taff are actively involved in designing and implementing changes, not only increas</w:t>
      </w:r>
      <w:r w:rsidR="00ED0DF7">
        <w:rPr>
          <w:rFonts w:ascii="Trebuchet MS" w:hAnsi="Trebuchet MS"/>
          <w:sz w:val="22"/>
          <w:szCs w:val="22"/>
        </w:rPr>
        <w:t>ing</w:t>
      </w:r>
      <w:r w:rsidRPr="000B3C4D">
        <w:rPr>
          <w:rFonts w:ascii="Trebuchet MS" w:hAnsi="Trebuchet MS"/>
          <w:sz w:val="22"/>
          <w:szCs w:val="22"/>
        </w:rPr>
        <w:t xml:space="preserve"> their motivation but also lead</w:t>
      </w:r>
      <w:r w:rsidR="00ED0DF7">
        <w:rPr>
          <w:rFonts w:ascii="Trebuchet MS" w:hAnsi="Trebuchet MS"/>
          <w:sz w:val="22"/>
          <w:szCs w:val="22"/>
        </w:rPr>
        <w:t>ing</w:t>
      </w:r>
      <w:r w:rsidRPr="000B3C4D">
        <w:rPr>
          <w:rFonts w:ascii="Trebuchet MS" w:hAnsi="Trebuchet MS"/>
          <w:sz w:val="22"/>
          <w:szCs w:val="22"/>
        </w:rPr>
        <w:t xml:space="preserve"> to better outcomes for patients. </w:t>
      </w:r>
    </w:p>
    <w:p w14:paraId="65D3BEAD" w14:textId="1CFA3C5D" w:rsidR="005462B2" w:rsidRPr="00A37E18" w:rsidRDefault="005462B2" w:rsidP="00BF2947">
      <w:pPr>
        <w:pStyle w:val="jot-paragraph-element"/>
        <w:jc w:val="both"/>
        <w:rPr>
          <w:rFonts w:ascii="Trebuchet MS" w:hAnsi="Trebuchet MS" w:cs="Segoe UI"/>
          <w:sz w:val="22"/>
          <w:szCs w:val="22"/>
        </w:rPr>
      </w:pPr>
      <w:r w:rsidRPr="00A37E18">
        <w:rPr>
          <w:rFonts w:ascii="Trebuchet MS" w:hAnsi="Trebuchet MS" w:cs="Segoe UI"/>
          <w:sz w:val="22"/>
          <w:szCs w:val="22"/>
        </w:rPr>
        <w:t xml:space="preserve">However, the relationship between employee voice and performance is not automatic. CIPD (2026) cautions that poorly implemented voice mechanisms may become tokenistic, generating cynicism rather than performance gains. Where employees perceive that feedback is ignored or that voice lacks real influence, trust deteriorates and engagement </w:t>
      </w:r>
      <w:r w:rsidR="00A178EF">
        <w:rPr>
          <w:rFonts w:ascii="Trebuchet MS" w:hAnsi="Trebuchet MS" w:cs="Segoe UI"/>
          <w:sz w:val="22"/>
          <w:szCs w:val="22"/>
        </w:rPr>
        <w:t>falls</w:t>
      </w:r>
      <w:r w:rsidRPr="00A37E18">
        <w:rPr>
          <w:rFonts w:ascii="Trebuchet MS" w:hAnsi="Trebuchet MS" w:cs="Segoe UI"/>
          <w:sz w:val="22"/>
          <w:szCs w:val="22"/>
        </w:rPr>
        <w:t>, negatively affecting outcomes. This risk is particularly evident in large public sector organisations reliant on surveys or consultation exercises without visible follow</w:t>
      </w:r>
      <w:r w:rsidRPr="00A37E18">
        <w:rPr>
          <w:rFonts w:ascii="Trebuchet MS" w:hAnsi="Trebuchet MS" w:cs="Segoe UI"/>
          <w:sz w:val="22"/>
          <w:szCs w:val="22"/>
        </w:rPr>
        <w:noBreakHyphen/>
        <w:t>up action.</w:t>
      </w:r>
    </w:p>
    <w:p w14:paraId="3FD49B71" w14:textId="144EAD3A" w:rsidR="00423149" w:rsidRDefault="006E300E" w:rsidP="00966384">
      <w:pPr>
        <w:pStyle w:val="NormalWeb"/>
        <w:jc w:val="both"/>
        <w:rPr>
          <w:rFonts w:ascii="Trebuchet MS" w:eastAsia="Arial" w:hAnsi="Trebuchet MS" w:cs="Arial"/>
          <w:color w:val="4472C4" w:themeColor="accent1"/>
          <w:sz w:val="22"/>
          <w:szCs w:val="22"/>
          <w:u w:color="000000"/>
          <w:bdr w:val="nil"/>
          <w:lang w:val="en-US"/>
        </w:rPr>
      </w:pPr>
      <w:r>
        <w:rPr>
          <w:rFonts w:ascii="Trebuchet MS" w:hAnsi="Trebuchet MS" w:cs="Segoe UI"/>
          <w:sz w:val="22"/>
          <w:szCs w:val="22"/>
        </w:rPr>
        <w:t>Performance</w:t>
      </w:r>
      <w:r w:rsidR="005462B2" w:rsidRPr="00A37E18">
        <w:rPr>
          <w:rFonts w:ascii="Trebuchet MS" w:hAnsi="Trebuchet MS" w:cs="Segoe UI"/>
          <w:sz w:val="22"/>
          <w:szCs w:val="22"/>
        </w:rPr>
        <w:t xml:space="preserve"> improvements linked to employee voice </w:t>
      </w:r>
      <w:r>
        <w:rPr>
          <w:rFonts w:ascii="Trebuchet MS" w:hAnsi="Trebuchet MS" w:cs="Segoe UI"/>
          <w:sz w:val="22"/>
          <w:szCs w:val="22"/>
        </w:rPr>
        <w:t>depend</w:t>
      </w:r>
      <w:r w:rsidR="005462B2" w:rsidRPr="00A37E18">
        <w:rPr>
          <w:rFonts w:ascii="Trebuchet MS" w:hAnsi="Trebuchet MS" w:cs="Segoe UI"/>
          <w:sz w:val="22"/>
          <w:szCs w:val="22"/>
        </w:rPr>
        <w:t xml:space="preserve"> on leadership capability and organisational culture. Recent studies highlight management responsiveness</w:t>
      </w:r>
      <w:r w:rsidR="00E0646E">
        <w:rPr>
          <w:rFonts w:ascii="Trebuchet MS" w:hAnsi="Trebuchet MS" w:cs="Segoe UI"/>
          <w:sz w:val="22"/>
          <w:szCs w:val="22"/>
        </w:rPr>
        <w:t xml:space="preserve">, </w:t>
      </w:r>
      <w:r w:rsidR="005462B2" w:rsidRPr="00A37E18">
        <w:rPr>
          <w:rFonts w:ascii="Trebuchet MS" w:hAnsi="Trebuchet MS" w:cs="Segoe UI"/>
          <w:sz w:val="22"/>
          <w:szCs w:val="22"/>
        </w:rPr>
        <w:t xml:space="preserve">“closing the feedback loop” </w:t>
      </w:r>
      <w:r w:rsidR="00E0646E">
        <w:rPr>
          <w:rFonts w:ascii="Trebuchet MS" w:hAnsi="Trebuchet MS" w:cs="Segoe UI"/>
          <w:sz w:val="22"/>
          <w:szCs w:val="22"/>
        </w:rPr>
        <w:t xml:space="preserve">and </w:t>
      </w:r>
      <w:r w:rsidR="0032455A">
        <w:rPr>
          <w:rFonts w:ascii="Trebuchet MS" w:hAnsi="Trebuchet MS" w:cs="Segoe UI"/>
          <w:sz w:val="22"/>
          <w:szCs w:val="22"/>
        </w:rPr>
        <w:t xml:space="preserve">leadership which builds trust </w:t>
      </w:r>
      <w:r w:rsidR="005462B2" w:rsidRPr="00A37E18">
        <w:rPr>
          <w:rFonts w:ascii="Trebuchet MS" w:hAnsi="Trebuchet MS" w:cs="Segoe UI"/>
          <w:sz w:val="22"/>
          <w:szCs w:val="22"/>
        </w:rPr>
        <w:t xml:space="preserve">as essential mediating factors between voice and performance (CIPD, 2025; </w:t>
      </w:r>
      <w:proofErr w:type="spellStart"/>
      <w:r w:rsidR="005462B2" w:rsidRPr="00A37E18">
        <w:rPr>
          <w:rFonts w:ascii="Trebuchet MS" w:hAnsi="Trebuchet MS" w:cs="Segoe UI"/>
          <w:sz w:val="22"/>
          <w:szCs w:val="22"/>
        </w:rPr>
        <w:t>Idrissu</w:t>
      </w:r>
      <w:proofErr w:type="spellEnd"/>
      <w:r w:rsidR="005462B2" w:rsidRPr="00A37E18">
        <w:rPr>
          <w:rFonts w:ascii="Trebuchet MS" w:hAnsi="Trebuchet MS" w:cs="Segoe UI"/>
          <w:sz w:val="22"/>
          <w:szCs w:val="22"/>
        </w:rPr>
        <w:t>, 2025). Without these conditions, the potential benefits of voice may not be realised.</w:t>
      </w:r>
    </w:p>
    <w:p w14:paraId="4EFDB3D2" w14:textId="37547E84" w:rsidR="00B42BAE" w:rsidRPr="006D52FF" w:rsidRDefault="00B42BAE" w:rsidP="00650E3C">
      <w:pPr>
        <w:pStyle w:val="NormalWeb"/>
        <w:spacing w:line="300" w:lineRule="atLeast"/>
        <w:rPr>
          <w:rFonts w:ascii="Trebuchet MS" w:eastAsia="Arial" w:hAnsi="Trebuchet MS" w:cs="Arial"/>
          <w:b/>
          <w:bCs/>
          <w:color w:val="4472C4" w:themeColor="accent1"/>
          <w:sz w:val="22"/>
          <w:szCs w:val="22"/>
          <w:u w:color="000000"/>
          <w:bdr w:val="nil"/>
          <w:lang w:val="en-US"/>
        </w:rPr>
      </w:pPr>
      <w:r w:rsidRPr="006D52FF">
        <w:rPr>
          <w:rFonts w:ascii="Trebuchet MS" w:eastAsia="Arial" w:hAnsi="Trebuchet MS" w:cs="Arial"/>
          <w:b/>
          <w:bCs/>
          <w:color w:val="4472C4" w:themeColor="accent1"/>
          <w:sz w:val="22"/>
          <w:szCs w:val="22"/>
          <w:u w:color="000000"/>
          <w:bdr w:val="nil"/>
          <w:lang w:val="en-US"/>
        </w:rPr>
        <w:t>AC 1.4</w:t>
      </w:r>
    </w:p>
    <w:p w14:paraId="06A3F8CF" w14:textId="3172F34F" w:rsidR="005462B2" w:rsidRPr="00A37E18" w:rsidRDefault="005462B2" w:rsidP="00C40FFD">
      <w:pPr>
        <w:pStyle w:val="NormalWeb"/>
        <w:jc w:val="both"/>
        <w:rPr>
          <w:rFonts w:ascii="Trebuchet MS" w:hAnsi="Trebuchet MS" w:cs="Segoe UI"/>
          <w:sz w:val="22"/>
          <w:szCs w:val="22"/>
        </w:rPr>
      </w:pPr>
      <w:r w:rsidRPr="00A37E18">
        <w:rPr>
          <w:rFonts w:ascii="Trebuchet MS" w:hAnsi="Trebuchet MS" w:cs="Segoe UI"/>
          <w:sz w:val="22"/>
          <w:szCs w:val="22"/>
        </w:rPr>
        <w:t xml:space="preserve">CIPD defines better working lives as work that is productive, inclusive and fair, where people experience good job quality, wellbeing and opportunities to develop, while organisations achieve sustainable performance (CIPD, 2025a). </w:t>
      </w:r>
    </w:p>
    <w:p w14:paraId="5B8CCCDA" w14:textId="77777777" w:rsidR="005462B2" w:rsidRPr="00A37E18" w:rsidRDefault="005462B2" w:rsidP="00C40FFD">
      <w:pPr>
        <w:pStyle w:val="NormalWeb"/>
        <w:jc w:val="both"/>
        <w:rPr>
          <w:rFonts w:ascii="Trebuchet MS" w:hAnsi="Trebuchet MS" w:cs="Segoe UI"/>
          <w:sz w:val="22"/>
          <w:szCs w:val="22"/>
        </w:rPr>
      </w:pPr>
      <w:r w:rsidRPr="00A37E18">
        <w:rPr>
          <w:rFonts w:ascii="Trebuchet MS" w:hAnsi="Trebuchet MS" w:cs="Segoe UI"/>
          <w:sz w:val="22"/>
          <w:szCs w:val="22"/>
        </w:rPr>
        <w:t xml:space="preserve">At the core of better working lives is the </w:t>
      </w:r>
      <w:r w:rsidRPr="00A37E18">
        <w:rPr>
          <w:rStyle w:val="Emphasis"/>
          <w:rFonts w:ascii="Trebuchet MS" w:hAnsi="Trebuchet MS" w:cs="Segoe UI"/>
          <w:sz w:val="22"/>
          <w:szCs w:val="22"/>
        </w:rPr>
        <w:t>Good Work</w:t>
      </w:r>
      <w:r w:rsidRPr="00A37E18">
        <w:rPr>
          <w:rFonts w:ascii="Trebuchet MS" w:hAnsi="Trebuchet MS" w:cs="Segoe UI"/>
          <w:sz w:val="22"/>
          <w:szCs w:val="22"/>
        </w:rPr>
        <w:t xml:space="preserve"> agenda. The CIPD’s Good Work Index identifies key dimensions of job quality, including pay and benefits, job design, work–life balance, wellbeing, relationships at work, employee voice and development opportunities (Young and Tong, 2025). Evidence from the UK shows that employees who experience higher job quality are more engaged, healthier and more productive, demonstrating a clear link between better working lives and organisational effectiveness.</w:t>
      </w:r>
    </w:p>
    <w:p w14:paraId="439BB51D" w14:textId="77777777" w:rsidR="005462B2" w:rsidRPr="00A37E18" w:rsidRDefault="005462B2" w:rsidP="00C40FFD">
      <w:pPr>
        <w:pStyle w:val="NormalWeb"/>
        <w:jc w:val="both"/>
        <w:rPr>
          <w:rFonts w:ascii="Trebuchet MS" w:hAnsi="Trebuchet MS" w:cs="Segoe UI"/>
          <w:sz w:val="22"/>
          <w:szCs w:val="22"/>
        </w:rPr>
      </w:pPr>
      <w:r w:rsidRPr="00A37E18">
        <w:rPr>
          <w:rFonts w:ascii="Trebuchet MS" w:hAnsi="Trebuchet MS" w:cs="Segoe UI"/>
          <w:sz w:val="22"/>
          <w:szCs w:val="22"/>
        </w:rPr>
        <w:t>Designing better working lives requires deliberate and integrated people management practices. One critical design principle is effective job design. Roles should provide clarity, manageable workloads, autonomy and opportunities for skills use and progression. Poorly designed work, particularly in the public sector, has been associated with stress, absence and reduced service quality (CIPD, 2025a). Human-centred job design therefore plays a key role in improving both wellbeing and performance.</w:t>
      </w:r>
    </w:p>
    <w:p w14:paraId="47800548" w14:textId="74E7EC2D" w:rsidR="005462B2" w:rsidRPr="00A37E18" w:rsidRDefault="005462B2" w:rsidP="00C40FFD">
      <w:pPr>
        <w:pStyle w:val="NormalWeb"/>
        <w:jc w:val="both"/>
        <w:rPr>
          <w:rFonts w:ascii="Trebuchet MS" w:hAnsi="Trebuchet MS" w:cs="Segoe UI"/>
          <w:sz w:val="22"/>
          <w:szCs w:val="22"/>
        </w:rPr>
      </w:pPr>
      <w:r w:rsidRPr="00A37E18">
        <w:rPr>
          <w:rFonts w:ascii="Trebuchet MS" w:hAnsi="Trebuchet MS" w:cs="Segoe UI"/>
          <w:sz w:val="22"/>
          <w:szCs w:val="22"/>
        </w:rPr>
        <w:lastRenderedPageBreak/>
        <w:t>Another essential element is employee voice. CIPD (2026) emphasises that better working lives depend on employees being able to express concerns and influence decisions that affect their work. Designing meaningful voice mechanisms</w:t>
      </w:r>
      <w:r w:rsidR="00680683">
        <w:rPr>
          <w:rFonts w:ascii="Trebuchet MS" w:hAnsi="Trebuchet MS" w:cs="Segoe UI"/>
          <w:sz w:val="22"/>
          <w:szCs w:val="22"/>
        </w:rPr>
        <w:t xml:space="preserve"> </w:t>
      </w:r>
      <w:r w:rsidRPr="00A37E18">
        <w:rPr>
          <w:rFonts w:ascii="Trebuchet MS" w:hAnsi="Trebuchet MS" w:cs="Segoe UI"/>
          <w:sz w:val="22"/>
          <w:szCs w:val="22"/>
        </w:rPr>
        <w:t>such as regular team dialogue, consultation forums and responsive feedback processes</w:t>
      </w:r>
      <w:r w:rsidR="00680683">
        <w:rPr>
          <w:rFonts w:ascii="Trebuchet MS" w:hAnsi="Trebuchet MS" w:cs="Segoe UI"/>
          <w:sz w:val="22"/>
          <w:szCs w:val="22"/>
        </w:rPr>
        <w:t xml:space="preserve"> </w:t>
      </w:r>
      <w:r w:rsidRPr="00A37E18">
        <w:rPr>
          <w:rFonts w:ascii="Trebuchet MS" w:hAnsi="Trebuchet MS" w:cs="Segoe UI"/>
          <w:sz w:val="22"/>
          <w:szCs w:val="22"/>
        </w:rPr>
        <w:t>enhances trust, fairness and engagement, which are fundamental to positive working lives.</w:t>
      </w:r>
    </w:p>
    <w:p w14:paraId="15577CA4" w14:textId="77777777" w:rsidR="005462B2" w:rsidRPr="00A37E18" w:rsidRDefault="005462B2" w:rsidP="00C40FFD">
      <w:pPr>
        <w:pStyle w:val="NormalWeb"/>
        <w:jc w:val="both"/>
        <w:rPr>
          <w:rFonts w:ascii="Trebuchet MS" w:hAnsi="Trebuchet MS" w:cs="Segoe UI"/>
          <w:sz w:val="22"/>
          <w:szCs w:val="22"/>
        </w:rPr>
      </w:pPr>
      <w:r w:rsidRPr="00A37E18">
        <w:rPr>
          <w:rFonts w:ascii="Trebuchet MS" w:hAnsi="Trebuchet MS" w:cs="Segoe UI"/>
          <w:sz w:val="22"/>
          <w:szCs w:val="22"/>
        </w:rPr>
        <w:t>Leadership and line management capability are also central to delivering better working lives. Research shows that supportive line managers significantly improve employee wellbeing, motivation and retention (CIPD, 2025b). Organisations must therefore invest in management development, ensuring managers have the skills and capacity to support people effectively.</w:t>
      </w:r>
    </w:p>
    <w:p w14:paraId="58555F1E" w14:textId="77777777" w:rsidR="005462B2" w:rsidRPr="00A37E18" w:rsidRDefault="005462B2" w:rsidP="00C40FFD">
      <w:pPr>
        <w:pStyle w:val="NormalWeb"/>
        <w:jc w:val="both"/>
        <w:rPr>
          <w:rFonts w:ascii="Trebuchet MS" w:hAnsi="Trebuchet MS" w:cs="Segoe UI"/>
          <w:sz w:val="22"/>
          <w:szCs w:val="22"/>
        </w:rPr>
      </w:pPr>
      <w:r w:rsidRPr="00A37E18">
        <w:rPr>
          <w:rFonts w:ascii="Trebuchet MS" w:hAnsi="Trebuchet MS" w:cs="Segoe UI"/>
          <w:sz w:val="22"/>
          <w:szCs w:val="22"/>
        </w:rPr>
        <w:t>Finally, designing better working lives requires fair organisational policies, including flexible working, inclusive employment practices and support for health and wellbeing. For UK organisations, particularly in the public sector, this approach supports resilience, workforce sustainability and improved service outcomes.</w:t>
      </w:r>
    </w:p>
    <w:p w14:paraId="545CB5A8" w14:textId="30C61DC0" w:rsidR="00A071C2" w:rsidRPr="00A071C2" w:rsidRDefault="00A071C2" w:rsidP="00A071C2">
      <w:pPr>
        <w:pStyle w:val="NormalWeb"/>
        <w:jc w:val="both"/>
        <w:rPr>
          <w:rFonts w:ascii="Trebuchet MS" w:hAnsi="Trebuchet MS" w:cs="Segoe UI"/>
          <w:sz w:val="22"/>
          <w:szCs w:val="22"/>
        </w:rPr>
      </w:pPr>
      <w:r w:rsidRPr="00A071C2">
        <w:rPr>
          <w:rFonts w:ascii="Trebuchet MS" w:hAnsi="Trebuchet MS" w:cs="Segoe UI"/>
          <w:sz w:val="22"/>
          <w:szCs w:val="22"/>
        </w:rPr>
        <w:t>The practical impact of better working lives on both wellbeing and performance is illustrated through a public</w:t>
      </w:r>
      <w:r w:rsidRPr="00A071C2">
        <w:rPr>
          <w:rFonts w:ascii="Trebuchet MS" w:hAnsi="Trebuchet MS" w:cs="Segoe UI"/>
          <w:sz w:val="22"/>
          <w:szCs w:val="22"/>
        </w:rPr>
        <w:noBreakHyphen/>
        <w:t xml:space="preserve">sector case study in Figure </w:t>
      </w:r>
      <w:r w:rsidR="00AE35AF" w:rsidRPr="00AE35AF">
        <w:rPr>
          <w:rFonts w:ascii="Trebuchet MS" w:hAnsi="Trebuchet MS" w:cs="Segoe UI"/>
          <w:sz w:val="22"/>
          <w:szCs w:val="22"/>
        </w:rPr>
        <w:t>1</w:t>
      </w:r>
      <w:r w:rsidRPr="00A071C2">
        <w:rPr>
          <w:rFonts w:ascii="Trebuchet MS" w:hAnsi="Trebuchet MS" w:cs="Segoe UI"/>
          <w:sz w:val="22"/>
          <w:szCs w:val="22"/>
        </w:rPr>
        <w:t>, reinforcing the argument that job design and employee voice are critical enablers of sustainable performance.</w:t>
      </w:r>
    </w:p>
    <w:p w14:paraId="5351FE1D" w14:textId="77777777" w:rsidR="00CA731D" w:rsidRDefault="00B64194" w:rsidP="001E7938">
      <w:pPr>
        <w:pStyle w:val="NormalWeb"/>
        <w:jc w:val="both"/>
        <w:rPr>
          <w:rFonts w:ascii="Trebuchet MS" w:hAnsi="Trebuchet MS" w:cs="Segoe UI"/>
          <w:sz w:val="16"/>
          <w:szCs w:val="16"/>
        </w:rPr>
      </w:pPr>
      <w:r w:rsidRPr="00B64194">
        <w:rPr>
          <w:rFonts w:ascii="Trebuchet MS" w:hAnsi="Trebuchet MS" w:cs="Segoe UI"/>
          <w:noProof/>
          <w:sz w:val="22"/>
          <w:szCs w:val="22"/>
        </w:rPr>
        <w:drawing>
          <wp:inline distT="0" distB="0" distL="0" distR="0" wp14:anchorId="5BB447CB" wp14:editId="6ED3768C">
            <wp:extent cx="5825905" cy="1814830"/>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925102" cy="1845731"/>
                    </a:xfrm>
                    <a:prstGeom prst="rect">
                      <a:avLst/>
                    </a:prstGeom>
                  </pic:spPr>
                </pic:pic>
              </a:graphicData>
            </a:graphic>
          </wp:inline>
        </w:drawing>
      </w:r>
      <w:r w:rsidR="008E2ED2" w:rsidRPr="008E2ED2">
        <w:rPr>
          <w:rFonts w:ascii="Trebuchet MS" w:hAnsi="Trebuchet MS" w:cs="Segoe UI"/>
          <w:sz w:val="16"/>
          <w:szCs w:val="16"/>
        </w:rPr>
        <w:t xml:space="preserve">Figure </w:t>
      </w:r>
      <w:r w:rsidR="008E2ED2">
        <w:rPr>
          <w:rFonts w:ascii="Trebuchet MS" w:hAnsi="Trebuchet MS" w:cs="Segoe UI"/>
          <w:sz w:val="16"/>
          <w:szCs w:val="16"/>
        </w:rPr>
        <w:t>1</w:t>
      </w:r>
      <w:r w:rsidR="008E2ED2" w:rsidRPr="008E2ED2">
        <w:rPr>
          <w:rFonts w:ascii="Trebuchet MS" w:hAnsi="Trebuchet MS" w:cs="Segoe UI"/>
          <w:sz w:val="16"/>
          <w:szCs w:val="16"/>
        </w:rPr>
        <w:t>: Work redesign, wellbeing and performance outcomes at North Bristol NHS Trust (adapted from NHS Employers, 2020)</w:t>
      </w:r>
    </w:p>
    <w:p w14:paraId="0FFC996F" w14:textId="768D6E25" w:rsidR="005462B2" w:rsidRPr="001E7938" w:rsidRDefault="00642EDA" w:rsidP="00CA731D">
      <w:pPr>
        <w:pStyle w:val="NormalWeb"/>
        <w:jc w:val="both"/>
        <w:rPr>
          <w:rFonts w:ascii="Trebuchet MS" w:eastAsia="Trebuchet MS" w:hAnsi="Trebuchet MS" w:cs="Trebuchet MS"/>
          <w:color w:val="000000"/>
          <w:sz w:val="22"/>
          <w:szCs w:val="22"/>
          <w:u w:color="000000"/>
          <w:bdr w:val="nil"/>
          <w14:textOutline w14:w="0" w14:cap="flat" w14:cmpd="sng" w14:algn="ctr">
            <w14:noFill/>
            <w14:prstDash w14:val="solid"/>
            <w14:bevel/>
          </w14:textOutline>
        </w:rPr>
      </w:pPr>
      <w:r w:rsidRPr="001E7938">
        <w:rPr>
          <w:rFonts w:ascii="Trebuchet MS" w:hAnsi="Trebuchet MS" w:cs="Segoe UI"/>
          <w:sz w:val="22"/>
          <w:szCs w:val="22"/>
        </w:rPr>
        <w:t>In summary, b</w:t>
      </w:r>
      <w:r w:rsidRPr="00642EDA">
        <w:rPr>
          <w:rFonts w:ascii="Trebuchet MS" w:hAnsi="Trebuchet MS" w:cs="Segoe UI"/>
          <w:sz w:val="22"/>
          <w:szCs w:val="22"/>
        </w:rPr>
        <w:t>etter working lives are achieved through fair, inclusive and well</w:t>
      </w:r>
      <w:r w:rsidRPr="00642EDA">
        <w:rPr>
          <w:rFonts w:ascii="Trebuchet MS" w:hAnsi="Trebuchet MS" w:cs="Segoe UI"/>
          <w:sz w:val="22"/>
          <w:szCs w:val="22"/>
        </w:rPr>
        <w:noBreakHyphen/>
        <w:t>designed work that prioritises job quality, employee voice and supportive leadership, enabling higher wellbeing and engagement while delivering sustainable performance, evidenced by improved outcomes at North Bristol NHS Trust.</w:t>
      </w:r>
    </w:p>
    <w:p w14:paraId="0805D28F" w14:textId="626B74F0" w:rsidR="00711272" w:rsidRPr="00711272" w:rsidRDefault="00B42BAE" w:rsidP="00711272">
      <w:pPr>
        <w:pBdr>
          <w:top w:val="nil"/>
          <w:left w:val="nil"/>
          <w:bottom w:val="nil"/>
          <w:right w:val="nil"/>
          <w:between w:val="nil"/>
          <w:bar w:val="nil"/>
        </w:pBdr>
        <w:spacing w:after="0" w:line="240" w:lineRule="auto"/>
        <w:rPr>
          <w:rFonts w:ascii="Trebuchet MS" w:eastAsia="Arial Unicode MS" w:hAnsi="Trebuchet MS" w:cs="Arial Unicode MS"/>
          <w:b/>
          <w:bCs/>
          <w:color w:val="4472C4" w:themeColor="accent1"/>
          <w:u w:color="000000"/>
          <w:bdr w:val="nil"/>
          <w:lang w:val="en-US" w:eastAsia="en-GB"/>
        </w:rPr>
      </w:pPr>
      <w:r w:rsidRPr="00711272">
        <w:rPr>
          <w:rFonts w:ascii="Trebuchet MS" w:eastAsia="Arial Unicode MS" w:hAnsi="Trebuchet MS" w:cs="Arial Unicode MS"/>
          <w:b/>
          <w:bCs/>
          <w:color w:val="4472C4" w:themeColor="accent1"/>
          <w:u w:color="000000"/>
          <w:bdr w:val="nil"/>
          <w:lang w:val="en-US" w:eastAsia="en-GB"/>
        </w:rPr>
        <w:t>AC 2.1</w:t>
      </w:r>
    </w:p>
    <w:p w14:paraId="6F878373" w14:textId="57BA3D83" w:rsidR="00711272" w:rsidRDefault="00711272" w:rsidP="00711272">
      <w:pPr>
        <w:pBdr>
          <w:top w:val="nil"/>
          <w:left w:val="nil"/>
          <w:bottom w:val="nil"/>
          <w:right w:val="nil"/>
          <w:between w:val="nil"/>
          <w:bar w:val="nil"/>
        </w:pBdr>
        <w:spacing w:after="0" w:line="240" w:lineRule="auto"/>
        <w:rPr>
          <w:rFonts w:ascii="Trebuchet MS" w:eastAsia="Arial Unicode MS" w:hAnsi="Trebuchet MS" w:cs="Arial Unicode MS"/>
          <w:color w:val="4472C4" w:themeColor="accent1"/>
          <w:u w:color="000000"/>
          <w:bdr w:val="nil"/>
          <w:lang w:val="en-US" w:eastAsia="en-GB"/>
        </w:rPr>
      </w:pPr>
    </w:p>
    <w:p w14:paraId="016DE30A" w14:textId="7D04CE54" w:rsidR="00CD0415" w:rsidRPr="009A38D4" w:rsidRDefault="00752B54" w:rsidP="003C77EC">
      <w:pPr>
        <w:pBdr>
          <w:top w:val="nil"/>
          <w:left w:val="nil"/>
          <w:bottom w:val="nil"/>
          <w:right w:val="nil"/>
          <w:between w:val="nil"/>
          <w:bar w:val="nil"/>
        </w:pBdr>
        <w:spacing w:after="0" w:line="240" w:lineRule="auto"/>
        <w:jc w:val="both"/>
        <w:rPr>
          <w:rFonts w:ascii="Trebuchet MS" w:hAnsi="Trebuchet MS" w:cs="Segoe UI"/>
        </w:rPr>
      </w:pPr>
      <w:r w:rsidRPr="009A38D4">
        <w:rPr>
          <w:rFonts w:ascii="Trebuchet MS" w:hAnsi="Trebuchet MS" w:cs="Segoe UI"/>
        </w:rPr>
        <w:t>C</w:t>
      </w:r>
      <w:r w:rsidR="00CD0415" w:rsidRPr="009A38D4">
        <w:rPr>
          <w:rFonts w:ascii="Trebuchet MS" w:hAnsi="Trebuchet MS" w:cs="Segoe UI"/>
        </w:rPr>
        <w:t xml:space="preserve">onflict and </w:t>
      </w:r>
      <w:r w:rsidRPr="009A38D4">
        <w:rPr>
          <w:rFonts w:ascii="Trebuchet MS" w:hAnsi="Trebuchet MS" w:cs="Segoe UI"/>
        </w:rPr>
        <w:t>m</w:t>
      </w:r>
      <w:r w:rsidR="00CD0415" w:rsidRPr="009A38D4">
        <w:rPr>
          <w:rFonts w:ascii="Trebuchet MS" w:hAnsi="Trebuchet MS" w:cs="Segoe UI"/>
        </w:rPr>
        <w:t xml:space="preserve">isbehaviour are both common features of </w:t>
      </w:r>
      <w:r w:rsidRPr="009A38D4">
        <w:rPr>
          <w:rFonts w:ascii="Trebuchet MS" w:hAnsi="Trebuchet MS" w:cs="Segoe UI"/>
        </w:rPr>
        <w:t xml:space="preserve">organisational </w:t>
      </w:r>
      <w:r w:rsidR="00CD0415" w:rsidRPr="009A38D4">
        <w:rPr>
          <w:rFonts w:ascii="Trebuchet MS" w:hAnsi="Trebuchet MS" w:cs="Segoe UI"/>
        </w:rPr>
        <w:t xml:space="preserve">employment relationships, but they differ in their nature, causes and implications for people management. Understanding this </w:t>
      </w:r>
      <w:r w:rsidR="00AC491A" w:rsidRPr="009A38D4">
        <w:rPr>
          <w:rFonts w:ascii="Trebuchet MS" w:hAnsi="Trebuchet MS" w:cs="Segoe UI"/>
        </w:rPr>
        <w:t>difference</w:t>
      </w:r>
      <w:r w:rsidR="00CD0415" w:rsidRPr="009A38D4">
        <w:rPr>
          <w:rFonts w:ascii="Trebuchet MS" w:hAnsi="Trebuchet MS" w:cs="Segoe UI"/>
        </w:rPr>
        <w:t xml:space="preserve"> is essential for managers and HR professionals </w:t>
      </w:r>
      <w:r w:rsidR="00AC491A" w:rsidRPr="009A38D4">
        <w:rPr>
          <w:rFonts w:ascii="Trebuchet MS" w:hAnsi="Trebuchet MS" w:cs="Segoe UI"/>
        </w:rPr>
        <w:t>in</w:t>
      </w:r>
      <w:r w:rsidR="00CD0415" w:rsidRPr="009A38D4">
        <w:rPr>
          <w:rFonts w:ascii="Trebuchet MS" w:hAnsi="Trebuchet MS" w:cs="Segoe UI"/>
        </w:rPr>
        <w:t xml:space="preserve"> maintain</w:t>
      </w:r>
      <w:r w:rsidR="00AC491A" w:rsidRPr="009A38D4">
        <w:rPr>
          <w:rFonts w:ascii="Trebuchet MS" w:hAnsi="Trebuchet MS" w:cs="Segoe UI"/>
        </w:rPr>
        <w:t>ing</w:t>
      </w:r>
      <w:r w:rsidR="00CD0415" w:rsidRPr="009A38D4">
        <w:rPr>
          <w:rFonts w:ascii="Trebuchet MS" w:hAnsi="Trebuchet MS" w:cs="Segoe UI"/>
        </w:rPr>
        <w:t xml:space="preserve"> effective employment relations and positive working environments.</w:t>
      </w:r>
    </w:p>
    <w:p w14:paraId="3FA97582" w14:textId="2620F24F" w:rsidR="002C7362" w:rsidRPr="002C7362" w:rsidRDefault="002C7362" w:rsidP="003C77EC">
      <w:pPr>
        <w:spacing w:before="100" w:beforeAutospacing="1" w:after="100" w:afterAutospacing="1" w:line="240" w:lineRule="auto"/>
        <w:jc w:val="both"/>
        <w:rPr>
          <w:rFonts w:ascii="Trebuchet MS" w:eastAsia="Times New Roman" w:hAnsi="Trebuchet MS" w:cs="Segoe UI"/>
          <w:lang w:eastAsia="en-GB"/>
        </w:rPr>
      </w:pPr>
      <w:r w:rsidRPr="002C7362">
        <w:rPr>
          <w:rFonts w:ascii="Trebuchet MS" w:eastAsia="Times New Roman" w:hAnsi="Trebuchet MS" w:cs="Segoe UI"/>
          <w:lang w:eastAsia="en-GB"/>
        </w:rPr>
        <w:t>Organisational conflict refers to situations in which individuals or groups perceive incompati</w:t>
      </w:r>
      <w:r w:rsidR="00F3559E" w:rsidRPr="009A38D4">
        <w:rPr>
          <w:rFonts w:ascii="Trebuchet MS" w:eastAsia="Times New Roman" w:hAnsi="Trebuchet MS" w:cs="Segoe UI"/>
          <w:lang w:eastAsia="en-GB"/>
        </w:rPr>
        <w:t>ble</w:t>
      </w:r>
      <w:r w:rsidRPr="002C7362">
        <w:rPr>
          <w:rFonts w:ascii="Trebuchet MS" w:eastAsia="Times New Roman" w:hAnsi="Trebuchet MS" w:cs="Segoe UI"/>
          <w:lang w:eastAsia="en-GB"/>
        </w:rPr>
        <w:t xml:space="preserve"> goals, values, interests or expectations. Buchanan and Huczynski (2019) define conflict as a process in which one party believes another has</w:t>
      </w:r>
      <w:r w:rsidR="00CC7476" w:rsidRPr="009A38D4">
        <w:rPr>
          <w:rFonts w:ascii="Trebuchet MS" w:eastAsia="Times New Roman" w:hAnsi="Trebuchet MS" w:cs="Segoe UI"/>
          <w:lang w:eastAsia="en-GB"/>
        </w:rPr>
        <w:t>, or may</w:t>
      </w:r>
      <w:r w:rsidRPr="002C7362">
        <w:rPr>
          <w:rFonts w:ascii="Trebuchet MS" w:eastAsia="Times New Roman" w:hAnsi="Trebuchet MS" w:cs="Segoe UI"/>
          <w:lang w:eastAsia="en-GB"/>
        </w:rPr>
        <w:t xml:space="preserve"> negatively affect something of significance to them. Conflict is therefore a normal</w:t>
      </w:r>
      <w:r w:rsidR="00962357" w:rsidRPr="009A38D4">
        <w:rPr>
          <w:rFonts w:ascii="Trebuchet MS" w:eastAsia="Times New Roman" w:hAnsi="Trebuchet MS" w:cs="Segoe UI"/>
          <w:lang w:eastAsia="en-GB"/>
        </w:rPr>
        <w:t xml:space="preserve">, </w:t>
      </w:r>
      <w:r w:rsidRPr="002C7362">
        <w:rPr>
          <w:rFonts w:ascii="Trebuchet MS" w:eastAsia="Times New Roman" w:hAnsi="Trebuchet MS" w:cs="Segoe UI"/>
          <w:lang w:eastAsia="en-GB"/>
        </w:rPr>
        <w:t xml:space="preserve">often </w:t>
      </w:r>
      <w:r w:rsidR="009A38D4">
        <w:rPr>
          <w:rFonts w:ascii="Trebuchet MS" w:eastAsia="Times New Roman" w:hAnsi="Trebuchet MS" w:cs="Segoe UI"/>
          <w:lang w:eastAsia="en-GB"/>
        </w:rPr>
        <w:t>unavoidabl</w:t>
      </w:r>
      <w:r w:rsidR="00473C8D">
        <w:rPr>
          <w:rFonts w:ascii="Trebuchet MS" w:eastAsia="Times New Roman" w:hAnsi="Trebuchet MS" w:cs="Segoe UI"/>
          <w:lang w:eastAsia="en-GB"/>
        </w:rPr>
        <w:t>e</w:t>
      </w:r>
      <w:r w:rsidRPr="002C7362">
        <w:rPr>
          <w:rFonts w:ascii="Trebuchet MS" w:eastAsia="Times New Roman" w:hAnsi="Trebuchet MS" w:cs="Segoe UI"/>
          <w:lang w:eastAsia="en-GB"/>
        </w:rPr>
        <w:t xml:space="preserve"> feature of organisational life, particularly in complex and resource</w:t>
      </w:r>
      <w:r w:rsidR="001065D4" w:rsidRPr="009A38D4">
        <w:rPr>
          <w:rFonts w:ascii="Trebuchet MS" w:eastAsia="Times New Roman" w:hAnsi="Trebuchet MS" w:cs="Segoe UI"/>
          <w:lang w:eastAsia="en-GB"/>
        </w:rPr>
        <w:t xml:space="preserve"> </w:t>
      </w:r>
      <w:r w:rsidRPr="002C7362">
        <w:rPr>
          <w:rFonts w:ascii="Trebuchet MS" w:eastAsia="Times New Roman" w:hAnsi="Trebuchet MS" w:cs="Segoe UI"/>
          <w:lang w:eastAsia="en-GB"/>
        </w:rPr>
        <w:t xml:space="preserve">constrained environments such as </w:t>
      </w:r>
      <w:r w:rsidR="001065D4" w:rsidRPr="009A38D4">
        <w:rPr>
          <w:rFonts w:ascii="Trebuchet MS" w:eastAsia="Times New Roman" w:hAnsi="Trebuchet MS" w:cs="Segoe UI"/>
          <w:lang w:eastAsia="en-GB"/>
        </w:rPr>
        <w:t>the</w:t>
      </w:r>
      <w:r w:rsidRPr="002C7362">
        <w:rPr>
          <w:rFonts w:ascii="Trebuchet MS" w:eastAsia="Times New Roman" w:hAnsi="Trebuchet MS" w:cs="Segoe UI"/>
          <w:lang w:eastAsia="en-GB"/>
        </w:rPr>
        <w:t xml:space="preserve"> public sector.</w:t>
      </w:r>
    </w:p>
    <w:p w14:paraId="630DC0A2" w14:textId="0B36C5AE" w:rsidR="002C7362" w:rsidRPr="002C7362" w:rsidRDefault="002C7362" w:rsidP="00711272">
      <w:pPr>
        <w:spacing w:before="100" w:beforeAutospacing="1" w:after="100" w:afterAutospacing="1" w:line="240" w:lineRule="auto"/>
        <w:jc w:val="both"/>
        <w:rPr>
          <w:rFonts w:ascii="Trebuchet MS" w:eastAsia="Times New Roman" w:hAnsi="Trebuchet MS" w:cs="Segoe UI"/>
          <w:lang w:eastAsia="en-GB"/>
        </w:rPr>
      </w:pPr>
      <w:r w:rsidRPr="002C7362">
        <w:rPr>
          <w:rFonts w:ascii="Trebuchet MS" w:eastAsia="Times New Roman" w:hAnsi="Trebuchet MS" w:cs="Segoe UI"/>
          <w:lang w:eastAsia="en-GB"/>
        </w:rPr>
        <w:t>The CIPD similarly defines workplace conflict as a spectrum ranging from low</w:t>
      </w:r>
      <w:r w:rsidR="003E660B" w:rsidRPr="009A38D4">
        <w:rPr>
          <w:rFonts w:ascii="Trebuchet MS" w:eastAsia="Times New Roman" w:hAnsi="Trebuchet MS" w:cs="Segoe UI"/>
          <w:lang w:eastAsia="en-GB"/>
        </w:rPr>
        <w:t xml:space="preserve"> </w:t>
      </w:r>
      <w:r w:rsidRPr="002C7362">
        <w:rPr>
          <w:rFonts w:ascii="Trebuchet MS" w:eastAsia="Times New Roman" w:hAnsi="Trebuchet MS" w:cs="Segoe UI"/>
          <w:lang w:eastAsia="en-GB"/>
        </w:rPr>
        <w:t xml:space="preserve">level disagreements to serious relationship breakdowns (CIPD, 2024). </w:t>
      </w:r>
      <w:r w:rsidR="00A12A14" w:rsidRPr="009A38D4">
        <w:rPr>
          <w:rFonts w:ascii="Trebuchet MS" w:eastAsia="Times New Roman" w:hAnsi="Trebuchet MS" w:cs="Segoe UI"/>
          <w:lang w:eastAsia="en-GB"/>
        </w:rPr>
        <w:t>Conflict</w:t>
      </w:r>
      <w:r w:rsidRPr="002C7362">
        <w:rPr>
          <w:rFonts w:ascii="Trebuchet MS" w:eastAsia="Times New Roman" w:hAnsi="Trebuchet MS" w:cs="Segoe UI"/>
          <w:lang w:eastAsia="en-GB"/>
        </w:rPr>
        <w:t xml:space="preserve"> does not necessarily involve intentional wrongdoing or rule</w:t>
      </w:r>
      <w:r w:rsidR="003E660B" w:rsidRPr="009A38D4">
        <w:rPr>
          <w:rFonts w:ascii="Trebuchet MS" w:eastAsia="Times New Roman" w:hAnsi="Trebuchet MS" w:cs="Segoe UI"/>
          <w:lang w:eastAsia="en-GB"/>
        </w:rPr>
        <w:t xml:space="preserve"> </w:t>
      </w:r>
      <w:r w:rsidRPr="002C7362">
        <w:rPr>
          <w:rFonts w:ascii="Trebuchet MS" w:eastAsia="Times New Roman" w:hAnsi="Trebuchet MS" w:cs="Segoe UI"/>
          <w:lang w:eastAsia="en-GB"/>
        </w:rPr>
        <w:t xml:space="preserve">breaking. Task or process conflict, for example, may </w:t>
      </w:r>
      <w:r w:rsidRPr="002C7362">
        <w:rPr>
          <w:rFonts w:ascii="Trebuchet MS" w:eastAsia="Times New Roman" w:hAnsi="Trebuchet MS" w:cs="Segoe UI"/>
          <w:lang w:eastAsia="en-GB"/>
        </w:rPr>
        <w:lastRenderedPageBreak/>
        <w:t>arise from differing professional perspectives or role ambiguity and can be constructive when managed effectively. Research suggests that well</w:t>
      </w:r>
      <w:r w:rsidR="003E660B" w:rsidRPr="009A38D4">
        <w:rPr>
          <w:rFonts w:ascii="Trebuchet MS" w:eastAsia="Times New Roman" w:hAnsi="Trebuchet MS" w:cs="Segoe UI"/>
          <w:lang w:eastAsia="en-GB"/>
        </w:rPr>
        <w:t xml:space="preserve"> </w:t>
      </w:r>
      <w:r w:rsidRPr="002C7362">
        <w:rPr>
          <w:rFonts w:ascii="Trebuchet MS" w:eastAsia="Times New Roman" w:hAnsi="Trebuchet MS" w:cs="Segoe UI"/>
          <w:lang w:eastAsia="en-GB"/>
        </w:rPr>
        <w:t>managed task conflict can enhance decision</w:t>
      </w:r>
      <w:r w:rsidR="003E660B" w:rsidRPr="009A38D4">
        <w:rPr>
          <w:rFonts w:ascii="Trebuchet MS" w:eastAsia="Times New Roman" w:hAnsi="Trebuchet MS" w:cs="Segoe UI"/>
          <w:lang w:eastAsia="en-GB"/>
        </w:rPr>
        <w:t xml:space="preserve"> </w:t>
      </w:r>
      <w:r w:rsidRPr="002C7362">
        <w:rPr>
          <w:rFonts w:ascii="Trebuchet MS" w:eastAsia="Times New Roman" w:hAnsi="Trebuchet MS" w:cs="Segoe UI"/>
          <w:lang w:eastAsia="en-GB"/>
        </w:rPr>
        <w:t>making and organisational learning. However, poorly managed relationship conflict is associated with negative impacts, including stress, reduced collaboration, sickness absence and lower engagement, particularly when disputes remain unresolved (Buchanan and Huczynski, 2019; CIPD, 2024). As a result, the organisational impact of conflict largely depends on how it is addressed, with early informal resolution mitigating harm and supporting wellbeing.</w:t>
      </w:r>
    </w:p>
    <w:p w14:paraId="21A400D6" w14:textId="77777777" w:rsidR="002C7362" w:rsidRPr="002C7362" w:rsidRDefault="002C7362" w:rsidP="00711272">
      <w:pPr>
        <w:spacing w:before="100" w:beforeAutospacing="1" w:after="100" w:afterAutospacing="1" w:line="240" w:lineRule="auto"/>
        <w:jc w:val="both"/>
        <w:rPr>
          <w:rFonts w:ascii="Trebuchet MS" w:eastAsia="Times New Roman" w:hAnsi="Trebuchet MS" w:cs="Segoe UI"/>
          <w:lang w:eastAsia="en-GB"/>
        </w:rPr>
      </w:pPr>
      <w:r w:rsidRPr="002C7362">
        <w:rPr>
          <w:rFonts w:ascii="Trebuchet MS" w:eastAsia="Times New Roman" w:hAnsi="Trebuchet MS" w:cs="Segoe UI"/>
          <w:lang w:eastAsia="en-GB"/>
        </w:rPr>
        <w:t>In contrast, organisational misbehaviour involves intentional breaches of organisational rules, norms or values. Vardi and Wiener (1996) define misbehaviour as any deliberate action by organisational members that violates core organisational expectations. Ackroyd and Thompson (2022) argue that misbehaviour should not simply be viewed as individual deviance, but rather as behaviour shaped by organisational power relations, poor leadership or perceived injustice. Examples include bullying, harassment, discrimination, sabotage or abuse of authority, all of which involve a clear element of intent.</w:t>
      </w:r>
    </w:p>
    <w:p w14:paraId="2BC0E07E" w14:textId="2ABA1A89" w:rsidR="002C7362" w:rsidRPr="002C7362" w:rsidRDefault="002C7362" w:rsidP="00711272">
      <w:pPr>
        <w:spacing w:before="100" w:beforeAutospacing="1" w:after="100" w:afterAutospacing="1" w:line="240" w:lineRule="auto"/>
        <w:jc w:val="both"/>
        <w:rPr>
          <w:rFonts w:ascii="Trebuchet MS" w:eastAsia="Times New Roman" w:hAnsi="Trebuchet MS" w:cs="Segoe UI"/>
          <w:lang w:eastAsia="en-GB"/>
        </w:rPr>
      </w:pPr>
      <w:r w:rsidRPr="002C7362">
        <w:rPr>
          <w:rFonts w:ascii="Trebuchet MS" w:eastAsia="Times New Roman" w:hAnsi="Trebuchet MS" w:cs="Segoe UI"/>
          <w:lang w:eastAsia="en-GB"/>
        </w:rPr>
        <w:t>The organisational impact of misbehaviour is typically more severe and immediate than that of conflict. CIPD evidence highlights strong links between misbehaviour</w:t>
      </w:r>
      <w:r w:rsidR="00F450F1">
        <w:rPr>
          <w:rFonts w:ascii="Trebuchet MS" w:eastAsia="Times New Roman" w:hAnsi="Trebuchet MS" w:cs="Segoe UI"/>
          <w:lang w:eastAsia="en-GB"/>
        </w:rPr>
        <w:t xml:space="preserve">, </w:t>
      </w:r>
      <w:r w:rsidRPr="002C7362">
        <w:rPr>
          <w:rFonts w:ascii="Trebuchet MS" w:eastAsia="Times New Roman" w:hAnsi="Trebuchet MS" w:cs="Segoe UI"/>
          <w:lang w:eastAsia="en-GB"/>
        </w:rPr>
        <w:t>particularly bullying and harassment</w:t>
      </w:r>
      <w:r w:rsidR="00F450F1">
        <w:rPr>
          <w:rFonts w:ascii="Trebuchet MS" w:eastAsia="Times New Roman" w:hAnsi="Trebuchet MS" w:cs="Segoe UI"/>
          <w:lang w:eastAsia="en-GB"/>
        </w:rPr>
        <w:t xml:space="preserve"> </w:t>
      </w:r>
      <w:r w:rsidRPr="002C7362">
        <w:rPr>
          <w:rFonts w:ascii="Trebuchet MS" w:eastAsia="Times New Roman" w:hAnsi="Trebuchet MS" w:cs="Segoe UI"/>
          <w:lang w:eastAsia="en-GB"/>
        </w:rPr>
        <w:t>and reduced psychological safety, increased stress, higher turnover and reputational and legal risk for organisations (CIPD, 2024). In public</w:t>
      </w:r>
      <w:r w:rsidRPr="002C7362">
        <w:rPr>
          <w:rFonts w:ascii="Trebuchet MS" w:eastAsia="Times New Roman" w:hAnsi="Trebuchet MS" w:cs="Segoe UI"/>
          <w:lang w:eastAsia="en-GB"/>
        </w:rPr>
        <w:noBreakHyphen/>
        <w:t xml:space="preserve">sector contexts, failure to address misbehaviour effectively can undermine trust in leadership and damage service delivery. Consequently, CIPD and </w:t>
      </w:r>
      <w:proofErr w:type="spellStart"/>
      <w:r w:rsidRPr="002C7362">
        <w:rPr>
          <w:rFonts w:ascii="Trebuchet MS" w:eastAsia="Times New Roman" w:hAnsi="Trebuchet MS" w:cs="Segoe UI"/>
          <w:lang w:eastAsia="en-GB"/>
        </w:rPr>
        <w:t>Acas</w:t>
      </w:r>
      <w:proofErr w:type="spellEnd"/>
      <w:r w:rsidRPr="002C7362">
        <w:rPr>
          <w:rFonts w:ascii="Trebuchet MS" w:eastAsia="Times New Roman" w:hAnsi="Trebuchet MS" w:cs="Segoe UI"/>
          <w:lang w:eastAsia="en-GB"/>
        </w:rPr>
        <w:t xml:space="preserve"> guidance emphasise that misbehaviour requires formal investigation and proportionate disciplinary action to protect individuals and uphold organisational standards (</w:t>
      </w:r>
      <w:proofErr w:type="spellStart"/>
      <w:r w:rsidRPr="002C7362">
        <w:rPr>
          <w:rFonts w:ascii="Trebuchet MS" w:eastAsia="Times New Roman" w:hAnsi="Trebuchet MS" w:cs="Segoe UI"/>
          <w:lang w:eastAsia="en-GB"/>
        </w:rPr>
        <w:t>Acas</w:t>
      </w:r>
      <w:proofErr w:type="spellEnd"/>
      <w:r w:rsidRPr="002C7362">
        <w:rPr>
          <w:rFonts w:ascii="Trebuchet MS" w:eastAsia="Times New Roman" w:hAnsi="Trebuchet MS" w:cs="Segoe UI"/>
          <w:lang w:eastAsia="en-GB"/>
        </w:rPr>
        <w:t>, 2019).</w:t>
      </w:r>
    </w:p>
    <w:p w14:paraId="3872CA81" w14:textId="55E8AB7C" w:rsidR="006A6597" w:rsidRPr="009A38D4" w:rsidRDefault="002C7362" w:rsidP="00966384">
      <w:pPr>
        <w:spacing w:before="100" w:beforeAutospacing="1" w:after="100" w:afterAutospacing="1" w:line="240" w:lineRule="auto"/>
        <w:jc w:val="both"/>
        <w:rPr>
          <w:rFonts w:ascii="Trebuchet MS" w:hAnsi="Trebuchet MS" w:cs="Segoe UI"/>
        </w:rPr>
      </w:pPr>
      <w:r w:rsidRPr="002C7362">
        <w:rPr>
          <w:rFonts w:ascii="Trebuchet MS" w:eastAsia="Times New Roman" w:hAnsi="Trebuchet MS" w:cs="Segoe UI"/>
          <w:lang w:eastAsia="en-GB"/>
        </w:rPr>
        <w:t>In summary, organisational conflict is a common, relational and context</w:t>
      </w:r>
      <w:r w:rsidR="00AA73C2">
        <w:rPr>
          <w:rFonts w:ascii="Trebuchet MS" w:eastAsia="Times New Roman" w:hAnsi="Trebuchet MS" w:cs="Segoe UI"/>
          <w:lang w:eastAsia="en-GB"/>
        </w:rPr>
        <w:t xml:space="preserve"> </w:t>
      </w:r>
      <w:r w:rsidRPr="002C7362">
        <w:rPr>
          <w:rFonts w:ascii="Trebuchet MS" w:eastAsia="Times New Roman" w:hAnsi="Trebuchet MS" w:cs="Segoe UI"/>
          <w:lang w:eastAsia="en-GB"/>
        </w:rPr>
        <w:t xml:space="preserve">dependent occurrence that can be either constructive or damaging depending on </w:t>
      </w:r>
      <w:r w:rsidR="00BA63C5">
        <w:rPr>
          <w:rFonts w:ascii="Trebuchet MS" w:eastAsia="Times New Roman" w:hAnsi="Trebuchet MS" w:cs="Segoe UI"/>
          <w:lang w:eastAsia="en-GB"/>
        </w:rPr>
        <w:t>its management</w:t>
      </w:r>
      <w:r w:rsidRPr="002C7362">
        <w:rPr>
          <w:rFonts w:ascii="Trebuchet MS" w:eastAsia="Times New Roman" w:hAnsi="Trebuchet MS" w:cs="Segoe UI"/>
          <w:lang w:eastAsia="en-GB"/>
        </w:rPr>
        <w:t>, while organisational misbehaviour involves deliberate rule</w:t>
      </w:r>
      <w:r w:rsidR="003842D5">
        <w:rPr>
          <w:rFonts w:ascii="Trebuchet MS" w:eastAsia="Times New Roman" w:hAnsi="Trebuchet MS" w:cs="Segoe UI"/>
          <w:lang w:eastAsia="en-GB"/>
        </w:rPr>
        <w:t xml:space="preserve"> </w:t>
      </w:r>
      <w:r w:rsidRPr="002C7362">
        <w:rPr>
          <w:rFonts w:ascii="Trebuchet MS" w:eastAsia="Times New Roman" w:hAnsi="Trebuchet MS" w:cs="Segoe UI"/>
          <w:lang w:eastAsia="en-GB"/>
        </w:rPr>
        <w:t>breaking with consistently negative consequences for individuals and organisations. Distinguishing between the two enables people professionals to respond proportionately</w:t>
      </w:r>
      <w:r w:rsidR="00D5413C">
        <w:rPr>
          <w:rFonts w:ascii="Trebuchet MS" w:eastAsia="Times New Roman" w:hAnsi="Trebuchet MS" w:cs="Segoe UI"/>
          <w:lang w:eastAsia="en-GB"/>
        </w:rPr>
        <w:t>.</w:t>
      </w:r>
    </w:p>
    <w:p w14:paraId="4874E250" w14:textId="6437D370" w:rsidR="00B42BAE" w:rsidRPr="00001F7A" w:rsidRDefault="00B42BAE" w:rsidP="00B42BAE">
      <w:pPr>
        <w:pBdr>
          <w:top w:val="nil"/>
          <w:left w:val="nil"/>
          <w:bottom w:val="nil"/>
          <w:right w:val="nil"/>
          <w:between w:val="nil"/>
          <w:bar w:val="nil"/>
        </w:pBdr>
        <w:spacing w:after="0" w:line="240" w:lineRule="auto"/>
        <w:rPr>
          <w:rFonts w:ascii="Trebuchet MS" w:eastAsia="Arial Unicode MS" w:hAnsi="Trebuchet MS" w:cs="Arial Unicode MS"/>
          <w:b/>
          <w:bCs/>
          <w:color w:val="4472C4" w:themeColor="accent1"/>
          <w:u w:color="000000"/>
          <w:bdr w:val="nil"/>
          <w:lang w:val="en-US" w:eastAsia="en-GB"/>
        </w:rPr>
      </w:pPr>
      <w:r w:rsidRPr="00001F7A">
        <w:rPr>
          <w:rFonts w:ascii="Trebuchet MS" w:eastAsia="Arial Unicode MS" w:hAnsi="Trebuchet MS" w:cs="Arial Unicode MS"/>
          <w:b/>
          <w:bCs/>
          <w:color w:val="4472C4" w:themeColor="accent1"/>
          <w:u w:color="000000"/>
          <w:bdr w:val="nil"/>
          <w:lang w:val="en-US" w:eastAsia="en-GB"/>
        </w:rPr>
        <w:t>AC 2.2</w:t>
      </w:r>
    </w:p>
    <w:p w14:paraId="4883A72D" w14:textId="3378AE6F" w:rsidR="00EF09B3" w:rsidRPr="0020544B" w:rsidRDefault="00210084" w:rsidP="0020544B">
      <w:pPr>
        <w:spacing w:before="100" w:beforeAutospacing="1" w:after="100" w:afterAutospacing="1" w:line="240" w:lineRule="auto"/>
        <w:jc w:val="both"/>
        <w:rPr>
          <w:rFonts w:ascii="Trebuchet MS" w:eastAsia="Times New Roman" w:hAnsi="Trebuchet MS" w:cs="Segoe UI"/>
          <w:lang w:eastAsia="en-GB"/>
        </w:rPr>
      </w:pPr>
      <w:r w:rsidRPr="0020544B">
        <w:rPr>
          <w:rFonts w:ascii="Trebuchet MS" w:eastAsia="Times New Roman" w:hAnsi="Trebuchet MS" w:cs="Segoe UI"/>
          <w:lang w:eastAsia="en-GB"/>
        </w:rPr>
        <w:t>In</w:t>
      </w:r>
      <w:r w:rsidR="00EF09B3" w:rsidRPr="00EF09B3">
        <w:rPr>
          <w:rFonts w:ascii="Trebuchet MS" w:eastAsia="Times New Roman" w:hAnsi="Trebuchet MS" w:cs="Segoe UI"/>
          <w:lang w:eastAsia="en-GB"/>
        </w:rPr>
        <w:t xml:space="preserve"> assess</w:t>
      </w:r>
      <w:r w:rsidRPr="0020544B">
        <w:rPr>
          <w:rFonts w:ascii="Trebuchet MS" w:eastAsia="Times New Roman" w:hAnsi="Trebuchet MS" w:cs="Segoe UI"/>
          <w:lang w:eastAsia="en-GB"/>
        </w:rPr>
        <w:t>ing</w:t>
      </w:r>
      <w:r w:rsidR="00EF09B3" w:rsidRPr="00EF09B3">
        <w:rPr>
          <w:rFonts w:ascii="Trebuchet MS" w:eastAsia="Times New Roman" w:hAnsi="Trebuchet MS" w:cs="Segoe UI"/>
          <w:lang w:eastAsia="en-GB"/>
        </w:rPr>
        <w:t xml:space="preserve"> emerging trends, </w:t>
      </w:r>
      <w:r w:rsidR="00B26AFF" w:rsidRPr="0020544B">
        <w:rPr>
          <w:rFonts w:ascii="Trebuchet MS" w:eastAsia="Times New Roman" w:hAnsi="Trebuchet MS" w:cs="Segoe UI"/>
          <w:lang w:eastAsia="en-GB"/>
        </w:rPr>
        <w:t>F</w:t>
      </w:r>
      <w:r w:rsidR="00EF09B3" w:rsidRPr="00EF09B3">
        <w:rPr>
          <w:rFonts w:ascii="Trebuchet MS" w:eastAsia="Times New Roman" w:hAnsi="Trebuchet MS" w:cs="Segoe UI"/>
          <w:lang w:eastAsia="en-GB"/>
        </w:rPr>
        <w:t xml:space="preserve">igure </w:t>
      </w:r>
      <w:r w:rsidR="00B26AFF" w:rsidRPr="0020544B">
        <w:rPr>
          <w:rFonts w:ascii="Trebuchet MS" w:eastAsia="Times New Roman" w:hAnsi="Trebuchet MS" w:cs="Segoe UI"/>
          <w:lang w:eastAsia="en-GB"/>
        </w:rPr>
        <w:t>2</w:t>
      </w:r>
      <w:r w:rsidR="002F009E" w:rsidRPr="0020544B">
        <w:rPr>
          <w:rFonts w:ascii="Trebuchet MS" w:eastAsia="Times New Roman" w:hAnsi="Trebuchet MS" w:cs="Segoe UI"/>
          <w:lang w:eastAsia="en-GB"/>
        </w:rPr>
        <w:t xml:space="preserve">, drawn from </w:t>
      </w:r>
      <w:r w:rsidRPr="0020544B">
        <w:rPr>
          <w:rFonts w:ascii="Trebuchet MS" w:eastAsia="Times New Roman" w:hAnsi="Trebuchet MS" w:cs="Segoe UI"/>
          <w:lang w:eastAsia="en-GB"/>
        </w:rPr>
        <w:t xml:space="preserve">recently published </w:t>
      </w:r>
      <w:r w:rsidR="002F009E" w:rsidRPr="0020544B">
        <w:rPr>
          <w:rFonts w:ascii="Trebuchet MS" w:eastAsia="Times New Roman" w:hAnsi="Trebuchet MS" w:cs="Segoe UI"/>
          <w:lang w:eastAsia="en-GB"/>
        </w:rPr>
        <w:t xml:space="preserve">ONS </w:t>
      </w:r>
      <w:r w:rsidRPr="0020544B">
        <w:rPr>
          <w:rFonts w:ascii="Trebuchet MS" w:eastAsia="Times New Roman" w:hAnsi="Trebuchet MS" w:cs="Segoe UI"/>
          <w:lang w:eastAsia="en-GB"/>
        </w:rPr>
        <w:t>l</w:t>
      </w:r>
      <w:r w:rsidR="002F009E" w:rsidRPr="0020544B">
        <w:rPr>
          <w:rFonts w:ascii="Trebuchet MS" w:eastAsia="Times New Roman" w:hAnsi="Trebuchet MS" w:cs="Segoe UI"/>
          <w:lang w:eastAsia="en-GB"/>
        </w:rPr>
        <w:t xml:space="preserve">abour </w:t>
      </w:r>
      <w:r w:rsidRPr="0020544B">
        <w:rPr>
          <w:rFonts w:ascii="Trebuchet MS" w:eastAsia="Times New Roman" w:hAnsi="Trebuchet MS" w:cs="Segoe UI"/>
          <w:lang w:eastAsia="en-GB"/>
        </w:rPr>
        <w:t>disputes data,</w:t>
      </w:r>
      <w:r w:rsidR="00B26AFF" w:rsidRPr="0020544B">
        <w:rPr>
          <w:rFonts w:ascii="Trebuchet MS" w:eastAsia="Times New Roman" w:hAnsi="Trebuchet MS" w:cs="Segoe UI"/>
          <w:lang w:eastAsia="en-GB"/>
        </w:rPr>
        <w:t xml:space="preserve"> places</w:t>
      </w:r>
      <w:r w:rsidR="00EF09B3" w:rsidRPr="00EF09B3">
        <w:rPr>
          <w:rFonts w:ascii="Trebuchet MS" w:eastAsia="Times New Roman" w:hAnsi="Trebuchet MS" w:cs="Segoe UI"/>
          <w:lang w:eastAsia="en-GB"/>
        </w:rPr>
        <w:t xml:space="preserve"> recent patterns of industrial action within a long</w:t>
      </w:r>
      <w:r w:rsidR="00EF09B3" w:rsidRPr="00EF09B3">
        <w:rPr>
          <w:rFonts w:ascii="Trebuchet MS" w:eastAsia="Times New Roman" w:hAnsi="Trebuchet MS" w:cs="Segoe UI"/>
          <w:lang w:eastAsia="en-GB"/>
        </w:rPr>
        <w:noBreakHyphen/>
        <w:t xml:space="preserve">term historical context. It shows that industrial conflict peaked sharply during the 1970s, before entering a prolonged period of decline through </w:t>
      </w:r>
      <w:r w:rsidR="001D6068" w:rsidRPr="0020544B">
        <w:rPr>
          <w:rFonts w:ascii="Trebuchet MS" w:eastAsia="Times New Roman" w:hAnsi="Trebuchet MS" w:cs="Segoe UI"/>
          <w:lang w:eastAsia="en-GB"/>
        </w:rPr>
        <w:t>subsequent decades</w:t>
      </w:r>
      <w:r w:rsidR="00EF09B3" w:rsidRPr="00EF09B3">
        <w:rPr>
          <w:rFonts w:ascii="Trebuchet MS" w:eastAsia="Times New Roman" w:hAnsi="Trebuchet MS" w:cs="Segoe UI"/>
          <w:lang w:eastAsia="en-GB"/>
        </w:rPr>
        <w:t xml:space="preserve">. </w:t>
      </w:r>
    </w:p>
    <w:p w14:paraId="639A990C" w14:textId="2E7F14C3" w:rsidR="000B58AD" w:rsidRPr="0020544B" w:rsidRDefault="00254876" w:rsidP="0020544B">
      <w:pPr>
        <w:spacing w:before="100" w:beforeAutospacing="1" w:after="100" w:afterAutospacing="1" w:line="240" w:lineRule="auto"/>
        <w:jc w:val="both"/>
        <w:rPr>
          <w:rFonts w:ascii="Trebuchet MS" w:eastAsia="Times New Roman" w:hAnsi="Trebuchet MS" w:cs="Segoe UI"/>
          <w:lang w:eastAsia="en-GB"/>
        </w:rPr>
      </w:pPr>
      <w:r>
        <w:rPr>
          <w:rFonts w:ascii="Trebuchet MS" w:eastAsia="Times New Roman" w:hAnsi="Trebuchet MS" w:cs="Segoe UI"/>
          <w:i/>
          <w:iCs/>
          <w:noProof/>
          <w:sz w:val="16"/>
          <w:szCs w:val="16"/>
          <w:lang w:eastAsia="en-GB"/>
        </w:rPr>
        <mc:AlternateContent>
          <mc:Choice Requires="wps">
            <w:drawing>
              <wp:anchor distT="0" distB="0" distL="114300" distR="114300" simplePos="0" relativeHeight="251659264" behindDoc="0" locked="0" layoutInCell="1" allowOverlap="1" wp14:anchorId="61757DF9" wp14:editId="4799FB69">
                <wp:simplePos x="0" y="0"/>
                <wp:positionH relativeFrom="margin">
                  <wp:align>center</wp:align>
                </wp:positionH>
                <wp:positionV relativeFrom="paragraph">
                  <wp:posOffset>1745766</wp:posOffset>
                </wp:positionV>
                <wp:extent cx="5495454" cy="253497"/>
                <wp:effectExtent l="0" t="0" r="0" b="0"/>
                <wp:wrapNone/>
                <wp:docPr id="2" name="Text Box 2"/>
                <wp:cNvGraphicFramePr/>
                <a:graphic xmlns:a="http://schemas.openxmlformats.org/drawingml/2006/main">
                  <a:graphicData uri="http://schemas.microsoft.com/office/word/2010/wordprocessingShape">
                    <wps:wsp>
                      <wps:cNvSpPr txBox="1"/>
                      <wps:spPr>
                        <a:xfrm>
                          <a:off x="0" y="0"/>
                          <a:ext cx="5495454" cy="253497"/>
                        </a:xfrm>
                        <a:prstGeom prst="rect">
                          <a:avLst/>
                        </a:prstGeom>
                        <a:solidFill>
                          <a:schemeClr val="lt1"/>
                        </a:solidFill>
                        <a:ln w="6350">
                          <a:noFill/>
                        </a:ln>
                      </wps:spPr>
                      <wps:txbx>
                        <w:txbxContent>
                          <w:p w14:paraId="7EEE0B62" w14:textId="1005B600" w:rsidR="00254876" w:rsidRDefault="00254876">
                            <w:r w:rsidRPr="00254876">
                              <w:rPr>
                                <w:rFonts w:ascii="Trebuchet MS" w:eastAsia="Times New Roman" w:hAnsi="Trebuchet MS" w:cs="Segoe UI"/>
                                <w:i/>
                                <w:iCs/>
                                <w:sz w:val="16"/>
                                <w:szCs w:val="16"/>
                                <w:lang w:eastAsia="en-GB"/>
                              </w:rPr>
                              <w:t>Figure 2: Drawn from ONS data on labour disputes (graph generated using AI software based on author selected data)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1757DF9" id="_x0000_t202" coordsize="21600,21600" o:spt="202" path="m,l,21600r21600,l21600,xe">
                <v:stroke joinstyle="miter"/>
                <v:path gradientshapeok="t" o:connecttype="rect"/>
              </v:shapetype>
              <v:shape id="Text Box 2" o:spid="_x0000_s1026" type="#_x0000_t202" style="position:absolute;left:0;text-align:left;margin-left:0;margin-top:137.45pt;width:432.7pt;height:19.95pt;z-index:2516592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" fillcolor="white [3201]" stroked="f" strokeweight=".5pt">
                <v:textbox>
                  <w:txbxContent>
                    <w:p w14:paraId="7EEE0B62" w14:textId="1005B600" w:rsidR="00254876" w:rsidRDefault="00254876">
                      <w:r w:rsidRPr="00254876">
                        <w:rPr>
                          <w:rFonts w:ascii="Trebuchet MS" w:eastAsia="Times New Roman" w:hAnsi="Trebuchet MS" w:cs="Segoe UI"/>
                          <w:i/>
                          <w:iCs/>
                          <w:sz w:val="16"/>
                          <w:szCs w:val="16"/>
                          <w:lang w:eastAsia="en-GB"/>
                        </w:rPr>
                        <w:t>Figure 2: Drawn from ONS data on labour disputes (graph generated using AI software based on author selected data)</w:t>
                      </w:r>
                    </w:p>
                  </w:txbxContent>
                </v:textbox>
                <w10:wrap anchorx="margin"/>
              </v:shape>
            </w:pict>
          </mc:Fallback>
        </mc:AlternateContent>
      </w:r>
      <w:r w:rsidR="00F2185A" w:rsidRPr="0020544B">
        <w:rPr>
          <w:rFonts w:ascii="Trebuchet MS" w:eastAsia="Trebuchet MS" w:hAnsi="Trebuchet MS" w:cs="Trebuchet MS"/>
          <w:b/>
          <w:bCs/>
          <w:noProof/>
          <w:color w:val="000000"/>
          <w:u w:color="000000"/>
          <w:bdr w:val="nil"/>
          <w:lang w:eastAsia="en-GB"/>
          <w14:textOutline w14:w="0" w14:cap="flat" w14:cmpd="sng" w14:algn="ctr">
            <w14:noFill/>
            <w14:prstDash w14:val="solid"/>
            <w14:bevel/>
          </w14:textOutline>
        </w:rPr>
        <w:drawing>
          <wp:inline distT="0" distB="0" distL="0" distR="0" wp14:anchorId="59D53A39" wp14:editId="68B53BC8">
            <wp:extent cx="5731510" cy="1915160"/>
            <wp:effectExtent l="0" t="0" r="254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1915160"/>
                    </a:xfrm>
                    <a:prstGeom prst="rect">
                      <a:avLst/>
                    </a:prstGeom>
                  </pic:spPr>
                </pic:pic>
              </a:graphicData>
            </a:graphic>
          </wp:inline>
        </w:drawing>
      </w:r>
    </w:p>
    <w:p w14:paraId="056D50FC" w14:textId="1F3C1DF6" w:rsidR="00CF2402" w:rsidRPr="00CF2402" w:rsidRDefault="00CF2402" w:rsidP="0020544B">
      <w:pPr>
        <w:spacing w:before="100" w:beforeAutospacing="1" w:after="100" w:afterAutospacing="1" w:line="240" w:lineRule="auto"/>
        <w:jc w:val="both"/>
        <w:rPr>
          <w:rFonts w:ascii="Trebuchet MS" w:eastAsia="Times New Roman" w:hAnsi="Trebuchet MS" w:cs="Segoe UI"/>
          <w:lang w:eastAsia="en-GB"/>
        </w:rPr>
      </w:pPr>
      <w:r w:rsidRPr="00CF2402">
        <w:rPr>
          <w:rFonts w:ascii="Trebuchet MS" w:eastAsia="Times New Roman" w:hAnsi="Trebuchet MS" w:cs="Segoe UI"/>
          <w:lang w:eastAsia="en-GB"/>
        </w:rPr>
        <w:t xml:space="preserve">The decline in industrial conflict after the 1970s reflects major changes in UK employment relations, including tighter trade union legislation, deindustrialisation and a shift towards individualised employment practices. These developments reduced union power and </w:t>
      </w:r>
      <w:r w:rsidRPr="00CF2402">
        <w:rPr>
          <w:rFonts w:ascii="Trebuchet MS" w:eastAsia="Times New Roman" w:hAnsi="Trebuchet MS" w:cs="Segoe UI"/>
          <w:lang w:eastAsia="en-GB"/>
        </w:rPr>
        <w:lastRenderedPageBreak/>
        <w:t>collective strike action, leading to historically low levels of industrial conflict by the 2010s (The Conversation, 2025; Economics Help, 2025; IEA, 2024).</w:t>
      </w:r>
    </w:p>
    <w:p w14:paraId="410D5830" w14:textId="3592BAAB" w:rsidR="003321AE" w:rsidRPr="003321AE" w:rsidRDefault="0097509A" w:rsidP="0020544B">
      <w:pPr>
        <w:spacing w:before="100" w:beforeAutospacing="1" w:after="100" w:afterAutospacing="1" w:line="240" w:lineRule="auto"/>
        <w:jc w:val="both"/>
        <w:rPr>
          <w:rFonts w:ascii="Trebuchet MS" w:eastAsia="Times New Roman" w:hAnsi="Trebuchet MS" w:cs="Segoe UI"/>
          <w:lang w:eastAsia="en-GB"/>
        </w:rPr>
      </w:pPr>
      <w:r w:rsidRPr="00EF09B3">
        <w:rPr>
          <w:rFonts w:ascii="Trebuchet MS" w:eastAsia="Times New Roman" w:hAnsi="Trebuchet MS" w:cs="Segoe UI"/>
          <w:lang w:eastAsia="en-GB"/>
        </w:rPr>
        <w:t xml:space="preserve">While levels recorded in the 2020s remain historically modest, </w:t>
      </w:r>
      <w:r w:rsidRPr="0020544B">
        <w:rPr>
          <w:rFonts w:ascii="Trebuchet MS" w:eastAsia="Times New Roman" w:hAnsi="Trebuchet MS" w:cs="Segoe UI"/>
          <w:lang w:eastAsia="en-GB"/>
        </w:rPr>
        <w:t>Figure 3, drawn from the same data sour</w:t>
      </w:r>
      <w:r w:rsidR="00680771" w:rsidRPr="0020544B">
        <w:rPr>
          <w:rFonts w:ascii="Trebuchet MS" w:eastAsia="Times New Roman" w:hAnsi="Trebuchet MS" w:cs="Segoe UI"/>
          <w:lang w:eastAsia="en-GB"/>
        </w:rPr>
        <w:t>c</w:t>
      </w:r>
      <w:r w:rsidRPr="0020544B">
        <w:rPr>
          <w:rFonts w:ascii="Trebuchet MS" w:eastAsia="Times New Roman" w:hAnsi="Trebuchet MS" w:cs="Segoe UI"/>
          <w:lang w:eastAsia="en-GB"/>
        </w:rPr>
        <w:t xml:space="preserve">e but focussing on quarterly movements from the 1990s </w:t>
      </w:r>
      <w:r w:rsidR="00EB5CFB" w:rsidRPr="0020544B">
        <w:rPr>
          <w:rFonts w:ascii="Trebuchet MS" w:eastAsia="Times New Roman" w:hAnsi="Trebuchet MS" w:cs="Segoe UI"/>
          <w:lang w:eastAsia="en-GB"/>
        </w:rPr>
        <w:t>to present day</w:t>
      </w:r>
      <w:r w:rsidR="00AB2050" w:rsidRPr="0020544B">
        <w:rPr>
          <w:rFonts w:ascii="Trebuchet MS" w:eastAsia="Times New Roman" w:hAnsi="Trebuchet MS" w:cs="Segoe UI"/>
          <w:lang w:eastAsia="en-GB"/>
        </w:rPr>
        <w:t>,</w:t>
      </w:r>
      <w:r w:rsidR="00EB5CFB" w:rsidRPr="0020544B">
        <w:rPr>
          <w:rFonts w:ascii="Trebuchet MS" w:eastAsia="Times New Roman" w:hAnsi="Trebuchet MS" w:cs="Segoe UI"/>
          <w:lang w:eastAsia="en-GB"/>
        </w:rPr>
        <w:t xml:space="preserve"> </w:t>
      </w:r>
      <w:r w:rsidRPr="0020544B">
        <w:rPr>
          <w:rFonts w:ascii="Trebuchet MS" w:eastAsia="Times New Roman" w:hAnsi="Trebuchet MS" w:cs="Segoe UI"/>
          <w:lang w:eastAsia="en-GB"/>
        </w:rPr>
        <w:t xml:space="preserve">clearly shows </w:t>
      </w:r>
      <w:r w:rsidR="003321AE" w:rsidRPr="003321AE">
        <w:rPr>
          <w:rFonts w:ascii="Trebuchet MS" w:eastAsia="Times New Roman" w:hAnsi="Trebuchet MS" w:cs="Segoe UI"/>
          <w:lang w:eastAsia="en-GB"/>
        </w:rPr>
        <w:t>a renewed resurgence in public</w:t>
      </w:r>
      <w:r w:rsidR="003321AE" w:rsidRPr="003321AE">
        <w:rPr>
          <w:rFonts w:ascii="Trebuchet MS" w:eastAsia="Times New Roman" w:hAnsi="Trebuchet MS" w:cs="Segoe UI"/>
          <w:lang w:eastAsia="en-GB"/>
        </w:rPr>
        <w:noBreakHyphen/>
        <w:t xml:space="preserve">sector industrial conflict following a prolonged period of low activity. </w:t>
      </w:r>
    </w:p>
    <w:p w14:paraId="1D18B0D8" w14:textId="5D649C9B" w:rsidR="00A168D2" w:rsidRPr="0020544B" w:rsidRDefault="004B6EF1" w:rsidP="0020544B">
      <w:pPr>
        <w:spacing w:before="100" w:beforeAutospacing="1" w:after="100" w:afterAutospacing="1" w:line="240" w:lineRule="auto"/>
        <w:jc w:val="both"/>
        <w:rPr>
          <w:rFonts w:ascii="Trebuchet MS" w:eastAsia="Times New Roman" w:hAnsi="Trebuchet MS" w:cs="Segoe UI"/>
          <w:lang w:eastAsia="en-GB"/>
        </w:rPr>
      </w:pPr>
      <w:r>
        <w:rPr>
          <w:rFonts w:ascii="Trebuchet MS" w:eastAsia="Times New Roman" w:hAnsi="Trebuchet MS" w:cs="Segoe UI"/>
          <w:i/>
          <w:iCs/>
          <w:noProof/>
          <w:sz w:val="16"/>
          <w:szCs w:val="16"/>
          <w:lang w:eastAsia="en-GB"/>
        </w:rPr>
        <mc:AlternateContent>
          <mc:Choice Requires="wps">
            <w:drawing>
              <wp:anchor distT="0" distB="0" distL="114300" distR="114300" simplePos="0" relativeHeight="251661312" behindDoc="0" locked="0" layoutInCell="1" allowOverlap="1" wp14:anchorId="55FEF6DC" wp14:editId="1EF12A2C">
                <wp:simplePos x="0" y="0"/>
                <wp:positionH relativeFrom="margin">
                  <wp:posOffset>271603</wp:posOffset>
                </wp:positionH>
                <wp:positionV relativeFrom="paragraph">
                  <wp:posOffset>1705440</wp:posOffset>
                </wp:positionV>
                <wp:extent cx="5495454" cy="253497"/>
                <wp:effectExtent l="0" t="0" r="0" b="0"/>
                <wp:wrapNone/>
                <wp:docPr id="3" name="Text Box 3"/>
                <wp:cNvGraphicFramePr/>
                <a:graphic xmlns:a="http://schemas.openxmlformats.org/drawingml/2006/main">
                  <a:graphicData uri="http://schemas.microsoft.com/office/word/2010/wordprocessingShape">
                    <wps:wsp>
                      <wps:cNvSpPr txBox="1"/>
                      <wps:spPr>
                        <a:xfrm>
                          <a:off x="0" y="0"/>
                          <a:ext cx="5495454" cy="253497"/>
                        </a:xfrm>
                        <a:prstGeom prst="rect">
                          <a:avLst/>
                        </a:prstGeom>
                        <a:solidFill>
                          <a:schemeClr val="lt1"/>
                        </a:solidFill>
                        <a:ln w="6350">
                          <a:noFill/>
                        </a:ln>
                      </wps:spPr>
                      <wps:txbx>
                        <w:txbxContent>
                          <w:p w14:paraId="22463D5E" w14:textId="52FF7014" w:rsidR="004B6EF1" w:rsidRDefault="004B6EF1" w:rsidP="004B6EF1">
                            <w:r w:rsidRPr="00254876">
                              <w:rPr>
                                <w:rFonts w:ascii="Trebuchet MS" w:eastAsia="Times New Roman" w:hAnsi="Trebuchet MS" w:cs="Segoe UI"/>
                                <w:i/>
                                <w:iCs/>
                                <w:sz w:val="16"/>
                                <w:szCs w:val="16"/>
                                <w:lang w:eastAsia="en-GB"/>
                              </w:rPr>
                              <w:t xml:space="preserve">Figure </w:t>
                            </w:r>
                            <w:r>
                              <w:rPr>
                                <w:rFonts w:ascii="Trebuchet MS" w:eastAsia="Times New Roman" w:hAnsi="Trebuchet MS" w:cs="Segoe UI"/>
                                <w:i/>
                                <w:iCs/>
                                <w:sz w:val="16"/>
                                <w:szCs w:val="16"/>
                                <w:lang w:eastAsia="en-GB"/>
                              </w:rPr>
                              <w:t>3</w:t>
                            </w:r>
                            <w:r w:rsidRPr="00254876">
                              <w:rPr>
                                <w:rFonts w:ascii="Trebuchet MS" w:eastAsia="Times New Roman" w:hAnsi="Trebuchet MS" w:cs="Segoe UI"/>
                                <w:i/>
                                <w:iCs/>
                                <w:sz w:val="16"/>
                                <w:szCs w:val="16"/>
                                <w:lang w:eastAsia="en-GB"/>
                              </w:rPr>
                              <w:t>: Drawn from ONS data on labour disputes (graph generated using AI software based on author selected data)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FEF6DC" id="Text Box 3" o:spid="_x0000_s1027" type="#_x0000_t202" style="position:absolute;left:0;text-align:left;margin-left:21.4pt;margin-top:134.3pt;width:432.7pt;height:19.9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" fillcolor="white [3201]" stroked="f" strokeweight=".5pt">
                <v:textbox>
                  <w:txbxContent>
                    <w:p w14:paraId="22463D5E" w14:textId="52FF7014" w:rsidR="004B6EF1" w:rsidRDefault="004B6EF1" w:rsidP="004B6EF1">
                      <w:r w:rsidRPr="00254876">
                        <w:rPr>
                          <w:rFonts w:ascii="Trebuchet MS" w:eastAsia="Times New Roman" w:hAnsi="Trebuchet MS" w:cs="Segoe UI"/>
                          <w:i/>
                          <w:iCs/>
                          <w:sz w:val="16"/>
                          <w:szCs w:val="16"/>
                          <w:lang w:eastAsia="en-GB"/>
                        </w:rPr>
                        <w:t xml:space="preserve">Figure </w:t>
                      </w:r>
                      <w:r>
                        <w:rPr>
                          <w:rFonts w:ascii="Trebuchet MS" w:eastAsia="Times New Roman" w:hAnsi="Trebuchet MS" w:cs="Segoe UI"/>
                          <w:i/>
                          <w:iCs/>
                          <w:sz w:val="16"/>
                          <w:szCs w:val="16"/>
                          <w:lang w:eastAsia="en-GB"/>
                        </w:rPr>
                        <w:t>3</w:t>
                      </w:r>
                      <w:r w:rsidRPr="00254876">
                        <w:rPr>
                          <w:rFonts w:ascii="Trebuchet MS" w:eastAsia="Times New Roman" w:hAnsi="Trebuchet MS" w:cs="Segoe UI"/>
                          <w:i/>
                          <w:iCs/>
                          <w:sz w:val="16"/>
                          <w:szCs w:val="16"/>
                          <w:lang w:eastAsia="en-GB"/>
                        </w:rPr>
                        <w:t>: Drawn from ONS data on labour disputes (graph generated using AI software based on author selected data)</w:t>
                      </w:r>
                    </w:p>
                  </w:txbxContent>
                </v:textbox>
                <w10:wrap anchorx="margin"/>
              </v:shape>
            </w:pict>
          </mc:Fallback>
        </mc:AlternateContent>
      </w:r>
      <w:r w:rsidR="00AB698F" w:rsidRPr="0020544B">
        <w:rPr>
          <w:rFonts w:ascii="Trebuchet MS" w:eastAsia="Times New Roman" w:hAnsi="Trebuchet MS" w:cs="Segoe UI"/>
          <w:noProof/>
          <w:lang w:eastAsia="en-GB"/>
        </w:rPr>
        <w:drawing>
          <wp:inline distT="0" distB="0" distL="0" distR="0" wp14:anchorId="1E007CA1" wp14:editId="1317DABA">
            <wp:extent cx="5731510" cy="185356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1853565"/>
                    </a:xfrm>
                    <a:prstGeom prst="rect">
                      <a:avLst/>
                    </a:prstGeom>
                  </pic:spPr>
                </pic:pic>
              </a:graphicData>
            </a:graphic>
          </wp:inline>
        </w:drawing>
      </w:r>
    </w:p>
    <w:p w14:paraId="0FAA3898" w14:textId="0CF52D5C" w:rsidR="00A168D2" w:rsidRPr="0020544B" w:rsidRDefault="00914D89" w:rsidP="0020544B">
      <w:pPr>
        <w:spacing w:before="100" w:beforeAutospacing="1" w:after="100" w:afterAutospacing="1" w:line="240" w:lineRule="auto"/>
        <w:jc w:val="both"/>
        <w:rPr>
          <w:rFonts w:ascii="Trebuchet MS" w:eastAsia="Times New Roman" w:hAnsi="Trebuchet MS" w:cs="Segoe UI"/>
          <w:lang w:eastAsia="en-GB"/>
        </w:rPr>
      </w:pPr>
      <w:r w:rsidRPr="0020544B">
        <w:rPr>
          <w:rFonts w:ascii="Trebuchet MS" w:eastAsia="Times New Roman" w:hAnsi="Trebuchet MS" w:cs="Segoe UI"/>
          <w:lang w:eastAsia="en-GB"/>
        </w:rPr>
        <w:t>Statistics shows a sharp rise in working days lost to strikes since 2022, with disputes largely driven by pay erosion and cost</w:t>
      </w:r>
      <w:r w:rsidRPr="0020544B">
        <w:rPr>
          <w:rFonts w:ascii="Trebuchet MS" w:eastAsia="Times New Roman" w:hAnsi="Trebuchet MS" w:cs="Segoe UI"/>
          <w:lang w:eastAsia="en-GB"/>
        </w:rPr>
        <w:noBreakHyphen/>
        <w:t>of</w:t>
      </w:r>
      <w:r w:rsidRPr="0020544B">
        <w:rPr>
          <w:rFonts w:ascii="Trebuchet MS" w:eastAsia="Times New Roman" w:hAnsi="Trebuchet MS" w:cs="Segoe UI"/>
          <w:lang w:eastAsia="en-GB"/>
        </w:rPr>
        <w:noBreakHyphen/>
        <w:t>living pressures (ONS, 2023). Industrial action in sectors such as health, education and transport continued into 2024 and 2025, highlighting renewed union activity after decades of relative decline. However, the nature of action has changed, with unions increasingly favouring short, targeted or rolling strikes to maximise impact while limiting financial loss for members (DWF Group, 2025).</w:t>
      </w:r>
    </w:p>
    <w:p w14:paraId="1AB769EA" w14:textId="780966B7" w:rsidR="00636F3C" w:rsidRPr="0020544B" w:rsidRDefault="0065410C" w:rsidP="0020544B">
      <w:pPr>
        <w:spacing w:before="100" w:beforeAutospacing="1" w:after="100" w:afterAutospacing="1" w:line="240" w:lineRule="auto"/>
        <w:jc w:val="both"/>
        <w:rPr>
          <w:rFonts w:ascii="Trebuchet MS" w:eastAsia="Times New Roman" w:hAnsi="Trebuchet MS" w:cs="Segoe UI"/>
          <w:lang w:eastAsia="en-GB"/>
        </w:rPr>
      </w:pPr>
      <w:proofErr w:type="spellStart"/>
      <w:r w:rsidRPr="0065410C">
        <w:rPr>
          <w:rFonts w:ascii="Trebuchet MS" w:eastAsia="Times New Roman" w:hAnsi="Trebuchet MS" w:cs="Segoe UI"/>
          <w:lang w:eastAsia="en-GB"/>
        </w:rPr>
        <w:t>Acas</w:t>
      </w:r>
      <w:proofErr w:type="spellEnd"/>
      <w:r w:rsidRPr="0065410C">
        <w:rPr>
          <w:rFonts w:ascii="Trebuchet MS" w:eastAsia="Times New Roman" w:hAnsi="Trebuchet MS" w:cs="Segoe UI"/>
          <w:lang w:eastAsia="en-GB"/>
        </w:rPr>
        <w:t xml:space="preserve"> and CIPD evidence suggest </w:t>
      </w:r>
      <w:r w:rsidR="005E2677" w:rsidRPr="0020544B">
        <w:rPr>
          <w:rFonts w:ascii="Trebuchet MS" w:eastAsia="Times New Roman" w:hAnsi="Trebuchet MS" w:cs="Segoe UI"/>
          <w:lang w:eastAsia="en-GB"/>
        </w:rPr>
        <w:t>a</w:t>
      </w:r>
      <w:r w:rsidRPr="0065410C">
        <w:rPr>
          <w:rFonts w:ascii="Trebuchet MS" w:eastAsia="Times New Roman" w:hAnsi="Trebuchet MS" w:cs="Segoe UI"/>
          <w:lang w:eastAsia="en-GB"/>
        </w:rPr>
        <w:t xml:space="preserve"> </w:t>
      </w:r>
      <w:r w:rsidR="00306A68" w:rsidRPr="0020544B">
        <w:rPr>
          <w:rFonts w:ascii="Trebuchet MS" w:eastAsia="Times New Roman" w:hAnsi="Trebuchet MS" w:cs="Segoe UI"/>
          <w:lang w:eastAsia="en-GB"/>
        </w:rPr>
        <w:t xml:space="preserve">resurgence in </w:t>
      </w:r>
      <w:r w:rsidR="00AB7636" w:rsidRPr="0020544B">
        <w:rPr>
          <w:rFonts w:ascii="Trebuchet MS" w:eastAsia="Times New Roman" w:hAnsi="Trebuchet MS" w:cs="Segoe UI"/>
          <w:lang w:eastAsia="en-GB"/>
        </w:rPr>
        <w:t xml:space="preserve">the number of industrial disputes </w:t>
      </w:r>
      <w:r w:rsidRPr="0065410C">
        <w:rPr>
          <w:rFonts w:ascii="Trebuchet MS" w:eastAsia="Times New Roman" w:hAnsi="Trebuchet MS" w:cs="Segoe UI"/>
          <w:lang w:eastAsia="en-GB"/>
        </w:rPr>
        <w:t xml:space="preserve">follows a prolonged period </w:t>
      </w:r>
      <w:r w:rsidR="00BA0B83">
        <w:rPr>
          <w:rFonts w:ascii="Trebuchet MS" w:eastAsia="Times New Roman" w:hAnsi="Trebuchet MS" w:cs="Segoe UI"/>
          <w:lang w:eastAsia="en-GB"/>
        </w:rPr>
        <w:t>where</w:t>
      </w:r>
      <w:r w:rsidRPr="0065410C">
        <w:rPr>
          <w:rFonts w:ascii="Trebuchet MS" w:eastAsia="Times New Roman" w:hAnsi="Trebuchet MS" w:cs="Segoe UI"/>
          <w:lang w:eastAsia="en-GB"/>
        </w:rPr>
        <w:t xml:space="preserve"> workplace conflict was increasingly individualised, with grievances and tribunal claims rising sharply as collective sanctions declined (ONS, 2026; </w:t>
      </w:r>
      <w:proofErr w:type="spellStart"/>
      <w:r w:rsidRPr="0065410C">
        <w:rPr>
          <w:rFonts w:ascii="Trebuchet MS" w:eastAsia="Times New Roman" w:hAnsi="Trebuchet MS" w:cs="Segoe UI"/>
          <w:lang w:eastAsia="en-GB"/>
        </w:rPr>
        <w:t>Acas</w:t>
      </w:r>
      <w:proofErr w:type="spellEnd"/>
      <w:r w:rsidRPr="0065410C">
        <w:rPr>
          <w:rFonts w:ascii="Trebuchet MS" w:eastAsia="Times New Roman" w:hAnsi="Trebuchet MS" w:cs="Segoe UI"/>
          <w:lang w:eastAsia="en-GB"/>
        </w:rPr>
        <w:t xml:space="preserve">, 2025). </w:t>
      </w:r>
    </w:p>
    <w:p w14:paraId="0A47ED61" w14:textId="0E0761CF" w:rsidR="00832107" w:rsidRPr="00832107" w:rsidRDefault="00F32C56" w:rsidP="0020544B">
      <w:pPr>
        <w:spacing w:before="100" w:beforeAutospacing="1" w:after="100" w:afterAutospacing="1" w:line="240" w:lineRule="auto"/>
        <w:jc w:val="both"/>
        <w:rPr>
          <w:rFonts w:ascii="Trebuchet MS" w:eastAsia="Times New Roman" w:hAnsi="Trebuchet MS" w:cs="Segoe UI"/>
          <w:lang w:eastAsia="en-GB"/>
        </w:rPr>
      </w:pPr>
      <w:r w:rsidRPr="0020544B">
        <w:rPr>
          <w:rFonts w:ascii="Trebuchet MS" w:eastAsia="Times New Roman" w:hAnsi="Trebuchet MS" w:cs="Segoe UI"/>
          <w:lang w:eastAsia="en-GB"/>
        </w:rPr>
        <w:t>The graph shown below</w:t>
      </w:r>
      <w:r w:rsidR="00412DE0" w:rsidRPr="0020544B">
        <w:rPr>
          <w:rFonts w:ascii="Trebuchet MS" w:eastAsia="Times New Roman" w:hAnsi="Trebuchet MS" w:cs="Segoe UI"/>
          <w:lang w:eastAsia="en-GB"/>
        </w:rPr>
        <w:t xml:space="preserve"> (</w:t>
      </w:r>
      <w:r w:rsidR="00832107" w:rsidRPr="0020544B">
        <w:rPr>
          <w:rFonts w:ascii="Trebuchet MS" w:eastAsia="Times New Roman" w:hAnsi="Trebuchet MS" w:cs="Segoe UI"/>
          <w:lang w:eastAsia="en-GB"/>
        </w:rPr>
        <w:t xml:space="preserve">Figure </w:t>
      </w:r>
      <w:r w:rsidR="00573C81">
        <w:rPr>
          <w:rFonts w:ascii="Trebuchet MS" w:eastAsia="Times New Roman" w:hAnsi="Trebuchet MS" w:cs="Segoe UI"/>
          <w:lang w:eastAsia="en-GB"/>
        </w:rPr>
        <w:t>4</w:t>
      </w:r>
      <w:r w:rsidR="00412DE0" w:rsidRPr="0020544B">
        <w:rPr>
          <w:rFonts w:ascii="Trebuchet MS" w:eastAsia="Times New Roman" w:hAnsi="Trebuchet MS" w:cs="Segoe UI"/>
          <w:lang w:eastAsia="en-GB"/>
        </w:rPr>
        <w:t>)</w:t>
      </w:r>
      <w:r w:rsidR="00832107" w:rsidRPr="0020544B">
        <w:rPr>
          <w:rFonts w:ascii="Trebuchet MS" w:eastAsia="Times New Roman" w:hAnsi="Trebuchet MS" w:cs="Segoe UI"/>
          <w:lang w:eastAsia="en-GB"/>
        </w:rPr>
        <w:t xml:space="preserve">, based </w:t>
      </w:r>
      <w:r w:rsidRPr="0020544B">
        <w:rPr>
          <w:rFonts w:ascii="Trebuchet MS" w:eastAsia="Times New Roman" w:hAnsi="Trebuchet MS" w:cs="Segoe UI"/>
          <w:lang w:eastAsia="en-GB"/>
        </w:rPr>
        <w:t>on Ministry of Justice statistics</w:t>
      </w:r>
      <w:r w:rsidR="00832107" w:rsidRPr="00832107">
        <w:rPr>
          <w:rFonts w:ascii="Trebuchet MS" w:eastAsia="Times New Roman" w:hAnsi="Trebuchet MS" w:cs="Segoe UI"/>
          <w:lang w:eastAsia="en-GB"/>
        </w:rPr>
        <w:t xml:space="preserve"> show a sustained upward trend in employment tribunal claims over the past decade</w:t>
      </w:r>
      <w:r w:rsidR="00412DE0" w:rsidRPr="0020544B">
        <w:rPr>
          <w:rFonts w:ascii="Trebuchet MS" w:eastAsia="Times New Roman" w:hAnsi="Trebuchet MS" w:cs="Segoe UI"/>
          <w:lang w:eastAsia="en-GB"/>
        </w:rPr>
        <w:t xml:space="preserve"> (</w:t>
      </w:r>
      <w:r w:rsidR="00832107" w:rsidRPr="00832107">
        <w:rPr>
          <w:rFonts w:ascii="Trebuchet MS" w:eastAsia="Times New Roman" w:hAnsi="Trebuchet MS" w:cs="Segoe UI"/>
          <w:lang w:eastAsia="en-GB"/>
        </w:rPr>
        <w:t>with a brief dip during 2020</w:t>
      </w:r>
      <w:r w:rsidR="00E728CD">
        <w:rPr>
          <w:rFonts w:ascii="Trebuchet MS" w:eastAsia="Times New Roman" w:hAnsi="Trebuchet MS" w:cs="Segoe UI"/>
          <w:lang w:eastAsia="en-GB"/>
        </w:rPr>
        <w:t>/</w:t>
      </w:r>
      <w:r w:rsidR="00832107" w:rsidRPr="00832107">
        <w:rPr>
          <w:rFonts w:ascii="Trebuchet MS" w:eastAsia="Times New Roman" w:hAnsi="Trebuchet MS" w:cs="Segoe UI"/>
          <w:lang w:eastAsia="en-GB"/>
        </w:rPr>
        <w:t>21 linked to COVID</w:t>
      </w:r>
      <w:r w:rsidR="00832107" w:rsidRPr="00832107">
        <w:rPr>
          <w:rFonts w:ascii="Trebuchet MS" w:eastAsia="Times New Roman" w:hAnsi="Trebuchet MS" w:cs="Segoe UI"/>
          <w:lang w:eastAsia="en-GB"/>
        </w:rPr>
        <w:noBreakHyphen/>
        <w:t>19 disruption</w:t>
      </w:r>
      <w:r w:rsidR="00412DE0" w:rsidRPr="0020544B">
        <w:rPr>
          <w:rFonts w:ascii="Trebuchet MS" w:eastAsia="Times New Roman" w:hAnsi="Trebuchet MS" w:cs="Segoe UI"/>
          <w:lang w:eastAsia="en-GB"/>
        </w:rPr>
        <w:t xml:space="preserve">) </w:t>
      </w:r>
      <w:r w:rsidR="00832107" w:rsidRPr="00832107">
        <w:rPr>
          <w:rFonts w:ascii="Trebuchet MS" w:eastAsia="Times New Roman" w:hAnsi="Trebuchet MS" w:cs="Segoe UI"/>
          <w:lang w:eastAsia="en-GB"/>
        </w:rPr>
        <w:t>indicating a growing reliance on individual, legalised forms of conflict at a time when collective industrial action had been comparatively subdued.</w:t>
      </w:r>
    </w:p>
    <w:p w14:paraId="1C4F1A03" w14:textId="6543C85A" w:rsidR="00636F3C" w:rsidRPr="0020544B" w:rsidRDefault="00573C81" w:rsidP="0020544B">
      <w:pPr>
        <w:spacing w:before="100" w:beforeAutospacing="1" w:after="100" w:afterAutospacing="1" w:line="240" w:lineRule="auto"/>
        <w:jc w:val="both"/>
        <w:rPr>
          <w:rFonts w:ascii="Trebuchet MS" w:eastAsia="Times New Roman" w:hAnsi="Trebuchet MS" w:cs="Segoe UI"/>
          <w:lang w:eastAsia="en-GB"/>
        </w:rPr>
      </w:pPr>
      <w:r>
        <w:rPr>
          <w:rFonts w:ascii="Trebuchet MS" w:eastAsia="Times New Roman" w:hAnsi="Trebuchet MS" w:cs="Segoe UI"/>
          <w:i/>
          <w:iCs/>
          <w:noProof/>
          <w:sz w:val="16"/>
          <w:szCs w:val="16"/>
          <w:lang w:eastAsia="en-GB"/>
        </w:rPr>
        <mc:AlternateContent>
          <mc:Choice Requires="wps">
            <w:drawing>
              <wp:anchor distT="0" distB="0" distL="114300" distR="114300" simplePos="0" relativeHeight="251663360" behindDoc="0" locked="0" layoutInCell="1" allowOverlap="1" wp14:anchorId="3E8D342E" wp14:editId="746A17EF">
                <wp:simplePos x="0" y="0"/>
                <wp:positionH relativeFrom="margin">
                  <wp:align>center</wp:align>
                </wp:positionH>
                <wp:positionV relativeFrom="paragraph">
                  <wp:posOffset>1821193</wp:posOffset>
                </wp:positionV>
                <wp:extent cx="5495454" cy="253497"/>
                <wp:effectExtent l="0" t="0" r="0" b="0"/>
                <wp:wrapNone/>
                <wp:docPr id="7" name="Text Box 7"/>
                <wp:cNvGraphicFramePr/>
                <a:graphic xmlns:a="http://schemas.openxmlformats.org/drawingml/2006/main">
                  <a:graphicData uri="http://schemas.microsoft.com/office/word/2010/wordprocessingShape">
                    <wps:wsp>
                      <wps:cNvSpPr txBox="1"/>
                      <wps:spPr>
                        <a:xfrm>
                          <a:off x="0" y="0"/>
                          <a:ext cx="5495454" cy="253497"/>
                        </a:xfrm>
                        <a:prstGeom prst="rect">
                          <a:avLst/>
                        </a:prstGeom>
                        <a:solidFill>
                          <a:schemeClr val="lt1"/>
                        </a:solidFill>
                        <a:ln w="6350">
                          <a:noFill/>
                        </a:ln>
                      </wps:spPr>
                      <wps:txbx>
                        <w:txbxContent>
                          <w:p w14:paraId="16B3C5C1" w14:textId="1110F618" w:rsidR="00573C81" w:rsidRDefault="00573C81" w:rsidP="00573C81">
                            <w:r w:rsidRPr="00254876">
                              <w:rPr>
                                <w:rFonts w:ascii="Trebuchet MS" w:eastAsia="Times New Roman" w:hAnsi="Trebuchet MS" w:cs="Segoe UI"/>
                                <w:i/>
                                <w:iCs/>
                                <w:sz w:val="16"/>
                                <w:szCs w:val="16"/>
                                <w:lang w:eastAsia="en-GB"/>
                              </w:rPr>
                              <w:t xml:space="preserve">Figure </w:t>
                            </w:r>
                            <w:r>
                              <w:rPr>
                                <w:rFonts w:ascii="Trebuchet MS" w:eastAsia="Times New Roman" w:hAnsi="Trebuchet MS" w:cs="Segoe UI"/>
                                <w:i/>
                                <w:iCs/>
                                <w:sz w:val="16"/>
                                <w:szCs w:val="16"/>
                                <w:lang w:eastAsia="en-GB"/>
                              </w:rPr>
                              <w:t>3</w:t>
                            </w:r>
                            <w:r w:rsidRPr="00254876">
                              <w:rPr>
                                <w:rFonts w:ascii="Trebuchet MS" w:eastAsia="Times New Roman" w:hAnsi="Trebuchet MS" w:cs="Segoe UI"/>
                                <w:i/>
                                <w:iCs/>
                                <w:sz w:val="16"/>
                                <w:szCs w:val="16"/>
                                <w:lang w:eastAsia="en-GB"/>
                              </w:rPr>
                              <w:t xml:space="preserve">: Drawn from </w:t>
                            </w:r>
                            <w:r w:rsidR="00E728CD">
                              <w:rPr>
                                <w:rFonts w:ascii="Trebuchet MS" w:eastAsia="Times New Roman" w:hAnsi="Trebuchet MS" w:cs="Segoe UI"/>
                                <w:i/>
                                <w:iCs/>
                                <w:sz w:val="16"/>
                                <w:szCs w:val="16"/>
                                <w:lang w:eastAsia="en-GB"/>
                              </w:rPr>
                              <w:t>Ministry of Justice data</w:t>
                            </w:r>
                            <w:r w:rsidRPr="00254876">
                              <w:rPr>
                                <w:rFonts w:ascii="Trebuchet MS" w:eastAsia="Times New Roman" w:hAnsi="Trebuchet MS" w:cs="Segoe UI"/>
                                <w:i/>
                                <w:iCs/>
                                <w:sz w:val="16"/>
                                <w:szCs w:val="16"/>
                                <w:lang w:eastAsia="en-GB"/>
                              </w:rPr>
                              <w:t xml:space="preserve"> (graph generated using AI software based on author selected data)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8D342E" id="Text Box 7" o:spid="_x0000_s1028" type="#_x0000_t202" style="position:absolute;left:0;text-align:left;margin-left:0;margin-top:143.4pt;width:432.7pt;height:19.95pt;z-index:25166336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" fillcolor="white [3201]" stroked="f" strokeweight=".5pt">
                <v:textbox>
                  <w:txbxContent>
                    <w:p w14:paraId="16B3C5C1" w14:textId="1110F618" w:rsidR="00573C81" w:rsidRDefault="00573C81" w:rsidP="00573C81">
                      <w:r w:rsidRPr="00254876">
                        <w:rPr>
                          <w:rFonts w:ascii="Trebuchet MS" w:eastAsia="Times New Roman" w:hAnsi="Trebuchet MS" w:cs="Segoe UI"/>
                          <w:i/>
                          <w:iCs/>
                          <w:sz w:val="16"/>
                          <w:szCs w:val="16"/>
                          <w:lang w:eastAsia="en-GB"/>
                        </w:rPr>
                        <w:t xml:space="preserve">Figure </w:t>
                      </w:r>
                      <w:r>
                        <w:rPr>
                          <w:rFonts w:ascii="Trebuchet MS" w:eastAsia="Times New Roman" w:hAnsi="Trebuchet MS" w:cs="Segoe UI"/>
                          <w:i/>
                          <w:iCs/>
                          <w:sz w:val="16"/>
                          <w:szCs w:val="16"/>
                          <w:lang w:eastAsia="en-GB"/>
                        </w:rPr>
                        <w:t>3</w:t>
                      </w:r>
                      <w:r w:rsidRPr="00254876">
                        <w:rPr>
                          <w:rFonts w:ascii="Trebuchet MS" w:eastAsia="Times New Roman" w:hAnsi="Trebuchet MS" w:cs="Segoe UI"/>
                          <w:i/>
                          <w:iCs/>
                          <w:sz w:val="16"/>
                          <w:szCs w:val="16"/>
                          <w:lang w:eastAsia="en-GB"/>
                        </w:rPr>
                        <w:t xml:space="preserve">: Drawn from </w:t>
                      </w:r>
                      <w:r w:rsidR="00E728CD">
                        <w:rPr>
                          <w:rFonts w:ascii="Trebuchet MS" w:eastAsia="Times New Roman" w:hAnsi="Trebuchet MS" w:cs="Segoe UI"/>
                          <w:i/>
                          <w:iCs/>
                          <w:sz w:val="16"/>
                          <w:szCs w:val="16"/>
                          <w:lang w:eastAsia="en-GB"/>
                        </w:rPr>
                        <w:t>Ministry of Justice data</w:t>
                      </w:r>
                      <w:r w:rsidRPr="00254876">
                        <w:rPr>
                          <w:rFonts w:ascii="Trebuchet MS" w:eastAsia="Times New Roman" w:hAnsi="Trebuchet MS" w:cs="Segoe UI"/>
                          <w:i/>
                          <w:iCs/>
                          <w:sz w:val="16"/>
                          <w:szCs w:val="16"/>
                          <w:lang w:eastAsia="en-GB"/>
                        </w:rPr>
                        <w:t xml:space="preserve"> (graph generated using AI software based on author selected data)</w:t>
                      </w:r>
                    </w:p>
                  </w:txbxContent>
                </v:textbox>
                <w10:wrap anchorx="margin"/>
              </v:shape>
            </w:pict>
          </mc:Fallback>
        </mc:AlternateContent>
      </w:r>
      <w:r w:rsidR="00FE32A3" w:rsidRPr="0020544B">
        <w:rPr>
          <w:rFonts w:ascii="Trebuchet MS" w:eastAsia="Times New Roman" w:hAnsi="Trebuchet MS" w:cs="Segoe UI"/>
          <w:noProof/>
          <w:lang w:eastAsia="en-GB"/>
        </w:rPr>
        <w:drawing>
          <wp:inline distT="0" distB="0" distL="0" distR="0" wp14:anchorId="1B211CCA" wp14:editId="3B8219B0">
            <wp:extent cx="5731510" cy="1915795"/>
            <wp:effectExtent l="0" t="0" r="2540" b="825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1915795"/>
                    </a:xfrm>
                    <a:prstGeom prst="rect">
                      <a:avLst/>
                    </a:prstGeom>
                  </pic:spPr>
                </pic:pic>
              </a:graphicData>
            </a:graphic>
          </wp:inline>
        </w:drawing>
      </w:r>
    </w:p>
    <w:p w14:paraId="12274713" w14:textId="4D63627D" w:rsidR="0020544B" w:rsidRPr="0020544B" w:rsidRDefault="0020544B" w:rsidP="0020544B">
      <w:pPr>
        <w:spacing w:before="100" w:beforeAutospacing="1" w:after="100" w:afterAutospacing="1" w:line="240" w:lineRule="auto"/>
        <w:jc w:val="both"/>
        <w:rPr>
          <w:rFonts w:ascii="Trebuchet MS" w:eastAsia="Times New Roman" w:hAnsi="Trebuchet MS" w:cs="Segoe UI"/>
          <w:lang w:eastAsia="en-GB"/>
        </w:rPr>
      </w:pPr>
      <w:proofErr w:type="spellStart"/>
      <w:r w:rsidRPr="0020544B">
        <w:rPr>
          <w:rFonts w:ascii="Trebuchet MS" w:eastAsia="Times New Roman" w:hAnsi="Trebuchet MS" w:cs="Segoe UI"/>
          <w:lang w:eastAsia="en-GB"/>
        </w:rPr>
        <w:t>Acas</w:t>
      </w:r>
      <w:proofErr w:type="spellEnd"/>
      <w:r w:rsidRPr="0020544B">
        <w:rPr>
          <w:rFonts w:ascii="Trebuchet MS" w:eastAsia="Times New Roman" w:hAnsi="Trebuchet MS" w:cs="Segoe UI"/>
          <w:lang w:eastAsia="en-GB"/>
        </w:rPr>
        <w:t xml:space="preserve"> (2025) reports record levels of workplace conflict, with two in five affected, reflecting a shift towards individual grievances linked to workload, wellbeing, discrimination and management practices. In the public sector, this has contributed to rising grievance and employment tribunal cases, indicating a move away from collective resolution towards formal legal and procedural routes (</w:t>
      </w:r>
      <w:proofErr w:type="spellStart"/>
      <w:r w:rsidRPr="0020544B">
        <w:rPr>
          <w:rFonts w:ascii="Trebuchet MS" w:eastAsia="Times New Roman" w:hAnsi="Trebuchet MS" w:cs="Segoe UI"/>
          <w:lang w:eastAsia="en-GB"/>
        </w:rPr>
        <w:t>Acas</w:t>
      </w:r>
      <w:proofErr w:type="spellEnd"/>
      <w:r w:rsidRPr="0020544B">
        <w:rPr>
          <w:rFonts w:ascii="Trebuchet MS" w:eastAsia="Times New Roman" w:hAnsi="Trebuchet MS" w:cs="Segoe UI"/>
          <w:lang w:eastAsia="en-GB"/>
        </w:rPr>
        <w:t>, 2025).</w:t>
      </w:r>
    </w:p>
    <w:p w14:paraId="6848B423" w14:textId="50C39C81" w:rsidR="005462B2" w:rsidRPr="00A37E18" w:rsidRDefault="005462B2" w:rsidP="00966384">
      <w:pPr>
        <w:spacing w:before="100" w:beforeAutospacing="1" w:after="100" w:afterAutospacing="1" w:line="240" w:lineRule="auto"/>
        <w:jc w:val="both"/>
        <w:rPr>
          <w:rFonts w:ascii="Trebuchet MS" w:eastAsia="Trebuchet MS" w:hAnsi="Trebuchet MS" w:cs="Trebuchet MS"/>
          <w:b/>
          <w:bCs/>
          <w:color w:val="000000"/>
          <w:u w:color="000000"/>
          <w:bdr w:val="nil"/>
          <w:lang w:eastAsia="en-GB"/>
          <w14:textOutline w14:w="0" w14:cap="flat" w14:cmpd="sng" w14:algn="ctr">
            <w14:noFill/>
            <w14:prstDash w14:val="solid"/>
            <w14:bevel/>
          </w14:textOutline>
        </w:rPr>
      </w:pPr>
      <w:r w:rsidRPr="0020544B">
        <w:rPr>
          <w:rFonts w:ascii="Trebuchet MS" w:eastAsia="Times New Roman" w:hAnsi="Trebuchet MS" w:cs="Segoe UI"/>
          <w:lang w:eastAsia="en-GB"/>
        </w:rPr>
        <w:lastRenderedPageBreak/>
        <w:t>A further trend is the increasing use of informal and digital expressions of conflict, including social media activism, whistleblowing and online campaigns</w:t>
      </w:r>
      <w:r w:rsidR="00012592" w:rsidRPr="0020544B">
        <w:rPr>
          <w:rFonts w:ascii="Trebuchet MS" w:eastAsia="Times New Roman" w:hAnsi="Trebuchet MS" w:cs="Segoe UI"/>
          <w:lang w:eastAsia="en-GB"/>
        </w:rPr>
        <w:t>,</w:t>
      </w:r>
      <w:r w:rsidRPr="0020544B">
        <w:rPr>
          <w:rFonts w:ascii="Trebuchet MS" w:eastAsia="Times New Roman" w:hAnsi="Trebuchet MS" w:cs="Segoe UI"/>
          <w:lang w:eastAsia="en-GB"/>
        </w:rPr>
        <w:t xml:space="preserve"> allow</w:t>
      </w:r>
      <w:r w:rsidR="00012592" w:rsidRPr="0020544B">
        <w:rPr>
          <w:rFonts w:ascii="Trebuchet MS" w:eastAsia="Times New Roman" w:hAnsi="Trebuchet MS" w:cs="Segoe UI"/>
          <w:lang w:eastAsia="en-GB"/>
        </w:rPr>
        <w:t>ing</w:t>
      </w:r>
      <w:r w:rsidRPr="0020544B">
        <w:rPr>
          <w:rFonts w:ascii="Trebuchet MS" w:eastAsia="Times New Roman" w:hAnsi="Trebuchet MS" w:cs="Segoe UI"/>
          <w:lang w:eastAsia="en-GB"/>
        </w:rPr>
        <w:t xml:space="preserve"> employees to exert reputational pressure without using formal </w:t>
      </w:r>
      <w:r w:rsidR="00664598" w:rsidRPr="0020544B">
        <w:rPr>
          <w:rFonts w:ascii="Trebuchet MS" w:eastAsia="Times New Roman" w:hAnsi="Trebuchet MS" w:cs="Segoe UI"/>
          <w:lang w:eastAsia="en-GB"/>
        </w:rPr>
        <w:t>means</w:t>
      </w:r>
      <w:r w:rsidRPr="0020544B">
        <w:rPr>
          <w:rFonts w:ascii="Trebuchet MS" w:eastAsia="Times New Roman" w:hAnsi="Trebuchet MS" w:cs="Segoe UI"/>
          <w:lang w:eastAsia="en-GB"/>
        </w:rPr>
        <w:t>, reflecting changing expectations around employee voice and transparency (CIPD, 2024).</w:t>
      </w:r>
    </w:p>
    <w:p w14:paraId="286EB851" w14:textId="2D05F368" w:rsidR="00CA4D2C" w:rsidRPr="00CA4D2C" w:rsidRDefault="00B42BAE" w:rsidP="00CA4D2C">
      <w:pPr>
        <w:pBdr>
          <w:top w:val="nil"/>
          <w:left w:val="nil"/>
          <w:bottom w:val="nil"/>
          <w:right w:val="nil"/>
          <w:between w:val="nil"/>
          <w:bar w:val="nil"/>
        </w:pBdr>
        <w:spacing w:after="0" w:line="240" w:lineRule="auto"/>
        <w:rPr>
          <w:rFonts w:ascii="Trebuchet MS" w:eastAsia="Arial Unicode MS" w:hAnsi="Trebuchet MS" w:cs="Arial Unicode MS"/>
          <w:b/>
          <w:bCs/>
          <w:color w:val="4472C4" w:themeColor="accent1"/>
          <w:u w:color="000000"/>
          <w:bdr w:val="nil"/>
          <w:lang w:val="en-US" w:eastAsia="en-GB"/>
        </w:rPr>
      </w:pPr>
      <w:r w:rsidRPr="00CA4D2C">
        <w:rPr>
          <w:rFonts w:ascii="Trebuchet MS" w:eastAsia="Arial Unicode MS" w:hAnsi="Trebuchet MS" w:cs="Arial Unicode MS"/>
          <w:b/>
          <w:bCs/>
          <w:color w:val="4472C4" w:themeColor="accent1"/>
          <w:u w:color="000000"/>
          <w:bdr w:val="nil"/>
          <w:lang w:val="en-US" w:eastAsia="en-GB"/>
        </w:rPr>
        <w:t>AC 2.3</w:t>
      </w:r>
    </w:p>
    <w:p w14:paraId="364277BD" w14:textId="77777777" w:rsidR="00CA4D2C" w:rsidRDefault="00CA4D2C" w:rsidP="00CA4D2C">
      <w:pPr>
        <w:pBdr>
          <w:top w:val="nil"/>
          <w:left w:val="nil"/>
          <w:bottom w:val="nil"/>
          <w:right w:val="nil"/>
          <w:between w:val="nil"/>
          <w:bar w:val="nil"/>
        </w:pBdr>
        <w:spacing w:after="0" w:line="240" w:lineRule="auto"/>
        <w:rPr>
          <w:rFonts w:ascii="Trebuchet MS" w:eastAsia="Arial Unicode MS" w:hAnsi="Trebuchet MS" w:cs="Arial Unicode MS"/>
          <w:color w:val="4472C4" w:themeColor="accent1"/>
          <w:u w:color="000000"/>
          <w:bdr w:val="nil"/>
          <w:lang w:val="en-US" w:eastAsia="en-GB"/>
        </w:rPr>
      </w:pPr>
    </w:p>
    <w:p w14:paraId="30BCEA1E" w14:textId="5ECAE2E1" w:rsidR="00610347" w:rsidRPr="00610347" w:rsidRDefault="002463E0" w:rsidP="00CA4D2C">
      <w:pPr>
        <w:pBdr>
          <w:top w:val="nil"/>
          <w:left w:val="nil"/>
          <w:bottom w:val="nil"/>
          <w:right w:val="nil"/>
          <w:between w:val="nil"/>
          <w:bar w:val="nil"/>
        </w:pBdr>
        <w:spacing w:after="0" w:line="240" w:lineRule="auto"/>
        <w:rPr>
          <w:rFonts w:ascii="Trebuchet MS" w:eastAsia="Times New Roman" w:hAnsi="Trebuchet MS" w:cs="Segoe UI"/>
          <w:lang w:eastAsia="en-GB"/>
        </w:rPr>
      </w:pPr>
      <w:r w:rsidRPr="0097543D">
        <w:rPr>
          <w:rFonts w:ascii="Trebuchet MS" w:eastAsia="Times New Roman" w:hAnsi="Trebuchet MS" w:cs="Segoe UI"/>
          <w:lang w:eastAsia="en-GB"/>
        </w:rPr>
        <w:t>These</w:t>
      </w:r>
      <w:r w:rsidR="00490F83" w:rsidRPr="0097543D">
        <w:rPr>
          <w:rFonts w:ascii="Trebuchet MS" w:eastAsia="Times New Roman" w:hAnsi="Trebuchet MS" w:cs="Segoe UI"/>
          <w:lang w:eastAsia="en-GB"/>
        </w:rPr>
        <w:t xml:space="preserve"> are all f</w:t>
      </w:r>
      <w:r w:rsidR="006613EB" w:rsidRPr="0097543D">
        <w:rPr>
          <w:rFonts w:ascii="Trebuchet MS" w:eastAsia="Times New Roman" w:hAnsi="Trebuchet MS" w:cs="Segoe UI"/>
          <w:lang w:eastAsia="en-GB"/>
        </w:rPr>
        <w:t>o</w:t>
      </w:r>
      <w:r w:rsidR="00490F83" w:rsidRPr="0097543D">
        <w:rPr>
          <w:rFonts w:ascii="Trebuchet MS" w:eastAsia="Times New Roman" w:hAnsi="Trebuchet MS" w:cs="Segoe UI"/>
          <w:lang w:eastAsia="en-GB"/>
        </w:rPr>
        <w:t xml:space="preserve">rms of </w:t>
      </w:r>
      <w:r w:rsidR="006613EB" w:rsidRPr="0097543D">
        <w:rPr>
          <w:rFonts w:ascii="Trebuchet MS" w:eastAsia="Times New Roman" w:hAnsi="Trebuchet MS" w:cs="Segoe UI"/>
          <w:lang w:eastAsia="en-GB"/>
        </w:rPr>
        <w:t>a</w:t>
      </w:r>
      <w:r w:rsidR="006613EB" w:rsidRPr="00610347">
        <w:rPr>
          <w:rFonts w:ascii="Trebuchet MS" w:eastAsia="Times New Roman" w:hAnsi="Trebuchet MS" w:cs="Segoe UI"/>
          <w:lang w:eastAsia="en-GB"/>
        </w:rPr>
        <w:t>lternative dispute resolution (ADR)</w:t>
      </w:r>
      <w:r w:rsidR="0070590E" w:rsidRPr="0097543D">
        <w:rPr>
          <w:rFonts w:ascii="Trebuchet MS" w:eastAsia="Times New Roman" w:hAnsi="Trebuchet MS" w:cs="Segoe UI"/>
          <w:lang w:eastAsia="en-GB"/>
        </w:rPr>
        <w:t xml:space="preserve"> and </w:t>
      </w:r>
      <w:r w:rsidR="001E5FF3" w:rsidRPr="0097543D">
        <w:rPr>
          <w:rFonts w:ascii="Trebuchet MS" w:eastAsia="Times New Roman" w:hAnsi="Trebuchet MS" w:cs="Segoe UI"/>
          <w:lang w:eastAsia="en-GB"/>
        </w:rPr>
        <w:t>are</w:t>
      </w:r>
      <w:r w:rsidR="00610347" w:rsidRPr="00610347">
        <w:rPr>
          <w:rFonts w:ascii="Trebuchet MS" w:eastAsia="Times New Roman" w:hAnsi="Trebuchet MS" w:cs="Segoe UI"/>
          <w:lang w:eastAsia="en-GB"/>
        </w:rPr>
        <w:t xml:space="preserve"> distinguished </w:t>
      </w:r>
      <w:r w:rsidR="00D24271" w:rsidRPr="0097543D">
        <w:rPr>
          <w:rFonts w:ascii="Trebuchet MS" w:eastAsia="Times New Roman" w:hAnsi="Trebuchet MS" w:cs="Segoe UI"/>
          <w:lang w:eastAsia="en-GB"/>
        </w:rPr>
        <w:t>mainly</w:t>
      </w:r>
      <w:r w:rsidR="00610347" w:rsidRPr="00610347">
        <w:rPr>
          <w:rFonts w:ascii="Trebuchet MS" w:eastAsia="Times New Roman" w:hAnsi="Trebuchet MS" w:cs="Segoe UI"/>
          <w:lang w:eastAsia="en-GB"/>
        </w:rPr>
        <w:t xml:space="preserve"> by their degree of formality, the authority of the third party, and their relationship to the legal system. </w:t>
      </w:r>
      <w:r w:rsidR="00300CF0" w:rsidRPr="0097543D">
        <w:rPr>
          <w:rFonts w:ascii="Trebuchet MS" w:eastAsia="Times New Roman" w:hAnsi="Trebuchet MS" w:cs="Segoe UI"/>
          <w:lang w:eastAsia="en-GB"/>
        </w:rPr>
        <w:t>They can be seen</w:t>
      </w:r>
      <w:r w:rsidR="00610347" w:rsidRPr="00610347">
        <w:rPr>
          <w:rFonts w:ascii="Trebuchet MS" w:eastAsia="Times New Roman" w:hAnsi="Trebuchet MS" w:cs="Segoe UI"/>
          <w:lang w:eastAsia="en-GB"/>
        </w:rPr>
        <w:t xml:space="preserve"> as operating along a </w:t>
      </w:r>
      <w:r w:rsidR="00D24271" w:rsidRPr="0097543D">
        <w:rPr>
          <w:rFonts w:ascii="Trebuchet MS" w:eastAsia="Times New Roman" w:hAnsi="Trebuchet MS" w:cs="Segoe UI"/>
          <w:lang w:eastAsia="en-GB"/>
        </w:rPr>
        <w:t>scale of formality</w:t>
      </w:r>
      <w:r w:rsidR="00610347" w:rsidRPr="00610347">
        <w:rPr>
          <w:rFonts w:ascii="Trebuchet MS" w:eastAsia="Times New Roman" w:hAnsi="Trebuchet MS" w:cs="Segoe UI"/>
          <w:lang w:eastAsia="en-GB"/>
        </w:rPr>
        <w:t>, with mediation as the least formal, conciliation occupying a middle position, and arbitration representing the most formal.</w:t>
      </w:r>
    </w:p>
    <w:p w14:paraId="09E6214A" w14:textId="04A6D63B" w:rsidR="006C7D14" w:rsidRPr="006C7D14" w:rsidRDefault="006C7D14" w:rsidP="00062EBE">
      <w:pPr>
        <w:spacing w:before="100" w:beforeAutospacing="1" w:after="100" w:afterAutospacing="1" w:line="240" w:lineRule="auto"/>
        <w:jc w:val="both"/>
        <w:rPr>
          <w:rFonts w:ascii="Trebuchet MS" w:eastAsia="Times New Roman" w:hAnsi="Trebuchet MS" w:cs="Segoe UI"/>
          <w:lang w:eastAsia="en-GB"/>
        </w:rPr>
      </w:pPr>
      <w:r w:rsidRPr="006C7D14">
        <w:rPr>
          <w:rFonts w:ascii="Trebuchet MS" w:eastAsia="Times New Roman" w:hAnsi="Trebuchet MS" w:cs="Segoe UI"/>
          <w:lang w:eastAsia="en-GB"/>
        </w:rPr>
        <w:t>Mediation is a voluntary, flexible, and informal process in which an impartial third party facilitates communication between individuals in dispute without exercising authority over the outcome. Mediators do not impose decisions, judge the merits of cases, or determine settlement terms. Instead, they create a safe and confidential space where parties can clarify issues, explore perspectives, and collaboratively develop mutually acceptable solutions, while decision</w:t>
      </w:r>
      <w:r w:rsidRPr="006C7D14">
        <w:rPr>
          <w:rFonts w:ascii="Trebuchet MS" w:eastAsia="Times New Roman" w:hAnsi="Trebuchet MS" w:cs="Segoe UI"/>
          <w:lang w:eastAsia="en-GB"/>
        </w:rPr>
        <w:noBreakHyphen/>
        <w:t>making responsibility remains with the participants (CIPD, 2025)</w:t>
      </w:r>
    </w:p>
    <w:p w14:paraId="5A6E4CB9" w14:textId="27CEFC50" w:rsidR="00610347" w:rsidRPr="00610347" w:rsidRDefault="00610347" w:rsidP="00062EBE">
      <w:pPr>
        <w:spacing w:before="100" w:beforeAutospacing="1" w:after="100" w:afterAutospacing="1" w:line="240" w:lineRule="auto"/>
        <w:jc w:val="both"/>
        <w:rPr>
          <w:rFonts w:ascii="Trebuchet MS" w:eastAsia="Times New Roman" w:hAnsi="Trebuchet MS" w:cs="Segoe UI"/>
          <w:lang w:eastAsia="en-GB"/>
        </w:rPr>
      </w:pPr>
      <w:r w:rsidRPr="00610347">
        <w:rPr>
          <w:rFonts w:ascii="Trebuchet MS" w:eastAsia="Times New Roman" w:hAnsi="Trebuchet MS" w:cs="Segoe UI"/>
          <w:lang w:eastAsia="en-GB"/>
        </w:rPr>
        <w:t>Mediation is characterised by minimal procedural constraints: there are typically no formal rules of evidence, no fixed stages, and no requirement that agreement be reached. Outcomes are not automatically legally binding and may remain informal unless the parties choose to formalise them. This intentional informality supports party autonomy and makes mediation particularly suitable for relational, organisational, and workplace disputes (Queen Mary University of London, 2021).</w:t>
      </w:r>
    </w:p>
    <w:p w14:paraId="54824E84" w14:textId="668C9756" w:rsidR="00610347" w:rsidRPr="00610347" w:rsidRDefault="00610347" w:rsidP="00062EBE">
      <w:pPr>
        <w:spacing w:before="100" w:beforeAutospacing="1" w:after="100" w:afterAutospacing="1" w:line="240" w:lineRule="auto"/>
        <w:jc w:val="both"/>
        <w:rPr>
          <w:rFonts w:ascii="Trebuchet MS" w:eastAsia="Times New Roman" w:hAnsi="Trebuchet MS" w:cs="Segoe UI"/>
          <w:lang w:eastAsia="en-GB"/>
        </w:rPr>
      </w:pPr>
      <w:r w:rsidRPr="00610347">
        <w:rPr>
          <w:rFonts w:ascii="Trebuchet MS" w:eastAsia="Times New Roman" w:hAnsi="Trebuchet MS" w:cs="Segoe UI"/>
          <w:lang w:eastAsia="en-GB"/>
        </w:rPr>
        <w:t>Conciliation, while sharing mediation’s non</w:t>
      </w:r>
      <w:r w:rsidRPr="00610347">
        <w:rPr>
          <w:rFonts w:ascii="Trebuchet MS" w:eastAsia="Times New Roman" w:hAnsi="Trebuchet MS" w:cs="Segoe UI"/>
          <w:lang w:eastAsia="en-GB"/>
        </w:rPr>
        <w:noBreakHyphen/>
        <w:t>adversarial ethos, is generally more structured and outcome</w:t>
      </w:r>
      <w:r w:rsidRPr="00610347">
        <w:rPr>
          <w:rFonts w:ascii="Trebuchet MS" w:eastAsia="Times New Roman" w:hAnsi="Trebuchet MS" w:cs="Segoe UI"/>
          <w:lang w:eastAsia="en-GB"/>
        </w:rPr>
        <w:noBreakHyphen/>
        <w:t>focused. In the UK, conciliation is closely associated with statutory frameworks, most notably through ACAS in employment disputes. ACAS conciliation, especially Early Conciliation, is embedded within employment law and functions as a mandatory precursor to most Employment Tribunal claims (ACAS, n.d.). The conciliator plays a more interventionist role than a mediator, often relaying offers between parties, reality</w:t>
      </w:r>
      <w:r w:rsidRPr="00610347">
        <w:rPr>
          <w:rFonts w:ascii="Trebuchet MS" w:eastAsia="Times New Roman" w:hAnsi="Trebuchet MS" w:cs="Segoe UI"/>
          <w:lang w:eastAsia="en-GB"/>
        </w:rPr>
        <w:noBreakHyphen/>
        <w:t>testing positions, and suggesting potential settlement terms. Although conciliatory processes preserve voluntariness in settlement, their institutional embedding and legal consequences make them more formal than mediation (</w:t>
      </w:r>
      <w:proofErr w:type="spellStart"/>
      <w:r w:rsidRPr="00610347">
        <w:rPr>
          <w:rFonts w:ascii="Trebuchet MS" w:eastAsia="Times New Roman" w:hAnsi="Trebuchet MS" w:cs="Segoe UI"/>
          <w:lang w:eastAsia="en-GB"/>
        </w:rPr>
        <w:t>Latreille</w:t>
      </w:r>
      <w:proofErr w:type="spellEnd"/>
      <w:r w:rsidRPr="00610347">
        <w:rPr>
          <w:rFonts w:ascii="Trebuchet MS" w:eastAsia="Times New Roman" w:hAnsi="Trebuchet MS" w:cs="Segoe UI"/>
          <w:lang w:eastAsia="en-GB"/>
        </w:rPr>
        <w:t xml:space="preserve"> and </w:t>
      </w:r>
      <w:proofErr w:type="spellStart"/>
      <w:r w:rsidRPr="00610347">
        <w:rPr>
          <w:rFonts w:ascii="Trebuchet MS" w:eastAsia="Times New Roman" w:hAnsi="Trebuchet MS" w:cs="Segoe UI"/>
          <w:lang w:eastAsia="en-GB"/>
        </w:rPr>
        <w:t>Saundry</w:t>
      </w:r>
      <w:proofErr w:type="spellEnd"/>
      <w:r w:rsidRPr="00610347">
        <w:rPr>
          <w:rFonts w:ascii="Trebuchet MS" w:eastAsia="Times New Roman" w:hAnsi="Trebuchet MS" w:cs="Segoe UI"/>
          <w:lang w:eastAsia="en-GB"/>
        </w:rPr>
        <w:t>, 2016).</w:t>
      </w:r>
    </w:p>
    <w:p w14:paraId="5B356E14" w14:textId="77777777" w:rsidR="00CA4D2C" w:rsidRDefault="003A6CDF" w:rsidP="00062EBE">
      <w:pPr>
        <w:spacing w:before="100" w:beforeAutospacing="1" w:after="100" w:afterAutospacing="1" w:line="240" w:lineRule="auto"/>
        <w:jc w:val="both"/>
        <w:rPr>
          <w:rFonts w:ascii="Trebuchet MS" w:eastAsia="Times New Roman" w:hAnsi="Trebuchet MS" w:cs="Segoe UI"/>
          <w:lang w:eastAsia="en-GB"/>
        </w:rPr>
      </w:pPr>
      <w:r w:rsidRPr="003A6CDF">
        <w:rPr>
          <w:rFonts w:ascii="Trebuchet MS" w:eastAsia="Times New Roman" w:hAnsi="Trebuchet MS" w:cs="Segoe UI"/>
          <w:lang w:eastAsia="en-GB"/>
        </w:rPr>
        <w:t>In contrast, arbitration represents the most formal mechanism within the spectrum of alternative dispute resolution and differs fundamentally from mediation and conciliation in its adjudicative nature. In arbitration, the arbitrator performs a quasi</w:t>
      </w:r>
      <w:r w:rsidRPr="003A6CDF">
        <w:rPr>
          <w:rFonts w:ascii="Trebuchet MS" w:eastAsia="Times New Roman" w:hAnsi="Trebuchet MS" w:cs="Segoe UI"/>
          <w:lang w:eastAsia="en-GB"/>
        </w:rPr>
        <w:noBreakHyphen/>
        <w:t xml:space="preserve">judicial role, considering the parties’ submissions and evidence before issuing a decision that is final and legally binding. In England and Wales, arbitration is governed by the Arbitration Act 1996, which establishes a comprehensive statutory framework governing arbitral proceedings, the powers of arbitrators, and the enforceability of awards. </w:t>
      </w:r>
    </w:p>
    <w:p w14:paraId="26F8859E" w14:textId="78251636" w:rsidR="00F41AE0" w:rsidRPr="00B42BAE" w:rsidRDefault="003A6CDF" w:rsidP="00966384">
      <w:pPr>
        <w:spacing w:before="100" w:beforeAutospacing="1" w:after="100" w:afterAutospacing="1" w:line="240" w:lineRule="auto"/>
        <w:jc w:val="both"/>
        <w:rPr>
          <w:rFonts w:ascii="Trebuchet MS" w:eastAsia="Arial Unicode MS" w:hAnsi="Trebuchet MS" w:cs="Arial Unicode MS"/>
          <w:b/>
          <w:bCs/>
          <w:color w:val="000000"/>
          <w:u w:color="000000"/>
          <w:bdr w:val="nil"/>
          <w:lang w:val="en-US" w:eastAsia="en-GB"/>
        </w:rPr>
      </w:pPr>
      <w:r w:rsidRPr="003A6CDF">
        <w:rPr>
          <w:rFonts w:ascii="Trebuchet MS" w:eastAsia="Times New Roman" w:hAnsi="Trebuchet MS" w:cs="Segoe UI"/>
          <w:lang w:eastAsia="en-GB"/>
        </w:rPr>
        <w:t>Although arbitration offers advantages such as confidentiality and greater procedural flexibility when compared with litigation, it closely mirrors court processes in its emphasis on finality and the limited degree of party control over outcomes. Consequently, arbitration occupies the most formal position within the ADR continuum (Daniels, 202</w:t>
      </w:r>
      <w:r w:rsidR="00890B34" w:rsidRPr="0097543D">
        <w:rPr>
          <w:rFonts w:ascii="Trebuchet MS" w:eastAsia="Times New Roman" w:hAnsi="Trebuchet MS" w:cs="Segoe UI"/>
          <w:lang w:eastAsia="en-GB"/>
        </w:rPr>
        <w:t>5</w:t>
      </w:r>
      <w:r w:rsidRPr="003A6CDF">
        <w:rPr>
          <w:rFonts w:ascii="Trebuchet MS" w:eastAsia="Times New Roman" w:hAnsi="Trebuchet MS" w:cs="Segoe UI"/>
          <w:lang w:eastAsia="en-GB"/>
        </w:rPr>
        <w:t>).</w:t>
      </w:r>
    </w:p>
    <w:p w14:paraId="4078D0AF" w14:textId="697E8A26" w:rsidR="00B42BAE" w:rsidRPr="00D74CE5" w:rsidRDefault="00B42BAE" w:rsidP="00B42BAE">
      <w:pPr>
        <w:pBdr>
          <w:top w:val="nil"/>
          <w:left w:val="nil"/>
          <w:bottom w:val="nil"/>
          <w:right w:val="nil"/>
          <w:between w:val="nil"/>
          <w:bar w:val="nil"/>
        </w:pBdr>
        <w:spacing w:after="0" w:line="240" w:lineRule="auto"/>
        <w:rPr>
          <w:rFonts w:ascii="Trebuchet MS" w:eastAsia="Arial Unicode MS" w:hAnsi="Trebuchet MS" w:cs="Arial Unicode MS"/>
          <w:b/>
          <w:bCs/>
          <w:color w:val="4472C4" w:themeColor="accent1"/>
          <w:u w:color="000000"/>
          <w:bdr w:val="nil"/>
          <w:lang w:val="en-US" w:eastAsia="en-GB"/>
        </w:rPr>
      </w:pPr>
      <w:r w:rsidRPr="00D74CE5">
        <w:rPr>
          <w:rFonts w:ascii="Trebuchet MS" w:eastAsia="Arial Unicode MS" w:hAnsi="Trebuchet MS" w:cs="Arial Unicode MS"/>
          <w:b/>
          <w:bCs/>
          <w:color w:val="4472C4" w:themeColor="accent1"/>
          <w:u w:color="000000"/>
          <w:bdr w:val="nil"/>
          <w:lang w:val="en-US" w:eastAsia="en-GB"/>
        </w:rPr>
        <w:t>AC 3.1</w:t>
      </w:r>
    </w:p>
    <w:p w14:paraId="34169189" w14:textId="53217B77" w:rsidR="00243DC9" w:rsidRPr="005462B2" w:rsidRDefault="005462B2" w:rsidP="000729A5">
      <w:pPr>
        <w:spacing w:before="100" w:beforeAutospacing="1" w:after="100" w:afterAutospacing="1" w:line="240" w:lineRule="auto"/>
        <w:jc w:val="both"/>
        <w:rPr>
          <w:rFonts w:ascii="Trebuchet MS" w:eastAsia="Times New Roman" w:hAnsi="Trebuchet MS" w:cs="Segoe UI"/>
          <w:lang w:eastAsia="en-GB"/>
        </w:rPr>
      </w:pPr>
      <w:r w:rsidRPr="005462B2">
        <w:rPr>
          <w:rFonts w:ascii="Trebuchet MS" w:eastAsia="Times New Roman" w:hAnsi="Trebuchet MS" w:cs="Segoe UI"/>
          <w:lang w:eastAsia="en-GB"/>
        </w:rPr>
        <w:t xml:space="preserve">Capability </w:t>
      </w:r>
      <w:r w:rsidR="00E254D9">
        <w:rPr>
          <w:rFonts w:ascii="Trebuchet MS" w:eastAsia="Times New Roman" w:hAnsi="Trebuchet MS" w:cs="Segoe UI"/>
          <w:lang w:eastAsia="en-GB"/>
        </w:rPr>
        <w:t>and conduct are</w:t>
      </w:r>
      <w:r w:rsidRPr="005462B2">
        <w:rPr>
          <w:rFonts w:ascii="Trebuchet MS" w:eastAsia="Times New Roman" w:hAnsi="Trebuchet MS" w:cs="Segoe UI"/>
          <w:lang w:eastAsia="en-GB"/>
        </w:rPr>
        <w:t xml:space="preserve"> </w:t>
      </w:r>
      <w:r w:rsidR="00E254D9">
        <w:rPr>
          <w:rFonts w:ascii="Trebuchet MS" w:eastAsia="Times New Roman" w:hAnsi="Trebuchet MS" w:cs="Segoe UI"/>
          <w:lang w:eastAsia="en-GB"/>
        </w:rPr>
        <w:t>two</w:t>
      </w:r>
      <w:r w:rsidRPr="005462B2">
        <w:rPr>
          <w:rFonts w:ascii="Trebuchet MS" w:eastAsia="Times New Roman" w:hAnsi="Trebuchet MS" w:cs="Segoe UI"/>
          <w:lang w:eastAsia="en-GB"/>
        </w:rPr>
        <w:t xml:space="preserve"> of the five potentially fair reasons for dismissal set out in section 98 of the ERA 1996</w:t>
      </w:r>
      <w:r w:rsidR="00CE1C3F">
        <w:rPr>
          <w:rFonts w:ascii="Trebuchet MS" w:eastAsia="Times New Roman" w:hAnsi="Trebuchet MS" w:cs="Segoe UI"/>
          <w:lang w:eastAsia="en-GB"/>
        </w:rPr>
        <w:t>.</w:t>
      </w:r>
      <w:r w:rsidR="00243DC9" w:rsidRPr="00243DC9">
        <w:rPr>
          <w:rFonts w:ascii="Trebuchet MS" w:eastAsia="Times New Roman" w:hAnsi="Trebuchet MS" w:cs="Segoe UI"/>
          <w:lang w:eastAsia="en-GB"/>
        </w:rPr>
        <w:t xml:space="preserve"> </w:t>
      </w:r>
      <w:r w:rsidR="00243DC9" w:rsidRPr="005462B2">
        <w:rPr>
          <w:rFonts w:ascii="Trebuchet MS" w:eastAsia="Times New Roman" w:hAnsi="Trebuchet MS" w:cs="Segoe UI"/>
          <w:lang w:eastAsia="en-GB"/>
        </w:rPr>
        <w:t>To be lawful, a dismissal must be for a potentially fair reason and the employer must act reasonably in all the circumstances.</w:t>
      </w:r>
    </w:p>
    <w:p w14:paraId="799AF153" w14:textId="033D1D42" w:rsidR="005462B2" w:rsidRPr="00B937FE" w:rsidRDefault="008B6A9E" w:rsidP="000729A5">
      <w:pPr>
        <w:spacing w:before="100" w:beforeAutospacing="1" w:after="100" w:afterAutospacing="1" w:line="240" w:lineRule="auto"/>
        <w:jc w:val="both"/>
        <w:rPr>
          <w:rFonts w:ascii="Trebuchet MS" w:eastAsia="Times New Roman" w:hAnsi="Trebuchet MS" w:cs="Segoe UI"/>
          <w:lang w:eastAsia="en-GB"/>
        </w:rPr>
      </w:pPr>
      <w:r>
        <w:rPr>
          <w:rFonts w:ascii="Trebuchet MS" w:eastAsia="Times New Roman" w:hAnsi="Trebuchet MS" w:cs="Segoe UI"/>
          <w:lang w:eastAsia="en-GB"/>
        </w:rPr>
        <w:lastRenderedPageBreak/>
        <w:t>Daniels (</w:t>
      </w:r>
      <w:r w:rsidR="00DD525E">
        <w:rPr>
          <w:rFonts w:ascii="Trebuchet MS" w:eastAsia="Times New Roman" w:hAnsi="Trebuchet MS" w:cs="Segoe UI"/>
          <w:lang w:eastAsia="en-GB"/>
        </w:rPr>
        <w:t>2025) refer</w:t>
      </w:r>
      <w:r w:rsidR="001461BE">
        <w:rPr>
          <w:rFonts w:ascii="Trebuchet MS" w:eastAsia="Times New Roman" w:hAnsi="Trebuchet MS" w:cs="Segoe UI"/>
          <w:lang w:eastAsia="en-GB"/>
        </w:rPr>
        <w:t>ences</w:t>
      </w:r>
      <w:r w:rsidR="00DD525E">
        <w:rPr>
          <w:rFonts w:ascii="Trebuchet MS" w:eastAsia="Times New Roman" w:hAnsi="Trebuchet MS" w:cs="Segoe UI"/>
          <w:lang w:eastAsia="en-GB"/>
        </w:rPr>
        <w:t xml:space="preserve"> the ERA (1996) in </w:t>
      </w:r>
      <w:r w:rsidR="00F354B3">
        <w:rPr>
          <w:rFonts w:ascii="Trebuchet MS" w:eastAsia="Times New Roman" w:hAnsi="Trebuchet MS" w:cs="Segoe UI"/>
          <w:lang w:eastAsia="en-GB"/>
        </w:rPr>
        <w:t>defining</w:t>
      </w:r>
      <w:r w:rsidR="00DD525E">
        <w:rPr>
          <w:rFonts w:ascii="Trebuchet MS" w:eastAsia="Times New Roman" w:hAnsi="Trebuchet MS" w:cs="Segoe UI"/>
          <w:lang w:eastAsia="en-GB"/>
        </w:rPr>
        <w:t xml:space="preserve"> </w:t>
      </w:r>
      <w:r w:rsidR="00F354B3">
        <w:rPr>
          <w:rFonts w:ascii="Trebuchet MS" w:eastAsia="Times New Roman" w:hAnsi="Trebuchet MS" w:cs="Segoe UI"/>
          <w:lang w:eastAsia="en-GB"/>
        </w:rPr>
        <w:t>capability</w:t>
      </w:r>
      <w:r w:rsidR="00DD525E">
        <w:rPr>
          <w:rFonts w:ascii="Trebuchet MS" w:eastAsia="Times New Roman" w:hAnsi="Trebuchet MS" w:cs="Segoe UI"/>
          <w:lang w:eastAsia="en-GB"/>
        </w:rPr>
        <w:t xml:space="preserve"> as skill, aptitude, health or any other physical or mental quality</w:t>
      </w:r>
      <w:r w:rsidR="001461BE">
        <w:rPr>
          <w:rFonts w:ascii="Trebuchet MS" w:eastAsia="Times New Roman" w:hAnsi="Trebuchet MS" w:cs="Segoe UI"/>
          <w:lang w:eastAsia="en-GB"/>
        </w:rPr>
        <w:t xml:space="preserve"> with </w:t>
      </w:r>
      <w:r w:rsidR="008B2F08">
        <w:rPr>
          <w:rFonts w:ascii="Trebuchet MS" w:eastAsia="Times New Roman" w:hAnsi="Trebuchet MS" w:cs="Segoe UI"/>
          <w:lang w:eastAsia="en-GB"/>
        </w:rPr>
        <w:t>qualifications</w:t>
      </w:r>
      <w:r w:rsidR="001461BE">
        <w:rPr>
          <w:rFonts w:ascii="Trebuchet MS" w:eastAsia="Times New Roman" w:hAnsi="Trebuchet MS" w:cs="Segoe UI"/>
          <w:lang w:eastAsia="en-GB"/>
        </w:rPr>
        <w:t xml:space="preserve"> defined as </w:t>
      </w:r>
      <w:r w:rsidR="00D72E7C">
        <w:rPr>
          <w:rFonts w:ascii="Trebuchet MS" w:eastAsia="Times New Roman" w:hAnsi="Trebuchet MS" w:cs="Segoe UI"/>
          <w:lang w:eastAsia="en-GB"/>
        </w:rPr>
        <w:t xml:space="preserve">any degree, diploma or other academic, technical or professional qualification relevant to the position which the </w:t>
      </w:r>
      <w:r w:rsidR="0049757E">
        <w:rPr>
          <w:rFonts w:ascii="Trebuchet MS" w:eastAsia="Times New Roman" w:hAnsi="Trebuchet MS" w:cs="Segoe UI"/>
          <w:lang w:eastAsia="en-GB"/>
        </w:rPr>
        <w:t>employee</w:t>
      </w:r>
      <w:r w:rsidR="00D72E7C">
        <w:rPr>
          <w:rFonts w:ascii="Trebuchet MS" w:eastAsia="Times New Roman" w:hAnsi="Trebuchet MS" w:cs="Segoe UI"/>
          <w:lang w:eastAsia="en-GB"/>
        </w:rPr>
        <w:t xml:space="preserve"> holds.</w:t>
      </w:r>
      <w:r w:rsidR="00B937FE">
        <w:rPr>
          <w:rFonts w:ascii="Trebuchet MS" w:eastAsia="Times New Roman" w:hAnsi="Trebuchet MS" w:cs="Segoe UI"/>
          <w:lang w:eastAsia="en-GB"/>
        </w:rPr>
        <w:t xml:space="preserve"> </w:t>
      </w:r>
      <w:r w:rsidR="005462B2" w:rsidRPr="005462B2">
        <w:rPr>
          <w:rFonts w:ascii="Trebuchet MS" w:eastAsia="Times New Roman" w:hAnsi="Trebuchet MS" w:cs="Segoe UI"/>
          <w:lang w:eastAsia="en-GB"/>
        </w:rPr>
        <w:t xml:space="preserve">In capability cases, the key legal principle is that dismissal must be </w:t>
      </w:r>
      <w:r w:rsidR="005462B2" w:rsidRPr="00B937FE">
        <w:rPr>
          <w:rFonts w:ascii="Trebuchet MS" w:eastAsia="Times New Roman" w:hAnsi="Trebuchet MS" w:cs="Segoe UI"/>
          <w:lang w:eastAsia="en-GB"/>
        </w:rPr>
        <w:t>a last resort following a fair and supportive process.</w:t>
      </w:r>
    </w:p>
    <w:p w14:paraId="4828EA53" w14:textId="77777777" w:rsidR="005462B2" w:rsidRDefault="005462B2" w:rsidP="000729A5">
      <w:pPr>
        <w:spacing w:before="100" w:beforeAutospacing="1" w:after="100" w:afterAutospacing="1" w:line="240" w:lineRule="auto"/>
        <w:jc w:val="both"/>
        <w:rPr>
          <w:rFonts w:ascii="Trebuchet MS" w:eastAsia="Times New Roman" w:hAnsi="Trebuchet MS" w:cs="Segoe UI"/>
          <w:lang w:eastAsia="en-GB"/>
        </w:rPr>
      </w:pPr>
      <w:r w:rsidRPr="005462B2">
        <w:rPr>
          <w:rFonts w:ascii="Trebuchet MS" w:eastAsia="Times New Roman" w:hAnsi="Trebuchet MS" w:cs="Segoe UI"/>
          <w:lang w:eastAsia="en-GB"/>
        </w:rPr>
        <w:t>Employers are expected to identify performance concerns clearly, provide adequate training, support and reasonable time for improvement, and consider adjustments where appropriate. For ill</w:t>
      </w:r>
      <w:r w:rsidRPr="005462B2">
        <w:rPr>
          <w:rFonts w:ascii="Trebuchet MS" w:eastAsia="Times New Roman" w:hAnsi="Trebuchet MS" w:cs="Segoe UI"/>
          <w:lang w:eastAsia="en-GB"/>
        </w:rPr>
        <w:noBreakHyphen/>
        <w:t>health capability cases, employers must also consider medical evidence and engage with the employee before reaching a decision. Failure to follow a structured capability procedure, including warnings and review periods, is likely to render the dismissal unfair, even where performance issues are genuine (CIPD, 2024).</w:t>
      </w:r>
    </w:p>
    <w:p w14:paraId="1306250F" w14:textId="77777777" w:rsidR="00524456" w:rsidRDefault="00524456" w:rsidP="000729A5">
      <w:pPr>
        <w:spacing w:before="100" w:beforeAutospacing="1" w:after="100" w:afterAutospacing="1" w:line="240" w:lineRule="auto"/>
        <w:jc w:val="both"/>
        <w:rPr>
          <w:rFonts w:ascii="Trebuchet MS" w:eastAsia="Times New Roman" w:hAnsi="Trebuchet MS" w:cs="Segoe UI"/>
          <w:lang w:eastAsia="en-GB"/>
        </w:rPr>
      </w:pPr>
      <w:r w:rsidRPr="00524456">
        <w:rPr>
          <w:rFonts w:ascii="Trebuchet MS" w:eastAsia="Times New Roman" w:hAnsi="Trebuchet MS" w:cs="Segoe UI"/>
          <w:lang w:eastAsia="en-GB"/>
        </w:rPr>
        <w:t>The fairness of a dismissal on capability grounds turns on whether the employer acted reasonably in light of the information available at the time. This requires a balanced, evidence</w:t>
      </w:r>
      <w:r w:rsidRPr="00524456">
        <w:rPr>
          <w:rFonts w:ascii="Trebuchet MS" w:eastAsia="Times New Roman" w:hAnsi="Trebuchet MS" w:cs="Segoe UI"/>
          <w:lang w:eastAsia="en-GB"/>
        </w:rPr>
        <w:noBreakHyphen/>
        <w:t>based approach, taking account of medical evidence, operational pressures, the prospect of improvement, and the availability of alternative roles or adjustments.</w:t>
      </w:r>
    </w:p>
    <w:p w14:paraId="19FDA05B" w14:textId="0B900352" w:rsidR="00CC7EDC" w:rsidRPr="00524456" w:rsidRDefault="00CC7EDC" w:rsidP="000729A5">
      <w:pPr>
        <w:spacing w:before="100" w:beforeAutospacing="1" w:after="100" w:afterAutospacing="1" w:line="240" w:lineRule="auto"/>
        <w:jc w:val="both"/>
        <w:rPr>
          <w:rFonts w:ascii="Trebuchet MS" w:eastAsia="Times New Roman" w:hAnsi="Trebuchet MS" w:cs="Segoe UI"/>
          <w:lang w:eastAsia="en-GB"/>
        </w:rPr>
      </w:pPr>
      <w:r>
        <w:rPr>
          <w:rFonts w:ascii="Trebuchet MS" w:eastAsia="Times New Roman" w:hAnsi="Trebuchet MS" w:cs="Segoe UI"/>
          <w:lang w:eastAsia="en-GB"/>
        </w:rPr>
        <w:t>I</w:t>
      </w:r>
      <w:r w:rsidRPr="00B937FE">
        <w:rPr>
          <w:rFonts w:ascii="Trebuchet MS" w:eastAsia="Times New Roman" w:hAnsi="Trebuchet MS" w:cs="Segoe UI"/>
          <w:lang w:eastAsia="en-GB"/>
        </w:rPr>
        <w:t xml:space="preserve">n assessing the fairness of a dismissal on grounds of capability, it is </w:t>
      </w:r>
      <w:r w:rsidR="00154DA1">
        <w:rPr>
          <w:rFonts w:ascii="Trebuchet MS" w:eastAsia="Times New Roman" w:hAnsi="Trebuchet MS" w:cs="Segoe UI"/>
          <w:lang w:eastAsia="en-GB"/>
        </w:rPr>
        <w:t>usefu</w:t>
      </w:r>
      <w:r w:rsidR="00D118F9">
        <w:rPr>
          <w:rFonts w:ascii="Trebuchet MS" w:eastAsia="Times New Roman" w:hAnsi="Trebuchet MS" w:cs="Segoe UI"/>
          <w:lang w:eastAsia="en-GB"/>
        </w:rPr>
        <w:t>l</w:t>
      </w:r>
      <w:r w:rsidRPr="00B937FE">
        <w:rPr>
          <w:rFonts w:ascii="Trebuchet MS" w:eastAsia="Times New Roman" w:hAnsi="Trebuchet MS" w:cs="Segoe UI"/>
          <w:lang w:eastAsia="en-GB"/>
        </w:rPr>
        <w:t xml:space="preserve"> to have regard to a number of </w:t>
      </w:r>
      <w:r w:rsidR="00B80778">
        <w:rPr>
          <w:rFonts w:ascii="Trebuchet MS" w:eastAsia="Times New Roman" w:hAnsi="Trebuchet MS" w:cs="Segoe UI"/>
          <w:lang w:eastAsia="en-GB"/>
        </w:rPr>
        <w:t>guiding</w:t>
      </w:r>
      <w:r w:rsidRPr="00B937FE">
        <w:rPr>
          <w:rFonts w:ascii="Trebuchet MS" w:eastAsia="Times New Roman" w:hAnsi="Trebuchet MS" w:cs="Segoe UI"/>
          <w:lang w:eastAsia="en-GB"/>
        </w:rPr>
        <w:t xml:space="preserve"> legal </w:t>
      </w:r>
      <w:r w:rsidR="00B215C5">
        <w:rPr>
          <w:rFonts w:ascii="Trebuchet MS" w:eastAsia="Times New Roman" w:hAnsi="Trebuchet MS" w:cs="Segoe UI"/>
          <w:lang w:eastAsia="en-GB"/>
        </w:rPr>
        <w:t>cases</w:t>
      </w:r>
      <w:r w:rsidR="007579FD">
        <w:rPr>
          <w:rFonts w:ascii="Trebuchet MS" w:eastAsia="Times New Roman" w:hAnsi="Trebuchet MS" w:cs="Segoe UI"/>
          <w:lang w:eastAsia="en-GB"/>
        </w:rPr>
        <w:t xml:space="preserve">, </w:t>
      </w:r>
      <w:r w:rsidR="00D118F9">
        <w:rPr>
          <w:rFonts w:ascii="Trebuchet MS" w:eastAsia="Times New Roman" w:hAnsi="Trebuchet MS" w:cs="Segoe UI"/>
          <w:lang w:eastAsia="en-GB"/>
        </w:rPr>
        <w:t xml:space="preserve">outlined in Figure </w:t>
      </w:r>
      <w:r w:rsidR="00B215C5">
        <w:rPr>
          <w:rFonts w:ascii="Trebuchet MS" w:eastAsia="Times New Roman" w:hAnsi="Trebuchet MS" w:cs="Segoe UI"/>
          <w:lang w:eastAsia="en-GB"/>
        </w:rPr>
        <w:t>5</w:t>
      </w:r>
      <w:r w:rsidR="00B80778">
        <w:rPr>
          <w:rFonts w:ascii="Trebuchet MS" w:eastAsia="Times New Roman" w:hAnsi="Trebuchet MS" w:cs="Segoe UI"/>
          <w:lang w:eastAsia="en-GB"/>
        </w:rPr>
        <w:t xml:space="preserve"> below</w:t>
      </w:r>
      <w:r w:rsidR="00373C8C">
        <w:rPr>
          <w:rFonts w:ascii="Trebuchet MS" w:eastAsia="Times New Roman" w:hAnsi="Trebuchet MS" w:cs="Segoe UI"/>
          <w:lang w:eastAsia="en-GB"/>
        </w:rPr>
        <w:t xml:space="preserve">, </w:t>
      </w:r>
      <w:r w:rsidR="00E9338B">
        <w:rPr>
          <w:rFonts w:ascii="Trebuchet MS" w:eastAsia="Times New Roman" w:hAnsi="Trebuchet MS" w:cs="Segoe UI"/>
          <w:lang w:eastAsia="en-GB"/>
        </w:rPr>
        <w:t>summarising</w:t>
      </w:r>
      <w:r w:rsidR="00373C8C">
        <w:rPr>
          <w:rFonts w:ascii="Trebuchet MS" w:eastAsia="Times New Roman" w:hAnsi="Trebuchet MS" w:cs="Segoe UI"/>
          <w:lang w:eastAsia="en-GB"/>
        </w:rPr>
        <w:t xml:space="preserve"> key aspects of each case and aligning this with </w:t>
      </w:r>
      <w:proofErr w:type="spellStart"/>
      <w:r w:rsidR="00373C8C">
        <w:rPr>
          <w:rFonts w:ascii="Trebuchet MS" w:eastAsia="Times New Roman" w:hAnsi="Trebuchet MS" w:cs="Segoe UI"/>
          <w:lang w:eastAsia="en-GB"/>
        </w:rPr>
        <w:t>Acas</w:t>
      </w:r>
      <w:proofErr w:type="spellEnd"/>
      <w:r w:rsidR="00373C8C">
        <w:rPr>
          <w:rFonts w:ascii="Trebuchet MS" w:eastAsia="Times New Roman" w:hAnsi="Trebuchet MS" w:cs="Segoe UI"/>
          <w:lang w:eastAsia="en-GB"/>
        </w:rPr>
        <w:t xml:space="preserve"> guidance.</w:t>
      </w:r>
    </w:p>
    <w:p w14:paraId="689946D4" w14:textId="4ECFC1D8" w:rsidR="00820A92" w:rsidRDefault="00B14F90" w:rsidP="000729A5">
      <w:pPr>
        <w:spacing w:before="100" w:beforeAutospacing="1" w:after="100" w:afterAutospacing="1" w:line="240" w:lineRule="auto"/>
        <w:jc w:val="both"/>
        <w:rPr>
          <w:rFonts w:ascii="Trebuchet MS" w:eastAsia="Times New Roman" w:hAnsi="Trebuchet MS" w:cs="Segoe UI"/>
          <w:b/>
          <w:bCs/>
          <w:lang w:eastAsia="en-GB"/>
        </w:rPr>
      </w:pPr>
      <w:r w:rsidRPr="00B14F90">
        <w:rPr>
          <w:rFonts w:ascii="Trebuchet MS" w:eastAsia="Times New Roman" w:hAnsi="Trebuchet MS" w:cs="Segoe UI"/>
          <w:b/>
          <w:bCs/>
          <w:noProof/>
          <w:lang w:eastAsia="en-GB"/>
        </w:rPr>
        <w:drawing>
          <wp:inline distT="0" distB="0" distL="0" distR="0" wp14:anchorId="134C4D12" wp14:editId="783F1279">
            <wp:extent cx="5731510" cy="1916430"/>
            <wp:effectExtent l="0" t="0" r="2540" b="762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1916430"/>
                    </a:xfrm>
                    <a:prstGeom prst="rect">
                      <a:avLst/>
                    </a:prstGeom>
                  </pic:spPr>
                </pic:pic>
              </a:graphicData>
            </a:graphic>
          </wp:inline>
        </w:drawing>
      </w:r>
    </w:p>
    <w:p w14:paraId="64B23EA7" w14:textId="77777777" w:rsidR="005462B2" w:rsidRPr="005462B2" w:rsidRDefault="005462B2" w:rsidP="000729A5">
      <w:pPr>
        <w:spacing w:before="100" w:beforeAutospacing="1" w:after="100" w:afterAutospacing="1" w:line="240" w:lineRule="auto"/>
        <w:jc w:val="both"/>
        <w:rPr>
          <w:rFonts w:ascii="Trebuchet MS" w:eastAsia="Times New Roman" w:hAnsi="Trebuchet MS" w:cs="Segoe UI"/>
          <w:lang w:eastAsia="en-GB"/>
        </w:rPr>
      </w:pPr>
      <w:r w:rsidRPr="005462B2">
        <w:rPr>
          <w:rFonts w:ascii="Trebuchet MS" w:eastAsia="Times New Roman" w:hAnsi="Trebuchet MS" w:cs="Segoe UI"/>
          <w:lang w:eastAsia="en-GB"/>
        </w:rPr>
        <w:t>Tribunals will assess whether the employer acted reasonably in treating capability as a sufficient reason for dismissal and whether they followed their own procedures consistently. In the public sector, additional duties may apply, such as the obligation to make reasonable adjustments under equality legislation where a disability is involved.</w:t>
      </w:r>
    </w:p>
    <w:p w14:paraId="03791CC5" w14:textId="77777777" w:rsidR="005462B2" w:rsidRPr="005462B2" w:rsidRDefault="005462B2" w:rsidP="000729A5">
      <w:pPr>
        <w:spacing w:before="100" w:beforeAutospacing="1" w:after="100" w:afterAutospacing="1" w:line="240" w:lineRule="auto"/>
        <w:jc w:val="both"/>
        <w:rPr>
          <w:rFonts w:ascii="Trebuchet MS" w:eastAsia="Times New Roman" w:hAnsi="Trebuchet MS" w:cs="Segoe UI"/>
          <w:lang w:eastAsia="en-GB"/>
        </w:rPr>
      </w:pPr>
      <w:r w:rsidRPr="005462B2">
        <w:rPr>
          <w:rFonts w:ascii="Trebuchet MS" w:eastAsia="Times New Roman" w:hAnsi="Trebuchet MS" w:cs="Segoe UI"/>
          <w:lang w:eastAsia="en-GB"/>
        </w:rPr>
        <w:t xml:space="preserve">Misconduct is another potentially fair reason under section 98 ERA 1996 and relates to unacceptable behaviour, such as breach of policies, insubordination, or dishonesty. The key legal principle governing misconduct dismissals is derived from the </w:t>
      </w:r>
      <w:r w:rsidRPr="005462B2">
        <w:rPr>
          <w:rFonts w:ascii="Trebuchet MS" w:eastAsia="Times New Roman" w:hAnsi="Trebuchet MS" w:cs="Segoe UI"/>
          <w:i/>
          <w:iCs/>
          <w:lang w:eastAsia="en-GB"/>
        </w:rPr>
        <w:t>Burchell</w:t>
      </w:r>
      <w:r w:rsidRPr="005462B2">
        <w:rPr>
          <w:rFonts w:ascii="Trebuchet MS" w:eastAsia="Times New Roman" w:hAnsi="Trebuchet MS" w:cs="Segoe UI"/>
          <w:lang w:eastAsia="en-GB"/>
        </w:rPr>
        <w:t xml:space="preserve"> test, which requires employers to demonstrate that they held a genuine belief in the employee’s guilt, based on reasonable grounds, following a reasonable investigation (British Home Stores Ltd v Burchell, 1978).</w:t>
      </w:r>
    </w:p>
    <w:p w14:paraId="58516378" w14:textId="77777777" w:rsidR="005462B2" w:rsidRDefault="005462B2" w:rsidP="000729A5">
      <w:pPr>
        <w:spacing w:before="100" w:beforeAutospacing="1" w:after="100" w:afterAutospacing="1" w:line="240" w:lineRule="auto"/>
        <w:jc w:val="both"/>
        <w:rPr>
          <w:rFonts w:ascii="Trebuchet MS" w:eastAsia="Times New Roman" w:hAnsi="Trebuchet MS" w:cs="Segoe UI"/>
          <w:lang w:eastAsia="en-GB"/>
        </w:rPr>
      </w:pPr>
      <w:r w:rsidRPr="005462B2">
        <w:rPr>
          <w:rFonts w:ascii="Trebuchet MS" w:eastAsia="Times New Roman" w:hAnsi="Trebuchet MS" w:cs="Segoe UI"/>
          <w:lang w:eastAsia="en-GB"/>
        </w:rPr>
        <w:t>Unlike capability, misconduct may justify summary dismissal in cases of gross misconduct. However, fairness still depends on procedure. Employers must carry out an impartial investigation, inform the employee of the allegations, allow them to respond, and apply sanctions proportionately (</w:t>
      </w:r>
      <w:proofErr w:type="spellStart"/>
      <w:r w:rsidRPr="005462B2">
        <w:rPr>
          <w:rFonts w:ascii="Trebuchet MS" w:eastAsia="Times New Roman" w:hAnsi="Trebuchet MS" w:cs="Segoe UI"/>
          <w:lang w:eastAsia="en-GB"/>
        </w:rPr>
        <w:t>Acas</w:t>
      </w:r>
      <w:proofErr w:type="spellEnd"/>
      <w:r w:rsidRPr="005462B2">
        <w:rPr>
          <w:rFonts w:ascii="Trebuchet MS" w:eastAsia="Times New Roman" w:hAnsi="Trebuchet MS" w:cs="Segoe UI"/>
          <w:lang w:eastAsia="en-GB"/>
        </w:rPr>
        <w:t>, 2015). A failure in procedural fairness, even where misconduct occurred, can result in a finding of unfair dismissal.</w:t>
      </w:r>
    </w:p>
    <w:p w14:paraId="23DEDFF9" w14:textId="77777777" w:rsidR="00C677CC" w:rsidRDefault="00C677CC" w:rsidP="000729A5">
      <w:pPr>
        <w:spacing w:before="100" w:beforeAutospacing="1" w:after="100" w:afterAutospacing="1" w:line="240" w:lineRule="auto"/>
        <w:jc w:val="both"/>
        <w:rPr>
          <w:rFonts w:ascii="Trebuchet MS" w:eastAsia="Times New Roman" w:hAnsi="Trebuchet MS" w:cs="Segoe UI"/>
          <w:lang w:eastAsia="en-GB"/>
        </w:rPr>
      </w:pPr>
    </w:p>
    <w:p w14:paraId="0275C212" w14:textId="77777777" w:rsidR="00C677CC" w:rsidRPr="005462B2" w:rsidRDefault="00C677CC" w:rsidP="000729A5">
      <w:pPr>
        <w:spacing w:before="100" w:beforeAutospacing="1" w:after="100" w:afterAutospacing="1" w:line="240" w:lineRule="auto"/>
        <w:jc w:val="both"/>
        <w:rPr>
          <w:rFonts w:ascii="Trebuchet MS" w:eastAsia="Times New Roman" w:hAnsi="Trebuchet MS" w:cs="Segoe UI"/>
          <w:lang w:eastAsia="en-GB"/>
        </w:rPr>
      </w:pPr>
    </w:p>
    <w:p w14:paraId="45AE69A1" w14:textId="5F299237" w:rsidR="00B42BAE" w:rsidRPr="00AB3FF8" w:rsidRDefault="00B42BAE" w:rsidP="008C64CA">
      <w:pPr>
        <w:pBdr>
          <w:top w:val="nil"/>
          <w:left w:val="nil"/>
          <w:bottom w:val="nil"/>
          <w:right w:val="nil"/>
          <w:between w:val="nil"/>
          <w:bar w:val="nil"/>
        </w:pBdr>
        <w:spacing w:before="100" w:beforeAutospacing="1" w:after="100" w:afterAutospacing="1" w:line="240" w:lineRule="auto"/>
        <w:rPr>
          <w:rFonts w:ascii="Trebuchet MS" w:eastAsia="Arial Unicode MS" w:hAnsi="Trebuchet MS" w:cs="Arial Unicode MS"/>
          <w:b/>
          <w:bCs/>
          <w:color w:val="4472C4" w:themeColor="accent1"/>
          <w:u w:color="000000"/>
          <w:bdr w:val="nil"/>
          <w:lang w:val="en-US" w:eastAsia="en-GB"/>
        </w:rPr>
      </w:pPr>
      <w:r w:rsidRPr="00AB3FF8">
        <w:rPr>
          <w:rFonts w:ascii="Trebuchet MS" w:eastAsia="Arial Unicode MS" w:hAnsi="Trebuchet MS" w:cs="Arial Unicode MS"/>
          <w:b/>
          <w:bCs/>
          <w:color w:val="4472C4" w:themeColor="accent1"/>
          <w:u w:color="000000"/>
          <w:bdr w:val="nil"/>
          <w:lang w:val="en-US" w:eastAsia="en-GB"/>
        </w:rPr>
        <w:lastRenderedPageBreak/>
        <w:t>AC 3.2</w:t>
      </w:r>
    </w:p>
    <w:p w14:paraId="497494CB" w14:textId="0EE0BB4D" w:rsidR="005462B2" w:rsidRPr="005462B2" w:rsidRDefault="005462B2" w:rsidP="006A2326">
      <w:pPr>
        <w:spacing w:before="100" w:beforeAutospacing="1" w:after="100" w:afterAutospacing="1" w:line="240" w:lineRule="auto"/>
        <w:jc w:val="both"/>
        <w:rPr>
          <w:rFonts w:ascii="Trebuchet MS" w:eastAsia="Times New Roman" w:hAnsi="Trebuchet MS" w:cs="Segoe UI"/>
          <w:lang w:eastAsia="en-GB"/>
        </w:rPr>
      </w:pPr>
      <w:r w:rsidRPr="005462B2">
        <w:rPr>
          <w:rFonts w:ascii="Trebuchet MS" w:eastAsia="Times New Roman" w:hAnsi="Trebuchet MS" w:cs="Segoe UI"/>
          <w:lang w:eastAsia="en-GB"/>
        </w:rPr>
        <w:t>Employee grievances arise when individuals believe they have been treated unfairly or have experienced a breach of their rights or expectations at work. In the UK, grievances are a critical employee relations issue</w:t>
      </w:r>
      <w:r w:rsidR="00755847">
        <w:rPr>
          <w:rFonts w:ascii="Trebuchet MS" w:eastAsia="Times New Roman" w:hAnsi="Trebuchet MS" w:cs="Segoe UI"/>
          <w:lang w:eastAsia="en-GB"/>
        </w:rPr>
        <w:t>.</w:t>
      </w:r>
      <w:r w:rsidRPr="005462B2">
        <w:rPr>
          <w:rFonts w:ascii="Trebuchet MS" w:eastAsia="Times New Roman" w:hAnsi="Trebuchet MS" w:cs="Segoe UI"/>
          <w:lang w:eastAsia="en-GB"/>
        </w:rPr>
        <w:t xml:space="preserve"> </w:t>
      </w:r>
      <w:proofErr w:type="spellStart"/>
      <w:r w:rsidRPr="005462B2">
        <w:rPr>
          <w:rFonts w:ascii="Trebuchet MS" w:eastAsia="Times New Roman" w:hAnsi="Trebuchet MS" w:cs="Segoe UI"/>
          <w:lang w:eastAsia="en-GB"/>
        </w:rPr>
        <w:t>Acas</w:t>
      </w:r>
      <w:proofErr w:type="spellEnd"/>
      <w:r w:rsidRPr="005462B2">
        <w:rPr>
          <w:rFonts w:ascii="Trebuchet MS" w:eastAsia="Times New Roman" w:hAnsi="Trebuchet MS" w:cs="Segoe UI"/>
          <w:lang w:eastAsia="en-GB"/>
        </w:rPr>
        <w:t xml:space="preserve"> and CIPD highlight</w:t>
      </w:r>
      <w:r w:rsidR="0009246D">
        <w:rPr>
          <w:rFonts w:ascii="Trebuchet MS" w:eastAsia="Times New Roman" w:hAnsi="Trebuchet MS" w:cs="Segoe UI"/>
          <w:lang w:eastAsia="en-GB"/>
        </w:rPr>
        <w:t xml:space="preserve"> t</w:t>
      </w:r>
      <w:r w:rsidRPr="005462B2">
        <w:rPr>
          <w:rFonts w:ascii="Trebuchet MS" w:eastAsia="Times New Roman" w:hAnsi="Trebuchet MS" w:cs="Segoe UI"/>
          <w:lang w:eastAsia="en-GB"/>
        </w:rPr>
        <w:t xml:space="preserve">hree </w:t>
      </w:r>
      <w:r w:rsidR="00A050B6">
        <w:rPr>
          <w:rFonts w:ascii="Trebuchet MS" w:eastAsia="Times New Roman" w:hAnsi="Trebuchet MS" w:cs="Segoe UI"/>
          <w:lang w:eastAsia="en-GB"/>
        </w:rPr>
        <w:t>common</w:t>
      </w:r>
      <w:r w:rsidRPr="005462B2">
        <w:rPr>
          <w:rFonts w:ascii="Trebuchet MS" w:eastAsia="Times New Roman" w:hAnsi="Trebuchet MS" w:cs="Segoe UI"/>
          <w:lang w:eastAsia="en-GB"/>
        </w:rPr>
        <w:t xml:space="preserve"> causes of employee grievances </w:t>
      </w:r>
      <w:r w:rsidR="0030644E">
        <w:rPr>
          <w:rFonts w:ascii="Trebuchet MS" w:eastAsia="Times New Roman" w:hAnsi="Trebuchet MS" w:cs="Segoe UI"/>
          <w:lang w:eastAsia="en-GB"/>
        </w:rPr>
        <w:t>as being</w:t>
      </w:r>
      <w:r w:rsidRPr="005462B2">
        <w:rPr>
          <w:rFonts w:ascii="Trebuchet MS" w:eastAsia="Times New Roman" w:hAnsi="Trebuchet MS" w:cs="Segoe UI"/>
          <w:lang w:eastAsia="en-GB"/>
        </w:rPr>
        <w:t xml:space="preserve"> line management behaviour, employment terms and conditions, and </w:t>
      </w:r>
      <w:r w:rsidR="005C453E">
        <w:rPr>
          <w:rFonts w:ascii="Trebuchet MS" w:eastAsia="Times New Roman" w:hAnsi="Trebuchet MS" w:cs="Segoe UI"/>
          <w:lang w:eastAsia="en-GB"/>
        </w:rPr>
        <w:t>organisation change</w:t>
      </w:r>
      <w:r w:rsidR="0009246D" w:rsidRPr="0009246D">
        <w:rPr>
          <w:rFonts w:ascii="Trebuchet MS" w:eastAsia="Times New Roman" w:hAnsi="Trebuchet MS" w:cs="Segoe UI"/>
          <w:lang w:eastAsia="en-GB"/>
        </w:rPr>
        <w:t xml:space="preserve"> </w:t>
      </w:r>
      <w:r w:rsidR="0041579D">
        <w:rPr>
          <w:rFonts w:ascii="Trebuchet MS" w:eastAsia="Times New Roman" w:hAnsi="Trebuchet MS" w:cs="Segoe UI"/>
          <w:lang w:eastAsia="en-GB"/>
        </w:rPr>
        <w:t>(</w:t>
      </w:r>
      <w:proofErr w:type="spellStart"/>
      <w:r w:rsidR="0009246D" w:rsidRPr="005462B2">
        <w:rPr>
          <w:rFonts w:ascii="Trebuchet MS" w:eastAsia="Times New Roman" w:hAnsi="Trebuchet MS" w:cs="Segoe UI"/>
          <w:lang w:eastAsia="en-GB"/>
        </w:rPr>
        <w:t>Acas</w:t>
      </w:r>
      <w:proofErr w:type="spellEnd"/>
      <w:r w:rsidR="0009246D" w:rsidRPr="005462B2">
        <w:rPr>
          <w:rFonts w:ascii="Trebuchet MS" w:eastAsia="Times New Roman" w:hAnsi="Trebuchet MS" w:cs="Segoe UI"/>
          <w:lang w:eastAsia="en-GB"/>
        </w:rPr>
        <w:t>, 2015; CIPD, 2024)</w:t>
      </w:r>
    </w:p>
    <w:p w14:paraId="0D814CB7" w14:textId="730D0948" w:rsidR="005462B2" w:rsidRPr="005462B2" w:rsidRDefault="0041579D" w:rsidP="006A2326">
      <w:pPr>
        <w:spacing w:before="100" w:beforeAutospacing="1" w:after="100" w:afterAutospacing="1" w:line="240" w:lineRule="auto"/>
        <w:jc w:val="both"/>
        <w:rPr>
          <w:rFonts w:ascii="Trebuchet MS" w:eastAsia="Times New Roman" w:hAnsi="Trebuchet MS" w:cs="Segoe UI"/>
          <w:lang w:eastAsia="en-GB"/>
        </w:rPr>
      </w:pPr>
      <w:r>
        <w:rPr>
          <w:rFonts w:ascii="Trebuchet MS" w:eastAsia="Times New Roman" w:hAnsi="Trebuchet MS" w:cs="Segoe UI"/>
          <w:lang w:eastAsia="en-GB"/>
        </w:rPr>
        <w:t>Poor</w:t>
      </w:r>
      <w:r w:rsidR="005462B2" w:rsidRPr="005462B2">
        <w:rPr>
          <w:rFonts w:ascii="Trebuchet MS" w:eastAsia="Times New Roman" w:hAnsi="Trebuchet MS" w:cs="Segoe UI"/>
          <w:lang w:eastAsia="en-GB"/>
        </w:rPr>
        <w:t xml:space="preserve"> line management behaviour includes bullying, harassment, unfair treatment, inconsistent decision</w:t>
      </w:r>
      <w:r w:rsidR="005462B2" w:rsidRPr="005462B2">
        <w:rPr>
          <w:rFonts w:ascii="Trebuchet MS" w:eastAsia="Times New Roman" w:hAnsi="Trebuchet MS" w:cs="Segoe UI"/>
          <w:lang w:eastAsia="en-GB"/>
        </w:rPr>
        <w:noBreakHyphen/>
        <w:t>making and weak people management capability. CIPD (2024) research shows that many grievances stem not from policy failings but from the way managers apply policies in practice. Where managers lack confidence or skill in managing performance, absence or conduct, employees may perceive decisions as biased or punitive.</w:t>
      </w:r>
    </w:p>
    <w:p w14:paraId="3468B6F0" w14:textId="77777777" w:rsidR="005462B2" w:rsidRPr="005462B2" w:rsidRDefault="005462B2" w:rsidP="006A2326">
      <w:pPr>
        <w:spacing w:before="100" w:beforeAutospacing="1" w:after="100" w:afterAutospacing="1" w:line="240" w:lineRule="auto"/>
        <w:jc w:val="both"/>
        <w:rPr>
          <w:rFonts w:ascii="Trebuchet MS" w:eastAsia="Times New Roman" w:hAnsi="Trebuchet MS" w:cs="Segoe UI"/>
          <w:lang w:eastAsia="en-GB"/>
        </w:rPr>
      </w:pPr>
      <w:r w:rsidRPr="005462B2">
        <w:rPr>
          <w:rFonts w:ascii="Trebuchet MS" w:eastAsia="Times New Roman" w:hAnsi="Trebuchet MS" w:cs="Segoe UI"/>
          <w:lang w:eastAsia="en-GB"/>
        </w:rPr>
        <w:t>This issue is particularly acute in the public sector, where managers often balance operational responsibilities with people management duties, increasing the risk of conflict escalation. Poor manager–employee relationships undermine trust and psychological safety, making formal grievance procedures more likely when informal resolution could otherwise have occurred.</w:t>
      </w:r>
    </w:p>
    <w:p w14:paraId="77314A8F" w14:textId="452371F2" w:rsidR="005462B2" w:rsidRPr="005462B2" w:rsidRDefault="005462B2" w:rsidP="006A2326">
      <w:pPr>
        <w:spacing w:before="100" w:beforeAutospacing="1" w:after="100" w:afterAutospacing="1" w:line="240" w:lineRule="auto"/>
        <w:jc w:val="both"/>
        <w:rPr>
          <w:rFonts w:ascii="Trebuchet MS" w:eastAsia="Times New Roman" w:hAnsi="Trebuchet MS" w:cs="Segoe UI"/>
          <w:lang w:eastAsia="en-GB"/>
        </w:rPr>
      </w:pPr>
      <w:r w:rsidRPr="005462B2">
        <w:rPr>
          <w:rFonts w:ascii="Trebuchet MS" w:eastAsia="Times New Roman" w:hAnsi="Trebuchet MS" w:cs="Segoe UI"/>
          <w:lang w:eastAsia="en-GB"/>
        </w:rPr>
        <w:t>Disputes around pay, workload, working hours and contractual terms are another major cause of grievances. While pay levels may be externally constrained</w:t>
      </w:r>
      <w:r w:rsidR="0042470D">
        <w:rPr>
          <w:rFonts w:ascii="Trebuchet MS" w:eastAsia="Times New Roman" w:hAnsi="Trebuchet MS" w:cs="Segoe UI"/>
          <w:lang w:eastAsia="en-GB"/>
        </w:rPr>
        <w:t xml:space="preserve">, </w:t>
      </w:r>
      <w:r w:rsidRPr="005462B2">
        <w:rPr>
          <w:rFonts w:ascii="Trebuchet MS" w:eastAsia="Times New Roman" w:hAnsi="Trebuchet MS" w:cs="Segoe UI"/>
          <w:lang w:eastAsia="en-GB"/>
        </w:rPr>
        <w:t>particularly in the public sector</w:t>
      </w:r>
      <w:r w:rsidR="0042470D">
        <w:rPr>
          <w:rFonts w:ascii="Trebuchet MS" w:eastAsia="Times New Roman" w:hAnsi="Trebuchet MS" w:cs="Segoe UI"/>
          <w:lang w:eastAsia="en-GB"/>
        </w:rPr>
        <w:t xml:space="preserve">, </w:t>
      </w:r>
      <w:r w:rsidRPr="005462B2">
        <w:rPr>
          <w:rFonts w:ascii="Trebuchet MS" w:eastAsia="Times New Roman" w:hAnsi="Trebuchet MS" w:cs="Segoe UI"/>
          <w:lang w:eastAsia="en-GB"/>
        </w:rPr>
        <w:t xml:space="preserve">employees may still raise grievances about perceived inequities, pay progression, or inconsistent application of terms and conditions. According to </w:t>
      </w:r>
      <w:proofErr w:type="spellStart"/>
      <w:r w:rsidRPr="005462B2">
        <w:rPr>
          <w:rFonts w:ascii="Trebuchet MS" w:eastAsia="Times New Roman" w:hAnsi="Trebuchet MS" w:cs="Segoe UI"/>
          <w:lang w:eastAsia="en-GB"/>
        </w:rPr>
        <w:t>Acas</w:t>
      </w:r>
      <w:proofErr w:type="spellEnd"/>
      <w:r w:rsidRPr="005462B2">
        <w:rPr>
          <w:rFonts w:ascii="Trebuchet MS" w:eastAsia="Times New Roman" w:hAnsi="Trebuchet MS" w:cs="Segoe UI"/>
          <w:lang w:eastAsia="en-GB"/>
        </w:rPr>
        <w:t xml:space="preserve"> (2015), grievances often arise where changes to terms are poorly communicated or implemented without sufficient consultation.</w:t>
      </w:r>
    </w:p>
    <w:p w14:paraId="390651CD" w14:textId="77777777" w:rsidR="005462B2" w:rsidRPr="005462B2" w:rsidRDefault="005462B2" w:rsidP="006A2326">
      <w:pPr>
        <w:spacing w:before="100" w:beforeAutospacing="1" w:after="100" w:afterAutospacing="1" w:line="240" w:lineRule="auto"/>
        <w:jc w:val="both"/>
        <w:rPr>
          <w:rFonts w:ascii="Trebuchet MS" w:eastAsia="Times New Roman" w:hAnsi="Trebuchet MS" w:cs="Segoe UI"/>
          <w:lang w:eastAsia="en-GB"/>
        </w:rPr>
      </w:pPr>
      <w:r w:rsidRPr="005462B2">
        <w:rPr>
          <w:rFonts w:ascii="Trebuchet MS" w:eastAsia="Times New Roman" w:hAnsi="Trebuchet MS" w:cs="Segoe UI"/>
          <w:lang w:eastAsia="en-GB"/>
        </w:rPr>
        <w:t>These grievances are frequently linked to the psychological contract. When employees believe that organisational promises regarding fairness, reward or security have been broken, dissatisfaction may crystallise into formal complaints. This can be exacerbated during periods of pay restraint or cost</w:t>
      </w:r>
      <w:r w:rsidRPr="005462B2">
        <w:rPr>
          <w:rFonts w:ascii="Trebuchet MS" w:eastAsia="Times New Roman" w:hAnsi="Trebuchet MS" w:cs="Segoe UI"/>
          <w:lang w:eastAsia="en-GB"/>
        </w:rPr>
        <w:noBreakHyphen/>
        <w:t>of</w:t>
      </w:r>
      <w:r w:rsidRPr="005462B2">
        <w:rPr>
          <w:rFonts w:ascii="Trebuchet MS" w:eastAsia="Times New Roman" w:hAnsi="Trebuchet MS" w:cs="Segoe UI"/>
          <w:lang w:eastAsia="en-GB"/>
        </w:rPr>
        <w:noBreakHyphen/>
        <w:t>living pressure, where expectations and realities diverge sharply.</w:t>
      </w:r>
    </w:p>
    <w:p w14:paraId="4F1F3FF6" w14:textId="77777777" w:rsidR="005462B2" w:rsidRPr="005462B2" w:rsidRDefault="005462B2" w:rsidP="006A2326">
      <w:pPr>
        <w:spacing w:before="100" w:beforeAutospacing="1" w:after="100" w:afterAutospacing="1" w:line="240" w:lineRule="auto"/>
        <w:jc w:val="both"/>
        <w:rPr>
          <w:rFonts w:ascii="Trebuchet MS" w:eastAsia="Times New Roman" w:hAnsi="Trebuchet MS" w:cs="Segoe UI"/>
          <w:lang w:eastAsia="en-GB"/>
        </w:rPr>
      </w:pPr>
      <w:r w:rsidRPr="005462B2">
        <w:rPr>
          <w:rFonts w:ascii="Trebuchet MS" w:eastAsia="Times New Roman" w:hAnsi="Trebuchet MS" w:cs="Segoe UI"/>
          <w:lang w:eastAsia="en-GB"/>
        </w:rPr>
        <w:t>Organisational change is a growing source of employee grievances. Restructuring, role redesign, redundancies and increased workloads can generate uncertainty, stress and perceptions of unfair treatment. CIPD (2024) highlights that poorly managed change, particularly where employee voice is limited, significantly increases the likelihood of grievances.</w:t>
      </w:r>
    </w:p>
    <w:p w14:paraId="7CE592B6" w14:textId="77777777" w:rsidR="005462B2" w:rsidRPr="005462B2" w:rsidRDefault="005462B2" w:rsidP="006A2326">
      <w:pPr>
        <w:spacing w:before="100" w:beforeAutospacing="1" w:after="100" w:afterAutospacing="1" w:line="240" w:lineRule="auto"/>
        <w:jc w:val="both"/>
        <w:rPr>
          <w:rFonts w:ascii="Trebuchet MS" w:eastAsia="Times New Roman" w:hAnsi="Trebuchet MS" w:cs="Segoe UI"/>
          <w:lang w:eastAsia="en-GB"/>
        </w:rPr>
      </w:pPr>
      <w:r w:rsidRPr="005462B2">
        <w:rPr>
          <w:rFonts w:ascii="Trebuchet MS" w:eastAsia="Times New Roman" w:hAnsi="Trebuchet MS" w:cs="Segoe UI"/>
          <w:lang w:eastAsia="en-GB"/>
        </w:rPr>
        <w:t>Employees may raise grievances if they feel selection processes are unfair, workloads are unmanageable, or consultation has been tokenistic. In the public sector, prolonged periods of reform and resource pressure intensify these risks, making grievance procedures a mechanism for employees to seek voice and redress.</w:t>
      </w:r>
    </w:p>
    <w:p w14:paraId="1A76B3A3" w14:textId="1C932DA8" w:rsidR="00245A63" w:rsidRPr="005462B2" w:rsidRDefault="005462B2" w:rsidP="006A2326">
      <w:pPr>
        <w:spacing w:before="100" w:beforeAutospacing="1" w:after="100" w:afterAutospacing="1" w:line="240" w:lineRule="auto"/>
        <w:jc w:val="both"/>
        <w:rPr>
          <w:rFonts w:ascii="Trebuchet MS" w:eastAsia="Times New Roman" w:hAnsi="Trebuchet MS" w:cs="Segoe UI"/>
          <w:lang w:eastAsia="en-GB"/>
        </w:rPr>
      </w:pPr>
      <w:r w:rsidRPr="005462B2">
        <w:rPr>
          <w:rFonts w:ascii="Trebuchet MS" w:eastAsia="Times New Roman" w:hAnsi="Trebuchet MS" w:cs="Segoe UI"/>
          <w:lang w:eastAsia="en-GB"/>
        </w:rPr>
        <w:t>In summary, grievances commonly arise from poor management behaviour, disputes over employment terms, and the impact of organisational change. Addressing these root causes through management capability, effective communication and early conflict resolution is essential for maintaining positive employee relations.</w:t>
      </w:r>
    </w:p>
    <w:p w14:paraId="4364BED8" w14:textId="0C3CB6E1" w:rsidR="00B42BAE" w:rsidRPr="002B167F" w:rsidRDefault="00B42BAE" w:rsidP="00B42BAE">
      <w:pPr>
        <w:pBdr>
          <w:top w:val="nil"/>
          <w:left w:val="nil"/>
          <w:bottom w:val="nil"/>
          <w:right w:val="nil"/>
          <w:between w:val="nil"/>
          <w:bar w:val="nil"/>
        </w:pBdr>
        <w:spacing w:after="0" w:line="264" w:lineRule="auto"/>
        <w:rPr>
          <w:rFonts w:ascii="Trebuchet MS" w:eastAsia="Arial" w:hAnsi="Trebuchet MS" w:cs="Arial"/>
          <w:b/>
          <w:bCs/>
          <w:color w:val="4472C4" w:themeColor="accent1"/>
          <w:u w:color="000000"/>
          <w:bdr w:val="nil"/>
          <w:lang w:val="en-US" w:eastAsia="en-GB"/>
        </w:rPr>
      </w:pPr>
      <w:r w:rsidRPr="002B167F">
        <w:rPr>
          <w:rFonts w:ascii="Trebuchet MS" w:eastAsia="Arial" w:hAnsi="Trebuchet MS" w:cs="Arial"/>
          <w:b/>
          <w:bCs/>
          <w:color w:val="4472C4" w:themeColor="accent1"/>
          <w:u w:color="000000"/>
          <w:bdr w:val="nil"/>
          <w:lang w:val="en-US" w:eastAsia="en-GB"/>
        </w:rPr>
        <w:t xml:space="preserve">AC 3.3  </w:t>
      </w:r>
    </w:p>
    <w:p w14:paraId="1C7B2595" w14:textId="1A5B10EC" w:rsidR="005462B2" w:rsidRPr="00A953ED" w:rsidRDefault="005462B2" w:rsidP="00A953ED">
      <w:pPr>
        <w:pStyle w:val="NormalWeb"/>
        <w:jc w:val="both"/>
        <w:rPr>
          <w:rFonts w:ascii="Trebuchet MS" w:hAnsi="Trebuchet MS" w:cs="Segoe UI"/>
          <w:sz w:val="22"/>
          <w:szCs w:val="22"/>
        </w:rPr>
      </w:pPr>
      <w:r w:rsidRPr="00A953ED">
        <w:rPr>
          <w:rFonts w:ascii="Trebuchet MS" w:hAnsi="Trebuchet MS" w:cs="Segoe UI"/>
          <w:sz w:val="22"/>
          <w:szCs w:val="22"/>
        </w:rPr>
        <w:t>The way organisations respond to grievances has significant implications for trust, morale, legal compliance and organisational performance.</w:t>
      </w:r>
    </w:p>
    <w:p w14:paraId="3B5D947B" w14:textId="4D3ECF6A" w:rsidR="005462B2" w:rsidRPr="00A953ED" w:rsidRDefault="00AF724E" w:rsidP="00A953ED">
      <w:pPr>
        <w:pStyle w:val="NormalWeb"/>
        <w:jc w:val="both"/>
        <w:rPr>
          <w:rFonts w:ascii="Trebuchet MS" w:hAnsi="Trebuchet MS" w:cs="Segoe UI"/>
          <w:sz w:val="22"/>
          <w:szCs w:val="22"/>
        </w:rPr>
      </w:pPr>
      <w:r w:rsidRPr="00A953ED">
        <w:rPr>
          <w:rFonts w:ascii="Trebuchet MS" w:hAnsi="Trebuchet MS" w:cs="Segoe UI"/>
          <w:sz w:val="22"/>
          <w:szCs w:val="22"/>
        </w:rPr>
        <w:lastRenderedPageBreak/>
        <w:t>An important</w:t>
      </w:r>
      <w:r w:rsidR="005462B2" w:rsidRPr="00A953ED">
        <w:rPr>
          <w:rFonts w:ascii="Trebuchet MS" w:hAnsi="Trebuchet MS" w:cs="Segoe UI"/>
          <w:sz w:val="22"/>
          <w:szCs w:val="22"/>
        </w:rPr>
        <w:t xml:space="preserve"> reason for handling grievances effectively is to </w:t>
      </w:r>
      <w:r w:rsidR="005462B2" w:rsidRPr="00A953ED">
        <w:rPr>
          <w:rStyle w:val="Strong"/>
          <w:rFonts w:ascii="Trebuchet MS" w:hAnsi="Trebuchet MS" w:cs="Segoe UI"/>
          <w:b w:val="0"/>
          <w:bCs w:val="0"/>
          <w:sz w:val="22"/>
          <w:szCs w:val="22"/>
        </w:rPr>
        <w:t>maintain positive working relationships and trust</w:t>
      </w:r>
      <w:r w:rsidR="005462B2" w:rsidRPr="00A953ED">
        <w:rPr>
          <w:rFonts w:ascii="Trebuchet MS" w:hAnsi="Trebuchet MS" w:cs="Segoe UI"/>
          <w:b/>
          <w:bCs/>
          <w:sz w:val="22"/>
          <w:szCs w:val="22"/>
        </w:rPr>
        <w:t>.</w:t>
      </w:r>
      <w:r w:rsidR="005462B2" w:rsidRPr="00A953ED">
        <w:rPr>
          <w:rFonts w:ascii="Trebuchet MS" w:hAnsi="Trebuchet MS" w:cs="Segoe UI"/>
          <w:sz w:val="22"/>
          <w:szCs w:val="22"/>
        </w:rPr>
        <w:t xml:space="preserve"> When employees feel that their concerns are listened to and treated fairly, it reinforces perceptions of organisational justice. CIPD (2024) emphasises that fair and transparent grievance handling helps preserve the psychological contract between employer and employee, reducing the likelihood of disengagement, absenteeism or conflict escalation. Conversely, poorly managed grievances can damage relationships irreparably and lead to long</w:t>
      </w:r>
      <w:r w:rsidR="005462B2" w:rsidRPr="00A953ED">
        <w:rPr>
          <w:rFonts w:ascii="Trebuchet MS" w:hAnsi="Trebuchet MS" w:cs="Segoe UI"/>
          <w:sz w:val="22"/>
          <w:szCs w:val="22"/>
        </w:rPr>
        <w:noBreakHyphen/>
        <w:t>term hostility.</w:t>
      </w:r>
    </w:p>
    <w:p w14:paraId="1015F3E0" w14:textId="50D856DD" w:rsidR="005462B2" w:rsidRPr="00A953ED" w:rsidRDefault="005462B2" w:rsidP="00A953ED">
      <w:pPr>
        <w:pStyle w:val="NormalWeb"/>
        <w:jc w:val="both"/>
        <w:rPr>
          <w:rFonts w:ascii="Trebuchet MS" w:hAnsi="Trebuchet MS" w:cs="Segoe UI"/>
          <w:sz w:val="22"/>
          <w:szCs w:val="22"/>
        </w:rPr>
      </w:pPr>
      <w:r w:rsidRPr="00A953ED">
        <w:rPr>
          <w:rFonts w:ascii="Trebuchet MS" w:hAnsi="Trebuchet MS" w:cs="Segoe UI"/>
          <w:sz w:val="22"/>
          <w:szCs w:val="22"/>
        </w:rPr>
        <w:t xml:space="preserve">Effective grievance handling is also critical to </w:t>
      </w:r>
      <w:r w:rsidRPr="00A953ED">
        <w:rPr>
          <w:rStyle w:val="Strong"/>
          <w:rFonts w:ascii="Trebuchet MS" w:hAnsi="Trebuchet MS" w:cs="Segoe UI"/>
          <w:b w:val="0"/>
          <w:bCs w:val="0"/>
          <w:sz w:val="22"/>
          <w:szCs w:val="22"/>
        </w:rPr>
        <w:t>preventing escalation and formal disputes</w:t>
      </w:r>
      <w:r w:rsidRPr="00A953ED">
        <w:rPr>
          <w:rFonts w:ascii="Trebuchet MS" w:hAnsi="Trebuchet MS" w:cs="Segoe UI"/>
          <w:b/>
          <w:bCs/>
          <w:sz w:val="22"/>
          <w:szCs w:val="22"/>
        </w:rPr>
        <w:t>.</w:t>
      </w:r>
      <w:r w:rsidRPr="00A953ED">
        <w:rPr>
          <w:rFonts w:ascii="Trebuchet MS" w:hAnsi="Trebuchet MS" w:cs="Segoe UI"/>
          <w:sz w:val="22"/>
          <w:szCs w:val="22"/>
        </w:rPr>
        <w:t xml:space="preserve"> </w:t>
      </w:r>
      <w:proofErr w:type="spellStart"/>
      <w:r w:rsidRPr="00A953ED">
        <w:rPr>
          <w:rFonts w:ascii="Trebuchet MS" w:hAnsi="Trebuchet MS" w:cs="Segoe UI"/>
          <w:sz w:val="22"/>
          <w:szCs w:val="22"/>
        </w:rPr>
        <w:t>Acas</w:t>
      </w:r>
      <w:proofErr w:type="spellEnd"/>
      <w:r w:rsidRPr="00A953ED">
        <w:rPr>
          <w:rFonts w:ascii="Trebuchet MS" w:hAnsi="Trebuchet MS" w:cs="Segoe UI"/>
          <w:sz w:val="22"/>
          <w:szCs w:val="22"/>
        </w:rPr>
        <w:t xml:space="preserve"> (2015) highlights </w:t>
      </w:r>
      <w:proofErr w:type="gramStart"/>
      <w:r w:rsidRPr="00A953ED">
        <w:rPr>
          <w:rFonts w:ascii="Trebuchet MS" w:hAnsi="Trebuchet MS" w:cs="Segoe UI"/>
          <w:sz w:val="22"/>
          <w:szCs w:val="22"/>
        </w:rPr>
        <w:t>that unresolved grievances</w:t>
      </w:r>
      <w:proofErr w:type="gramEnd"/>
      <w:r w:rsidRPr="00A953ED">
        <w:rPr>
          <w:rFonts w:ascii="Trebuchet MS" w:hAnsi="Trebuchet MS" w:cs="Segoe UI"/>
          <w:sz w:val="22"/>
          <w:szCs w:val="22"/>
        </w:rPr>
        <w:t xml:space="preserve"> often develop into more serious issues, such as employment tribunal claims, industrial action or prolonged sickness absence. Early, fair and informal resolution where possible can save organisations considerable time, cost and reputational damage. This is particularly important in the public sector, where formal disputes can disrupt service delivery and attract scrutiny.</w:t>
      </w:r>
    </w:p>
    <w:p w14:paraId="35398CE7" w14:textId="7CD66DE9" w:rsidR="005462B2" w:rsidRPr="00A953ED" w:rsidRDefault="005462B2" w:rsidP="00A953ED">
      <w:pPr>
        <w:pStyle w:val="NormalWeb"/>
        <w:jc w:val="both"/>
        <w:rPr>
          <w:rFonts w:ascii="Trebuchet MS" w:hAnsi="Trebuchet MS" w:cs="Segoe UI"/>
          <w:sz w:val="22"/>
          <w:szCs w:val="22"/>
        </w:rPr>
      </w:pPr>
      <w:r w:rsidRPr="00A953ED">
        <w:rPr>
          <w:rFonts w:ascii="Trebuchet MS" w:hAnsi="Trebuchet MS" w:cs="Segoe UI"/>
          <w:sz w:val="22"/>
          <w:szCs w:val="22"/>
        </w:rPr>
        <w:t xml:space="preserve">Another important consideration is </w:t>
      </w:r>
      <w:r w:rsidRPr="00A953ED">
        <w:rPr>
          <w:rStyle w:val="Strong"/>
          <w:rFonts w:ascii="Trebuchet MS" w:hAnsi="Trebuchet MS" w:cs="Segoe UI"/>
          <w:b w:val="0"/>
          <w:bCs w:val="0"/>
          <w:sz w:val="22"/>
          <w:szCs w:val="22"/>
        </w:rPr>
        <w:t>legal and procedural compliance</w:t>
      </w:r>
      <w:r w:rsidRPr="00A953ED">
        <w:rPr>
          <w:rFonts w:ascii="Trebuchet MS" w:hAnsi="Trebuchet MS" w:cs="Segoe UI"/>
          <w:sz w:val="22"/>
          <w:szCs w:val="22"/>
        </w:rPr>
        <w:t xml:space="preserve">. Employers </w:t>
      </w:r>
      <w:r w:rsidR="00DD7A0E" w:rsidRPr="00A953ED">
        <w:rPr>
          <w:rFonts w:ascii="Trebuchet MS" w:hAnsi="Trebuchet MS" w:cs="Segoe UI"/>
          <w:sz w:val="22"/>
          <w:szCs w:val="22"/>
        </w:rPr>
        <w:t xml:space="preserve">should always </w:t>
      </w:r>
      <w:r w:rsidRPr="00A953ED">
        <w:rPr>
          <w:rFonts w:ascii="Trebuchet MS" w:hAnsi="Trebuchet MS" w:cs="Segoe UI"/>
          <w:sz w:val="22"/>
          <w:szCs w:val="22"/>
        </w:rPr>
        <w:t xml:space="preserve">follow fair processes consistent with the </w:t>
      </w:r>
      <w:proofErr w:type="spellStart"/>
      <w:r w:rsidRPr="00A953ED">
        <w:rPr>
          <w:rFonts w:ascii="Trebuchet MS" w:hAnsi="Trebuchet MS" w:cs="Segoe UI"/>
          <w:sz w:val="22"/>
          <w:szCs w:val="22"/>
        </w:rPr>
        <w:t>Acas</w:t>
      </w:r>
      <w:proofErr w:type="spellEnd"/>
      <w:r w:rsidRPr="00A953ED">
        <w:rPr>
          <w:rFonts w:ascii="Trebuchet MS" w:hAnsi="Trebuchet MS" w:cs="Segoe UI"/>
          <w:sz w:val="22"/>
          <w:szCs w:val="22"/>
        </w:rPr>
        <w:t xml:space="preserve"> Code of Practice on disciplinary and grievance procedures. </w:t>
      </w:r>
      <w:r w:rsidR="00DD7A0E" w:rsidRPr="00A953ED">
        <w:rPr>
          <w:rFonts w:ascii="Trebuchet MS" w:hAnsi="Trebuchet MS" w:cs="Segoe UI"/>
          <w:sz w:val="22"/>
          <w:szCs w:val="22"/>
        </w:rPr>
        <w:t>F</w:t>
      </w:r>
      <w:r w:rsidRPr="00A953ED">
        <w:rPr>
          <w:rFonts w:ascii="Trebuchet MS" w:hAnsi="Trebuchet MS" w:cs="Segoe UI"/>
          <w:sz w:val="22"/>
          <w:szCs w:val="22"/>
        </w:rPr>
        <w:t>ailure to follow the Code does not automatically result in liability</w:t>
      </w:r>
      <w:r w:rsidR="00DD7A0E" w:rsidRPr="00A953ED">
        <w:rPr>
          <w:rFonts w:ascii="Trebuchet MS" w:hAnsi="Trebuchet MS" w:cs="Segoe UI"/>
          <w:sz w:val="22"/>
          <w:szCs w:val="22"/>
        </w:rPr>
        <w:t xml:space="preserve"> but</w:t>
      </w:r>
      <w:r w:rsidRPr="00A953ED">
        <w:rPr>
          <w:rFonts w:ascii="Trebuchet MS" w:hAnsi="Trebuchet MS" w:cs="Segoe UI"/>
          <w:sz w:val="22"/>
          <w:szCs w:val="22"/>
        </w:rPr>
        <w:t xml:space="preserve"> employment tribunals may increase compensation</w:t>
      </w:r>
      <w:r w:rsidR="001E6724" w:rsidRPr="00A953ED">
        <w:rPr>
          <w:rFonts w:ascii="Trebuchet MS" w:hAnsi="Trebuchet MS" w:cs="Segoe UI"/>
          <w:sz w:val="22"/>
          <w:szCs w:val="22"/>
        </w:rPr>
        <w:t xml:space="preserve"> </w:t>
      </w:r>
      <w:r w:rsidRPr="00A953ED">
        <w:rPr>
          <w:rFonts w:ascii="Trebuchet MS" w:hAnsi="Trebuchet MS" w:cs="Segoe UI"/>
          <w:sz w:val="22"/>
          <w:szCs w:val="22"/>
        </w:rPr>
        <w:t>where employers have acted unreasonably. Handling grievances effectively therefore reduces legal risk and demonstrates that the organisation takes its duty of care seriously (</w:t>
      </w:r>
      <w:proofErr w:type="spellStart"/>
      <w:r w:rsidRPr="00A953ED">
        <w:rPr>
          <w:rFonts w:ascii="Trebuchet MS" w:hAnsi="Trebuchet MS" w:cs="Segoe UI"/>
          <w:sz w:val="22"/>
          <w:szCs w:val="22"/>
        </w:rPr>
        <w:t>Acas</w:t>
      </w:r>
      <w:proofErr w:type="spellEnd"/>
      <w:r w:rsidRPr="00A953ED">
        <w:rPr>
          <w:rFonts w:ascii="Trebuchet MS" w:hAnsi="Trebuchet MS" w:cs="Segoe UI"/>
          <w:sz w:val="22"/>
          <w:szCs w:val="22"/>
        </w:rPr>
        <w:t>, 2015).</w:t>
      </w:r>
    </w:p>
    <w:p w14:paraId="7BDF3A0E" w14:textId="77777777" w:rsidR="005462B2" w:rsidRPr="00A953ED" w:rsidRDefault="005462B2" w:rsidP="00A953ED">
      <w:pPr>
        <w:pStyle w:val="NormalWeb"/>
        <w:jc w:val="both"/>
        <w:rPr>
          <w:rFonts w:ascii="Trebuchet MS" w:hAnsi="Trebuchet MS" w:cs="Segoe UI"/>
          <w:sz w:val="22"/>
          <w:szCs w:val="22"/>
        </w:rPr>
      </w:pPr>
      <w:r w:rsidRPr="00A953ED">
        <w:rPr>
          <w:rFonts w:ascii="Trebuchet MS" w:hAnsi="Trebuchet MS" w:cs="Segoe UI"/>
          <w:sz w:val="22"/>
          <w:szCs w:val="22"/>
        </w:rPr>
        <w:t xml:space="preserve">From an organisational perspective, grievance data can provide valuable </w:t>
      </w:r>
      <w:r w:rsidRPr="00A953ED">
        <w:rPr>
          <w:rStyle w:val="Strong"/>
          <w:rFonts w:ascii="Trebuchet MS" w:hAnsi="Trebuchet MS" w:cs="Segoe UI"/>
          <w:b w:val="0"/>
          <w:bCs w:val="0"/>
          <w:sz w:val="22"/>
          <w:szCs w:val="22"/>
        </w:rPr>
        <w:t>management and cultural insight</w:t>
      </w:r>
      <w:r w:rsidRPr="00A953ED">
        <w:rPr>
          <w:rFonts w:ascii="Trebuchet MS" w:hAnsi="Trebuchet MS" w:cs="Segoe UI"/>
          <w:sz w:val="22"/>
          <w:szCs w:val="22"/>
        </w:rPr>
        <w:t>. Patterns in grievances may highlight systemic issues such as poor management capability, excessive workloads or discrimination risks. CIPD (2024) notes that organisations that learn from grievances can improve policies, management training and working practices, contributing to better working lives overall.</w:t>
      </w:r>
    </w:p>
    <w:p w14:paraId="3DC31782" w14:textId="071D67E1" w:rsidR="005462B2" w:rsidRPr="00A953ED" w:rsidRDefault="005462B2" w:rsidP="00A953ED">
      <w:pPr>
        <w:pStyle w:val="NormalWeb"/>
        <w:jc w:val="both"/>
        <w:rPr>
          <w:rFonts w:ascii="Trebuchet MS" w:hAnsi="Trebuchet MS" w:cs="Segoe UI"/>
          <w:sz w:val="22"/>
          <w:szCs w:val="22"/>
        </w:rPr>
      </w:pPr>
      <w:r w:rsidRPr="00A953ED">
        <w:rPr>
          <w:rFonts w:ascii="Trebuchet MS" w:hAnsi="Trebuchet MS" w:cs="Segoe UI"/>
          <w:sz w:val="22"/>
          <w:szCs w:val="22"/>
        </w:rPr>
        <w:t xml:space="preserve">Finally, effective grievance handling supports </w:t>
      </w:r>
      <w:r w:rsidRPr="00A953ED">
        <w:rPr>
          <w:rStyle w:val="Strong"/>
          <w:rFonts w:ascii="Trebuchet MS" w:hAnsi="Trebuchet MS" w:cs="Segoe UI"/>
          <w:b w:val="0"/>
          <w:bCs w:val="0"/>
          <w:sz w:val="22"/>
          <w:szCs w:val="22"/>
        </w:rPr>
        <w:t>wellbeing and engagement</w:t>
      </w:r>
      <w:r w:rsidRPr="00A953ED">
        <w:rPr>
          <w:rFonts w:ascii="Trebuchet MS" w:hAnsi="Trebuchet MS" w:cs="Segoe UI"/>
          <w:b/>
          <w:bCs/>
          <w:sz w:val="22"/>
          <w:szCs w:val="22"/>
        </w:rPr>
        <w:t xml:space="preserve">. </w:t>
      </w:r>
      <w:r w:rsidRPr="00A953ED">
        <w:rPr>
          <w:rFonts w:ascii="Trebuchet MS" w:hAnsi="Trebuchet MS" w:cs="Segoe UI"/>
          <w:sz w:val="22"/>
          <w:szCs w:val="22"/>
        </w:rPr>
        <w:t>Conflict and unresolved concerns are significant sources of stress, negatively affect</w:t>
      </w:r>
      <w:r w:rsidR="00245A63">
        <w:rPr>
          <w:rFonts w:ascii="Trebuchet MS" w:hAnsi="Trebuchet MS" w:cs="Segoe UI"/>
          <w:sz w:val="22"/>
          <w:szCs w:val="22"/>
        </w:rPr>
        <w:t>ing</w:t>
      </w:r>
      <w:r w:rsidRPr="00A953ED">
        <w:rPr>
          <w:rFonts w:ascii="Trebuchet MS" w:hAnsi="Trebuchet MS" w:cs="Segoe UI"/>
          <w:sz w:val="22"/>
          <w:szCs w:val="22"/>
        </w:rPr>
        <w:t xml:space="preserve"> mental health and productivity. By addressing grievances promptly and sensitively, organisations demonstrate empathy and commitment to employee wellbeing, supporting retention and performance.</w:t>
      </w:r>
    </w:p>
    <w:p w14:paraId="0069A9C7" w14:textId="283F1108" w:rsidR="005462B2" w:rsidRPr="00A953ED" w:rsidRDefault="00B45449" w:rsidP="00A953ED">
      <w:pPr>
        <w:pStyle w:val="NormalWeb"/>
        <w:jc w:val="both"/>
        <w:rPr>
          <w:rFonts w:ascii="Trebuchet MS" w:hAnsi="Trebuchet MS" w:cs="Segoe UI"/>
          <w:sz w:val="22"/>
          <w:szCs w:val="22"/>
        </w:rPr>
      </w:pPr>
      <w:r w:rsidRPr="00A953ED">
        <w:rPr>
          <w:rFonts w:ascii="Trebuchet MS" w:hAnsi="Trebuchet MS" w:cs="Segoe UI"/>
          <w:sz w:val="22"/>
          <w:szCs w:val="22"/>
        </w:rPr>
        <w:t>H</w:t>
      </w:r>
      <w:r w:rsidR="005462B2" w:rsidRPr="00A953ED">
        <w:rPr>
          <w:rFonts w:ascii="Trebuchet MS" w:hAnsi="Trebuchet MS" w:cs="Segoe UI"/>
          <w:sz w:val="22"/>
          <w:szCs w:val="22"/>
        </w:rPr>
        <w:t xml:space="preserve">andling grievances effectively is not </w:t>
      </w:r>
      <w:r w:rsidRPr="00A953ED">
        <w:rPr>
          <w:rFonts w:ascii="Trebuchet MS" w:hAnsi="Trebuchet MS" w:cs="Segoe UI"/>
          <w:sz w:val="22"/>
          <w:szCs w:val="22"/>
        </w:rPr>
        <w:t>just</w:t>
      </w:r>
      <w:r w:rsidR="005462B2" w:rsidRPr="00A953ED">
        <w:rPr>
          <w:rFonts w:ascii="Trebuchet MS" w:hAnsi="Trebuchet MS" w:cs="Segoe UI"/>
          <w:sz w:val="22"/>
          <w:szCs w:val="22"/>
        </w:rPr>
        <w:t xml:space="preserve"> a procedural requirement but a strategic people management activity. It supports trust, reduces risk, improves organisational learning and promotes healthy, sustainable employment relationships.</w:t>
      </w:r>
    </w:p>
    <w:p w14:paraId="60B809F5" w14:textId="27DF3CD9" w:rsidR="00512B44" w:rsidRPr="00512B44" w:rsidRDefault="00512B44" w:rsidP="00A953ED">
      <w:pPr>
        <w:pStyle w:val="NormalWeb"/>
        <w:jc w:val="both"/>
        <w:rPr>
          <w:rFonts w:ascii="Trebuchet MS" w:hAnsi="Trebuchet MS" w:cs="Segoe UI"/>
          <w:sz w:val="22"/>
          <w:szCs w:val="22"/>
        </w:rPr>
      </w:pPr>
      <w:r w:rsidRPr="00512B44">
        <w:rPr>
          <w:rFonts w:ascii="Trebuchet MS" w:hAnsi="Trebuchet MS" w:cs="Segoe UI"/>
          <w:sz w:val="22"/>
          <w:szCs w:val="22"/>
        </w:rPr>
        <w:t>A widely cited example of effective grievance handling is Tesco’s reform of its grievance procedures. Tesco identified that traditional, formal grievance processes were inadvertently escalating conflict, generating counter</w:t>
      </w:r>
      <w:r w:rsidRPr="00512B44">
        <w:rPr>
          <w:rFonts w:ascii="Trebuchet MS" w:hAnsi="Trebuchet MS" w:cs="Segoe UI"/>
          <w:sz w:val="22"/>
          <w:szCs w:val="22"/>
        </w:rPr>
        <w:noBreakHyphen/>
        <w:t xml:space="preserve">grievances, increasing sickness absence, and placing heavy demands on HR and management time. </w:t>
      </w:r>
      <w:r w:rsidR="007E6511" w:rsidRPr="00A953ED">
        <w:rPr>
          <w:rFonts w:ascii="Trebuchet MS" w:hAnsi="Trebuchet MS" w:cs="Segoe UI"/>
          <w:sz w:val="22"/>
          <w:szCs w:val="22"/>
        </w:rPr>
        <w:t>T</w:t>
      </w:r>
      <w:r w:rsidRPr="00512B44">
        <w:rPr>
          <w:rFonts w:ascii="Trebuchet MS" w:hAnsi="Trebuchet MS" w:cs="Segoe UI"/>
          <w:sz w:val="22"/>
          <w:szCs w:val="22"/>
        </w:rPr>
        <w:t>he organisation shifted its approach towards early resolution, equipping managers with skills in values</w:t>
      </w:r>
      <w:r w:rsidR="00A30074">
        <w:rPr>
          <w:rFonts w:ascii="Trebuchet MS" w:hAnsi="Trebuchet MS" w:cs="Segoe UI"/>
          <w:sz w:val="22"/>
          <w:szCs w:val="22"/>
        </w:rPr>
        <w:t>-</w:t>
      </w:r>
      <w:r w:rsidRPr="00512B44">
        <w:rPr>
          <w:rFonts w:ascii="Trebuchet MS" w:hAnsi="Trebuchet MS" w:cs="Segoe UI"/>
          <w:sz w:val="22"/>
          <w:szCs w:val="22"/>
        </w:rPr>
        <w:t>based conversations and promoting mediation and facilitated dialogue at the lowest appropriate level. This change resulted in quicker resolution, reduced conflict</w:t>
      </w:r>
      <w:r w:rsidR="00321217" w:rsidRPr="00A953ED">
        <w:rPr>
          <w:rFonts w:ascii="Trebuchet MS" w:hAnsi="Trebuchet MS" w:cs="Segoe UI"/>
          <w:sz w:val="22"/>
          <w:szCs w:val="22"/>
        </w:rPr>
        <w:t xml:space="preserve"> </w:t>
      </w:r>
      <w:r w:rsidRPr="00512B44">
        <w:rPr>
          <w:rFonts w:ascii="Trebuchet MS" w:hAnsi="Trebuchet MS" w:cs="Segoe UI"/>
          <w:sz w:val="22"/>
          <w:szCs w:val="22"/>
        </w:rPr>
        <w:t>related absence, fewer formal litigation</w:t>
      </w:r>
      <w:r w:rsidR="00321217" w:rsidRPr="00A953ED">
        <w:rPr>
          <w:rFonts w:ascii="Trebuchet MS" w:hAnsi="Trebuchet MS" w:cs="Segoe UI"/>
          <w:sz w:val="22"/>
          <w:szCs w:val="22"/>
        </w:rPr>
        <w:t xml:space="preserve"> </w:t>
      </w:r>
      <w:r w:rsidRPr="00512B44">
        <w:rPr>
          <w:rFonts w:ascii="Trebuchet MS" w:hAnsi="Trebuchet MS" w:cs="Segoe UI"/>
          <w:sz w:val="22"/>
          <w:szCs w:val="22"/>
        </w:rPr>
        <w:t>style grievances, and improved trust between employees and management. (The TCM Group, 2021).</w:t>
      </w:r>
    </w:p>
    <w:p w14:paraId="24C1EE2A" w14:textId="77777777" w:rsidR="005D54BB" w:rsidRDefault="005D54BB" w:rsidP="005462B2">
      <w:pPr>
        <w:pStyle w:val="NormalWeb"/>
        <w:spacing w:line="300" w:lineRule="atLeast"/>
        <w:rPr>
          <w:rFonts w:ascii="Trebuchet MS" w:hAnsi="Trebuchet MS" w:cs="Segoe UI"/>
          <w:sz w:val="22"/>
          <w:szCs w:val="22"/>
        </w:rPr>
      </w:pPr>
    </w:p>
    <w:p w14:paraId="2A47F177" w14:textId="77777777" w:rsidR="00FC0F54" w:rsidRDefault="00FC0F54" w:rsidP="005462B2">
      <w:pPr>
        <w:pStyle w:val="NormalWeb"/>
        <w:spacing w:line="300" w:lineRule="atLeast"/>
        <w:rPr>
          <w:rFonts w:ascii="Trebuchet MS" w:hAnsi="Trebuchet MS" w:cs="Segoe UI"/>
          <w:sz w:val="22"/>
          <w:szCs w:val="22"/>
        </w:rPr>
      </w:pPr>
    </w:p>
    <w:p w14:paraId="06DA5C6B" w14:textId="77777777" w:rsidR="00B726B1" w:rsidRDefault="00B726B1" w:rsidP="005462B2">
      <w:pPr>
        <w:pStyle w:val="NormalWeb"/>
        <w:spacing w:line="300" w:lineRule="atLeast"/>
        <w:rPr>
          <w:rFonts w:ascii="Trebuchet MS" w:hAnsi="Trebuchet MS" w:cs="Segoe UI"/>
          <w:sz w:val="22"/>
          <w:szCs w:val="22"/>
        </w:rPr>
      </w:pPr>
    </w:p>
    <w:p w14:paraId="34F0C930" w14:textId="77777777" w:rsidR="00C677CC" w:rsidRDefault="00C677CC" w:rsidP="005462B2">
      <w:pPr>
        <w:pStyle w:val="NormalWeb"/>
        <w:spacing w:line="300" w:lineRule="atLeast"/>
        <w:rPr>
          <w:rFonts w:ascii="Trebuchet MS" w:hAnsi="Trebuchet MS" w:cs="Segoe UI"/>
          <w:sz w:val="22"/>
          <w:szCs w:val="22"/>
        </w:rPr>
        <w:sectPr w:rsidR="00C677CC" w:rsidSect="008E2ED2">
          <w:pgSz w:w="11906" w:h="16838"/>
          <w:pgMar w:top="851" w:right="1440" w:bottom="1440" w:left="1440" w:header="709" w:footer="709" w:gutter="0"/>
          <w:cols w:space="708"/>
          <w:docGrid w:linePitch="360"/>
        </w:sectPr>
      </w:pPr>
    </w:p>
    <w:p w14:paraId="682D855B" w14:textId="7A2EF322" w:rsidR="008C64CA" w:rsidRPr="00210AAC" w:rsidRDefault="00210AAC" w:rsidP="00B41018">
      <w:pPr>
        <w:spacing w:before="100" w:beforeAutospacing="1" w:after="100" w:afterAutospacing="1" w:line="300" w:lineRule="atLeast"/>
        <w:rPr>
          <w:rFonts w:ascii="Trebuchet MS" w:hAnsi="Trebuchet MS"/>
          <w:b/>
          <w:bCs/>
          <w:color w:val="5B9BD5" w:themeColor="accent5"/>
        </w:rPr>
      </w:pPr>
      <w:r w:rsidRPr="00210AAC">
        <w:rPr>
          <w:rFonts w:ascii="Trebuchet MS" w:hAnsi="Trebuchet MS"/>
          <w:b/>
          <w:bCs/>
          <w:color w:val="5B9BD5" w:themeColor="accent5"/>
        </w:rPr>
        <w:lastRenderedPageBreak/>
        <w:t>Bibliography</w:t>
      </w:r>
    </w:p>
    <w:p w14:paraId="40F482FD" w14:textId="77777777" w:rsidR="00210AAC" w:rsidRPr="00210AAC" w:rsidRDefault="00210AAC" w:rsidP="00210AAC">
      <w:pPr>
        <w:pStyle w:val="NormalWeb"/>
        <w:rPr>
          <w:rFonts w:ascii="Trebuchet MS" w:hAnsi="Trebuchet MS" w:cs="Segoe UI"/>
          <w:sz w:val="22"/>
          <w:szCs w:val="22"/>
        </w:rPr>
      </w:pPr>
      <w:r w:rsidRPr="00210AAC">
        <w:rPr>
          <w:rFonts w:ascii="Trebuchet MS" w:hAnsi="Trebuchet MS" w:cs="Segoe UI"/>
          <w:sz w:val="22"/>
          <w:szCs w:val="22"/>
        </w:rPr>
        <w:t xml:space="preserve">Ackroyd, S. and Thompson, P. (2022) </w:t>
      </w:r>
      <w:r w:rsidRPr="00210AAC">
        <w:rPr>
          <w:rStyle w:val="Emphasis"/>
          <w:rFonts w:ascii="Trebuchet MS" w:hAnsi="Trebuchet MS" w:cs="Segoe UI"/>
          <w:sz w:val="22"/>
          <w:szCs w:val="22"/>
        </w:rPr>
        <w:t>Organisational misbehaviour</w:t>
      </w:r>
      <w:r w:rsidRPr="00210AAC">
        <w:rPr>
          <w:rFonts w:ascii="Trebuchet MS" w:hAnsi="Trebuchet MS" w:cs="Segoe UI"/>
          <w:sz w:val="22"/>
          <w:szCs w:val="22"/>
        </w:rPr>
        <w:t xml:space="preserve">. 2nd </w:t>
      </w:r>
      <w:proofErr w:type="spellStart"/>
      <w:r w:rsidRPr="00210AAC">
        <w:rPr>
          <w:rFonts w:ascii="Trebuchet MS" w:hAnsi="Trebuchet MS" w:cs="Segoe UI"/>
          <w:sz w:val="22"/>
          <w:szCs w:val="22"/>
        </w:rPr>
        <w:t>edn</w:t>
      </w:r>
      <w:proofErr w:type="spellEnd"/>
      <w:r w:rsidRPr="00210AAC">
        <w:rPr>
          <w:rFonts w:ascii="Trebuchet MS" w:hAnsi="Trebuchet MS" w:cs="Segoe UI"/>
          <w:sz w:val="22"/>
          <w:szCs w:val="22"/>
        </w:rPr>
        <w:t>. London: SAGE.</w:t>
      </w:r>
    </w:p>
    <w:p w14:paraId="7F51F547" w14:textId="77777777" w:rsidR="00210AAC" w:rsidRPr="00210AAC" w:rsidRDefault="00210AAC" w:rsidP="00210AAC">
      <w:pPr>
        <w:pStyle w:val="NormalWeb"/>
        <w:rPr>
          <w:rFonts w:ascii="Trebuchet MS" w:hAnsi="Trebuchet MS" w:cs="Segoe UI"/>
          <w:sz w:val="22"/>
          <w:szCs w:val="22"/>
        </w:rPr>
      </w:pPr>
      <w:proofErr w:type="spellStart"/>
      <w:r w:rsidRPr="00210AAC">
        <w:rPr>
          <w:rFonts w:ascii="Trebuchet MS" w:hAnsi="Trebuchet MS" w:cs="Segoe UI"/>
          <w:sz w:val="22"/>
          <w:szCs w:val="22"/>
        </w:rPr>
        <w:t>Acas</w:t>
      </w:r>
      <w:proofErr w:type="spellEnd"/>
      <w:r w:rsidRPr="00210AAC">
        <w:rPr>
          <w:rFonts w:ascii="Trebuchet MS" w:hAnsi="Trebuchet MS" w:cs="Segoe UI"/>
          <w:sz w:val="22"/>
          <w:szCs w:val="22"/>
        </w:rPr>
        <w:t xml:space="preserve"> (2015) </w:t>
      </w:r>
      <w:r w:rsidRPr="00210AAC">
        <w:rPr>
          <w:rStyle w:val="Emphasis"/>
          <w:rFonts w:ascii="Trebuchet MS" w:hAnsi="Trebuchet MS" w:cs="Segoe UI"/>
          <w:sz w:val="22"/>
          <w:szCs w:val="22"/>
        </w:rPr>
        <w:t>Code of practice on disciplinary and grievance procedures</w:t>
      </w:r>
      <w:r w:rsidRPr="00210AAC">
        <w:rPr>
          <w:rFonts w:ascii="Trebuchet MS" w:hAnsi="Trebuchet MS" w:cs="Segoe UI"/>
          <w:sz w:val="22"/>
          <w:szCs w:val="22"/>
        </w:rPr>
        <w:t xml:space="preserve">. London: </w:t>
      </w:r>
      <w:proofErr w:type="spellStart"/>
      <w:r w:rsidRPr="00210AAC">
        <w:rPr>
          <w:rFonts w:ascii="Trebuchet MS" w:hAnsi="Trebuchet MS" w:cs="Segoe UI"/>
          <w:sz w:val="22"/>
          <w:szCs w:val="22"/>
        </w:rPr>
        <w:t>Acas</w:t>
      </w:r>
      <w:proofErr w:type="spellEnd"/>
      <w:r w:rsidRPr="00210AAC">
        <w:rPr>
          <w:rFonts w:ascii="Trebuchet MS" w:hAnsi="Trebuchet MS" w:cs="Segoe UI"/>
          <w:sz w:val="22"/>
          <w:szCs w:val="22"/>
        </w:rPr>
        <w:t>.</w:t>
      </w:r>
    </w:p>
    <w:p w14:paraId="063BAF0A" w14:textId="77777777" w:rsidR="00210AAC" w:rsidRPr="00210AAC" w:rsidRDefault="00210AAC" w:rsidP="00210AAC">
      <w:pPr>
        <w:pStyle w:val="NormalWeb"/>
        <w:rPr>
          <w:rFonts w:ascii="Trebuchet MS" w:hAnsi="Trebuchet MS" w:cs="Segoe UI"/>
          <w:sz w:val="22"/>
          <w:szCs w:val="22"/>
        </w:rPr>
      </w:pPr>
      <w:proofErr w:type="spellStart"/>
      <w:r w:rsidRPr="00210AAC">
        <w:rPr>
          <w:rFonts w:ascii="Trebuchet MS" w:hAnsi="Trebuchet MS" w:cs="Segoe UI"/>
          <w:sz w:val="22"/>
          <w:szCs w:val="22"/>
        </w:rPr>
        <w:t>Acas</w:t>
      </w:r>
      <w:proofErr w:type="spellEnd"/>
      <w:r w:rsidRPr="00210AAC">
        <w:rPr>
          <w:rFonts w:ascii="Trebuchet MS" w:hAnsi="Trebuchet MS" w:cs="Segoe UI"/>
          <w:sz w:val="22"/>
          <w:szCs w:val="22"/>
        </w:rPr>
        <w:t xml:space="preserve"> (2019) </w:t>
      </w:r>
      <w:r w:rsidRPr="00210AAC">
        <w:rPr>
          <w:rStyle w:val="Emphasis"/>
          <w:rFonts w:ascii="Trebuchet MS" w:hAnsi="Trebuchet MS" w:cs="Segoe UI"/>
          <w:sz w:val="22"/>
          <w:szCs w:val="22"/>
        </w:rPr>
        <w:t>Handling workplace bullying and harassment</w:t>
      </w:r>
      <w:r w:rsidRPr="00210AAC">
        <w:rPr>
          <w:rFonts w:ascii="Trebuchet MS" w:hAnsi="Trebuchet MS" w:cs="Segoe UI"/>
          <w:sz w:val="22"/>
          <w:szCs w:val="22"/>
        </w:rPr>
        <w:t xml:space="preserve">. London: </w:t>
      </w:r>
      <w:proofErr w:type="spellStart"/>
      <w:r w:rsidRPr="00210AAC">
        <w:rPr>
          <w:rFonts w:ascii="Trebuchet MS" w:hAnsi="Trebuchet MS" w:cs="Segoe UI"/>
          <w:sz w:val="22"/>
          <w:szCs w:val="22"/>
        </w:rPr>
        <w:t>Acas</w:t>
      </w:r>
      <w:proofErr w:type="spellEnd"/>
      <w:r w:rsidRPr="00210AAC">
        <w:rPr>
          <w:rFonts w:ascii="Trebuchet MS" w:hAnsi="Trebuchet MS" w:cs="Segoe UI"/>
          <w:sz w:val="22"/>
          <w:szCs w:val="22"/>
        </w:rPr>
        <w:t>.</w:t>
      </w:r>
    </w:p>
    <w:p w14:paraId="3AB6CB0E" w14:textId="77777777" w:rsidR="00210AAC" w:rsidRPr="00210AAC" w:rsidRDefault="00210AAC" w:rsidP="00210AAC">
      <w:pPr>
        <w:pStyle w:val="NormalWeb"/>
        <w:rPr>
          <w:rFonts w:ascii="Trebuchet MS" w:hAnsi="Trebuchet MS" w:cs="Segoe UI"/>
          <w:sz w:val="22"/>
          <w:szCs w:val="22"/>
        </w:rPr>
      </w:pPr>
      <w:proofErr w:type="spellStart"/>
      <w:r w:rsidRPr="00210AAC">
        <w:rPr>
          <w:rFonts w:ascii="Trebuchet MS" w:hAnsi="Trebuchet MS" w:cs="Segoe UI"/>
          <w:sz w:val="22"/>
          <w:szCs w:val="22"/>
        </w:rPr>
        <w:t>Acas</w:t>
      </w:r>
      <w:proofErr w:type="spellEnd"/>
      <w:r w:rsidRPr="00210AAC">
        <w:rPr>
          <w:rFonts w:ascii="Trebuchet MS" w:hAnsi="Trebuchet MS" w:cs="Segoe UI"/>
          <w:sz w:val="22"/>
          <w:szCs w:val="22"/>
        </w:rPr>
        <w:t xml:space="preserve"> (2025) </w:t>
      </w:r>
      <w:r w:rsidRPr="00210AAC">
        <w:rPr>
          <w:rStyle w:val="Emphasis"/>
          <w:rFonts w:ascii="Trebuchet MS" w:hAnsi="Trebuchet MS" w:cs="Segoe UI"/>
          <w:sz w:val="22"/>
          <w:szCs w:val="22"/>
        </w:rPr>
        <w:t>Managing conflict at work: Research and commentary</w:t>
      </w:r>
      <w:r w:rsidRPr="00210AAC">
        <w:rPr>
          <w:rFonts w:ascii="Trebuchet MS" w:hAnsi="Trebuchet MS" w:cs="Segoe UI"/>
          <w:sz w:val="22"/>
          <w:szCs w:val="22"/>
        </w:rPr>
        <w:t xml:space="preserve">. London: </w:t>
      </w:r>
      <w:proofErr w:type="spellStart"/>
      <w:r w:rsidRPr="00210AAC">
        <w:rPr>
          <w:rFonts w:ascii="Trebuchet MS" w:hAnsi="Trebuchet MS" w:cs="Segoe UI"/>
          <w:sz w:val="22"/>
          <w:szCs w:val="22"/>
        </w:rPr>
        <w:t>Acas</w:t>
      </w:r>
      <w:proofErr w:type="spellEnd"/>
      <w:r w:rsidRPr="00210AAC">
        <w:rPr>
          <w:rFonts w:ascii="Trebuchet MS" w:hAnsi="Trebuchet MS" w:cs="Segoe UI"/>
          <w:sz w:val="22"/>
          <w:szCs w:val="22"/>
        </w:rPr>
        <w:t>.</w:t>
      </w:r>
    </w:p>
    <w:p w14:paraId="1198A950" w14:textId="14805735" w:rsidR="00210AAC" w:rsidRPr="00210AAC" w:rsidRDefault="00210AAC" w:rsidP="00210AAC">
      <w:pPr>
        <w:pStyle w:val="NormalWeb"/>
        <w:rPr>
          <w:rFonts w:ascii="Trebuchet MS" w:hAnsi="Trebuchet MS" w:cs="Segoe UI"/>
          <w:sz w:val="22"/>
          <w:szCs w:val="22"/>
        </w:rPr>
      </w:pPr>
      <w:proofErr w:type="spellStart"/>
      <w:r w:rsidRPr="00210AAC">
        <w:rPr>
          <w:rFonts w:ascii="Trebuchet MS" w:hAnsi="Trebuchet MS" w:cs="Segoe UI"/>
          <w:sz w:val="22"/>
          <w:szCs w:val="22"/>
        </w:rPr>
        <w:t>Acas</w:t>
      </w:r>
      <w:proofErr w:type="spellEnd"/>
      <w:r w:rsidRPr="00210AAC">
        <w:rPr>
          <w:rFonts w:ascii="Trebuchet MS" w:hAnsi="Trebuchet MS" w:cs="Segoe UI"/>
          <w:sz w:val="22"/>
          <w:szCs w:val="22"/>
        </w:rPr>
        <w:t xml:space="preserve"> (n.d.) </w:t>
      </w:r>
      <w:r w:rsidRPr="00210AAC">
        <w:rPr>
          <w:rStyle w:val="Emphasis"/>
          <w:rFonts w:ascii="Trebuchet MS" w:hAnsi="Trebuchet MS" w:cs="Segoe UI"/>
          <w:sz w:val="22"/>
          <w:szCs w:val="22"/>
        </w:rPr>
        <w:t>Early conciliation explained</w:t>
      </w:r>
      <w:r w:rsidRPr="00210AAC">
        <w:rPr>
          <w:rFonts w:ascii="Trebuchet MS" w:hAnsi="Trebuchet MS" w:cs="Segoe UI"/>
          <w:sz w:val="22"/>
          <w:szCs w:val="22"/>
        </w:rPr>
        <w:t xml:space="preserve">. Available at: https://www.acas.org.uk/early-conciliation </w:t>
      </w:r>
    </w:p>
    <w:p w14:paraId="28A411A5" w14:textId="77777777" w:rsidR="00210AAC" w:rsidRPr="00210AAC" w:rsidRDefault="00210AAC" w:rsidP="00210AAC">
      <w:pPr>
        <w:pStyle w:val="NormalWeb"/>
        <w:rPr>
          <w:rFonts w:ascii="Trebuchet MS" w:hAnsi="Trebuchet MS" w:cs="Segoe UI"/>
          <w:sz w:val="22"/>
          <w:szCs w:val="22"/>
        </w:rPr>
      </w:pPr>
      <w:r w:rsidRPr="00210AAC">
        <w:rPr>
          <w:rFonts w:ascii="Trebuchet MS" w:hAnsi="Trebuchet MS" w:cs="Segoe UI"/>
          <w:sz w:val="22"/>
          <w:szCs w:val="22"/>
        </w:rPr>
        <w:t>Arbitration Act 1996. London: HMSO.</w:t>
      </w:r>
    </w:p>
    <w:p w14:paraId="3945A788" w14:textId="77777777" w:rsidR="00210AAC" w:rsidRPr="00210AAC" w:rsidRDefault="00210AAC" w:rsidP="00210AAC">
      <w:pPr>
        <w:pStyle w:val="NormalWeb"/>
        <w:rPr>
          <w:rFonts w:ascii="Trebuchet MS" w:hAnsi="Trebuchet MS" w:cs="Segoe UI"/>
          <w:sz w:val="22"/>
          <w:szCs w:val="22"/>
        </w:rPr>
      </w:pPr>
      <w:r w:rsidRPr="00210AAC">
        <w:rPr>
          <w:rFonts w:ascii="Trebuchet MS" w:hAnsi="Trebuchet MS" w:cs="Segoe UI"/>
          <w:sz w:val="22"/>
          <w:szCs w:val="22"/>
        </w:rPr>
        <w:t xml:space="preserve">Bach, S. (2011) </w:t>
      </w:r>
      <w:r w:rsidRPr="00210AAC">
        <w:rPr>
          <w:rStyle w:val="Emphasis"/>
          <w:rFonts w:ascii="Trebuchet MS" w:hAnsi="Trebuchet MS" w:cs="Segoe UI"/>
          <w:sz w:val="22"/>
          <w:szCs w:val="22"/>
        </w:rPr>
        <w:t>Managing human resources: Personnel management in transition</w:t>
      </w:r>
      <w:r w:rsidRPr="00210AAC">
        <w:rPr>
          <w:rFonts w:ascii="Trebuchet MS" w:hAnsi="Trebuchet MS" w:cs="Segoe UI"/>
          <w:sz w:val="22"/>
          <w:szCs w:val="22"/>
        </w:rPr>
        <w:t xml:space="preserve">. 5th </w:t>
      </w:r>
      <w:proofErr w:type="spellStart"/>
      <w:r w:rsidRPr="00210AAC">
        <w:rPr>
          <w:rFonts w:ascii="Trebuchet MS" w:hAnsi="Trebuchet MS" w:cs="Segoe UI"/>
          <w:sz w:val="22"/>
          <w:szCs w:val="22"/>
        </w:rPr>
        <w:t>edn</w:t>
      </w:r>
      <w:proofErr w:type="spellEnd"/>
      <w:r w:rsidRPr="00210AAC">
        <w:rPr>
          <w:rFonts w:ascii="Trebuchet MS" w:hAnsi="Trebuchet MS" w:cs="Segoe UI"/>
          <w:sz w:val="22"/>
          <w:szCs w:val="22"/>
        </w:rPr>
        <w:t>. Oxford: Blackwell.</w:t>
      </w:r>
    </w:p>
    <w:p w14:paraId="4038D5E9" w14:textId="77777777" w:rsidR="00210AAC" w:rsidRPr="00210AAC" w:rsidRDefault="00210AAC" w:rsidP="00210AAC">
      <w:pPr>
        <w:pStyle w:val="NormalWeb"/>
        <w:rPr>
          <w:rFonts w:ascii="Trebuchet MS" w:hAnsi="Trebuchet MS" w:cs="Segoe UI"/>
          <w:sz w:val="22"/>
          <w:szCs w:val="22"/>
        </w:rPr>
      </w:pPr>
      <w:r w:rsidRPr="00210AAC">
        <w:rPr>
          <w:rFonts w:ascii="Trebuchet MS" w:hAnsi="Trebuchet MS" w:cs="Segoe UI"/>
          <w:sz w:val="22"/>
          <w:szCs w:val="22"/>
        </w:rPr>
        <w:t xml:space="preserve">Bach, S. and Edwards, M. (2013) </w:t>
      </w:r>
      <w:r w:rsidRPr="00210AAC">
        <w:rPr>
          <w:rStyle w:val="Emphasis"/>
          <w:rFonts w:ascii="Trebuchet MS" w:hAnsi="Trebuchet MS" w:cs="Segoe UI"/>
          <w:sz w:val="22"/>
          <w:szCs w:val="22"/>
        </w:rPr>
        <w:t>Managing human resources</w:t>
      </w:r>
      <w:r w:rsidRPr="00210AAC">
        <w:rPr>
          <w:rFonts w:ascii="Trebuchet MS" w:hAnsi="Trebuchet MS" w:cs="Segoe UI"/>
          <w:sz w:val="22"/>
          <w:szCs w:val="22"/>
        </w:rPr>
        <w:t xml:space="preserve">. 6th </w:t>
      </w:r>
      <w:proofErr w:type="spellStart"/>
      <w:r w:rsidRPr="00210AAC">
        <w:rPr>
          <w:rFonts w:ascii="Trebuchet MS" w:hAnsi="Trebuchet MS" w:cs="Segoe UI"/>
          <w:sz w:val="22"/>
          <w:szCs w:val="22"/>
        </w:rPr>
        <w:t>edn</w:t>
      </w:r>
      <w:proofErr w:type="spellEnd"/>
      <w:r w:rsidRPr="00210AAC">
        <w:rPr>
          <w:rFonts w:ascii="Trebuchet MS" w:hAnsi="Trebuchet MS" w:cs="Segoe UI"/>
          <w:sz w:val="22"/>
          <w:szCs w:val="22"/>
        </w:rPr>
        <w:t>. Oxford: Wiley</w:t>
      </w:r>
      <w:r w:rsidRPr="00210AAC">
        <w:rPr>
          <w:rFonts w:ascii="Trebuchet MS" w:hAnsi="Trebuchet MS" w:cs="Segoe UI"/>
          <w:sz w:val="22"/>
          <w:szCs w:val="22"/>
        </w:rPr>
        <w:noBreakHyphen/>
        <w:t>Blackwell.</w:t>
      </w:r>
    </w:p>
    <w:p w14:paraId="5F732CC0" w14:textId="1A9E3D56" w:rsidR="00210AAC" w:rsidRPr="00210AAC" w:rsidRDefault="00210AAC" w:rsidP="00210AAC">
      <w:pPr>
        <w:pStyle w:val="NormalWeb"/>
        <w:rPr>
          <w:rFonts w:ascii="Trebuchet MS" w:hAnsi="Trebuchet MS" w:cs="Segoe UI"/>
          <w:sz w:val="22"/>
          <w:szCs w:val="22"/>
        </w:rPr>
      </w:pPr>
      <w:r w:rsidRPr="00210AAC">
        <w:rPr>
          <w:rFonts w:ascii="Trebuchet MS" w:hAnsi="Trebuchet MS" w:cs="Segoe UI"/>
          <w:sz w:val="22"/>
          <w:szCs w:val="22"/>
        </w:rPr>
        <w:t xml:space="preserve">Bach, S. and </w:t>
      </w:r>
      <w:proofErr w:type="spellStart"/>
      <w:r w:rsidRPr="00210AAC">
        <w:rPr>
          <w:rFonts w:ascii="Trebuchet MS" w:hAnsi="Trebuchet MS" w:cs="Segoe UI"/>
          <w:sz w:val="22"/>
          <w:szCs w:val="22"/>
        </w:rPr>
        <w:t>Winegar</w:t>
      </w:r>
      <w:proofErr w:type="spellEnd"/>
      <w:r w:rsidRPr="00210AAC">
        <w:rPr>
          <w:rFonts w:ascii="Trebuchet MS" w:hAnsi="Trebuchet MS" w:cs="Segoe UI"/>
          <w:sz w:val="22"/>
          <w:szCs w:val="22"/>
        </w:rPr>
        <w:t xml:space="preserve">, A. (2014) ‘Public service reform and workforce engagement’, </w:t>
      </w:r>
      <w:r w:rsidRPr="00210AAC">
        <w:rPr>
          <w:rStyle w:val="Emphasis"/>
          <w:rFonts w:ascii="Trebuchet MS" w:hAnsi="Trebuchet MS" w:cs="Segoe UI"/>
          <w:sz w:val="22"/>
          <w:szCs w:val="22"/>
        </w:rPr>
        <w:t>Human Resource Management Journal</w:t>
      </w:r>
    </w:p>
    <w:p w14:paraId="6088AB2C" w14:textId="77777777" w:rsidR="00210AAC" w:rsidRPr="00210AAC" w:rsidRDefault="00210AAC" w:rsidP="00210AAC">
      <w:pPr>
        <w:pStyle w:val="NormalWeb"/>
        <w:rPr>
          <w:rFonts w:ascii="Trebuchet MS" w:hAnsi="Trebuchet MS" w:cs="Segoe UI"/>
          <w:sz w:val="22"/>
          <w:szCs w:val="22"/>
        </w:rPr>
      </w:pPr>
      <w:r w:rsidRPr="00210AAC">
        <w:rPr>
          <w:rFonts w:ascii="Trebuchet MS" w:hAnsi="Trebuchet MS" w:cs="Segoe UI"/>
          <w:sz w:val="22"/>
          <w:szCs w:val="22"/>
        </w:rPr>
        <w:t>British Home Stores Ltd v Burchell [1978] IRLR 379 (EAT).</w:t>
      </w:r>
    </w:p>
    <w:p w14:paraId="761BA6A0" w14:textId="77777777" w:rsidR="00210AAC" w:rsidRPr="00210AAC" w:rsidRDefault="00210AAC" w:rsidP="00210AAC">
      <w:pPr>
        <w:pStyle w:val="NormalWeb"/>
        <w:rPr>
          <w:rFonts w:ascii="Trebuchet MS" w:hAnsi="Trebuchet MS" w:cs="Segoe UI"/>
          <w:sz w:val="22"/>
          <w:szCs w:val="22"/>
        </w:rPr>
      </w:pPr>
      <w:r w:rsidRPr="00210AAC">
        <w:rPr>
          <w:rFonts w:ascii="Trebuchet MS" w:hAnsi="Trebuchet MS" w:cs="Segoe UI"/>
          <w:sz w:val="22"/>
          <w:szCs w:val="22"/>
        </w:rPr>
        <w:t>BS v Dundee City Council [2013] CSIH 91.</w:t>
      </w:r>
    </w:p>
    <w:p w14:paraId="1DD43AB1" w14:textId="77777777" w:rsidR="00210AAC" w:rsidRPr="00210AAC" w:rsidRDefault="00210AAC" w:rsidP="00210AAC">
      <w:pPr>
        <w:pStyle w:val="NormalWeb"/>
        <w:rPr>
          <w:rFonts w:ascii="Trebuchet MS" w:hAnsi="Trebuchet MS" w:cs="Segoe UI"/>
          <w:sz w:val="22"/>
          <w:szCs w:val="22"/>
        </w:rPr>
      </w:pPr>
      <w:r w:rsidRPr="00210AAC">
        <w:rPr>
          <w:rFonts w:ascii="Trebuchet MS" w:hAnsi="Trebuchet MS" w:cs="Segoe UI"/>
          <w:sz w:val="22"/>
          <w:szCs w:val="22"/>
        </w:rPr>
        <w:t xml:space="preserve">Buchanan, D. and Huczynski, A. (2019) </w:t>
      </w:r>
      <w:r w:rsidRPr="00210AAC">
        <w:rPr>
          <w:rStyle w:val="Emphasis"/>
          <w:rFonts w:ascii="Trebuchet MS" w:hAnsi="Trebuchet MS" w:cs="Segoe UI"/>
          <w:sz w:val="22"/>
          <w:szCs w:val="22"/>
        </w:rPr>
        <w:t>Organisational behaviour</w:t>
      </w:r>
      <w:r w:rsidRPr="00210AAC">
        <w:rPr>
          <w:rFonts w:ascii="Trebuchet MS" w:hAnsi="Trebuchet MS" w:cs="Segoe UI"/>
          <w:sz w:val="22"/>
          <w:szCs w:val="22"/>
        </w:rPr>
        <w:t xml:space="preserve">. 10th </w:t>
      </w:r>
      <w:proofErr w:type="spellStart"/>
      <w:r w:rsidRPr="00210AAC">
        <w:rPr>
          <w:rFonts w:ascii="Trebuchet MS" w:hAnsi="Trebuchet MS" w:cs="Segoe UI"/>
          <w:sz w:val="22"/>
          <w:szCs w:val="22"/>
        </w:rPr>
        <w:t>edn</w:t>
      </w:r>
      <w:proofErr w:type="spellEnd"/>
      <w:r w:rsidRPr="00210AAC">
        <w:rPr>
          <w:rFonts w:ascii="Trebuchet MS" w:hAnsi="Trebuchet MS" w:cs="Segoe UI"/>
          <w:sz w:val="22"/>
          <w:szCs w:val="22"/>
        </w:rPr>
        <w:t>. Harlow: Pearson.</w:t>
      </w:r>
    </w:p>
    <w:p w14:paraId="71DC67CC" w14:textId="77777777" w:rsidR="00210AAC" w:rsidRPr="00210AAC" w:rsidRDefault="00210AAC" w:rsidP="00210AAC">
      <w:pPr>
        <w:pStyle w:val="NormalWeb"/>
        <w:rPr>
          <w:rFonts w:ascii="Trebuchet MS" w:hAnsi="Trebuchet MS" w:cs="Segoe UI"/>
          <w:sz w:val="22"/>
          <w:szCs w:val="22"/>
        </w:rPr>
      </w:pPr>
      <w:r w:rsidRPr="00210AAC">
        <w:rPr>
          <w:rFonts w:ascii="Trebuchet MS" w:hAnsi="Trebuchet MS" w:cs="Segoe UI"/>
          <w:sz w:val="22"/>
          <w:szCs w:val="22"/>
        </w:rPr>
        <w:t xml:space="preserve">Budd, J.W. (2004) </w:t>
      </w:r>
      <w:r w:rsidRPr="00210AAC">
        <w:rPr>
          <w:rStyle w:val="Emphasis"/>
          <w:rFonts w:ascii="Trebuchet MS" w:hAnsi="Trebuchet MS" w:cs="Segoe UI"/>
          <w:sz w:val="22"/>
          <w:szCs w:val="22"/>
        </w:rPr>
        <w:t>Employment with a human face</w:t>
      </w:r>
      <w:r w:rsidRPr="00210AAC">
        <w:rPr>
          <w:rFonts w:ascii="Trebuchet MS" w:hAnsi="Trebuchet MS" w:cs="Segoe UI"/>
          <w:sz w:val="22"/>
          <w:szCs w:val="22"/>
        </w:rPr>
        <w:t>. Ithaca: Cornell University Press.</w:t>
      </w:r>
    </w:p>
    <w:p w14:paraId="2F86F299" w14:textId="77777777" w:rsidR="00210AAC" w:rsidRPr="00210AAC" w:rsidRDefault="00210AAC" w:rsidP="00210AAC">
      <w:pPr>
        <w:pStyle w:val="NormalWeb"/>
        <w:rPr>
          <w:rFonts w:ascii="Trebuchet MS" w:hAnsi="Trebuchet MS" w:cs="Segoe UI"/>
          <w:sz w:val="22"/>
          <w:szCs w:val="22"/>
        </w:rPr>
      </w:pPr>
      <w:r w:rsidRPr="00210AAC">
        <w:rPr>
          <w:rFonts w:ascii="Trebuchet MS" w:hAnsi="Trebuchet MS" w:cs="Segoe UI"/>
          <w:sz w:val="22"/>
          <w:szCs w:val="22"/>
        </w:rPr>
        <w:t xml:space="preserve">CIPD (2022) </w:t>
      </w:r>
      <w:r w:rsidRPr="00210AAC">
        <w:rPr>
          <w:rStyle w:val="Emphasis"/>
          <w:rFonts w:ascii="Trebuchet MS" w:hAnsi="Trebuchet MS" w:cs="Segoe UI"/>
          <w:sz w:val="22"/>
          <w:szCs w:val="22"/>
        </w:rPr>
        <w:t>Employee voice and representation factsheet</w:t>
      </w:r>
      <w:r w:rsidRPr="00210AAC">
        <w:rPr>
          <w:rFonts w:ascii="Trebuchet MS" w:hAnsi="Trebuchet MS" w:cs="Segoe UI"/>
          <w:sz w:val="22"/>
          <w:szCs w:val="22"/>
        </w:rPr>
        <w:t>. London: Chartered Institute of Personnel and Development.</w:t>
      </w:r>
    </w:p>
    <w:p w14:paraId="6715AA3A" w14:textId="77777777" w:rsidR="00210AAC" w:rsidRPr="00210AAC" w:rsidRDefault="00210AAC" w:rsidP="00210AAC">
      <w:pPr>
        <w:pStyle w:val="NormalWeb"/>
        <w:rPr>
          <w:rFonts w:ascii="Trebuchet MS" w:hAnsi="Trebuchet MS" w:cs="Segoe UI"/>
          <w:sz w:val="22"/>
          <w:szCs w:val="22"/>
        </w:rPr>
      </w:pPr>
      <w:r w:rsidRPr="00210AAC">
        <w:rPr>
          <w:rFonts w:ascii="Trebuchet MS" w:hAnsi="Trebuchet MS" w:cs="Segoe UI"/>
          <w:sz w:val="22"/>
          <w:szCs w:val="22"/>
        </w:rPr>
        <w:t xml:space="preserve">CIPD (2023) </w:t>
      </w:r>
      <w:r w:rsidRPr="00210AAC">
        <w:rPr>
          <w:rStyle w:val="Emphasis"/>
          <w:rFonts w:ascii="Trebuchet MS" w:hAnsi="Trebuchet MS" w:cs="Segoe UI"/>
          <w:sz w:val="22"/>
          <w:szCs w:val="22"/>
        </w:rPr>
        <w:t>Employee engagement factsheet</w:t>
      </w:r>
      <w:r w:rsidRPr="00210AAC">
        <w:rPr>
          <w:rFonts w:ascii="Trebuchet MS" w:hAnsi="Trebuchet MS" w:cs="Segoe UI"/>
          <w:sz w:val="22"/>
          <w:szCs w:val="22"/>
        </w:rPr>
        <w:t>. London: Chartered Institute of Personnel and Development.</w:t>
      </w:r>
    </w:p>
    <w:p w14:paraId="45305A52" w14:textId="77777777" w:rsidR="00210AAC" w:rsidRPr="00210AAC" w:rsidRDefault="00210AAC" w:rsidP="00210AAC">
      <w:pPr>
        <w:pStyle w:val="NormalWeb"/>
        <w:rPr>
          <w:rFonts w:ascii="Trebuchet MS" w:hAnsi="Trebuchet MS" w:cs="Segoe UI"/>
          <w:sz w:val="22"/>
          <w:szCs w:val="22"/>
        </w:rPr>
      </w:pPr>
      <w:r w:rsidRPr="00210AAC">
        <w:rPr>
          <w:rFonts w:ascii="Trebuchet MS" w:hAnsi="Trebuchet MS" w:cs="Segoe UI"/>
          <w:sz w:val="22"/>
          <w:szCs w:val="22"/>
        </w:rPr>
        <w:t xml:space="preserve">CIPD (2024) </w:t>
      </w:r>
      <w:r w:rsidRPr="00210AAC">
        <w:rPr>
          <w:rStyle w:val="Emphasis"/>
          <w:rFonts w:ascii="Trebuchet MS" w:hAnsi="Trebuchet MS" w:cs="Segoe UI"/>
          <w:sz w:val="22"/>
          <w:szCs w:val="22"/>
        </w:rPr>
        <w:t>Managing conflict at work</w:t>
      </w:r>
      <w:r w:rsidRPr="00210AAC">
        <w:rPr>
          <w:rFonts w:ascii="Trebuchet MS" w:hAnsi="Trebuchet MS" w:cs="Segoe UI"/>
          <w:sz w:val="22"/>
          <w:szCs w:val="22"/>
        </w:rPr>
        <w:t>. London: Chartered Institute of Personnel and Development.</w:t>
      </w:r>
    </w:p>
    <w:p w14:paraId="6B05E12A" w14:textId="77777777" w:rsidR="00210AAC" w:rsidRPr="00210AAC" w:rsidRDefault="00210AAC" w:rsidP="00210AAC">
      <w:pPr>
        <w:pStyle w:val="NormalWeb"/>
        <w:rPr>
          <w:rFonts w:ascii="Trebuchet MS" w:hAnsi="Trebuchet MS" w:cs="Segoe UI"/>
          <w:sz w:val="22"/>
          <w:szCs w:val="22"/>
        </w:rPr>
      </w:pPr>
      <w:r w:rsidRPr="00210AAC">
        <w:rPr>
          <w:rFonts w:ascii="Trebuchet MS" w:hAnsi="Trebuchet MS" w:cs="Segoe UI"/>
          <w:sz w:val="22"/>
          <w:szCs w:val="22"/>
        </w:rPr>
        <w:t xml:space="preserve">CIPD (2025a) </w:t>
      </w:r>
      <w:r w:rsidRPr="00210AAC">
        <w:rPr>
          <w:rStyle w:val="Emphasis"/>
          <w:rFonts w:ascii="Trebuchet MS" w:hAnsi="Trebuchet MS" w:cs="Segoe UI"/>
          <w:sz w:val="22"/>
          <w:szCs w:val="22"/>
        </w:rPr>
        <w:t>Better working lives</w:t>
      </w:r>
      <w:r w:rsidRPr="00210AAC">
        <w:rPr>
          <w:rFonts w:ascii="Trebuchet MS" w:hAnsi="Trebuchet MS" w:cs="Segoe UI"/>
          <w:sz w:val="22"/>
          <w:szCs w:val="22"/>
        </w:rPr>
        <w:t>. London: Chartered Institute of Personnel and Development.</w:t>
      </w:r>
    </w:p>
    <w:p w14:paraId="5B9BFF3E" w14:textId="77777777" w:rsidR="00210AAC" w:rsidRPr="00210AAC" w:rsidRDefault="00210AAC" w:rsidP="00210AAC">
      <w:pPr>
        <w:pStyle w:val="NormalWeb"/>
        <w:rPr>
          <w:rFonts w:ascii="Trebuchet MS" w:hAnsi="Trebuchet MS" w:cs="Segoe UI"/>
          <w:sz w:val="22"/>
          <w:szCs w:val="22"/>
        </w:rPr>
      </w:pPr>
      <w:r w:rsidRPr="00210AAC">
        <w:rPr>
          <w:rFonts w:ascii="Trebuchet MS" w:hAnsi="Trebuchet MS" w:cs="Segoe UI"/>
          <w:sz w:val="22"/>
          <w:szCs w:val="22"/>
        </w:rPr>
        <w:t xml:space="preserve">CIPD (2025b) </w:t>
      </w:r>
      <w:r w:rsidRPr="00210AAC">
        <w:rPr>
          <w:rStyle w:val="Emphasis"/>
          <w:rFonts w:ascii="Trebuchet MS" w:hAnsi="Trebuchet MS" w:cs="Segoe UI"/>
          <w:sz w:val="22"/>
          <w:szCs w:val="22"/>
        </w:rPr>
        <w:t>Line management capability</w:t>
      </w:r>
      <w:r w:rsidRPr="00210AAC">
        <w:rPr>
          <w:rFonts w:ascii="Trebuchet MS" w:hAnsi="Trebuchet MS" w:cs="Segoe UI"/>
          <w:sz w:val="22"/>
          <w:szCs w:val="22"/>
        </w:rPr>
        <w:t>. London: Chartered Institute of Personnel and Development.</w:t>
      </w:r>
    </w:p>
    <w:p w14:paraId="0A9BD873" w14:textId="77777777" w:rsidR="00210AAC" w:rsidRPr="00210AAC" w:rsidRDefault="00210AAC" w:rsidP="00210AAC">
      <w:pPr>
        <w:pStyle w:val="NormalWeb"/>
        <w:rPr>
          <w:rFonts w:ascii="Trebuchet MS" w:hAnsi="Trebuchet MS" w:cs="Segoe UI"/>
          <w:sz w:val="22"/>
          <w:szCs w:val="22"/>
        </w:rPr>
      </w:pPr>
      <w:r w:rsidRPr="00210AAC">
        <w:rPr>
          <w:rFonts w:ascii="Trebuchet MS" w:hAnsi="Trebuchet MS" w:cs="Segoe UI"/>
          <w:sz w:val="22"/>
          <w:szCs w:val="22"/>
        </w:rPr>
        <w:t xml:space="preserve">CIPD (2026) </w:t>
      </w:r>
      <w:r w:rsidRPr="00210AAC">
        <w:rPr>
          <w:rStyle w:val="Emphasis"/>
          <w:rFonts w:ascii="Trebuchet MS" w:hAnsi="Trebuchet MS" w:cs="Segoe UI"/>
          <w:sz w:val="22"/>
          <w:szCs w:val="22"/>
        </w:rPr>
        <w:t>Employee voice</w:t>
      </w:r>
      <w:r w:rsidRPr="00210AAC">
        <w:rPr>
          <w:rFonts w:ascii="Trebuchet MS" w:hAnsi="Trebuchet MS" w:cs="Segoe UI"/>
          <w:sz w:val="22"/>
          <w:szCs w:val="22"/>
        </w:rPr>
        <w:t>. London: Chartered Institute of Personnel and Development.</w:t>
      </w:r>
    </w:p>
    <w:p w14:paraId="17CB6EF9" w14:textId="77777777" w:rsidR="00210AAC" w:rsidRPr="00210AAC" w:rsidRDefault="00210AAC" w:rsidP="00210AAC">
      <w:pPr>
        <w:pStyle w:val="NormalWeb"/>
        <w:rPr>
          <w:rFonts w:ascii="Trebuchet MS" w:hAnsi="Trebuchet MS" w:cs="Segoe UI"/>
          <w:sz w:val="22"/>
          <w:szCs w:val="22"/>
        </w:rPr>
      </w:pPr>
      <w:r w:rsidRPr="00210AAC">
        <w:rPr>
          <w:rFonts w:ascii="Trebuchet MS" w:hAnsi="Trebuchet MS" w:cs="Segoe UI"/>
          <w:sz w:val="22"/>
          <w:szCs w:val="22"/>
        </w:rPr>
        <w:t xml:space="preserve">Daniels, S. (2025) </w:t>
      </w:r>
      <w:r w:rsidRPr="00210AAC">
        <w:rPr>
          <w:rStyle w:val="Emphasis"/>
          <w:rFonts w:ascii="Trebuchet MS" w:hAnsi="Trebuchet MS" w:cs="Segoe UI"/>
          <w:sz w:val="22"/>
          <w:szCs w:val="22"/>
        </w:rPr>
        <w:t>Employment law</w:t>
      </w:r>
      <w:r w:rsidRPr="00210AAC">
        <w:rPr>
          <w:rFonts w:ascii="Trebuchet MS" w:hAnsi="Trebuchet MS" w:cs="Segoe UI"/>
          <w:sz w:val="22"/>
          <w:szCs w:val="22"/>
        </w:rPr>
        <w:t xml:space="preserve">. 8th </w:t>
      </w:r>
      <w:proofErr w:type="spellStart"/>
      <w:r w:rsidRPr="00210AAC">
        <w:rPr>
          <w:rFonts w:ascii="Trebuchet MS" w:hAnsi="Trebuchet MS" w:cs="Segoe UI"/>
          <w:sz w:val="22"/>
          <w:szCs w:val="22"/>
        </w:rPr>
        <w:t>edn</w:t>
      </w:r>
      <w:proofErr w:type="spellEnd"/>
      <w:r w:rsidRPr="00210AAC">
        <w:rPr>
          <w:rFonts w:ascii="Trebuchet MS" w:hAnsi="Trebuchet MS" w:cs="Segoe UI"/>
          <w:sz w:val="22"/>
          <w:szCs w:val="22"/>
        </w:rPr>
        <w:t>. Harlow: Pearson.</w:t>
      </w:r>
    </w:p>
    <w:p w14:paraId="726D0CF6" w14:textId="77777777" w:rsidR="00210AAC" w:rsidRPr="00210AAC" w:rsidRDefault="00210AAC" w:rsidP="00210AAC">
      <w:pPr>
        <w:pStyle w:val="NormalWeb"/>
        <w:rPr>
          <w:rFonts w:ascii="Trebuchet MS" w:hAnsi="Trebuchet MS" w:cs="Segoe UI"/>
          <w:sz w:val="22"/>
          <w:szCs w:val="22"/>
        </w:rPr>
      </w:pPr>
      <w:r w:rsidRPr="00210AAC">
        <w:rPr>
          <w:rFonts w:ascii="Trebuchet MS" w:hAnsi="Trebuchet MS" w:cs="Segoe UI"/>
          <w:sz w:val="22"/>
          <w:szCs w:val="22"/>
        </w:rPr>
        <w:t xml:space="preserve">Dawson, J. (2014) </w:t>
      </w:r>
      <w:r w:rsidRPr="00210AAC">
        <w:rPr>
          <w:rStyle w:val="Emphasis"/>
          <w:rFonts w:ascii="Trebuchet MS" w:hAnsi="Trebuchet MS" w:cs="Segoe UI"/>
          <w:sz w:val="22"/>
          <w:szCs w:val="22"/>
        </w:rPr>
        <w:t>Staff engagement and patient outcomes</w:t>
      </w:r>
      <w:r w:rsidRPr="00210AAC">
        <w:rPr>
          <w:rFonts w:ascii="Trebuchet MS" w:hAnsi="Trebuchet MS" w:cs="Segoe UI"/>
          <w:sz w:val="22"/>
          <w:szCs w:val="22"/>
        </w:rPr>
        <w:t>. London: The King’s Fund.</w:t>
      </w:r>
    </w:p>
    <w:p w14:paraId="5C9736A5" w14:textId="43A3BEBE" w:rsidR="00210AAC" w:rsidRPr="00210AAC" w:rsidRDefault="00210AAC" w:rsidP="00210AAC">
      <w:pPr>
        <w:pStyle w:val="NormalWeb"/>
        <w:rPr>
          <w:rFonts w:ascii="Trebuchet MS" w:hAnsi="Trebuchet MS" w:cs="Segoe UI"/>
          <w:sz w:val="22"/>
          <w:szCs w:val="22"/>
        </w:rPr>
      </w:pPr>
      <w:r w:rsidRPr="00210AAC">
        <w:rPr>
          <w:rFonts w:ascii="Trebuchet MS" w:hAnsi="Trebuchet MS" w:cs="Segoe UI"/>
          <w:sz w:val="22"/>
          <w:szCs w:val="22"/>
        </w:rPr>
        <w:lastRenderedPageBreak/>
        <w:t xml:space="preserve">DWF Group (2025) </w:t>
      </w:r>
      <w:r w:rsidRPr="00210AAC">
        <w:rPr>
          <w:rStyle w:val="Emphasis"/>
          <w:rFonts w:ascii="Trebuchet MS" w:hAnsi="Trebuchet MS" w:cs="Segoe UI"/>
          <w:sz w:val="22"/>
          <w:szCs w:val="22"/>
        </w:rPr>
        <w:t>Industrial action trends in the UK</w:t>
      </w:r>
      <w:r w:rsidRPr="00210AAC">
        <w:rPr>
          <w:rFonts w:ascii="Trebuchet MS" w:hAnsi="Trebuchet MS" w:cs="Segoe UI"/>
          <w:sz w:val="22"/>
          <w:szCs w:val="22"/>
        </w:rPr>
        <w:t xml:space="preserve">. Available at: https://www.dwf.law </w:t>
      </w:r>
    </w:p>
    <w:p w14:paraId="30184CC2" w14:textId="7BD96932" w:rsidR="00210AAC" w:rsidRPr="00210AAC" w:rsidRDefault="00210AAC" w:rsidP="00210AAC">
      <w:pPr>
        <w:pStyle w:val="NormalWeb"/>
        <w:rPr>
          <w:rFonts w:ascii="Trebuchet MS" w:hAnsi="Trebuchet MS" w:cs="Segoe UI"/>
          <w:sz w:val="22"/>
          <w:szCs w:val="22"/>
        </w:rPr>
      </w:pPr>
      <w:r w:rsidRPr="00210AAC">
        <w:rPr>
          <w:rFonts w:ascii="Trebuchet MS" w:hAnsi="Trebuchet MS" w:cs="Segoe UI"/>
          <w:sz w:val="22"/>
          <w:szCs w:val="22"/>
        </w:rPr>
        <w:t xml:space="preserve">Economics Help (2025) </w:t>
      </w:r>
      <w:r w:rsidRPr="00210AAC">
        <w:rPr>
          <w:rStyle w:val="Emphasis"/>
          <w:rFonts w:ascii="Trebuchet MS" w:hAnsi="Trebuchet MS" w:cs="Segoe UI"/>
          <w:sz w:val="22"/>
          <w:szCs w:val="22"/>
        </w:rPr>
        <w:t>UK strike action statistics</w:t>
      </w:r>
      <w:r w:rsidRPr="00210AAC">
        <w:rPr>
          <w:rFonts w:ascii="Trebuchet MS" w:hAnsi="Trebuchet MS" w:cs="Segoe UI"/>
          <w:sz w:val="22"/>
          <w:szCs w:val="22"/>
        </w:rPr>
        <w:t xml:space="preserve">. Available at: https://www.economicshelp.org </w:t>
      </w:r>
    </w:p>
    <w:p w14:paraId="2F4568C6" w14:textId="77777777" w:rsidR="00210AAC" w:rsidRPr="00210AAC" w:rsidRDefault="00210AAC" w:rsidP="00210AAC">
      <w:pPr>
        <w:pStyle w:val="NormalWeb"/>
        <w:rPr>
          <w:rFonts w:ascii="Trebuchet MS" w:hAnsi="Trebuchet MS" w:cs="Segoe UI"/>
          <w:sz w:val="22"/>
          <w:szCs w:val="22"/>
        </w:rPr>
      </w:pPr>
      <w:r w:rsidRPr="00210AAC">
        <w:rPr>
          <w:rFonts w:ascii="Trebuchet MS" w:hAnsi="Trebuchet MS" w:cs="Segoe UI"/>
          <w:sz w:val="22"/>
          <w:szCs w:val="22"/>
        </w:rPr>
        <w:t>Employment Rights Act 1996. London: HMSO.</w:t>
      </w:r>
    </w:p>
    <w:p w14:paraId="14D1338C" w14:textId="77777777" w:rsidR="00210AAC" w:rsidRPr="00210AAC" w:rsidRDefault="00210AAC" w:rsidP="00210AAC">
      <w:pPr>
        <w:pStyle w:val="NormalWeb"/>
        <w:rPr>
          <w:rFonts w:ascii="Trebuchet MS" w:hAnsi="Trebuchet MS" w:cs="Segoe UI"/>
          <w:sz w:val="22"/>
          <w:szCs w:val="22"/>
        </w:rPr>
      </w:pPr>
      <w:proofErr w:type="spellStart"/>
      <w:r w:rsidRPr="00210AAC">
        <w:rPr>
          <w:rFonts w:ascii="Trebuchet MS" w:hAnsi="Trebuchet MS" w:cs="Segoe UI"/>
          <w:sz w:val="22"/>
          <w:szCs w:val="22"/>
        </w:rPr>
        <w:t>Gozdik</w:t>
      </w:r>
      <w:proofErr w:type="spellEnd"/>
      <w:r w:rsidRPr="00210AAC">
        <w:rPr>
          <w:rFonts w:ascii="Trebuchet MS" w:hAnsi="Trebuchet MS" w:cs="Segoe UI"/>
          <w:sz w:val="22"/>
          <w:szCs w:val="22"/>
        </w:rPr>
        <w:t xml:space="preserve"> and </w:t>
      </w:r>
      <w:proofErr w:type="spellStart"/>
      <w:r w:rsidRPr="00210AAC">
        <w:rPr>
          <w:rFonts w:ascii="Trebuchet MS" w:hAnsi="Trebuchet MS" w:cs="Segoe UI"/>
          <w:sz w:val="22"/>
          <w:szCs w:val="22"/>
        </w:rPr>
        <w:t>Scopigno</w:t>
      </w:r>
      <w:proofErr w:type="spellEnd"/>
      <w:r w:rsidRPr="00210AAC">
        <w:rPr>
          <w:rFonts w:ascii="Trebuchet MS" w:hAnsi="Trebuchet MS" w:cs="Segoe UI"/>
          <w:sz w:val="22"/>
          <w:szCs w:val="22"/>
        </w:rPr>
        <w:t xml:space="preserve"> v </w:t>
      </w:r>
      <w:proofErr w:type="spellStart"/>
      <w:r w:rsidRPr="00210AAC">
        <w:rPr>
          <w:rFonts w:ascii="Trebuchet MS" w:hAnsi="Trebuchet MS" w:cs="Segoe UI"/>
          <w:sz w:val="22"/>
          <w:szCs w:val="22"/>
        </w:rPr>
        <w:t>Childema</w:t>
      </w:r>
      <w:proofErr w:type="spellEnd"/>
      <w:r w:rsidRPr="00210AAC">
        <w:rPr>
          <w:rFonts w:ascii="Trebuchet MS" w:hAnsi="Trebuchet MS" w:cs="Segoe UI"/>
          <w:sz w:val="22"/>
          <w:szCs w:val="22"/>
        </w:rPr>
        <w:t xml:space="preserve"> Carpet Ltd [1979] EAT 598/78.</w:t>
      </w:r>
    </w:p>
    <w:p w14:paraId="38B33D81" w14:textId="77777777" w:rsidR="00210AAC" w:rsidRPr="00210AAC" w:rsidRDefault="00210AAC" w:rsidP="00210AAC">
      <w:pPr>
        <w:pStyle w:val="NormalWeb"/>
        <w:rPr>
          <w:rFonts w:ascii="Trebuchet MS" w:hAnsi="Trebuchet MS" w:cs="Segoe UI"/>
          <w:sz w:val="22"/>
          <w:szCs w:val="22"/>
        </w:rPr>
      </w:pPr>
      <w:proofErr w:type="spellStart"/>
      <w:r w:rsidRPr="00210AAC">
        <w:rPr>
          <w:rFonts w:ascii="Trebuchet MS" w:hAnsi="Trebuchet MS" w:cs="Segoe UI"/>
          <w:sz w:val="22"/>
          <w:szCs w:val="22"/>
        </w:rPr>
        <w:t>Heery</w:t>
      </w:r>
      <w:proofErr w:type="spellEnd"/>
      <w:r w:rsidRPr="00210AAC">
        <w:rPr>
          <w:rFonts w:ascii="Trebuchet MS" w:hAnsi="Trebuchet MS" w:cs="Segoe UI"/>
          <w:sz w:val="22"/>
          <w:szCs w:val="22"/>
        </w:rPr>
        <w:t xml:space="preserve">, E. and Noon, M. (2017) </w:t>
      </w:r>
      <w:r w:rsidRPr="00210AAC">
        <w:rPr>
          <w:rStyle w:val="Emphasis"/>
          <w:rFonts w:ascii="Trebuchet MS" w:hAnsi="Trebuchet MS" w:cs="Segoe UI"/>
          <w:sz w:val="22"/>
          <w:szCs w:val="22"/>
        </w:rPr>
        <w:t>A dictionary of human resource management</w:t>
      </w:r>
      <w:r w:rsidRPr="00210AAC">
        <w:rPr>
          <w:rFonts w:ascii="Trebuchet MS" w:hAnsi="Trebuchet MS" w:cs="Segoe UI"/>
          <w:sz w:val="22"/>
          <w:szCs w:val="22"/>
        </w:rPr>
        <w:t xml:space="preserve">. 3rd </w:t>
      </w:r>
      <w:proofErr w:type="spellStart"/>
      <w:r w:rsidRPr="00210AAC">
        <w:rPr>
          <w:rFonts w:ascii="Trebuchet MS" w:hAnsi="Trebuchet MS" w:cs="Segoe UI"/>
          <w:sz w:val="22"/>
          <w:szCs w:val="22"/>
        </w:rPr>
        <w:t>edn</w:t>
      </w:r>
      <w:proofErr w:type="spellEnd"/>
      <w:r w:rsidRPr="00210AAC">
        <w:rPr>
          <w:rFonts w:ascii="Trebuchet MS" w:hAnsi="Trebuchet MS" w:cs="Segoe UI"/>
          <w:sz w:val="22"/>
          <w:szCs w:val="22"/>
        </w:rPr>
        <w:t>. Oxford: Oxford University Press.</w:t>
      </w:r>
    </w:p>
    <w:p w14:paraId="4F4B47D1" w14:textId="5EA58BC3" w:rsidR="00210AAC" w:rsidRPr="00210AAC" w:rsidRDefault="00210AAC" w:rsidP="00210AAC">
      <w:pPr>
        <w:pStyle w:val="NormalWeb"/>
        <w:rPr>
          <w:rFonts w:ascii="Trebuchet MS" w:hAnsi="Trebuchet MS" w:cs="Segoe UI"/>
          <w:sz w:val="22"/>
          <w:szCs w:val="22"/>
        </w:rPr>
      </w:pPr>
      <w:r w:rsidRPr="00210AAC">
        <w:rPr>
          <w:rFonts w:ascii="Trebuchet MS" w:hAnsi="Trebuchet MS" w:cs="Segoe UI"/>
          <w:sz w:val="22"/>
          <w:szCs w:val="22"/>
        </w:rPr>
        <w:t xml:space="preserve">IEA (2024) </w:t>
      </w:r>
      <w:r w:rsidRPr="00210AAC">
        <w:rPr>
          <w:rStyle w:val="Emphasis"/>
          <w:rFonts w:ascii="Trebuchet MS" w:hAnsi="Trebuchet MS" w:cs="Segoe UI"/>
          <w:sz w:val="22"/>
          <w:szCs w:val="22"/>
        </w:rPr>
        <w:t>The decline of trade union power</w:t>
      </w:r>
      <w:r w:rsidRPr="00210AAC">
        <w:rPr>
          <w:rFonts w:ascii="Trebuchet MS" w:hAnsi="Trebuchet MS" w:cs="Segoe UI"/>
          <w:sz w:val="22"/>
          <w:szCs w:val="22"/>
        </w:rPr>
        <w:t xml:space="preserve">. Available at: https://iea.org.uk </w:t>
      </w:r>
    </w:p>
    <w:p w14:paraId="160F017C" w14:textId="1EF31F9F" w:rsidR="00210AAC" w:rsidRPr="00210AAC" w:rsidRDefault="00210AAC" w:rsidP="00210AAC">
      <w:pPr>
        <w:pStyle w:val="NormalWeb"/>
        <w:rPr>
          <w:rFonts w:ascii="Trebuchet MS" w:hAnsi="Trebuchet MS" w:cs="Segoe UI"/>
          <w:sz w:val="22"/>
          <w:szCs w:val="22"/>
        </w:rPr>
      </w:pPr>
      <w:r w:rsidRPr="00210AAC">
        <w:rPr>
          <w:rFonts w:ascii="Trebuchet MS" w:hAnsi="Trebuchet MS" w:cs="Segoe UI"/>
          <w:sz w:val="22"/>
          <w:szCs w:val="22"/>
        </w:rPr>
        <w:t xml:space="preserve">Kim, S. and Cho, Y. (2024) ‘Employee voice and public sector performance’, </w:t>
      </w:r>
      <w:r w:rsidRPr="00210AAC">
        <w:rPr>
          <w:rStyle w:val="Emphasis"/>
          <w:rFonts w:ascii="Trebuchet MS" w:hAnsi="Trebuchet MS" w:cs="Segoe UI"/>
          <w:sz w:val="22"/>
          <w:szCs w:val="22"/>
        </w:rPr>
        <w:t>Public Administration Review</w:t>
      </w:r>
      <w:r w:rsidRPr="00210AAC">
        <w:rPr>
          <w:rFonts w:ascii="Trebuchet MS" w:hAnsi="Trebuchet MS" w:cs="Segoe UI"/>
          <w:sz w:val="22"/>
          <w:szCs w:val="22"/>
        </w:rPr>
        <w:t>.</w:t>
      </w:r>
    </w:p>
    <w:p w14:paraId="58B89C61" w14:textId="425055AA" w:rsidR="00210AAC" w:rsidRPr="00210AAC" w:rsidRDefault="00210AAC" w:rsidP="00210AAC">
      <w:pPr>
        <w:pStyle w:val="NormalWeb"/>
        <w:rPr>
          <w:rFonts w:ascii="Trebuchet MS" w:hAnsi="Trebuchet MS" w:cs="Segoe UI"/>
          <w:sz w:val="22"/>
          <w:szCs w:val="22"/>
        </w:rPr>
      </w:pPr>
      <w:proofErr w:type="spellStart"/>
      <w:r w:rsidRPr="00210AAC">
        <w:rPr>
          <w:rFonts w:ascii="Trebuchet MS" w:hAnsi="Trebuchet MS" w:cs="Segoe UI"/>
          <w:sz w:val="22"/>
          <w:szCs w:val="22"/>
        </w:rPr>
        <w:t>Latreille</w:t>
      </w:r>
      <w:proofErr w:type="spellEnd"/>
      <w:r w:rsidRPr="00210AAC">
        <w:rPr>
          <w:rFonts w:ascii="Trebuchet MS" w:hAnsi="Trebuchet MS" w:cs="Segoe UI"/>
          <w:sz w:val="22"/>
          <w:szCs w:val="22"/>
        </w:rPr>
        <w:t xml:space="preserve">, P. and </w:t>
      </w:r>
      <w:proofErr w:type="spellStart"/>
      <w:r w:rsidRPr="00210AAC">
        <w:rPr>
          <w:rFonts w:ascii="Trebuchet MS" w:hAnsi="Trebuchet MS" w:cs="Segoe UI"/>
          <w:sz w:val="22"/>
          <w:szCs w:val="22"/>
        </w:rPr>
        <w:t>Saundry</w:t>
      </w:r>
      <w:proofErr w:type="spellEnd"/>
      <w:r w:rsidRPr="00210AAC">
        <w:rPr>
          <w:rFonts w:ascii="Trebuchet MS" w:hAnsi="Trebuchet MS" w:cs="Segoe UI"/>
          <w:sz w:val="22"/>
          <w:szCs w:val="22"/>
        </w:rPr>
        <w:t xml:space="preserve">, R. (2016) ‘The role of </w:t>
      </w:r>
      <w:proofErr w:type="spellStart"/>
      <w:r w:rsidRPr="00210AAC">
        <w:rPr>
          <w:rFonts w:ascii="Trebuchet MS" w:hAnsi="Trebuchet MS" w:cs="Segoe UI"/>
          <w:sz w:val="22"/>
          <w:szCs w:val="22"/>
        </w:rPr>
        <w:t>Acas</w:t>
      </w:r>
      <w:proofErr w:type="spellEnd"/>
      <w:r w:rsidRPr="00210AAC">
        <w:rPr>
          <w:rFonts w:ascii="Trebuchet MS" w:hAnsi="Trebuchet MS" w:cs="Segoe UI"/>
          <w:sz w:val="22"/>
          <w:szCs w:val="22"/>
        </w:rPr>
        <w:t xml:space="preserve"> in dispute resolution’, </w:t>
      </w:r>
      <w:r w:rsidRPr="00210AAC">
        <w:rPr>
          <w:rStyle w:val="Emphasis"/>
          <w:rFonts w:ascii="Trebuchet MS" w:hAnsi="Trebuchet MS" w:cs="Segoe UI"/>
          <w:sz w:val="22"/>
          <w:szCs w:val="22"/>
        </w:rPr>
        <w:t>British Journal of Industrial Relations</w:t>
      </w:r>
      <w:r w:rsidRPr="00210AAC">
        <w:rPr>
          <w:rFonts w:ascii="Trebuchet MS" w:hAnsi="Trebuchet MS" w:cs="Segoe UI"/>
          <w:sz w:val="22"/>
          <w:szCs w:val="22"/>
        </w:rPr>
        <w:t>.</w:t>
      </w:r>
    </w:p>
    <w:p w14:paraId="3D542721" w14:textId="77777777" w:rsidR="00210AAC" w:rsidRDefault="00210AAC" w:rsidP="00210AAC">
      <w:pPr>
        <w:pStyle w:val="NormalWeb"/>
        <w:rPr>
          <w:rFonts w:ascii="Trebuchet MS" w:hAnsi="Trebuchet MS" w:cs="Segoe UI"/>
          <w:sz w:val="22"/>
          <w:szCs w:val="22"/>
        </w:rPr>
      </w:pPr>
      <w:r w:rsidRPr="00210AAC">
        <w:rPr>
          <w:rFonts w:ascii="Trebuchet MS" w:hAnsi="Trebuchet MS" w:cs="Segoe UI"/>
          <w:sz w:val="22"/>
          <w:szCs w:val="22"/>
        </w:rPr>
        <w:t xml:space="preserve">Marchington, M., Wilkinson, A., Donnelly, R. and </w:t>
      </w:r>
      <w:proofErr w:type="spellStart"/>
      <w:r w:rsidRPr="00210AAC">
        <w:rPr>
          <w:rFonts w:ascii="Trebuchet MS" w:hAnsi="Trebuchet MS" w:cs="Segoe UI"/>
          <w:sz w:val="22"/>
          <w:szCs w:val="22"/>
        </w:rPr>
        <w:t>Kynighou</w:t>
      </w:r>
      <w:proofErr w:type="spellEnd"/>
      <w:r w:rsidRPr="00210AAC">
        <w:rPr>
          <w:rFonts w:ascii="Trebuchet MS" w:hAnsi="Trebuchet MS" w:cs="Segoe UI"/>
          <w:sz w:val="22"/>
          <w:szCs w:val="22"/>
        </w:rPr>
        <w:t xml:space="preserve">, A. (2016) </w:t>
      </w:r>
      <w:r w:rsidRPr="00210AAC">
        <w:rPr>
          <w:rStyle w:val="Emphasis"/>
          <w:rFonts w:ascii="Trebuchet MS" w:hAnsi="Trebuchet MS" w:cs="Segoe UI"/>
          <w:sz w:val="22"/>
          <w:szCs w:val="22"/>
        </w:rPr>
        <w:t>Human resource management at work</w:t>
      </w:r>
      <w:r w:rsidRPr="00210AAC">
        <w:rPr>
          <w:rFonts w:ascii="Trebuchet MS" w:hAnsi="Trebuchet MS" w:cs="Segoe UI"/>
          <w:sz w:val="22"/>
          <w:szCs w:val="22"/>
        </w:rPr>
        <w:t xml:space="preserve">. 6th </w:t>
      </w:r>
      <w:proofErr w:type="spellStart"/>
      <w:r w:rsidRPr="00210AAC">
        <w:rPr>
          <w:rFonts w:ascii="Trebuchet MS" w:hAnsi="Trebuchet MS" w:cs="Segoe UI"/>
          <w:sz w:val="22"/>
          <w:szCs w:val="22"/>
        </w:rPr>
        <w:t>edn</w:t>
      </w:r>
      <w:proofErr w:type="spellEnd"/>
      <w:r w:rsidRPr="00210AAC">
        <w:rPr>
          <w:rFonts w:ascii="Trebuchet MS" w:hAnsi="Trebuchet MS" w:cs="Segoe UI"/>
          <w:sz w:val="22"/>
          <w:szCs w:val="22"/>
        </w:rPr>
        <w:t>. London: CIPD.</w:t>
      </w:r>
    </w:p>
    <w:p w14:paraId="78AA3ED0" w14:textId="4000CD85" w:rsidR="00544F91" w:rsidRPr="00544F91" w:rsidRDefault="00544F91" w:rsidP="00544F91">
      <w:pPr>
        <w:pStyle w:val="NormalWeb"/>
        <w:rPr>
          <w:rFonts w:ascii="Trebuchet MS" w:hAnsi="Trebuchet MS" w:cs="Segoe UI"/>
          <w:sz w:val="22"/>
          <w:szCs w:val="22"/>
        </w:rPr>
      </w:pPr>
      <w:r w:rsidRPr="00544F91">
        <w:rPr>
          <w:rFonts w:ascii="Trebuchet MS" w:hAnsi="Trebuchet MS" w:cs="Segoe UI"/>
          <w:sz w:val="22"/>
          <w:szCs w:val="22"/>
        </w:rPr>
        <w:t>Ministry of Justice (</w:t>
      </w:r>
      <w:r w:rsidR="008B27E2">
        <w:rPr>
          <w:rFonts w:ascii="Trebuchet MS" w:hAnsi="Trebuchet MS" w:cs="Segoe UI"/>
          <w:sz w:val="22"/>
          <w:szCs w:val="22"/>
        </w:rPr>
        <w:t>2015 to 2024</w:t>
      </w:r>
      <w:r w:rsidRPr="00544F91">
        <w:rPr>
          <w:rFonts w:ascii="Trebuchet MS" w:hAnsi="Trebuchet MS" w:cs="Segoe UI"/>
          <w:sz w:val="22"/>
          <w:szCs w:val="22"/>
        </w:rPr>
        <w:t xml:space="preserve">) </w:t>
      </w:r>
      <w:r w:rsidRPr="00544F91">
        <w:rPr>
          <w:rFonts w:ascii="Trebuchet MS" w:hAnsi="Trebuchet MS" w:cs="Segoe UI"/>
          <w:i/>
          <w:iCs/>
          <w:sz w:val="22"/>
          <w:szCs w:val="22"/>
        </w:rPr>
        <w:t>Tribunals Statistics Quarterly</w:t>
      </w:r>
    </w:p>
    <w:p w14:paraId="606DFA6C" w14:textId="7010C776" w:rsidR="00210AAC" w:rsidRPr="00210AAC" w:rsidRDefault="00210AAC" w:rsidP="00210AAC">
      <w:pPr>
        <w:pStyle w:val="NormalWeb"/>
        <w:rPr>
          <w:rFonts w:ascii="Trebuchet MS" w:hAnsi="Trebuchet MS" w:cs="Segoe UI"/>
          <w:sz w:val="22"/>
          <w:szCs w:val="22"/>
        </w:rPr>
      </w:pPr>
      <w:r w:rsidRPr="00210AAC">
        <w:rPr>
          <w:rFonts w:ascii="Trebuchet MS" w:hAnsi="Trebuchet MS" w:cs="Segoe UI"/>
          <w:sz w:val="22"/>
          <w:szCs w:val="22"/>
        </w:rPr>
        <w:t xml:space="preserve">Morrison, E. (2023) ‘Employee voice and psychological safety’, </w:t>
      </w:r>
      <w:r w:rsidRPr="00210AAC">
        <w:rPr>
          <w:rStyle w:val="Emphasis"/>
          <w:rFonts w:ascii="Trebuchet MS" w:hAnsi="Trebuchet MS" w:cs="Segoe UI"/>
          <w:sz w:val="22"/>
          <w:szCs w:val="22"/>
        </w:rPr>
        <w:t>Annual Review of Organizational Psychology</w:t>
      </w:r>
      <w:r w:rsidRPr="00210AAC">
        <w:rPr>
          <w:rFonts w:ascii="Trebuchet MS" w:hAnsi="Trebuchet MS" w:cs="Segoe UI"/>
          <w:sz w:val="22"/>
          <w:szCs w:val="22"/>
        </w:rPr>
        <w:t>.</w:t>
      </w:r>
    </w:p>
    <w:p w14:paraId="762CEE7A" w14:textId="77777777" w:rsidR="00210AAC" w:rsidRPr="00210AAC" w:rsidRDefault="00210AAC" w:rsidP="00210AAC">
      <w:pPr>
        <w:pStyle w:val="NormalWeb"/>
        <w:rPr>
          <w:rFonts w:ascii="Trebuchet MS" w:hAnsi="Trebuchet MS" w:cs="Segoe UI"/>
          <w:sz w:val="22"/>
          <w:szCs w:val="22"/>
        </w:rPr>
      </w:pPr>
      <w:r w:rsidRPr="00210AAC">
        <w:rPr>
          <w:rFonts w:ascii="Trebuchet MS" w:hAnsi="Trebuchet MS" w:cs="Segoe UI"/>
          <w:sz w:val="22"/>
          <w:szCs w:val="22"/>
        </w:rPr>
        <w:t xml:space="preserve">NHS Employers (2020) </w:t>
      </w:r>
      <w:r w:rsidRPr="00210AAC">
        <w:rPr>
          <w:rStyle w:val="Emphasis"/>
          <w:rFonts w:ascii="Trebuchet MS" w:hAnsi="Trebuchet MS" w:cs="Segoe UI"/>
          <w:sz w:val="22"/>
          <w:szCs w:val="22"/>
        </w:rPr>
        <w:t>Health and wellbeing at work</w:t>
      </w:r>
      <w:r w:rsidRPr="00210AAC">
        <w:rPr>
          <w:rFonts w:ascii="Trebuchet MS" w:hAnsi="Trebuchet MS" w:cs="Segoe UI"/>
          <w:sz w:val="22"/>
          <w:szCs w:val="22"/>
        </w:rPr>
        <w:t>. London: NHS Employers.</w:t>
      </w:r>
    </w:p>
    <w:p w14:paraId="34C5B814" w14:textId="77777777" w:rsidR="00210AAC" w:rsidRPr="00210AAC" w:rsidRDefault="00210AAC" w:rsidP="00210AAC">
      <w:pPr>
        <w:pStyle w:val="NormalWeb"/>
        <w:rPr>
          <w:rFonts w:ascii="Trebuchet MS" w:hAnsi="Trebuchet MS" w:cs="Segoe UI"/>
          <w:sz w:val="22"/>
          <w:szCs w:val="22"/>
        </w:rPr>
      </w:pPr>
      <w:r w:rsidRPr="00210AAC">
        <w:rPr>
          <w:rFonts w:ascii="Trebuchet MS" w:hAnsi="Trebuchet MS" w:cs="Segoe UI"/>
          <w:sz w:val="22"/>
          <w:szCs w:val="22"/>
        </w:rPr>
        <w:t xml:space="preserve">ONS (2023) </w:t>
      </w:r>
      <w:r w:rsidRPr="00210AAC">
        <w:rPr>
          <w:rStyle w:val="Emphasis"/>
          <w:rFonts w:ascii="Trebuchet MS" w:hAnsi="Trebuchet MS" w:cs="Segoe UI"/>
          <w:sz w:val="22"/>
          <w:szCs w:val="22"/>
        </w:rPr>
        <w:t>Labour disputes in the UK</w:t>
      </w:r>
      <w:r w:rsidRPr="00210AAC">
        <w:rPr>
          <w:rFonts w:ascii="Trebuchet MS" w:hAnsi="Trebuchet MS" w:cs="Segoe UI"/>
          <w:sz w:val="22"/>
          <w:szCs w:val="22"/>
        </w:rPr>
        <w:t>. London: Office for National Statistics.</w:t>
      </w:r>
    </w:p>
    <w:p w14:paraId="2033B78D" w14:textId="77777777" w:rsidR="00210AAC" w:rsidRPr="00210AAC" w:rsidRDefault="00210AAC" w:rsidP="00210AAC">
      <w:pPr>
        <w:pStyle w:val="NormalWeb"/>
        <w:rPr>
          <w:rFonts w:ascii="Trebuchet MS" w:hAnsi="Trebuchet MS" w:cs="Segoe UI"/>
          <w:sz w:val="22"/>
          <w:szCs w:val="22"/>
        </w:rPr>
      </w:pPr>
      <w:r w:rsidRPr="00210AAC">
        <w:rPr>
          <w:rFonts w:ascii="Trebuchet MS" w:hAnsi="Trebuchet MS" w:cs="Segoe UI"/>
          <w:sz w:val="22"/>
          <w:szCs w:val="22"/>
        </w:rPr>
        <w:t xml:space="preserve">ONS (2026) </w:t>
      </w:r>
      <w:r w:rsidRPr="00210AAC">
        <w:rPr>
          <w:rStyle w:val="Emphasis"/>
          <w:rFonts w:ascii="Trebuchet MS" w:hAnsi="Trebuchet MS" w:cs="Segoe UI"/>
          <w:sz w:val="22"/>
          <w:szCs w:val="22"/>
        </w:rPr>
        <w:t>Labour market overview</w:t>
      </w:r>
      <w:r w:rsidRPr="00210AAC">
        <w:rPr>
          <w:rFonts w:ascii="Trebuchet MS" w:hAnsi="Trebuchet MS" w:cs="Segoe UI"/>
          <w:sz w:val="22"/>
          <w:szCs w:val="22"/>
        </w:rPr>
        <w:t>. London: Office for National Statistics.</w:t>
      </w:r>
    </w:p>
    <w:p w14:paraId="7B155F5B" w14:textId="77777777" w:rsidR="00210AAC" w:rsidRPr="00210AAC" w:rsidRDefault="00210AAC" w:rsidP="00210AAC">
      <w:pPr>
        <w:pStyle w:val="NormalWeb"/>
        <w:rPr>
          <w:rFonts w:ascii="Trebuchet MS" w:hAnsi="Trebuchet MS" w:cs="Segoe UI"/>
          <w:sz w:val="22"/>
          <w:szCs w:val="22"/>
        </w:rPr>
      </w:pPr>
      <w:r w:rsidRPr="00210AAC">
        <w:rPr>
          <w:rFonts w:ascii="Trebuchet MS" w:hAnsi="Trebuchet MS" w:cs="Segoe UI"/>
          <w:sz w:val="22"/>
          <w:szCs w:val="22"/>
        </w:rPr>
        <w:t xml:space="preserve">O’Brien v Bolton St Catherine’s Academy [2017] EWCA </w:t>
      </w:r>
      <w:proofErr w:type="spellStart"/>
      <w:r w:rsidRPr="00210AAC">
        <w:rPr>
          <w:rFonts w:ascii="Trebuchet MS" w:hAnsi="Trebuchet MS" w:cs="Segoe UI"/>
          <w:sz w:val="22"/>
          <w:szCs w:val="22"/>
        </w:rPr>
        <w:t>Civ</w:t>
      </w:r>
      <w:proofErr w:type="spellEnd"/>
      <w:r w:rsidRPr="00210AAC">
        <w:rPr>
          <w:rFonts w:ascii="Trebuchet MS" w:hAnsi="Trebuchet MS" w:cs="Segoe UI"/>
          <w:sz w:val="22"/>
          <w:szCs w:val="22"/>
        </w:rPr>
        <w:t xml:space="preserve"> 145.</w:t>
      </w:r>
    </w:p>
    <w:p w14:paraId="7DF81CAB" w14:textId="77777777" w:rsidR="00210AAC" w:rsidRPr="00210AAC" w:rsidRDefault="00210AAC" w:rsidP="00210AAC">
      <w:pPr>
        <w:pStyle w:val="NormalWeb"/>
        <w:rPr>
          <w:rFonts w:ascii="Trebuchet MS" w:hAnsi="Trebuchet MS" w:cs="Segoe UI"/>
          <w:sz w:val="22"/>
          <w:szCs w:val="22"/>
        </w:rPr>
      </w:pPr>
      <w:r w:rsidRPr="00210AAC">
        <w:rPr>
          <w:rFonts w:ascii="Trebuchet MS" w:hAnsi="Trebuchet MS" w:cs="Segoe UI"/>
          <w:sz w:val="22"/>
          <w:szCs w:val="22"/>
        </w:rPr>
        <w:t xml:space="preserve">Queen Mary University of London (2021) </w:t>
      </w:r>
      <w:r w:rsidRPr="00210AAC">
        <w:rPr>
          <w:rStyle w:val="Emphasis"/>
          <w:rFonts w:ascii="Trebuchet MS" w:hAnsi="Trebuchet MS" w:cs="Segoe UI"/>
          <w:sz w:val="22"/>
          <w:szCs w:val="22"/>
        </w:rPr>
        <w:t>What is mediation?</w:t>
      </w:r>
      <w:r w:rsidRPr="00210AAC">
        <w:rPr>
          <w:rFonts w:ascii="Trebuchet MS" w:hAnsi="Trebuchet MS" w:cs="Segoe UI"/>
          <w:sz w:val="22"/>
          <w:szCs w:val="22"/>
        </w:rPr>
        <w:t xml:space="preserve"> London: QMUL.</w:t>
      </w:r>
    </w:p>
    <w:p w14:paraId="3270BAA4" w14:textId="77777777" w:rsidR="00210AAC" w:rsidRPr="00210AAC" w:rsidRDefault="00210AAC" w:rsidP="00210AAC">
      <w:pPr>
        <w:pStyle w:val="NormalWeb"/>
        <w:rPr>
          <w:rFonts w:ascii="Trebuchet MS" w:hAnsi="Trebuchet MS" w:cs="Segoe UI"/>
          <w:sz w:val="22"/>
          <w:szCs w:val="22"/>
        </w:rPr>
      </w:pPr>
      <w:r w:rsidRPr="00210AAC">
        <w:rPr>
          <w:rFonts w:ascii="Trebuchet MS" w:hAnsi="Trebuchet MS" w:cs="Segoe UI"/>
          <w:sz w:val="22"/>
          <w:szCs w:val="22"/>
        </w:rPr>
        <w:t>Schenker Ltd v Dolan [2011] UKEAT/0053/09.</w:t>
      </w:r>
    </w:p>
    <w:p w14:paraId="29B4FC6C" w14:textId="77777777" w:rsidR="00210AAC" w:rsidRPr="00210AAC" w:rsidRDefault="00210AAC" w:rsidP="00210AAC">
      <w:pPr>
        <w:pStyle w:val="NormalWeb"/>
        <w:rPr>
          <w:rFonts w:ascii="Trebuchet MS" w:hAnsi="Trebuchet MS" w:cs="Segoe UI"/>
          <w:sz w:val="22"/>
          <w:szCs w:val="22"/>
        </w:rPr>
      </w:pPr>
      <w:r w:rsidRPr="00210AAC">
        <w:rPr>
          <w:rFonts w:ascii="Trebuchet MS" w:hAnsi="Trebuchet MS" w:cs="Segoe UI"/>
          <w:sz w:val="22"/>
          <w:szCs w:val="22"/>
        </w:rPr>
        <w:t>Social Partnership and Public Procurement (Wales) Act 2023. Cardiff: Senedd Cymru.</w:t>
      </w:r>
    </w:p>
    <w:p w14:paraId="1F4482B8" w14:textId="4EC0FC9E" w:rsidR="00210AAC" w:rsidRPr="00210AAC" w:rsidRDefault="00210AAC" w:rsidP="00210AAC">
      <w:pPr>
        <w:pStyle w:val="NormalWeb"/>
        <w:rPr>
          <w:rFonts w:ascii="Trebuchet MS" w:hAnsi="Trebuchet MS" w:cs="Segoe UI"/>
          <w:sz w:val="22"/>
          <w:szCs w:val="22"/>
        </w:rPr>
      </w:pPr>
      <w:r w:rsidRPr="00210AAC">
        <w:rPr>
          <w:rFonts w:ascii="Trebuchet MS" w:hAnsi="Trebuchet MS" w:cs="Segoe UI"/>
          <w:sz w:val="22"/>
          <w:szCs w:val="22"/>
        </w:rPr>
        <w:t xml:space="preserve">The Conversation (2025) </w:t>
      </w:r>
      <w:r w:rsidRPr="00210AAC">
        <w:rPr>
          <w:rStyle w:val="Emphasis"/>
          <w:rFonts w:ascii="Trebuchet MS" w:hAnsi="Trebuchet MS" w:cs="Segoe UI"/>
          <w:sz w:val="22"/>
          <w:szCs w:val="22"/>
        </w:rPr>
        <w:t>Why strikes are rising again</w:t>
      </w:r>
      <w:r w:rsidRPr="00210AAC">
        <w:rPr>
          <w:rFonts w:ascii="Trebuchet MS" w:hAnsi="Trebuchet MS" w:cs="Segoe UI"/>
          <w:sz w:val="22"/>
          <w:szCs w:val="22"/>
        </w:rPr>
        <w:t>. Available at: https://theconversation.com.</w:t>
      </w:r>
    </w:p>
    <w:p w14:paraId="22578B43" w14:textId="5CA811E3" w:rsidR="00210AAC" w:rsidRPr="00210AAC" w:rsidRDefault="00210AAC" w:rsidP="00210AAC">
      <w:pPr>
        <w:pStyle w:val="NormalWeb"/>
        <w:rPr>
          <w:rFonts w:ascii="Trebuchet MS" w:hAnsi="Trebuchet MS" w:cs="Segoe UI"/>
          <w:sz w:val="22"/>
          <w:szCs w:val="22"/>
        </w:rPr>
      </w:pPr>
      <w:r w:rsidRPr="00210AAC">
        <w:rPr>
          <w:rFonts w:ascii="Trebuchet MS" w:hAnsi="Trebuchet MS" w:cs="Segoe UI"/>
          <w:sz w:val="22"/>
          <w:szCs w:val="22"/>
        </w:rPr>
        <w:t xml:space="preserve">The TCM Group (2021) </w:t>
      </w:r>
      <w:r w:rsidRPr="00210AAC">
        <w:rPr>
          <w:rStyle w:val="Emphasis"/>
          <w:rFonts w:ascii="Trebuchet MS" w:hAnsi="Trebuchet MS" w:cs="Segoe UI"/>
          <w:sz w:val="22"/>
          <w:szCs w:val="22"/>
        </w:rPr>
        <w:t>Reshaping grievance procedures: A case study from Tesco</w:t>
      </w:r>
      <w:r w:rsidRPr="00210AAC">
        <w:rPr>
          <w:rFonts w:ascii="Trebuchet MS" w:hAnsi="Trebuchet MS" w:cs="Segoe UI"/>
          <w:sz w:val="22"/>
          <w:szCs w:val="22"/>
        </w:rPr>
        <w:t xml:space="preserve">. Available at: https://thetcmgroup.com/wp-content/uploads/2021/08/Tesco-Reshaping-Grievance-Procedures-A-Case-Study-from-The-TCM-Group.pdf </w:t>
      </w:r>
    </w:p>
    <w:p w14:paraId="13864895" w14:textId="0D896A81" w:rsidR="00210AAC" w:rsidRPr="00210AAC" w:rsidRDefault="00210AAC" w:rsidP="00210AAC">
      <w:pPr>
        <w:pStyle w:val="NormalWeb"/>
        <w:rPr>
          <w:rFonts w:ascii="Trebuchet MS" w:hAnsi="Trebuchet MS" w:cs="Segoe UI"/>
          <w:sz w:val="22"/>
          <w:szCs w:val="22"/>
        </w:rPr>
      </w:pPr>
      <w:proofErr w:type="spellStart"/>
      <w:r w:rsidRPr="00210AAC">
        <w:rPr>
          <w:rFonts w:ascii="Trebuchet MS" w:hAnsi="Trebuchet MS" w:cs="Segoe UI"/>
          <w:sz w:val="22"/>
          <w:szCs w:val="22"/>
        </w:rPr>
        <w:t>Vardi</w:t>
      </w:r>
      <w:proofErr w:type="spellEnd"/>
      <w:r w:rsidRPr="00210AAC">
        <w:rPr>
          <w:rFonts w:ascii="Trebuchet MS" w:hAnsi="Trebuchet MS" w:cs="Segoe UI"/>
          <w:sz w:val="22"/>
          <w:szCs w:val="22"/>
        </w:rPr>
        <w:t xml:space="preserve">, Y. and Wiener, Y. (1996) ‘Misbehaviour in organisations’, </w:t>
      </w:r>
      <w:r w:rsidRPr="00210AAC">
        <w:rPr>
          <w:rStyle w:val="Emphasis"/>
          <w:rFonts w:ascii="Trebuchet MS" w:hAnsi="Trebuchet MS" w:cs="Segoe UI"/>
          <w:sz w:val="22"/>
          <w:szCs w:val="22"/>
        </w:rPr>
        <w:t>Organisation Science</w:t>
      </w:r>
      <w:r w:rsidR="001F72BE">
        <w:rPr>
          <w:rFonts w:ascii="Trebuchet MS" w:hAnsi="Trebuchet MS" w:cs="Segoe UI"/>
          <w:sz w:val="22"/>
          <w:szCs w:val="22"/>
        </w:rPr>
        <w:t>.</w:t>
      </w:r>
    </w:p>
    <w:p w14:paraId="219B3B4C" w14:textId="77777777" w:rsidR="00210AAC" w:rsidRPr="00210AAC" w:rsidRDefault="00210AAC" w:rsidP="00210AAC">
      <w:pPr>
        <w:pStyle w:val="NormalWeb"/>
        <w:rPr>
          <w:rFonts w:ascii="Trebuchet MS" w:hAnsi="Trebuchet MS" w:cs="Segoe UI"/>
          <w:sz w:val="22"/>
          <w:szCs w:val="22"/>
        </w:rPr>
      </w:pPr>
      <w:r w:rsidRPr="00210AAC">
        <w:rPr>
          <w:rFonts w:ascii="Trebuchet MS" w:hAnsi="Trebuchet MS" w:cs="Segoe UI"/>
          <w:sz w:val="22"/>
          <w:szCs w:val="22"/>
        </w:rPr>
        <w:t xml:space="preserve">Welsh Government (2025) </w:t>
      </w:r>
      <w:r w:rsidRPr="00210AAC">
        <w:rPr>
          <w:rStyle w:val="Emphasis"/>
          <w:rFonts w:ascii="Trebuchet MS" w:hAnsi="Trebuchet MS" w:cs="Segoe UI"/>
          <w:sz w:val="22"/>
          <w:szCs w:val="22"/>
        </w:rPr>
        <w:t>Social partnership statutory guidance</w:t>
      </w:r>
      <w:r w:rsidRPr="00210AAC">
        <w:rPr>
          <w:rFonts w:ascii="Trebuchet MS" w:hAnsi="Trebuchet MS" w:cs="Segoe UI"/>
          <w:sz w:val="22"/>
          <w:szCs w:val="22"/>
        </w:rPr>
        <w:t>. Cardiff: Welsh Government.</w:t>
      </w:r>
    </w:p>
    <w:p w14:paraId="5B3E8ACE" w14:textId="77777777" w:rsidR="00210AAC" w:rsidRPr="00210AAC" w:rsidRDefault="00210AAC" w:rsidP="00210AAC">
      <w:pPr>
        <w:pStyle w:val="NormalWeb"/>
        <w:rPr>
          <w:rFonts w:ascii="Trebuchet MS" w:hAnsi="Trebuchet MS" w:cs="Segoe UI"/>
          <w:sz w:val="22"/>
          <w:szCs w:val="22"/>
        </w:rPr>
      </w:pPr>
      <w:r w:rsidRPr="00210AAC">
        <w:rPr>
          <w:rFonts w:ascii="Trebuchet MS" w:hAnsi="Trebuchet MS" w:cs="Segoe UI"/>
          <w:sz w:val="22"/>
          <w:szCs w:val="22"/>
        </w:rPr>
        <w:lastRenderedPageBreak/>
        <w:t xml:space="preserve">White, M. (2003) </w:t>
      </w:r>
      <w:r w:rsidRPr="00210AAC">
        <w:rPr>
          <w:rStyle w:val="Emphasis"/>
          <w:rFonts w:ascii="Trebuchet MS" w:hAnsi="Trebuchet MS" w:cs="Segoe UI"/>
          <w:sz w:val="22"/>
          <w:szCs w:val="22"/>
        </w:rPr>
        <w:t>Working in the public services</w:t>
      </w:r>
      <w:r w:rsidRPr="00210AAC">
        <w:rPr>
          <w:rFonts w:ascii="Trebuchet MS" w:hAnsi="Trebuchet MS" w:cs="Segoe UI"/>
          <w:sz w:val="22"/>
          <w:szCs w:val="22"/>
        </w:rPr>
        <w:t>. London: SAGE.</w:t>
      </w:r>
    </w:p>
    <w:p w14:paraId="095FE385" w14:textId="77777777" w:rsidR="00210AAC" w:rsidRPr="00210AAC" w:rsidRDefault="00210AAC" w:rsidP="00210AAC">
      <w:pPr>
        <w:pStyle w:val="NormalWeb"/>
        <w:rPr>
          <w:rFonts w:ascii="Trebuchet MS" w:hAnsi="Trebuchet MS" w:cs="Segoe UI"/>
          <w:sz w:val="22"/>
          <w:szCs w:val="22"/>
        </w:rPr>
      </w:pPr>
      <w:r w:rsidRPr="00210AAC">
        <w:rPr>
          <w:rFonts w:ascii="Trebuchet MS" w:hAnsi="Trebuchet MS" w:cs="Segoe UI"/>
          <w:sz w:val="22"/>
          <w:szCs w:val="22"/>
        </w:rPr>
        <w:t xml:space="preserve">Young, S. and Tong, D. (2025) </w:t>
      </w:r>
      <w:r w:rsidRPr="00210AAC">
        <w:rPr>
          <w:rStyle w:val="Emphasis"/>
          <w:rFonts w:ascii="Trebuchet MS" w:hAnsi="Trebuchet MS" w:cs="Segoe UI"/>
          <w:sz w:val="22"/>
          <w:szCs w:val="22"/>
        </w:rPr>
        <w:t>CIPD Good Work Index 2025</w:t>
      </w:r>
      <w:r w:rsidRPr="00210AAC">
        <w:rPr>
          <w:rFonts w:ascii="Trebuchet MS" w:hAnsi="Trebuchet MS" w:cs="Segoe UI"/>
          <w:sz w:val="22"/>
          <w:szCs w:val="22"/>
        </w:rPr>
        <w:t>. London: CIPD.</w:t>
      </w:r>
    </w:p>
    <w:p w14:paraId="03C550B7" w14:textId="77777777" w:rsidR="00210AAC" w:rsidRPr="00CB1DD2" w:rsidRDefault="00210AAC" w:rsidP="00B41018">
      <w:pPr>
        <w:spacing w:before="100" w:beforeAutospacing="1" w:after="100" w:afterAutospacing="1" w:line="300" w:lineRule="atLeast"/>
        <w:rPr>
          <w:rFonts w:ascii="Trebuchet MS" w:hAnsi="Trebuchet MS"/>
        </w:rPr>
      </w:pPr>
    </w:p>
    <w:sectPr w:rsidR="00210AAC" w:rsidRPr="00CB1DD2" w:rsidSect="008E2ED2">
      <w:pgSz w:w="11906" w:h="16838"/>
      <w:pgMar w:top="851"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00"/>
    <w:family w:val="roman"/>
    <w:pitch w:val="default"/>
  </w:font>
  <w:font w:name="Calibri">
    <w:panose1 w:val="020F0502020204030204"/>
    <w:charset w:val="00"/>
    <w:family w:val="swiss"/>
    <w:pitch w:val="variable"/>
    <w:sig w:usb0="E4002EFF" w:usb1="C2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0802C2"/>
    <w:multiLevelType w:val="hybridMultilevel"/>
    <w:tmpl w:val="C2BACE1C"/>
    <w:numStyleLink w:val="ImportedStyle5"/>
  </w:abstractNum>
  <w:abstractNum w:abstractNumId="1" w15:restartNumberingAfterBreak="0">
    <w:nsid w:val="224C6CEB"/>
    <w:multiLevelType w:val="hybridMultilevel"/>
    <w:tmpl w:val="382A21A0"/>
    <w:numStyleLink w:val="ImportedStyle6"/>
  </w:abstractNum>
  <w:abstractNum w:abstractNumId="2" w15:restartNumberingAfterBreak="0">
    <w:nsid w:val="33451EB6"/>
    <w:multiLevelType w:val="hybridMultilevel"/>
    <w:tmpl w:val="E9F87DD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75B64DF"/>
    <w:multiLevelType w:val="hybridMultilevel"/>
    <w:tmpl w:val="382A21A0"/>
    <w:styleLink w:val="ImportedStyle6"/>
    <w:lvl w:ilvl="0" w:tplc="622E1B9A">
      <w:start w:val="1"/>
      <w:numFmt w:val="decimal"/>
      <w:lvlText w:val="%1)"/>
      <w:lvlJc w:val="left"/>
      <w:pPr>
        <w:ind w:left="72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1" w:tplc="6616E348">
      <w:start w:val="1"/>
      <w:numFmt w:val="lowerLetter"/>
      <w:lvlText w:val="%2."/>
      <w:lvlJc w:val="left"/>
      <w:pPr>
        <w:ind w:left="14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2" w:tplc="C0424920">
      <w:start w:val="1"/>
      <w:numFmt w:val="lowerRoman"/>
      <w:lvlText w:val="%3."/>
      <w:lvlJc w:val="left"/>
      <w:pPr>
        <w:ind w:left="216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3" w:tplc="A68CD350">
      <w:start w:val="1"/>
      <w:numFmt w:val="decimal"/>
      <w:lvlText w:val="%4."/>
      <w:lvlJc w:val="left"/>
      <w:pPr>
        <w:ind w:left="288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4" w:tplc="1C3EEA5E">
      <w:start w:val="1"/>
      <w:numFmt w:val="lowerLetter"/>
      <w:lvlText w:val="%5."/>
      <w:lvlJc w:val="left"/>
      <w:pPr>
        <w:ind w:left="360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5" w:tplc="CB54EC20">
      <w:start w:val="1"/>
      <w:numFmt w:val="lowerRoman"/>
      <w:lvlText w:val="%6."/>
      <w:lvlJc w:val="left"/>
      <w:pPr>
        <w:ind w:left="432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6" w:tplc="4E22D5DE">
      <w:start w:val="1"/>
      <w:numFmt w:val="decimal"/>
      <w:lvlText w:val="%7."/>
      <w:lvlJc w:val="left"/>
      <w:pPr>
        <w:ind w:left="50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7" w:tplc="41BC1DF4">
      <w:start w:val="1"/>
      <w:numFmt w:val="lowerLetter"/>
      <w:lvlText w:val="%8."/>
      <w:lvlJc w:val="left"/>
      <w:pPr>
        <w:ind w:left="576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8" w:tplc="6F0EF206">
      <w:start w:val="1"/>
      <w:numFmt w:val="lowerRoman"/>
      <w:lvlText w:val="%9."/>
      <w:lvlJc w:val="left"/>
      <w:pPr>
        <w:ind w:left="648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abstractNum>
  <w:abstractNum w:abstractNumId="4" w15:restartNumberingAfterBreak="0">
    <w:nsid w:val="6FBA08D4"/>
    <w:multiLevelType w:val="hybridMultilevel"/>
    <w:tmpl w:val="C2BACE1C"/>
    <w:styleLink w:val="ImportedStyle5"/>
    <w:lvl w:ilvl="0" w:tplc="AAA2AA04">
      <w:start w:val="1"/>
      <w:numFmt w:val="lowerLetter"/>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E9B8F17C">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A8705B10">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DDCEDD02">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51C2DEBA">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3E10773E">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F1D28DB0">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27CC2B5A">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7D4E7650">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5" w15:restartNumberingAfterBreak="0">
    <w:nsid w:val="7ADA3F4B"/>
    <w:multiLevelType w:val="multilevel"/>
    <w:tmpl w:val="C1623C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0"/>
  </w:num>
  <w:num w:numId="3">
    <w:abstractNumId w:val="3"/>
  </w:num>
  <w:num w:numId="4">
    <w:abstractNumId w:val="1"/>
  </w:num>
  <w:num w:numId="5">
    <w:abstractNumId w:val="1"/>
    <w:lvlOverride w:ilvl="0">
      <w:lvl w:ilvl="0" w:tplc="E6F4B0A4">
        <w:start w:val="1"/>
        <w:numFmt w:val="decimal"/>
        <w:lvlText w:val="%1)"/>
        <w:lvlJc w:val="left"/>
        <w:pPr>
          <w:ind w:left="72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1">
      <w:lvl w:ilvl="1" w:tplc="EFF29A74">
        <w:start w:val="1"/>
        <w:numFmt w:val="lowerLetter"/>
        <w:lvlText w:val="%2."/>
        <w:lvlJc w:val="left"/>
        <w:pPr>
          <w:ind w:left="144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2">
      <w:lvl w:ilvl="2" w:tplc="DF30CB58">
        <w:start w:val="1"/>
        <w:numFmt w:val="lowerRoman"/>
        <w:lvlText w:val="%3."/>
        <w:lvlJc w:val="left"/>
        <w:pPr>
          <w:ind w:left="216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3">
      <w:lvl w:ilvl="3" w:tplc="8036113E">
        <w:start w:val="1"/>
        <w:numFmt w:val="decimal"/>
        <w:lvlText w:val="%4."/>
        <w:lvlJc w:val="left"/>
        <w:pPr>
          <w:ind w:left="288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4">
      <w:lvl w:ilvl="4" w:tplc="DE24AA30">
        <w:start w:val="1"/>
        <w:numFmt w:val="lowerLetter"/>
        <w:lvlText w:val="%5."/>
        <w:lvlJc w:val="left"/>
        <w:pPr>
          <w:ind w:left="360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5">
      <w:lvl w:ilvl="5" w:tplc="A1F49DF4">
        <w:start w:val="1"/>
        <w:numFmt w:val="lowerRoman"/>
        <w:lvlText w:val="%6."/>
        <w:lvlJc w:val="left"/>
        <w:pPr>
          <w:ind w:left="432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6">
      <w:lvl w:ilvl="6" w:tplc="34D4FD7C">
        <w:start w:val="1"/>
        <w:numFmt w:val="decimal"/>
        <w:lvlText w:val="%7."/>
        <w:lvlJc w:val="left"/>
        <w:pPr>
          <w:ind w:left="504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7">
      <w:lvl w:ilvl="7" w:tplc="293C5EB8">
        <w:start w:val="1"/>
        <w:numFmt w:val="lowerLetter"/>
        <w:lvlText w:val="%8."/>
        <w:lvlJc w:val="left"/>
        <w:pPr>
          <w:ind w:left="576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8">
      <w:lvl w:ilvl="8" w:tplc="1930C4D4">
        <w:start w:val="1"/>
        <w:numFmt w:val="lowerRoman"/>
        <w:lvlText w:val="%9."/>
        <w:lvlJc w:val="left"/>
        <w:pPr>
          <w:ind w:left="648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num>
  <w:num w:numId="6">
    <w:abstractNumId w:val="2"/>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2BAE"/>
    <w:rsid w:val="00001F7A"/>
    <w:rsid w:val="00002D5B"/>
    <w:rsid w:val="000073AF"/>
    <w:rsid w:val="00012592"/>
    <w:rsid w:val="00023632"/>
    <w:rsid w:val="00044D88"/>
    <w:rsid w:val="00062EBE"/>
    <w:rsid w:val="00063719"/>
    <w:rsid w:val="00064B30"/>
    <w:rsid w:val="000675A0"/>
    <w:rsid w:val="000729A5"/>
    <w:rsid w:val="00075CA8"/>
    <w:rsid w:val="00081D91"/>
    <w:rsid w:val="00091D44"/>
    <w:rsid w:val="0009246D"/>
    <w:rsid w:val="0009561A"/>
    <w:rsid w:val="000A51C8"/>
    <w:rsid w:val="000B09A2"/>
    <w:rsid w:val="000B3C4D"/>
    <w:rsid w:val="000B58AD"/>
    <w:rsid w:val="000B7850"/>
    <w:rsid w:val="000C205E"/>
    <w:rsid w:val="000D2740"/>
    <w:rsid w:val="000D6A45"/>
    <w:rsid w:val="001065D4"/>
    <w:rsid w:val="00114195"/>
    <w:rsid w:val="00131B0A"/>
    <w:rsid w:val="00133189"/>
    <w:rsid w:val="0014581A"/>
    <w:rsid w:val="001461BE"/>
    <w:rsid w:val="001531AD"/>
    <w:rsid w:val="00154C3B"/>
    <w:rsid w:val="00154DA1"/>
    <w:rsid w:val="0016375F"/>
    <w:rsid w:val="00164C3D"/>
    <w:rsid w:val="00167C9F"/>
    <w:rsid w:val="001910F7"/>
    <w:rsid w:val="00194225"/>
    <w:rsid w:val="001B001F"/>
    <w:rsid w:val="001B1EF9"/>
    <w:rsid w:val="001D5A5D"/>
    <w:rsid w:val="001D6068"/>
    <w:rsid w:val="001E5FF3"/>
    <w:rsid w:val="001E6724"/>
    <w:rsid w:val="001E7938"/>
    <w:rsid w:val="001F0E6E"/>
    <w:rsid w:val="001F72BE"/>
    <w:rsid w:val="0020544B"/>
    <w:rsid w:val="00205800"/>
    <w:rsid w:val="00210084"/>
    <w:rsid w:val="00210AAC"/>
    <w:rsid w:val="00211461"/>
    <w:rsid w:val="00216F6C"/>
    <w:rsid w:val="00220CBF"/>
    <w:rsid w:val="00243DC9"/>
    <w:rsid w:val="00245A63"/>
    <w:rsid w:val="002463E0"/>
    <w:rsid w:val="00246BB9"/>
    <w:rsid w:val="00254876"/>
    <w:rsid w:val="0026489F"/>
    <w:rsid w:val="00272B89"/>
    <w:rsid w:val="002A277D"/>
    <w:rsid w:val="002B167F"/>
    <w:rsid w:val="002B1A8F"/>
    <w:rsid w:val="002C3E0E"/>
    <w:rsid w:val="002C7362"/>
    <w:rsid w:val="002E411D"/>
    <w:rsid w:val="002E7505"/>
    <w:rsid w:val="002F009E"/>
    <w:rsid w:val="00300CF0"/>
    <w:rsid w:val="0030644E"/>
    <w:rsid w:val="00306A68"/>
    <w:rsid w:val="00306D00"/>
    <w:rsid w:val="00321217"/>
    <w:rsid w:val="0032455A"/>
    <w:rsid w:val="003250B4"/>
    <w:rsid w:val="003321AE"/>
    <w:rsid w:val="003450FC"/>
    <w:rsid w:val="00373C8C"/>
    <w:rsid w:val="003801F7"/>
    <w:rsid w:val="00381A34"/>
    <w:rsid w:val="003842D5"/>
    <w:rsid w:val="003906ED"/>
    <w:rsid w:val="003A6CDF"/>
    <w:rsid w:val="003B4A73"/>
    <w:rsid w:val="003B5058"/>
    <w:rsid w:val="003C77EC"/>
    <w:rsid w:val="003D6FE3"/>
    <w:rsid w:val="003E660B"/>
    <w:rsid w:val="003F6ABB"/>
    <w:rsid w:val="00403C34"/>
    <w:rsid w:val="00412DE0"/>
    <w:rsid w:val="0041579D"/>
    <w:rsid w:val="00423149"/>
    <w:rsid w:val="0042470D"/>
    <w:rsid w:val="00443F08"/>
    <w:rsid w:val="00447F97"/>
    <w:rsid w:val="00465AD0"/>
    <w:rsid w:val="00467A22"/>
    <w:rsid w:val="00473C8D"/>
    <w:rsid w:val="00476488"/>
    <w:rsid w:val="004776F4"/>
    <w:rsid w:val="00490F83"/>
    <w:rsid w:val="0049757E"/>
    <w:rsid w:val="004B44ED"/>
    <w:rsid w:val="004B6EF1"/>
    <w:rsid w:val="004C156E"/>
    <w:rsid w:val="004E17C6"/>
    <w:rsid w:val="00507ED8"/>
    <w:rsid w:val="00512B44"/>
    <w:rsid w:val="005164C7"/>
    <w:rsid w:val="00524456"/>
    <w:rsid w:val="00544F91"/>
    <w:rsid w:val="005462B2"/>
    <w:rsid w:val="00556205"/>
    <w:rsid w:val="00560C49"/>
    <w:rsid w:val="0056413D"/>
    <w:rsid w:val="00573C81"/>
    <w:rsid w:val="00583832"/>
    <w:rsid w:val="00585E88"/>
    <w:rsid w:val="005A6964"/>
    <w:rsid w:val="005C453E"/>
    <w:rsid w:val="005D1E34"/>
    <w:rsid w:val="005D54BB"/>
    <w:rsid w:val="005E2677"/>
    <w:rsid w:val="005E46FF"/>
    <w:rsid w:val="005F53DD"/>
    <w:rsid w:val="00610347"/>
    <w:rsid w:val="00610F5F"/>
    <w:rsid w:val="0062471B"/>
    <w:rsid w:val="006279C8"/>
    <w:rsid w:val="00636F3C"/>
    <w:rsid w:val="006376EE"/>
    <w:rsid w:val="00642EDA"/>
    <w:rsid w:val="006465ED"/>
    <w:rsid w:val="00650E3C"/>
    <w:rsid w:val="00652066"/>
    <w:rsid w:val="0065410C"/>
    <w:rsid w:val="006613EB"/>
    <w:rsid w:val="00664598"/>
    <w:rsid w:val="006749D2"/>
    <w:rsid w:val="00680683"/>
    <w:rsid w:val="00680771"/>
    <w:rsid w:val="006A2326"/>
    <w:rsid w:val="006A382B"/>
    <w:rsid w:val="006A6597"/>
    <w:rsid w:val="006A79AA"/>
    <w:rsid w:val="006B2BB0"/>
    <w:rsid w:val="006C7D14"/>
    <w:rsid w:val="006D3973"/>
    <w:rsid w:val="006D52FF"/>
    <w:rsid w:val="006D68C4"/>
    <w:rsid w:val="006E300E"/>
    <w:rsid w:val="006E3389"/>
    <w:rsid w:val="006E4CB2"/>
    <w:rsid w:val="0070590E"/>
    <w:rsid w:val="007111F3"/>
    <w:rsid w:val="00711272"/>
    <w:rsid w:val="00724B8B"/>
    <w:rsid w:val="00747B9A"/>
    <w:rsid w:val="00752B54"/>
    <w:rsid w:val="00755847"/>
    <w:rsid w:val="007565C4"/>
    <w:rsid w:val="007579FD"/>
    <w:rsid w:val="00790196"/>
    <w:rsid w:val="00794449"/>
    <w:rsid w:val="007A088A"/>
    <w:rsid w:val="007B5EEC"/>
    <w:rsid w:val="007E6511"/>
    <w:rsid w:val="007E6AF0"/>
    <w:rsid w:val="00800DC2"/>
    <w:rsid w:val="00814ED9"/>
    <w:rsid w:val="00820A92"/>
    <w:rsid w:val="00825425"/>
    <w:rsid w:val="00832107"/>
    <w:rsid w:val="00840AB9"/>
    <w:rsid w:val="008418F5"/>
    <w:rsid w:val="00845A18"/>
    <w:rsid w:val="00847806"/>
    <w:rsid w:val="00855005"/>
    <w:rsid w:val="0086635A"/>
    <w:rsid w:val="00872E5F"/>
    <w:rsid w:val="00875326"/>
    <w:rsid w:val="00890B34"/>
    <w:rsid w:val="008A2671"/>
    <w:rsid w:val="008A5B0D"/>
    <w:rsid w:val="008A69E0"/>
    <w:rsid w:val="008B27E2"/>
    <w:rsid w:val="008B2F08"/>
    <w:rsid w:val="008B614C"/>
    <w:rsid w:val="008B6A9E"/>
    <w:rsid w:val="008C40DB"/>
    <w:rsid w:val="008C64CA"/>
    <w:rsid w:val="008E2ED2"/>
    <w:rsid w:val="008E7D6E"/>
    <w:rsid w:val="0090505D"/>
    <w:rsid w:val="00914D89"/>
    <w:rsid w:val="009164E1"/>
    <w:rsid w:val="00924F9D"/>
    <w:rsid w:val="00956183"/>
    <w:rsid w:val="00962357"/>
    <w:rsid w:val="00966384"/>
    <w:rsid w:val="0097509A"/>
    <w:rsid w:val="0097543D"/>
    <w:rsid w:val="00985A68"/>
    <w:rsid w:val="00991478"/>
    <w:rsid w:val="009973AD"/>
    <w:rsid w:val="009A38D4"/>
    <w:rsid w:val="009A7AE7"/>
    <w:rsid w:val="009C0DCE"/>
    <w:rsid w:val="009C49C9"/>
    <w:rsid w:val="009C523F"/>
    <w:rsid w:val="009C55E8"/>
    <w:rsid w:val="009C74C5"/>
    <w:rsid w:val="009D2C03"/>
    <w:rsid w:val="009E682F"/>
    <w:rsid w:val="00A050B6"/>
    <w:rsid w:val="00A071C2"/>
    <w:rsid w:val="00A12A14"/>
    <w:rsid w:val="00A168D2"/>
    <w:rsid w:val="00A178EF"/>
    <w:rsid w:val="00A30074"/>
    <w:rsid w:val="00A37E18"/>
    <w:rsid w:val="00A531EB"/>
    <w:rsid w:val="00A62F2D"/>
    <w:rsid w:val="00A67C28"/>
    <w:rsid w:val="00A8571C"/>
    <w:rsid w:val="00A93FD8"/>
    <w:rsid w:val="00A953ED"/>
    <w:rsid w:val="00AA47B8"/>
    <w:rsid w:val="00AA5FF1"/>
    <w:rsid w:val="00AA73C2"/>
    <w:rsid w:val="00AB2050"/>
    <w:rsid w:val="00AB34DF"/>
    <w:rsid w:val="00AB3FF8"/>
    <w:rsid w:val="00AB57A7"/>
    <w:rsid w:val="00AB698F"/>
    <w:rsid w:val="00AB7636"/>
    <w:rsid w:val="00AC491A"/>
    <w:rsid w:val="00AE35AF"/>
    <w:rsid w:val="00AE7014"/>
    <w:rsid w:val="00AE75C6"/>
    <w:rsid w:val="00AF724E"/>
    <w:rsid w:val="00B00AAA"/>
    <w:rsid w:val="00B14F90"/>
    <w:rsid w:val="00B215C5"/>
    <w:rsid w:val="00B26AFF"/>
    <w:rsid w:val="00B41018"/>
    <w:rsid w:val="00B429CB"/>
    <w:rsid w:val="00B42BAE"/>
    <w:rsid w:val="00B440CE"/>
    <w:rsid w:val="00B45449"/>
    <w:rsid w:val="00B56856"/>
    <w:rsid w:val="00B64194"/>
    <w:rsid w:val="00B726B1"/>
    <w:rsid w:val="00B80778"/>
    <w:rsid w:val="00B84DC5"/>
    <w:rsid w:val="00B937FE"/>
    <w:rsid w:val="00BA0B83"/>
    <w:rsid w:val="00BA63C5"/>
    <w:rsid w:val="00BB6197"/>
    <w:rsid w:val="00BB7588"/>
    <w:rsid w:val="00BD519D"/>
    <w:rsid w:val="00BE12D6"/>
    <w:rsid w:val="00BF1D4F"/>
    <w:rsid w:val="00BF2947"/>
    <w:rsid w:val="00C058EF"/>
    <w:rsid w:val="00C0731C"/>
    <w:rsid w:val="00C13994"/>
    <w:rsid w:val="00C178D4"/>
    <w:rsid w:val="00C21186"/>
    <w:rsid w:val="00C40FFD"/>
    <w:rsid w:val="00C43640"/>
    <w:rsid w:val="00C47A4A"/>
    <w:rsid w:val="00C65AA0"/>
    <w:rsid w:val="00C677CC"/>
    <w:rsid w:val="00C67A15"/>
    <w:rsid w:val="00C741D4"/>
    <w:rsid w:val="00C802AA"/>
    <w:rsid w:val="00CA4D2C"/>
    <w:rsid w:val="00CA731D"/>
    <w:rsid w:val="00CB0E45"/>
    <w:rsid w:val="00CB1DD2"/>
    <w:rsid w:val="00CC7476"/>
    <w:rsid w:val="00CC7EDC"/>
    <w:rsid w:val="00CD0415"/>
    <w:rsid w:val="00CD07BE"/>
    <w:rsid w:val="00CD2204"/>
    <w:rsid w:val="00CD45D8"/>
    <w:rsid w:val="00CD5CDB"/>
    <w:rsid w:val="00CD5E5F"/>
    <w:rsid w:val="00CD7DDD"/>
    <w:rsid w:val="00CE09B4"/>
    <w:rsid w:val="00CE179B"/>
    <w:rsid w:val="00CE1C3F"/>
    <w:rsid w:val="00CF2402"/>
    <w:rsid w:val="00D118F9"/>
    <w:rsid w:val="00D24271"/>
    <w:rsid w:val="00D308D9"/>
    <w:rsid w:val="00D317DE"/>
    <w:rsid w:val="00D32DAE"/>
    <w:rsid w:val="00D33EB8"/>
    <w:rsid w:val="00D45E63"/>
    <w:rsid w:val="00D5413C"/>
    <w:rsid w:val="00D5416D"/>
    <w:rsid w:val="00D67213"/>
    <w:rsid w:val="00D72E7C"/>
    <w:rsid w:val="00D74CE5"/>
    <w:rsid w:val="00D7664C"/>
    <w:rsid w:val="00D862D2"/>
    <w:rsid w:val="00D97335"/>
    <w:rsid w:val="00DB1F3C"/>
    <w:rsid w:val="00DB4D84"/>
    <w:rsid w:val="00DB6D1D"/>
    <w:rsid w:val="00DC2086"/>
    <w:rsid w:val="00DD091A"/>
    <w:rsid w:val="00DD525E"/>
    <w:rsid w:val="00DD7814"/>
    <w:rsid w:val="00DD7A0E"/>
    <w:rsid w:val="00DE681F"/>
    <w:rsid w:val="00DF6309"/>
    <w:rsid w:val="00E03C75"/>
    <w:rsid w:val="00E0646E"/>
    <w:rsid w:val="00E07489"/>
    <w:rsid w:val="00E20CD3"/>
    <w:rsid w:val="00E21EA3"/>
    <w:rsid w:val="00E252AB"/>
    <w:rsid w:val="00E254D9"/>
    <w:rsid w:val="00E3480E"/>
    <w:rsid w:val="00E3539B"/>
    <w:rsid w:val="00E37039"/>
    <w:rsid w:val="00E46E26"/>
    <w:rsid w:val="00E53875"/>
    <w:rsid w:val="00E61EAC"/>
    <w:rsid w:val="00E728CD"/>
    <w:rsid w:val="00E73F4F"/>
    <w:rsid w:val="00E85072"/>
    <w:rsid w:val="00E9338B"/>
    <w:rsid w:val="00E97517"/>
    <w:rsid w:val="00EA1B38"/>
    <w:rsid w:val="00EA7CB4"/>
    <w:rsid w:val="00EB5CFB"/>
    <w:rsid w:val="00EC6B4E"/>
    <w:rsid w:val="00ED0DF7"/>
    <w:rsid w:val="00ED7AAA"/>
    <w:rsid w:val="00EE6539"/>
    <w:rsid w:val="00EF09B3"/>
    <w:rsid w:val="00EF79B1"/>
    <w:rsid w:val="00F2185A"/>
    <w:rsid w:val="00F32C56"/>
    <w:rsid w:val="00F354B3"/>
    <w:rsid w:val="00F3559E"/>
    <w:rsid w:val="00F41AE0"/>
    <w:rsid w:val="00F450F1"/>
    <w:rsid w:val="00F453DF"/>
    <w:rsid w:val="00F563A6"/>
    <w:rsid w:val="00F60C39"/>
    <w:rsid w:val="00F7004E"/>
    <w:rsid w:val="00FB719B"/>
    <w:rsid w:val="00FC0F54"/>
    <w:rsid w:val="00FE32A3"/>
    <w:rsid w:val="00FE72E0"/>
    <w:rsid w:val="00FF39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C18B0C"/>
  <w15:chartTrackingRefBased/>
  <w15:docId w15:val="{252B7E94-104E-4269-AF7A-D1DE8AA43D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numbering" w:customStyle="1" w:styleId="ImportedStyle5">
    <w:name w:val="Imported Style 5"/>
    <w:rsid w:val="00B42BAE"/>
    <w:pPr>
      <w:numPr>
        <w:numId w:val="1"/>
      </w:numPr>
    </w:pPr>
  </w:style>
  <w:style w:type="numbering" w:customStyle="1" w:styleId="ImportedStyle6">
    <w:name w:val="Imported Style 6"/>
    <w:rsid w:val="00B42BAE"/>
    <w:pPr>
      <w:numPr>
        <w:numId w:val="3"/>
      </w:numPr>
    </w:pPr>
  </w:style>
  <w:style w:type="paragraph" w:styleId="ListParagraph">
    <w:name w:val="List Paragraph"/>
    <w:basedOn w:val="Normal"/>
    <w:uiPriority w:val="34"/>
    <w:qFormat/>
    <w:rsid w:val="00B42BAE"/>
    <w:pPr>
      <w:ind w:left="720"/>
      <w:contextualSpacing/>
    </w:pPr>
  </w:style>
  <w:style w:type="paragraph" w:styleId="NormalWeb">
    <w:name w:val="Normal (Web)"/>
    <w:basedOn w:val="Normal"/>
    <w:uiPriority w:val="99"/>
    <w:unhideWhenUsed/>
    <w:rsid w:val="005462B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5462B2"/>
    <w:rPr>
      <w:b/>
      <w:bCs/>
    </w:rPr>
  </w:style>
  <w:style w:type="character" w:styleId="Emphasis">
    <w:name w:val="Emphasis"/>
    <w:basedOn w:val="DefaultParagraphFont"/>
    <w:uiPriority w:val="20"/>
    <w:qFormat/>
    <w:rsid w:val="005462B2"/>
    <w:rPr>
      <w:i/>
      <w:iCs/>
    </w:rPr>
  </w:style>
  <w:style w:type="paragraph" w:customStyle="1" w:styleId="jot-paragraph-element">
    <w:name w:val="jot-paragraph-element"/>
    <w:basedOn w:val="Normal"/>
    <w:rsid w:val="000B3C4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Revision">
    <w:name w:val="Revision"/>
    <w:hidden/>
    <w:uiPriority w:val="99"/>
    <w:semiHidden/>
    <w:rsid w:val="00D5413C"/>
    <w:pPr>
      <w:spacing w:after="0" w:line="240" w:lineRule="auto"/>
    </w:pPr>
  </w:style>
  <w:style w:type="character" w:styleId="Hyperlink">
    <w:name w:val="Hyperlink"/>
    <w:basedOn w:val="DefaultParagraphFont"/>
    <w:uiPriority w:val="99"/>
    <w:unhideWhenUsed/>
    <w:rsid w:val="00DC2086"/>
    <w:rPr>
      <w:color w:val="0563C1" w:themeColor="hyperlink"/>
      <w:u w:val="single"/>
    </w:rPr>
  </w:style>
  <w:style w:type="character" w:styleId="UnresolvedMention">
    <w:name w:val="Unresolved Mention"/>
    <w:basedOn w:val="DefaultParagraphFont"/>
    <w:uiPriority w:val="99"/>
    <w:semiHidden/>
    <w:unhideWhenUsed/>
    <w:rsid w:val="00DC208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45616">
      <w:bodyDiv w:val="1"/>
      <w:marLeft w:val="0"/>
      <w:marRight w:val="0"/>
      <w:marTop w:val="0"/>
      <w:marBottom w:val="0"/>
      <w:divBdr>
        <w:top w:val="none" w:sz="0" w:space="0" w:color="auto"/>
        <w:left w:val="none" w:sz="0" w:space="0" w:color="auto"/>
        <w:bottom w:val="none" w:sz="0" w:space="0" w:color="auto"/>
        <w:right w:val="none" w:sz="0" w:space="0" w:color="auto"/>
      </w:divBdr>
      <w:divsChild>
        <w:div w:id="2981797">
          <w:marLeft w:val="0"/>
          <w:marRight w:val="0"/>
          <w:marTop w:val="0"/>
          <w:marBottom w:val="0"/>
          <w:divBdr>
            <w:top w:val="none" w:sz="0" w:space="0" w:color="auto"/>
            <w:left w:val="none" w:sz="0" w:space="0" w:color="auto"/>
            <w:bottom w:val="none" w:sz="0" w:space="0" w:color="auto"/>
            <w:right w:val="none" w:sz="0" w:space="0" w:color="auto"/>
          </w:divBdr>
        </w:div>
      </w:divsChild>
    </w:div>
    <w:div w:id="22754241">
      <w:bodyDiv w:val="1"/>
      <w:marLeft w:val="0"/>
      <w:marRight w:val="0"/>
      <w:marTop w:val="0"/>
      <w:marBottom w:val="0"/>
      <w:divBdr>
        <w:top w:val="none" w:sz="0" w:space="0" w:color="auto"/>
        <w:left w:val="none" w:sz="0" w:space="0" w:color="auto"/>
        <w:bottom w:val="none" w:sz="0" w:space="0" w:color="auto"/>
        <w:right w:val="none" w:sz="0" w:space="0" w:color="auto"/>
      </w:divBdr>
      <w:divsChild>
        <w:div w:id="825784005">
          <w:marLeft w:val="0"/>
          <w:marRight w:val="0"/>
          <w:marTop w:val="0"/>
          <w:marBottom w:val="0"/>
          <w:divBdr>
            <w:top w:val="none" w:sz="0" w:space="0" w:color="auto"/>
            <w:left w:val="none" w:sz="0" w:space="0" w:color="auto"/>
            <w:bottom w:val="none" w:sz="0" w:space="0" w:color="auto"/>
            <w:right w:val="none" w:sz="0" w:space="0" w:color="auto"/>
          </w:divBdr>
        </w:div>
      </w:divsChild>
    </w:div>
    <w:div w:id="31618499">
      <w:bodyDiv w:val="1"/>
      <w:marLeft w:val="0"/>
      <w:marRight w:val="0"/>
      <w:marTop w:val="0"/>
      <w:marBottom w:val="0"/>
      <w:divBdr>
        <w:top w:val="none" w:sz="0" w:space="0" w:color="auto"/>
        <w:left w:val="none" w:sz="0" w:space="0" w:color="auto"/>
        <w:bottom w:val="none" w:sz="0" w:space="0" w:color="auto"/>
        <w:right w:val="none" w:sz="0" w:space="0" w:color="auto"/>
      </w:divBdr>
      <w:divsChild>
        <w:div w:id="735980023">
          <w:marLeft w:val="0"/>
          <w:marRight w:val="0"/>
          <w:marTop w:val="0"/>
          <w:marBottom w:val="0"/>
          <w:divBdr>
            <w:top w:val="none" w:sz="0" w:space="0" w:color="auto"/>
            <w:left w:val="none" w:sz="0" w:space="0" w:color="auto"/>
            <w:bottom w:val="none" w:sz="0" w:space="0" w:color="auto"/>
            <w:right w:val="none" w:sz="0" w:space="0" w:color="auto"/>
          </w:divBdr>
        </w:div>
      </w:divsChild>
    </w:div>
    <w:div w:id="42750183">
      <w:bodyDiv w:val="1"/>
      <w:marLeft w:val="0"/>
      <w:marRight w:val="0"/>
      <w:marTop w:val="0"/>
      <w:marBottom w:val="0"/>
      <w:divBdr>
        <w:top w:val="none" w:sz="0" w:space="0" w:color="auto"/>
        <w:left w:val="none" w:sz="0" w:space="0" w:color="auto"/>
        <w:bottom w:val="none" w:sz="0" w:space="0" w:color="auto"/>
        <w:right w:val="none" w:sz="0" w:space="0" w:color="auto"/>
      </w:divBdr>
      <w:divsChild>
        <w:div w:id="1689868558">
          <w:marLeft w:val="0"/>
          <w:marRight w:val="0"/>
          <w:marTop w:val="0"/>
          <w:marBottom w:val="0"/>
          <w:divBdr>
            <w:top w:val="none" w:sz="0" w:space="0" w:color="auto"/>
            <w:left w:val="none" w:sz="0" w:space="0" w:color="auto"/>
            <w:bottom w:val="none" w:sz="0" w:space="0" w:color="auto"/>
            <w:right w:val="none" w:sz="0" w:space="0" w:color="auto"/>
          </w:divBdr>
        </w:div>
      </w:divsChild>
    </w:div>
    <w:div w:id="136649797">
      <w:bodyDiv w:val="1"/>
      <w:marLeft w:val="0"/>
      <w:marRight w:val="0"/>
      <w:marTop w:val="0"/>
      <w:marBottom w:val="0"/>
      <w:divBdr>
        <w:top w:val="none" w:sz="0" w:space="0" w:color="auto"/>
        <w:left w:val="none" w:sz="0" w:space="0" w:color="auto"/>
        <w:bottom w:val="none" w:sz="0" w:space="0" w:color="auto"/>
        <w:right w:val="none" w:sz="0" w:space="0" w:color="auto"/>
      </w:divBdr>
      <w:divsChild>
        <w:div w:id="362488491">
          <w:marLeft w:val="0"/>
          <w:marRight w:val="0"/>
          <w:marTop w:val="0"/>
          <w:marBottom w:val="0"/>
          <w:divBdr>
            <w:top w:val="none" w:sz="0" w:space="0" w:color="auto"/>
            <w:left w:val="none" w:sz="0" w:space="0" w:color="auto"/>
            <w:bottom w:val="none" w:sz="0" w:space="0" w:color="auto"/>
            <w:right w:val="none" w:sz="0" w:space="0" w:color="auto"/>
          </w:divBdr>
        </w:div>
      </w:divsChild>
    </w:div>
    <w:div w:id="159926227">
      <w:bodyDiv w:val="1"/>
      <w:marLeft w:val="0"/>
      <w:marRight w:val="0"/>
      <w:marTop w:val="0"/>
      <w:marBottom w:val="0"/>
      <w:divBdr>
        <w:top w:val="none" w:sz="0" w:space="0" w:color="auto"/>
        <w:left w:val="none" w:sz="0" w:space="0" w:color="auto"/>
        <w:bottom w:val="none" w:sz="0" w:space="0" w:color="auto"/>
        <w:right w:val="none" w:sz="0" w:space="0" w:color="auto"/>
      </w:divBdr>
      <w:divsChild>
        <w:div w:id="1692098540">
          <w:marLeft w:val="0"/>
          <w:marRight w:val="0"/>
          <w:marTop w:val="0"/>
          <w:marBottom w:val="0"/>
          <w:divBdr>
            <w:top w:val="none" w:sz="0" w:space="0" w:color="auto"/>
            <w:left w:val="none" w:sz="0" w:space="0" w:color="auto"/>
            <w:bottom w:val="none" w:sz="0" w:space="0" w:color="auto"/>
            <w:right w:val="none" w:sz="0" w:space="0" w:color="auto"/>
          </w:divBdr>
        </w:div>
      </w:divsChild>
    </w:div>
    <w:div w:id="203636505">
      <w:bodyDiv w:val="1"/>
      <w:marLeft w:val="0"/>
      <w:marRight w:val="0"/>
      <w:marTop w:val="0"/>
      <w:marBottom w:val="0"/>
      <w:divBdr>
        <w:top w:val="none" w:sz="0" w:space="0" w:color="auto"/>
        <w:left w:val="none" w:sz="0" w:space="0" w:color="auto"/>
        <w:bottom w:val="none" w:sz="0" w:space="0" w:color="auto"/>
        <w:right w:val="none" w:sz="0" w:space="0" w:color="auto"/>
      </w:divBdr>
      <w:divsChild>
        <w:div w:id="1176765404">
          <w:marLeft w:val="0"/>
          <w:marRight w:val="0"/>
          <w:marTop w:val="0"/>
          <w:marBottom w:val="0"/>
          <w:divBdr>
            <w:top w:val="none" w:sz="0" w:space="0" w:color="auto"/>
            <w:left w:val="none" w:sz="0" w:space="0" w:color="auto"/>
            <w:bottom w:val="none" w:sz="0" w:space="0" w:color="auto"/>
            <w:right w:val="none" w:sz="0" w:space="0" w:color="auto"/>
          </w:divBdr>
        </w:div>
      </w:divsChild>
    </w:div>
    <w:div w:id="204024743">
      <w:bodyDiv w:val="1"/>
      <w:marLeft w:val="0"/>
      <w:marRight w:val="0"/>
      <w:marTop w:val="0"/>
      <w:marBottom w:val="0"/>
      <w:divBdr>
        <w:top w:val="none" w:sz="0" w:space="0" w:color="auto"/>
        <w:left w:val="none" w:sz="0" w:space="0" w:color="auto"/>
        <w:bottom w:val="none" w:sz="0" w:space="0" w:color="auto"/>
        <w:right w:val="none" w:sz="0" w:space="0" w:color="auto"/>
      </w:divBdr>
      <w:divsChild>
        <w:div w:id="139200673">
          <w:marLeft w:val="0"/>
          <w:marRight w:val="0"/>
          <w:marTop w:val="0"/>
          <w:marBottom w:val="0"/>
          <w:divBdr>
            <w:top w:val="none" w:sz="0" w:space="0" w:color="auto"/>
            <w:left w:val="none" w:sz="0" w:space="0" w:color="auto"/>
            <w:bottom w:val="none" w:sz="0" w:space="0" w:color="auto"/>
            <w:right w:val="none" w:sz="0" w:space="0" w:color="auto"/>
          </w:divBdr>
        </w:div>
      </w:divsChild>
    </w:div>
    <w:div w:id="295916509">
      <w:bodyDiv w:val="1"/>
      <w:marLeft w:val="0"/>
      <w:marRight w:val="0"/>
      <w:marTop w:val="0"/>
      <w:marBottom w:val="0"/>
      <w:divBdr>
        <w:top w:val="none" w:sz="0" w:space="0" w:color="auto"/>
        <w:left w:val="none" w:sz="0" w:space="0" w:color="auto"/>
        <w:bottom w:val="none" w:sz="0" w:space="0" w:color="auto"/>
        <w:right w:val="none" w:sz="0" w:space="0" w:color="auto"/>
      </w:divBdr>
      <w:divsChild>
        <w:div w:id="1420442732">
          <w:marLeft w:val="0"/>
          <w:marRight w:val="0"/>
          <w:marTop w:val="0"/>
          <w:marBottom w:val="0"/>
          <w:divBdr>
            <w:top w:val="none" w:sz="0" w:space="0" w:color="auto"/>
            <w:left w:val="none" w:sz="0" w:space="0" w:color="auto"/>
            <w:bottom w:val="none" w:sz="0" w:space="0" w:color="auto"/>
            <w:right w:val="none" w:sz="0" w:space="0" w:color="auto"/>
          </w:divBdr>
        </w:div>
      </w:divsChild>
    </w:div>
    <w:div w:id="332102206">
      <w:bodyDiv w:val="1"/>
      <w:marLeft w:val="0"/>
      <w:marRight w:val="0"/>
      <w:marTop w:val="0"/>
      <w:marBottom w:val="0"/>
      <w:divBdr>
        <w:top w:val="none" w:sz="0" w:space="0" w:color="auto"/>
        <w:left w:val="none" w:sz="0" w:space="0" w:color="auto"/>
        <w:bottom w:val="none" w:sz="0" w:space="0" w:color="auto"/>
        <w:right w:val="none" w:sz="0" w:space="0" w:color="auto"/>
      </w:divBdr>
      <w:divsChild>
        <w:div w:id="1813667644">
          <w:marLeft w:val="0"/>
          <w:marRight w:val="0"/>
          <w:marTop w:val="0"/>
          <w:marBottom w:val="0"/>
          <w:divBdr>
            <w:top w:val="none" w:sz="0" w:space="0" w:color="auto"/>
            <w:left w:val="none" w:sz="0" w:space="0" w:color="auto"/>
            <w:bottom w:val="none" w:sz="0" w:space="0" w:color="auto"/>
            <w:right w:val="none" w:sz="0" w:space="0" w:color="auto"/>
          </w:divBdr>
        </w:div>
      </w:divsChild>
    </w:div>
    <w:div w:id="355618397">
      <w:bodyDiv w:val="1"/>
      <w:marLeft w:val="0"/>
      <w:marRight w:val="0"/>
      <w:marTop w:val="0"/>
      <w:marBottom w:val="0"/>
      <w:divBdr>
        <w:top w:val="none" w:sz="0" w:space="0" w:color="auto"/>
        <w:left w:val="none" w:sz="0" w:space="0" w:color="auto"/>
        <w:bottom w:val="none" w:sz="0" w:space="0" w:color="auto"/>
        <w:right w:val="none" w:sz="0" w:space="0" w:color="auto"/>
      </w:divBdr>
      <w:divsChild>
        <w:div w:id="1070420111">
          <w:marLeft w:val="0"/>
          <w:marRight w:val="0"/>
          <w:marTop w:val="0"/>
          <w:marBottom w:val="0"/>
          <w:divBdr>
            <w:top w:val="none" w:sz="0" w:space="0" w:color="auto"/>
            <w:left w:val="none" w:sz="0" w:space="0" w:color="auto"/>
            <w:bottom w:val="none" w:sz="0" w:space="0" w:color="auto"/>
            <w:right w:val="none" w:sz="0" w:space="0" w:color="auto"/>
          </w:divBdr>
        </w:div>
      </w:divsChild>
    </w:div>
    <w:div w:id="393236197">
      <w:bodyDiv w:val="1"/>
      <w:marLeft w:val="0"/>
      <w:marRight w:val="0"/>
      <w:marTop w:val="0"/>
      <w:marBottom w:val="0"/>
      <w:divBdr>
        <w:top w:val="none" w:sz="0" w:space="0" w:color="auto"/>
        <w:left w:val="none" w:sz="0" w:space="0" w:color="auto"/>
        <w:bottom w:val="none" w:sz="0" w:space="0" w:color="auto"/>
        <w:right w:val="none" w:sz="0" w:space="0" w:color="auto"/>
      </w:divBdr>
      <w:divsChild>
        <w:div w:id="847254270">
          <w:marLeft w:val="0"/>
          <w:marRight w:val="0"/>
          <w:marTop w:val="0"/>
          <w:marBottom w:val="0"/>
          <w:divBdr>
            <w:top w:val="none" w:sz="0" w:space="0" w:color="auto"/>
            <w:left w:val="none" w:sz="0" w:space="0" w:color="auto"/>
            <w:bottom w:val="none" w:sz="0" w:space="0" w:color="auto"/>
            <w:right w:val="none" w:sz="0" w:space="0" w:color="auto"/>
          </w:divBdr>
        </w:div>
      </w:divsChild>
    </w:div>
    <w:div w:id="425424915">
      <w:bodyDiv w:val="1"/>
      <w:marLeft w:val="0"/>
      <w:marRight w:val="0"/>
      <w:marTop w:val="0"/>
      <w:marBottom w:val="0"/>
      <w:divBdr>
        <w:top w:val="none" w:sz="0" w:space="0" w:color="auto"/>
        <w:left w:val="none" w:sz="0" w:space="0" w:color="auto"/>
        <w:bottom w:val="none" w:sz="0" w:space="0" w:color="auto"/>
        <w:right w:val="none" w:sz="0" w:space="0" w:color="auto"/>
      </w:divBdr>
      <w:divsChild>
        <w:div w:id="843859727">
          <w:marLeft w:val="0"/>
          <w:marRight w:val="0"/>
          <w:marTop w:val="0"/>
          <w:marBottom w:val="0"/>
          <w:divBdr>
            <w:top w:val="none" w:sz="0" w:space="0" w:color="auto"/>
            <w:left w:val="none" w:sz="0" w:space="0" w:color="auto"/>
            <w:bottom w:val="none" w:sz="0" w:space="0" w:color="auto"/>
            <w:right w:val="none" w:sz="0" w:space="0" w:color="auto"/>
          </w:divBdr>
        </w:div>
      </w:divsChild>
    </w:div>
    <w:div w:id="428624345">
      <w:bodyDiv w:val="1"/>
      <w:marLeft w:val="0"/>
      <w:marRight w:val="0"/>
      <w:marTop w:val="0"/>
      <w:marBottom w:val="0"/>
      <w:divBdr>
        <w:top w:val="none" w:sz="0" w:space="0" w:color="auto"/>
        <w:left w:val="none" w:sz="0" w:space="0" w:color="auto"/>
        <w:bottom w:val="none" w:sz="0" w:space="0" w:color="auto"/>
        <w:right w:val="none" w:sz="0" w:space="0" w:color="auto"/>
      </w:divBdr>
      <w:divsChild>
        <w:div w:id="1624582211">
          <w:marLeft w:val="0"/>
          <w:marRight w:val="0"/>
          <w:marTop w:val="0"/>
          <w:marBottom w:val="0"/>
          <w:divBdr>
            <w:top w:val="none" w:sz="0" w:space="0" w:color="auto"/>
            <w:left w:val="none" w:sz="0" w:space="0" w:color="auto"/>
            <w:bottom w:val="none" w:sz="0" w:space="0" w:color="auto"/>
            <w:right w:val="none" w:sz="0" w:space="0" w:color="auto"/>
          </w:divBdr>
        </w:div>
      </w:divsChild>
    </w:div>
    <w:div w:id="455560592">
      <w:bodyDiv w:val="1"/>
      <w:marLeft w:val="0"/>
      <w:marRight w:val="0"/>
      <w:marTop w:val="0"/>
      <w:marBottom w:val="0"/>
      <w:divBdr>
        <w:top w:val="none" w:sz="0" w:space="0" w:color="auto"/>
        <w:left w:val="none" w:sz="0" w:space="0" w:color="auto"/>
        <w:bottom w:val="none" w:sz="0" w:space="0" w:color="auto"/>
        <w:right w:val="none" w:sz="0" w:space="0" w:color="auto"/>
      </w:divBdr>
      <w:divsChild>
        <w:div w:id="1621641358">
          <w:marLeft w:val="0"/>
          <w:marRight w:val="0"/>
          <w:marTop w:val="0"/>
          <w:marBottom w:val="0"/>
          <w:divBdr>
            <w:top w:val="none" w:sz="0" w:space="0" w:color="auto"/>
            <w:left w:val="none" w:sz="0" w:space="0" w:color="auto"/>
            <w:bottom w:val="none" w:sz="0" w:space="0" w:color="auto"/>
            <w:right w:val="none" w:sz="0" w:space="0" w:color="auto"/>
          </w:divBdr>
        </w:div>
      </w:divsChild>
    </w:div>
    <w:div w:id="473179379">
      <w:bodyDiv w:val="1"/>
      <w:marLeft w:val="0"/>
      <w:marRight w:val="0"/>
      <w:marTop w:val="0"/>
      <w:marBottom w:val="0"/>
      <w:divBdr>
        <w:top w:val="none" w:sz="0" w:space="0" w:color="auto"/>
        <w:left w:val="none" w:sz="0" w:space="0" w:color="auto"/>
        <w:bottom w:val="none" w:sz="0" w:space="0" w:color="auto"/>
        <w:right w:val="none" w:sz="0" w:space="0" w:color="auto"/>
      </w:divBdr>
      <w:divsChild>
        <w:div w:id="687029877">
          <w:marLeft w:val="0"/>
          <w:marRight w:val="0"/>
          <w:marTop w:val="0"/>
          <w:marBottom w:val="0"/>
          <w:divBdr>
            <w:top w:val="none" w:sz="0" w:space="0" w:color="auto"/>
            <w:left w:val="none" w:sz="0" w:space="0" w:color="auto"/>
            <w:bottom w:val="none" w:sz="0" w:space="0" w:color="auto"/>
            <w:right w:val="none" w:sz="0" w:space="0" w:color="auto"/>
          </w:divBdr>
        </w:div>
      </w:divsChild>
    </w:div>
    <w:div w:id="516890020">
      <w:bodyDiv w:val="1"/>
      <w:marLeft w:val="0"/>
      <w:marRight w:val="0"/>
      <w:marTop w:val="0"/>
      <w:marBottom w:val="0"/>
      <w:divBdr>
        <w:top w:val="none" w:sz="0" w:space="0" w:color="auto"/>
        <w:left w:val="none" w:sz="0" w:space="0" w:color="auto"/>
        <w:bottom w:val="none" w:sz="0" w:space="0" w:color="auto"/>
        <w:right w:val="none" w:sz="0" w:space="0" w:color="auto"/>
      </w:divBdr>
      <w:divsChild>
        <w:div w:id="593058016">
          <w:marLeft w:val="0"/>
          <w:marRight w:val="0"/>
          <w:marTop w:val="0"/>
          <w:marBottom w:val="0"/>
          <w:divBdr>
            <w:top w:val="none" w:sz="0" w:space="0" w:color="auto"/>
            <w:left w:val="none" w:sz="0" w:space="0" w:color="auto"/>
            <w:bottom w:val="none" w:sz="0" w:space="0" w:color="auto"/>
            <w:right w:val="none" w:sz="0" w:space="0" w:color="auto"/>
          </w:divBdr>
        </w:div>
      </w:divsChild>
    </w:div>
    <w:div w:id="633682672">
      <w:bodyDiv w:val="1"/>
      <w:marLeft w:val="0"/>
      <w:marRight w:val="0"/>
      <w:marTop w:val="0"/>
      <w:marBottom w:val="0"/>
      <w:divBdr>
        <w:top w:val="none" w:sz="0" w:space="0" w:color="auto"/>
        <w:left w:val="none" w:sz="0" w:space="0" w:color="auto"/>
        <w:bottom w:val="none" w:sz="0" w:space="0" w:color="auto"/>
        <w:right w:val="none" w:sz="0" w:space="0" w:color="auto"/>
      </w:divBdr>
      <w:divsChild>
        <w:div w:id="1265457403">
          <w:marLeft w:val="0"/>
          <w:marRight w:val="0"/>
          <w:marTop w:val="0"/>
          <w:marBottom w:val="0"/>
          <w:divBdr>
            <w:top w:val="none" w:sz="0" w:space="0" w:color="auto"/>
            <w:left w:val="none" w:sz="0" w:space="0" w:color="auto"/>
            <w:bottom w:val="none" w:sz="0" w:space="0" w:color="auto"/>
            <w:right w:val="none" w:sz="0" w:space="0" w:color="auto"/>
          </w:divBdr>
        </w:div>
      </w:divsChild>
    </w:div>
    <w:div w:id="639502030">
      <w:bodyDiv w:val="1"/>
      <w:marLeft w:val="0"/>
      <w:marRight w:val="0"/>
      <w:marTop w:val="0"/>
      <w:marBottom w:val="0"/>
      <w:divBdr>
        <w:top w:val="none" w:sz="0" w:space="0" w:color="auto"/>
        <w:left w:val="none" w:sz="0" w:space="0" w:color="auto"/>
        <w:bottom w:val="none" w:sz="0" w:space="0" w:color="auto"/>
        <w:right w:val="none" w:sz="0" w:space="0" w:color="auto"/>
      </w:divBdr>
      <w:divsChild>
        <w:div w:id="409693443">
          <w:marLeft w:val="0"/>
          <w:marRight w:val="0"/>
          <w:marTop w:val="0"/>
          <w:marBottom w:val="0"/>
          <w:divBdr>
            <w:top w:val="none" w:sz="0" w:space="0" w:color="auto"/>
            <w:left w:val="none" w:sz="0" w:space="0" w:color="auto"/>
            <w:bottom w:val="none" w:sz="0" w:space="0" w:color="auto"/>
            <w:right w:val="none" w:sz="0" w:space="0" w:color="auto"/>
          </w:divBdr>
        </w:div>
      </w:divsChild>
    </w:div>
    <w:div w:id="674066551">
      <w:bodyDiv w:val="1"/>
      <w:marLeft w:val="0"/>
      <w:marRight w:val="0"/>
      <w:marTop w:val="0"/>
      <w:marBottom w:val="0"/>
      <w:divBdr>
        <w:top w:val="none" w:sz="0" w:space="0" w:color="auto"/>
        <w:left w:val="none" w:sz="0" w:space="0" w:color="auto"/>
        <w:bottom w:val="none" w:sz="0" w:space="0" w:color="auto"/>
        <w:right w:val="none" w:sz="0" w:space="0" w:color="auto"/>
      </w:divBdr>
      <w:divsChild>
        <w:div w:id="413742462">
          <w:marLeft w:val="0"/>
          <w:marRight w:val="0"/>
          <w:marTop w:val="0"/>
          <w:marBottom w:val="0"/>
          <w:divBdr>
            <w:top w:val="none" w:sz="0" w:space="0" w:color="auto"/>
            <w:left w:val="none" w:sz="0" w:space="0" w:color="auto"/>
            <w:bottom w:val="none" w:sz="0" w:space="0" w:color="auto"/>
            <w:right w:val="none" w:sz="0" w:space="0" w:color="auto"/>
          </w:divBdr>
        </w:div>
      </w:divsChild>
    </w:div>
    <w:div w:id="732704355">
      <w:bodyDiv w:val="1"/>
      <w:marLeft w:val="0"/>
      <w:marRight w:val="0"/>
      <w:marTop w:val="0"/>
      <w:marBottom w:val="0"/>
      <w:divBdr>
        <w:top w:val="none" w:sz="0" w:space="0" w:color="auto"/>
        <w:left w:val="none" w:sz="0" w:space="0" w:color="auto"/>
        <w:bottom w:val="none" w:sz="0" w:space="0" w:color="auto"/>
        <w:right w:val="none" w:sz="0" w:space="0" w:color="auto"/>
      </w:divBdr>
      <w:divsChild>
        <w:div w:id="1334143652">
          <w:marLeft w:val="0"/>
          <w:marRight w:val="0"/>
          <w:marTop w:val="0"/>
          <w:marBottom w:val="0"/>
          <w:divBdr>
            <w:top w:val="none" w:sz="0" w:space="0" w:color="auto"/>
            <w:left w:val="none" w:sz="0" w:space="0" w:color="auto"/>
            <w:bottom w:val="none" w:sz="0" w:space="0" w:color="auto"/>
            <w:right w:val="none" w:sz="0" w:space="0" w:color="auto"/>
          </w:divBdr>
        </w:div>
      </w:divsChild>
    </w:div>
    <w:div w:id="853030741">
      <w:bodyDiv w:val="1"/>
      <w:marLeft w:val="0"/>
      <w:marRight w:val="0"/>
      <w:marTop w:val="0"/>
      <w:marBottom w:val="0"/>
      <w:divBdr>
        <w:top w:val="none" w:sz="0" w:space="0" w:color="auto"/>
        <w:left w:val="none" w:sz="0" w:space="0" w:color="auto"/>
        <w:bottom w:val="none" w:sz="0" w:space="0" w:color="auto"/>
        <w:right w:val="none" w:sz="0" w:space="0" w:color="auto"/>
      </w:divBdr>
      <w:divsChild>
        <w:div w:id="2116166920">
          <w:marLeft w:val="0"/>
          <w:marRight w:val="0"/>
          <w:marTop w:val="0"/>
          <w:marBottom w:val="0"/>
          <w:divBdr>
            <w:top w:val="none" w:sz="0" w:space="0" w:color="auto"/>
            <w:left w:val="none" w:sz="0" w:space="0" w:color="auto"/>
            <w:bottom w:val="none" w:sz="0" w:space="0" w:color="auto"/>
            <w:right w:val="none" w:sz="0" w:space="0" w:color="auto"/>
          </w:divBdr>
        </w:div>
      </w:divsChild>
    </w:div>
    <w:div w:id="869797940">
      <w:bodyDiv w:val="1"/>
      <w:marLeft w:val="0"/>
      <w:marRight w:val="0"/>
      <w:marTop w:val="0"/>
      <w:marBottom w:val="0"/>
      <w:divBdr>
        <w:top w:val="none" w:sz="0" w:space="0" w:color="auto"/>
        <w:left w:val="none" w:sz="0" w:space="0" w:color="auto"/>
        <w:bottom w:val="none" w:sz="0" w:space="0" w:color="auto"/>
        <w:right w:val="none" w:sz="0" w:space="0" w:color="auto"/>
      </w:divBdr>
      <w:divsChild>
        <w:div w:id="1512987319">
          <w:marLeft w:val="0"/>
          <w:marRight w:val="0"/>
          <w:marTop w:val="0"/>
          <w:marBottom w:val="0"/>
          <w:divBdr>
            <w:top w:val="none" w:sz="0" w:space="0" w:color="auto"/>
            <w:left w:val="none" w:sz="0" w:space="0" w:color="auto"/>
            <w:bottom w:val="none" w:sz="0" w:space="0" w:color="auto"/>
            <w:right w:val="none" w:sz="0" w:space="0" w:color="auto"/>
          </w:divBdr>
        </w:div>
      </w:divsChild>
    </w:div>
    <w:div w:id="908659937">
      <w:bodyDiv w:val="1"/>
      <w:marLeft w:val="0"/>
      <w:marRight w:val="0"/>
      <w:marTop w:val="0"/>
      <w:marBottom w:val="0"/>
      <w:divBdr>
        <w:top w:val="none" w:sz="0" w:space="0" w:color="auto"/>
        <w:left w:val="none" w:sz="0" w:space="0" w:color="auto"/>
        <w:bottom w:val="none" w:sz="0" w:space="0" w:color="auto"/>
        <w:right w:val="none" w:sz="0" w:space="0" w:color="auto"/>
      </w:divBdr>
      <w:divsChild>
        <w:div w:id="757336159">
          <w:marLeft w:val="0"/>
          <w:marRight w:val="0"/>
          <w:marTop w:val="0"/>
          <w:marBottom w:val="0"/>
          <w:divBdr>
            <w:top w:val="none" w:sz="0" w:space="0" w:color="auto"/>
            <w:left w:val="none" w:sz="0" w:space="0" w:color="auto"/>
            <w:bottom w:val="none" w:sz="0" w:space="0" w:color="auto"/>
            <w:right w:val="none" w:sz="0" w:space="0" w:color="auto"/>
          </w:divBdr>
        </w:div>
      </w:divsChild>
    </w:div>
    <w:div w:id="942491218">
      <w:bodyDiv w:val="1"/>
      <w:marLeft w:val="0"/>
      <w:marRight w:val="0"/>
      <w:marTop w:val="0"/>
      <w:marBottom w:val="0"/>
      <w:divBdr>
        <w:top w:val="none" w:sz="0" w:space="0" w:color="auto"/>
        <w:left w:val="none" w:sz="0" w:space="0" w:color="auto"/>
        <w:bottom w:val="none" w:sz="0" w:space="0" w:color="auto"/>
        <w:right w:val="none" w:sz="0" w:space="0" w:color="auto"/>
      </w:divBdr>
    </w:div>
    <w:div w:id="979724132">
      <w:bodyDiv w:val="1"/>
      <w:marLeft w:val="0"/>
      <w:marRight w:val="0"/>
      <w:marTop w:val="0"/>
      <w:marBottom w:val="0"/>
      <w:divBdr>
        <w:top w:val="none" w:sz="0" w:space="0" w:color="auto"/>
        <w:left w:val="none" w:sz="0" w:space="0" w:color="auto"/>
        <w:bottom w:val="none" w:sz="0" w:space="0" w:color="auto"/>
        <w:right w:val="none" w:sz="0" w:space="0" w:color="auto"/>
      </w:divBdr>
      <w:divsChild>
        <w:div w:id="504246073">
          <w:marLeft w:val="0"/>
          <w:marRight w:val="0"/>
          <w:marTop w:val="0"/>
          <w:marBottom w:val="0"/>
          <w:divBdr>
            <w:top w:val="none" w:sz="0" w:space="0" w:color="auto"/>
            <w:left w:val="none" w:sz="0" w:space="0" w:color="auto"/>
            <w:bottom w:val="none" w:sz="0" w:space="0" w:color="auto"/>
            <w:right w:val="none" w:sz="0" w:space="0" w:color="auto"/>
          </w:divBdr>
        </w:div>
      </w:divsChild>
    </w:div>
    <w:div w:id="997660208">
      <w:bodyDiv w:val="1"/>
      <w:marLeft w:val="0"/>
      <w:marRight w:val="0"/>
      <w:marTop w:val="0"/>
      <w:marBottom w:val="0"/>
      <w:divBdr>
        <w:top w:val="none" w:sz="0" w:space="0" w:color="auto"/>
        <w:left w:val="none" w:sz="0" w:space="0" w:color="auto"/>
        <w:bottom w:val="none" w:sz="0" w:space="0" w:color="auto"/>
        <w:right w:val="none" w:sz="0" w:space="0" w:color="auto"/>
      </w:divBdr>
      <w:divsChild>
        <w:div w:id="335307474">
          <w:marLeft w:val="0"/>
          <w:marRight w:val="0"/>
          <w:marTop w:val="0"/>
          <w:marBottom w:val="0"/>
          <w:divBdr>
            <w:top w:val="none" w:sz="0" w:space="0" w:color="auto"/>
            <w:left w:val="none" w:sz="0" w:space="0" w:color="auto"/>
            <w:bottom w:val="none" w:sz="0" w:space="0" w:color="auto"/>
            <w:right w:val="none" w:sz="0" w:space="0" w:color="auto"/>
          </w:divBdr>
        </w:div>
      </w:divsChild>
    </w:div>
    <w:div w:id="1066537236">
      <w:bodyDiv w:val="1"/>
      <w:marLeft w:val="0"/>
      <w:marRight w:val="0"/>
      <w:marTop w:val="0"/>
      <w:marBottom w:val="0"/>
      <w:divBdr>
        <w:top w:val="none" w:sz="0" w:space="0" w:color="auto"/>
        <w:left w:val="none" w:sz="0" w:space="0" w:color="auto"/>
        <w:bottom w:val="none" w:sz="0" w:space="0" w:color="auto"/>
        <w:right w:val="none" w:sz="0" w:space="0" w:color="auto"/>
      </w:divBdr>
      <w:divsChild>
        <w:div w:id="939029153">
          <w:marLeft w:val="0"/>
          <w:marRight w:val="0"/>
          <w:marTop w:val="0"/>
          <w:marBottom w:val="0"/>
          <w:divBdr>
            <w:top w:val="none" w:sz="0" w:space="0" w:color="auto"/>
            <w:left w:val="none" w:sz="0" w:space="0" w:color="auto"/>
            <w:bottom w:val="none" w:sz="0" w:space="0" w:color="auto"/>
            <w:right w:val="none" w:sz="0" w:space="0" w:color="auto"/>
          </w:divBdr>
        </w:div>
      </w:divsChild>
    </w:div>
    <w:div w:id="1091773666">
      <w:bodyDiv w:val="1"/>
      <w:marLeft w:val="0"/>
      <w:marRight w:val="0"/>
      <w:marTop w:val="0"/>
      <w:marBottom w:val="0"/>
      <w:divBdr>
        <w:top w:val="none" w:sz="0" w:space="0" w:color="auto"/>
        <w:left w:val="none" w:sz="0" w:space="0" w:color="auto"/>
        <w:bottom w:val="none" w:sz="0" w:space="0" w:color="auto"/>
        <w:right w:val="none" w:sz="0" w:space="0" w:color="auto"/>
      </w:divBdr>
      <w:divsChild>
        <w:div w:id="1868371054">
          <w:marLeft w:val="0"/>
          <w:marRight w:val="0"/>
          <w:marTop w:val="0"/>
          <w:marBottom w:val="0"/>
          <w:divBdr>
            <w:top w:val="none" w:sz="0" w:space="0" w:color="auto"/>
            <w:left w:val="none" w:sz="0" w:space="0" w:color="auto"/>
            <w:bottom w:val="none" w:sz="0" w:space="0" w:color="auto"/>
            <w:right w:val="none" w:sz="0" w:space="0" w:color="auto"/>
          </w:divBdr>
        </w:div>
      </w:divsChild>
    </w:div>
    <w:div w:id="1171070606">
      <w:bodyDiv w:val="1"/>
      <w:marLeft w:val="0"/>
      <w:marRight w:val="0"/>
      <w:marTop w:val="0"/>
      <w:marBottom w:val="0"/>
      <w:divBdr>
        <w:top w:val="none" w:sz="0" w:space="0" w:color="auto"/>
        <w:left w:val="none" w:sz="0" w:space="0" w:color="auto"/>
        <w:bottom w:val="none" w:sz="0" w:space="0" w:color="auto"/>
        <w:right w:val="none" w:sz="0" w:space="0" w:color="auto"/>
      </w:divBdr>
      <w:divsChild>
        <w:div w:id="1182624947">
          <w:marLeft w:val="0"/>
          <w:marRight w:val="0"/>
          <w:marTop w:val="0"/>
          <w:marBottom w:val="0"/>
          <w:divBdr>
            <w:top w:val="none" w:sz="0" w:space="0" w:color="auto"/>
            <w:left w:val="none" w:sz="0" w:space="0" w:color="auto"/>
            <w:bottom w:val="none" w:sz="0" w:space="0" w:color="auto"/>
            <w:right w:val="none" w:sz="0" w:space="0" w:color="auto"/>
          </w:divBdr>
        </w:div>
      </w:divsChild>
    </w:div>
    <w:div w:id="1186290901">
      <w:bodyDiv w:val="1"/>
      <w:marLeft w:val="0"/>
      <w:marRight w:val="0"/>
      <w:marTop w:val="0"/>
      <w:marBottom w:val="0"/>
      <w:divBdr>
        <w:top w:val="none" w:sz="0" w:space="0" w:color="auto"/>
        <w:left w:val="none" w:sz="0" w:space="0" w:color="auto"/>
        <w:bottom w:val="none" w:sz="0" w:space="0" w:color="auto"/>
        <w:right w:val="none" w:sz="0" w:space="0" w:color="auto"/>
      </w:divBdr>
      <w:divsChild>
        <w:div w:id="170603579">
          <w:marLeft w:val="0"/>
          <w:marRight w:val="0"/>
          <w:marTop w:val="0"/>
          <w:marBottom w:val="0"/>
          <w:divBdr>
            <w:top w:val="none" w:sz="0" w:space="0" w:color="auto"/>
            <w:left w:val="none" w:sz="0" w:space="0" w:color="auto"/>
            <w:bottom w:val="none" w:sz="0" w:space="0" w:color="auto"/>
            <w:right w:val="none" w:sz="0" w:space="0" w:color="auto"/>
          </w:divBdr>
        </w:div>
      </w:divsChild>
    </w:div>
    <w:div w:id="1255934961">
      <w:bodyDiv w:val="1"/>
      <w:marLeft w:val="0"/>
      <w:marRight w:val="0"/>
      <w:marTop w:val="0"/>
      <w:marBottom w:val="0"/>
      <w:divBdr>
        <w:top w:val="none" w:sz="0" w:space="0" w:color="auto"/>
        <w:left w:val="none" w:sz="0" w:space="0" w:color="auto"/>
        <w:bottom w:val="none" w:sz="0" w:space="0" w:color="auto"/>
        <w:right w:val="none" w:sz="0" w:space="0" w:color="auto"/>
      </w:divBdr>
      <w:divsChild>
        <w:div w:id="1150245309">
          <w:marLeft w:val="0"/>
          <w:marRight w:val="0"/>
          <w:marTop w:val="0"/>
          <w:marBottom w:val="0"/>
          <w:divBdr>
            <w:top w:val="none" w:sz="0" w:space="0" w:color="auto"/>
            <w:left w:val="none" w:sz="0" w:space="0" w:color="auto"/>
            <w:bottom w:val="none" w:sz="0" w:space="0" w:color="auto"/>
            <w:right w:val="none" w:sz="0" w:space="0" w:color="auto"/>
          </w:divBdr>
        </w:div>
      </w:divsChild>
    </w:div>
    <w:div w:id="1437599734">
      <w:bodyDiv w:val="1"/>
      <w:marLeft w:val="0"/>
      <w:marRight w:val="0"/>
      <w:marTop w:val="0"/>
      <w:marBottom w:val="0"/>
      <w:divBdr>
        <w:top w:val="none" w:sz="0" w:space="0" w:color="auto"/>
        <w:left w:val="none" w:sz="0" w:space="0" w:color="auto"/>
        <w:bottom w:val="none" w:sz="0" w:space="0" w:color="auto"/>
        <w:right w:val="none" w:sz="0" w:space="0" w:color="auto"/>
      </w:divBdr>
      <w:divsChild>
        <w:div w:id="1776778918">
          <w:marLeft w:val="0"/>
          <w:marRight w:val="0"/>
          <w:marTop w:val="0"/>
          <w:marBottom w:val="0"/>
          <w:divBdr>
            <w:top w:val="none" w:sz="0" w:space="0" w:color="auto"/>
            <w:left w:val="none" w:sz="0" w:space="0" w:color="auto"/>
            <w:bottom w:val="none" w:sz="0" w:space="0" w:color="auto"/>
            <w:right w:val="none" w:sz="0" w:space="0" w:color="auto"/>
          </w:divBdr>
        </w:div>
      </w:divsChild>
    </w:div>
    <w:div w:id="1454441599">
      <w:bodyDiv w:val="1"/>
      <w:marLeft w:val="0"/>
      <w:marRight w:val="0"/>
      <w:marTop w:val="0"/>
      <w:marBottom w:val="0"/>
      <w:divBdr>
        <w:top w:val="none" w:sz="0" w:space="0" w:color="auto"/>
        <w:left w:val="none" w:sz="0" w:space="0" w:color="auto"/>
        <w:bottom w:val="none" w:sz="0" w:space="0" w:color="auto"/>
        <w:right w:val="none" w:sz="0" w:space="0" w:color="auto"/>
      </w:divBdr>
      <w:divsChild>
        <w:div w:id="149685467">
          <w:marLeft w:val="0"/>
          <w:marRight w:val="0"/>
          <w:marTop w:val="0"/>
          <w:marBottom w:val="0"/>
          <w:divBdr>
            <w:top w:val="none" w:sz="0" w:space="0" w:color="auto"/>
            <w:left w:val="none" w:sz="0" w:space="0" w:color="auto"/>
            <w:bottom w:val="none" w:sz="0" w:space="0" w:color="auto"/>
            <w:right w:val="none" w:sz="0" w:space="0" w:color="auto"/>
          </w:divBdr>
        </w:div>
      </w:divsChild>
    </w:div>
    <w:div w:id="1491363657">
      <w:bodyDiv w:val="1"/>
      <w:marLeft w:val="0"/>
      <w:marRight w:val="0"/>
      <w:marTop w:val="0"/>
      <w:marBottom w:val="0"/>
      <w:divBdr>
        <w:top w:val="none" w:sz="0" w:space="0" w:color="auto"/>
        <w:left w:val="none" w:sz="0" w:space="0" w:color="auto"/>
        <w:bottom w:val="none" w:sz="0" w:space="0" w:color="auto"/>
        <w:right w:val="none" w:sz="0" w:space="0" w:color="auto"/>
      </w:divBdr>
      <w:divsChild>
        <w:div w:id="1124467264">
          <w:marLeft w:val="0"/>
          <w:marRight w:val="0"/>
          <w:marTop w:val="0"/>
          <w:marBottom w:val="0"/>
          <w:divBdr>
            <w:top w:val="none" w:sz="0" w:space="0" w:color="auto"/>
            <w:left w:val="none" w:sz="0" w:space="0" w:color="auto"/>
            <w:bottom w:val="none" w:sz="0" w:space="0" w:color="auto"/>
            <w:right w:val="none" w:sz="0" w:space="0" w:color="auto"/>
          </w:divBdr>
        </w:div>
      </w:divsChild>
    </w:div>
    <w:div w:id="1492869631">
      <w:bodyDiv w:val="1"/>
      <w:marLeft w:val="0"/>
      <w:marRight w:val="0"/>
      <w:marTop w:val="0"/>
      <w:marBottom w:val="0"/>
      <w:divBdr>
        <w:top w:val="none" w:sz="0" w:space="0" w:color="auto"/>
        <w:left w:val="none" w:sz="0" w:space="0" w:color="auto"/>
        <w:bottom w:val="none" w:sz="0" w:space="0" w:color="auto"/>
        <w:right w:val="none" w:sz="0" w:space="0" w:color="auto"/>
      </w:divBdr>
      <w:divsChild>
        <w:div w:id="1809474349">
          <w:marLeft w:val="0"/>
          <w:marRight w:val="0"/>
          <w:marTop w:val="0"/>
          <w:marBottom w:val="0"/>
          <w:divBdr>
            <w:top w:val="none" w:sz="0" w:space="0" w:color="auto"/>
            <w:left w:val="none" w:sz="0" w:space="0" w:color="auto"/>
            <w:bottom w:val="none" w:sz="0" w:space="0" w:color="auto"/>
            <w:right w:val="none" w:sz="0" w:space="0" w:color="auto"/>
          </w:divBdr>
        </w:div>
      </w:divsChild>
    </w:div>
    <w:div w:id="1502429195">
      <w:bodyDiv w:val="1"/>
      <w:marLeft w:val="0"/>
      <w:marRight w:val="0"/>
      <w:marTop w:val="0"/>
      <w:marBottom w:val="0"/>
      <w:divBdr>
        <w:top w:val="none" w:sz="0" w:space="0" w:color="auto"/>
        <w:left w:val="none" w:sz="0" w:space="0" w:color="auto"/>
        <w:bottom w:val="none" w:sz="0" w:space="0" w:color="auto"/>
        <w:right w:val="none" w:sz="0" w:space="0" w:color="auto"/>
      </w:divBdr>
      <w:divsChild>
        <w:div w:id="1128931005">
          <w:marLeft w:val="0"/>
          <w:marRight w:val="0"/>
          <w:marTop w:val="0"/>
          <w:marBottom w:val="0"/>
          <w:divBdr>
            <w:top w:val="none" w:sz="0" w:space="0" w:color="auto"/>
            <w:left w:val="none" w:sz="0" w:space="0" w:color="auto"/>
            <w:bottom w:val="none" w:sz="0" w:space="0" w:color="auto"/>
            <w:right w:val="none" w:sz="0" w:space="0" w:color="auto"/>
          </w:divBdr>
        </w:div>
      </w:divsChild>
    </w:div>
    <w:div w:id="1513568565">
      <w:bodyDiv w:val="1"/>
      <w:marLeft w:val="0"/>
      <w:marRight w:val="0"/>
      <w:marTop w:val="0"/>
      <w:marBottom w:val="0"/>
      <w:divBdr>
        <w:top w:val="none" w:sz="0" w:space="0" w:color="auto"/>
        <w:left w:val="none" w:sz="0" w:space="0" w:color="auto"/>
        <w:bottom w:val="none" w:sz="0" w:space="0" w:color="auto"/>
        <w:right w:val="none" w:sz="0" w:space="0" w:color="auto"/>
      </w:divBdr>
      <w:divsChild>
        <w:div w:id="1266188232">
          <w:marLeft w:val="0"/>
          <w:marRight w:val="0"/>
          <w:marTop w:val="0"/>
          <w:marBottom w:val="0"/>
          <w:divBdr>
            <w:top w:val="none" w:sz="0" w:space="0" w:color="auto"/>
            <w:left w:val="none" w:sz="0" w:space="0" w:color="auto"/>
            <w:bottom w:val="none" w:sz="0" w:space="0" w:color="auto"/>
            <w:right w:val="none" w:sz="0" w:space="0" w:color="auto"/>
          </w:divBdr>
        </w:div>
      </w:divsChild>
    </w:div>
    <w:div w:id="1599097880">
      <w:bodyDiv w:val="1"/>
      <w:marLeft w:val="0"/>
      <w:marRight w:val="0"/>
      <w:marTop w:val="0"/>
      <w:marBottom w:val="0"/>
      <w:divBdr>
        <w:top w:val="none" w:sz="0" w:space="0" w:color="auto"/>
        <w:left w:val="none" w:sz="0" w:space="0" w:color="auto"/>
        <w:bottom w:val="none" w:sz="0" w:space="0" w:color="auto"/>
        <w:right w:val="none" w:sz="0" w:space="0" w:color="auto"/>
      </w:divBdr>
      <w:divsChild>
        <w:div w:id="1007291475">
          <w:marLeft w:val="0"/>
          <w:marRight w:val="0"/>
          <w:marTop w:val="0"/>
          <w:marBottom w:val="0"/>
          <w:divBdr>
            <w:top w:val="none" w:sz="0" w:space="0" w:color="auto"/>
            <w:left w:val="none" w:sz="0" w:space="0" w:color="auto"/>
            <w:bottom w:val="none" w:sz="0" w:space="0" w:color="auto"/>
            <w:right w:val="none" w:sz="0" w:space="0" w:color="auto"/>
          </w:divBdr>
        </w:div>
      </w:divsChild>
    </w:div>
    <w:div w:id="1675377822">
      <w:bodyDiv w:val="1"/>
      <w:marLeft w:val="0"/>
      <w:marRight w:val="0"/>
      <w:marTop w:val="0"/>
      <w:marBottom w:val="0"/>
      <w:divBdr>
        <w:top w:val="none" w:sz="0" w:space="0" w:color="auto"/>
        <w:left w:val="none" w:sz="0" w:space="0" w:color="auto"/>
        <w:bottom w:val="none" w:sz="0" w:space="0" w:color="auto"/>
        <w:right w:val="none" w:sz="0" w:space="0" w:color="auto"/>
      </w:divBdr>
      <w:divsChild>
        <w:div w:id="2032995738">
          <w:marLeft w:val="0"/>
          <w:marRight w:val="0"/>
          <w:marTop w:val="0"/>
          <w:marBottom w:val="0"/>
          <w:divBdr>
            <w:top w:val="none" w:sz="0" w:space="0" w:color="auto"/>
            <w:left w:val="none" w:sz="0" w:space="0" w:color="auto"/>
            <w:bottom w:val="none" w:sz="0" w:space="0" w:color="auto"/>
            <w:right w:val="none" w:sz="0" w:space="0" w:color="auto"/>
          </w:divBdr>
        </w:div>
      </w:divsChild>
    </w:div>
    <w:div w:id="1704204690">
      <w:bodyDiv w:val="1"/>
      <w:marLeft w:val="0"/>
      <w:marRight w:val="0"/>
      <w:marTop w:val="0"/>
      <w:marBottom w:val="0"/>
      <w:divBdr>
        <w:top w:val="none" w:sz="0" w:space="0" w:color="auto"/>
        <w:left w:val="none" w:sz="0" w:space="0" w:color="auto"/>
        <w:bottom w:val="none" w:sz="0" w:space="0" w:color="auto"/>
        <w:right w:val="none" w:sz="0" w:space="0" w:color="auto"/>
      </w:divBdr>
      <w:divsChild>
        <w:div w:id="314335295">
          <w:marLeft w:val="0"/>
          <w:marRight w:val="0"/>
          <w:marTop w:val="0"/>
          <w:marBottom w:val="0"/>
          <w:divBdr>
            <w:top w:val="none" w:sz="0" w:space="0" w:color="auto"/>
            <w:left w:val="none" w:sz="0" w:space="0" w:color="auto"/>
            <w:bottom w:val="none" w:sz="0" w:space="0" w:color="auto"/>
            <w:right w:val="none" w:sz="0" w:space="0" w:color="auto"/>
          </w:divBdr>
        </w:div>
      </w:divsChild>
    </w:div>
    <w:div w:id="1884898715">
      <w:bodyDiv w:val="1"/>
      <w:marLeft w:val="0"/>
      <w:marRight w:val="0"/>
      <w:marTop w:val="0"/>
      <w:marBottom w:val="0"/>
      <w:divBdr>
        <w:top w:val="none" w:sz="0" w:space="0" w:color="auto"/>
        <w:left w:val="none" w:sz="0" w:space="0" w:color="auto"/>
        <w:bottom w:val="none" w:sz="0" w:space="0" w:color="auto"/>
        <w:right w:val="none" w:sz="0" w:space="0" w:color="auto"/>
      </w:divBdr>
      <w:divsChild>
        <w:div w:id="881792588">
          <w:marLeft w:val="0"/>
          <w:marRight w:val="0"/>
          <w:marTop w:val="0"/>
          <w:marBottom w:val="0"/>
          <w:divBdr>
            <w:top w:val="none" w:sz="0" w:space="0" w:color="auto"/>
            <w:left w:val="none" w:sz="0" w:space="0" w:color="auto"/>
            <w:bottom w:val="none" w:sz="0" w:space="0" w:color="auto"/>
            <w:right w:val="none" w:sz="0" w:space="0" w:color="auto"/>
          </w:divBdr>
        </w:div>
      </w:divsChild>
    </w:div>
    <w:div w:id="1899003588">
      <w:bodyDiv w:val="1"/>
      <w:marLeft w:val="0"/>
      <w:marRight w:val="0"/>
      <w:marTop w:val="0"/>
      <w:marBottom w:val="0"/>
      <w:divBdr>
        <w:top w:val="none" w:sz="0" w:space="0" w:color="auto"/>
        <w:left w:val="none" w:sz="0" w:space="0" w:color="auto"/>
        <w:bottom w:val="none" w:sz="0" w:space="0" w:color="auto"/>
        <w:right w:val="none" w:sz="0" w:space="0" w:color="auto"/>
      </w:divBdr>
      <w:divsChild>
        <w:div w:id="311299503">
          <w:marLeft w:val="0"/>
          <w:marRight w:val="0"/>
          <w:marTop w:val="0"/>
          <w:marBottom w:val="0"/>
          <w:divBdr>
            <w:top w:val="none" w:sz="0" w:space="0" w:color="auto"/>
            <w:left w:val="none" w:sz="0" w:space="0" w:color="auto"/>
            <w:bottom w:val="none" w:sz="0" w:space="0" w:color="auto"/>
            <w:right w:val="none" w:sz="0" w:space="0" w:color="auto"/>
          </w:divBdr>
        </w:div>
      </w:divsChild>
    </w:div>
    <w:div w:id="2010910349">
      <w:bodyDiv w:val="1"/>
      <w:marLeft w:val="0"/>
      <w:marRight w:val="0"/>
      <w:marTop w:val="0"/>
      <w:marBottom w:val="0"/>
      <w:divBdr>
        <w:top w:val="none" w:sz="0" w:space="0" w:color="auto"/>
        <w:left w:val="none" w:sz="0" w:space="0" w:color="auto"/>
        <w:bottom w:val="none" w:sz="0" w:space="0" w:color="auto"/>
        <w:right w:val="none" w:sz="0" w:space="0" w:color="auto"/>
      </w:divBdr>
      <w:divsChild>
        <w:div w:id="160045094">
          <w:marLeft w:val="0"/>
          <w:marRight w:val="0"/>
          <w:marTop w:val="0"/>
          <w:marBottom w:val="0"/>
          <w:divBdr>
            <w:top w:val="none" w:sz="0" w:space="0" w:color="auto"/>
            <w:left w:val="none" w:sz="0" w:space="0" w:color="auto"/>
            <w:bottom w:val="none" w:sz="0" w:space="0" w:color="auto"/>
            <w:right w:val="none" w:sz="0" w:space="0" w:color="auto"/>
          </w:divBdr>
        </w:div>
      </w:divsChild>
    </w:div>
    <w:div w:id="2062094120">
      <w:bodyDiv w:val="1"/>
      <w:marLeft w:val="0"/>
      <w:marRight w:val="0"/>
      <w:marTop w:val="0"/>
      <w:marBottom w:val="0"/>
      <w:divBdr>
        <w:top w:val="none" w:sz="0" w:space="0" w:color="auto"/>
        <w:left w:val="none" w:sz="0" w:space="0" w:color="auto"/>
        <w:bottom w:val="none" w:sz="0" w:space="0" w:color="auto"/>
        <w:right w:val="none" w:sz="0" w:space="0" w:color="auto"/>
      </w:divBdr>
      <w:divsChild>
        <w:div w:id="122583795">
          <w:marLeft w:val="0"/>
          <w:marRight w:val="0"/>
          <w:marTop w:val="0"/>
          <w:marBottom w:val="0"/>
          <w:divBdr>
            <w:top w:val="none" w:sz="0" w:space="0" w:color="auto"/>
            <w:left w:val="none" w:sz="0" w:space="0" w:color="auto"/>
            <w:bottom w:val="none" w:sz="0" w:space="0" w:color="auto"/>
            <w:right w:val="none" w:sz="0" w:space="0" w:color="auto"/>
          </w:divBdr>
        </w:div>
      </w:divsChild>
    </w:div>
    <w:div w:id="2084251343">
      <w:bodyDiv w:val="1"/>
      <w:marLeft w:val="0"/>
      <w:marRight w:val="0"/>
      <w:marTop w:val="0"/>
      <w:marBottom w:val="0"/>
      <w:divBdr>
        <w:top w:val="none" w:sz="0" w:space="0" w:color="auto"/>
        <w:left w:val="none" w:sz="0" w:space="0" w:color="auto"/>
        <w:bottom w:val="none" w:sz="0" w:space="0" w:color="auto"/>
        <w:right w:val="none" w:sz="0" w:space="0" w:color="auto"/>
      </w:divBdr>
      <w:divsChild>
        <w:div w:id="138971876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13</Pages>
  <Words>5300</Words>
  <Characters>30216</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
    </vt:vector>
  </TitlesOfParts>
  <Company>Coleg Gwent</Company>
  <LinksUpToDate>false</LinksUpToDate>
  <CharactersWithSpaces>35446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Lynda Astell</dc:creator>
  <cp:keywords/>
  <dc:description/>
  <cp:lastModifiedBy>Lynda Astell</cp:lastModifiedBy>
  <cp:revision>4</cp:revision>
  <dcterms:created xsi:type="dcterms:W3CDTF">2026-04-20T20:31:00Z</dcterms:created>
  <dcterms:modified xsi:type="dcterms:W3CDTF">2026-04-20T20:35:00Z</dcterms:modified>
</cp:coreProperties>
</file>