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160B9" w14:textId="31299183" w:rsidR="000C505C" w:rsidRPr="000C505C" w:rsidRDefault="000C505C" w:rsidP="00871E61">
      <w:pPr>
        <w:jc w:val="both"/>
        <w:rPr>
          <w:rFonts w:ascii="Times New Roman" w:hAnsi="Times New Roman" w:cs="Times New Roman"/>
        </w:rPr>
      </w:pPr>
      <w:r w:rsidRPr="000C505C">
        <w:rPr>
          <w:rFonts w:ascii="Times New Roman" w:hAnsi="Times New Roman" w:cs="Times New Roman"/>
        </w:rPr>
        <w:t>Name:</w:t>
      </w:r>
      <w:r w:rsidRPr="000C505C">
        <w:rPr>
          <w:rFonts w:ascii="Times New Roman" w:hAnsi="Times New Roman" w:cs="Times New Roman"/>
        </w:rPr>
        <w:t xml:space="preserve"> MUHAMMAD ALIF SYAZWAN BIN KAMARUL AZAM</w:t>
      </w:r>
    </w:p>
    <w:p w14:paraId="3E7A678A" w14:textId="35312D40" w:rsidR="000C505C" w:rsidRDefault="000C505C" w:rsidP="00871E61">
      <w:pPr>
        <w:jc w:val="both"/>
        <w:rPr>
          <w:rFonts w:ascii="Times New Roman" w:hAnsi="Times New Roman" w:cs="Times New Roman"/>
        </w:rPr>
      </w:pPr>
      <w:r w:rsidRPr="000C505C">
        <w:rPr>
          <w:rFonts w:ascii="Times New Roman" w:hAnsi="Times New Roman" w:cs="Times New Roman"/>
        </w:rPr>
        <w:t>Student Id:</w:t>
      </w:r>
      <w:r w:rsidR="00871E61">
        <w:rPr>
          <w:rFonts w:ascii="Times New Roman" w:hAnsi="Times New Roman" w:cs="Times New Roman"/>
        </w:rPr>
        <w:t xml:space="preserve"> </w:t>
      </w:r>
      <w:r w:rsidR="00871E61" w:rsidRPr="00871E61">
        <w:rPr>
          <w:rFonts w:ascii="Times New Roman" w:hAnsi="Times New Roman" w:cs="Times New Roman"/>
        </w:rPr>
        <w:t>2118683</w:t>
      </w:r>
    </w:p>
    <w:p w14:paraId="3AA1B988" w14:textId="6957629B" w:rsidR="00871E61" w:rsidRDefault="00871E61" w:rsidP="00871E61">
      <w:pPr>
        <w:jc w:val="both"/>
        <w:rPr>
          <w:rFonts w:ascii="Times New Roman" w:hAnsi="Times New Roman" w:cs="Times New Roman"/>
        </w:rPr>
      </w:pPr>
    </w:p>
    <w:p w14:paraId="586ECA18" w14:textId="77777777" w:rsidR="00871E61" w:rsidRPr="000C505C" w:rsidRDefault="00871E61" w:rsidP="00871E61">
      <w:pPr>
        <w:jc w:val="both"/>
        <w:rPr>
          <w:rFonts w:ascii="Times New Roman" w:hAnsi="Times New Roman" w:cs="Times New Roman"/>
        </w:rPr>
      </w:pPr>
    </w:p>
    <w:p w14:paraId="33A4823F" w14:textId="77777777" w:rsidR="000C505C" w:rsidRPr="000C505C" w:rsidRDefault="000C505C" w:rsidP="00871E61">
      <w:pPr>
        <w:jc w:val="both"/>
        <w:rPr>
          <w:rFonts w:ascii="Times New Roman" w:hAnsi="Times New Roman" w:cs="Times New Roman"/>
        </w:rPr>
      </w:pPr>
    </w:p>
    <w:p w14:paraId="4AFF1096" w14:textId="78E2E628" w:rsidR="00677900" w:rsidRPr="000C505C" w:rsidRDefault="00F12CCF" w:rsidP="00871E61">
      <w:pPr>
        <w:jc w:val="both"/>
        <w:rPr>
          <w:rFonts w:ascii="Times New Roman" w:hAnsi="Times New Roman" w:cs="Times New Roman"/>
        </w:rPr>
      </w:pPr>
      <w:r w:rsidRPr="000C505C">
        <w:rPr>
          <w:rFonts w:ascii="Times New Roman" w:hAnsi="Times New Roman" w:cs="Times New Roman"/>
        </w:rPr>
        <w:t>(a)</w:t>
      </w:r>
    </w:p>
    <w:p w14:paraId="040CE650" w14:textId="7DEC4521" w:rsidR="00F12CCF" w:rsidRPr="000C505C" w:rsidRDefault="00F12CCF" w:rsidP="00871E61">
      <w:pPr>
        <w:jc w:val="both"/>
        <w:rPr>
          <w:rFonts w:ascii="Times New Roman" w:hAnsi="Times New Roman" w:cs="Times New Roman"/>
        </w:rPr>
      </w:pPr>
    </w:p>
    <w:p w14:paraId="6C24FA6C" w14:textId="68D1605E" w:rsidR="00F12CCF" w:rsidRPr="000C505C" w:rsidRDefault="00F12CCF" w:rsidP="00871E61">
      <w:pPr>
        <w:jc w:val="both"/>
        <w:rPr>
          <w:rFonts w:ascii="Times New Roman" w:hAnsi="Times New Roman" w:cs="Times New Roman"/>
        </w:rPr>
      </w:pPr>
      <w:r w:rsidRPr="000C505C">
        <w:rPr>
          <w:rFonts w:ascii="Times New Roman" w:hAnsi="Times New Roman" w:cs="Times New Roman"/>
        </w:rPr>
        <w:t>The law of privity of contract states that a contract can only be enforced if both parties agree to do so. If you're not a party to a contract, you can't take use of the contract's advantages or be held responsible for its liabilities. For starters, it's important to note that contracting parties can both sue and be sued under the contract. For example, the Contracts Rights of Third Parties Act 1999 permits third parties to enforce contracts where the contract expressly offers or pretends to grant such an advantage, which is an exception to the contract concept.</w:t>
      </w:r>
    </w:p>
    <w:p w14:paraId="2D0AD332" w14:textId="2415A16E" w:rsidR="00F12CCF" w:rsidRPr="000C505C" w:rsidRDefault="00F12CCF" w:rsidP="00871E61">
      <w:pPr>
        <w:jc w:val="both"/>
        <w:rPr>
          <w:rFonts w:ascii="Times New Roman" w:hAnsi="Times New Roman" w:cs="Times New Roman"/>
        </w:rPr>
      </w:pPr>
    </w:p>
    <w:p w14:paraId="6CDECF5A" w14:textId="35C60843" w:rsidR="00F12CCF" w:rsidRPr="000C505C" w:rsidRDefault="000C505C" w:rsidP="00871E61">
      <w:pPr>
        <w:tabs>
          <w:tab w:val="left" w:pos="1428"/>
        </w:tabs>
        <w:jc w:val="both"/>
        <w:rPr>
          <w:rFonts w:ascii="Times New Roman" w:hAnsi="Times New Roman" w:cs="Times New Roman"/>
        </w:rPr>
      </w:pPr>
      <w:r w:rsidRPr="000C505C">
        <w:rPr>
          <w:rFonts w:ascii="Times New Roman" w:hAnsi="Times New Roman" w:cs="Times New Roman"/>
        </w:rPr>
        <w:t>(</w:t>
      </w:r>
      <w:r w:rsidR="00F12CCF" w:rsidRPr="000C505C">
        <w:rPr>
          <w:rFonts w:ascii="Times New Roman" w:hAnsi="Times New Roman" w:cs="Times New Roman"/>
        </w:rPr>
        <w:t>98</w:t>
      </w:r>
      <w:r w:rsidRPr="000C505C">
        <w:rPr>
          <w:rFonts w:ascii="Times New Roman" w:hAnsi="Times New Roman" w:cs="Times New Roman"/>
        </w:rPr>
        <w:t xml:space="preserve"> words)</w:t>
      </w:r>
      <w:r w:rsidR="00691BA2" w:rsidRPr="000C505C">
        <w:rPr>
          <w:rFonts w:ascii="Times New Roman" w:hAnsi="Times New Roman" w:cs="Times New Roman"/>
        </w:rPr>
        <w:tab/>
      </w:r>
    </w:p>
    <w:p w14:paraId="3EA51C96" w14:textId="38117CB5" w:rsidR="00F12CCF" w:rsidRDefault="00F12CCF" w:rsidP="00871E61">
      <w:pPr>
        <w:jc w:val="both"/>
      </w:pPr>
    </w:p>
    <w:p w14:paraId="11EA0FB6" w14:textId="77777777" w:rsidR="000C505C" w:rsidRDefault="000C505C" w:rsidP="00871E61">
      <w:pPr>
        <w:jc w:val="both"/>
      </w:pPr>
    </w:p>
    <w:p w14:paraId="304E3C30" w14:textId="4F5E4C69" w:rsidR="00F12CCF" w:rsidRPr="000C505C" w:rsidRDefault="00F12CCF" w:rsidP="00871E61">
      <w:pPr>
        <w:jc w:val="both"/>
        <w:rPr>
          <w:rFonts w:ascii="Times New Roman" w:hAnsi="Times New Roman" w:cs="Times New Roman"/>
        </w:rPr>
      </w:pPr>
      <w:r w:rsidRPr="000C505C">
        <w:rPr>
          <w:rFonts w:ascii="Times New Roman" w:hAnsi="Times New Roman" w:cs="Times New Roman"/>
        </w:rPr>
        <w:t>(b)</w:t>
      </w:r>
    </w:p>
    <w:p w14:paraId="6FA6367A" w14:textId="0A5F9F39" w:rsidR="00F12CCF" w:rsidRPr="000C505C" w:rsidRDefault="00F12CCF" w:rsidP="00871E61">
      <w:pPr>
        <w:jc w:val="both"/>
        <w:rPr>
          <w:rFonts w:ascii="Times New Roman" w:hAnsi="Times New Roman" w:cs="Times New Roman"/>
        </w:rPr>
      </w:pPr>
    </w:p>
    <w:p w14:paraId="1C5D4BEA" w14:textId="77777777" w:rsidR="00691BA2" w:rsidRPr="000C505C" w:rsidRDefault="00691BA2" w:rsidP="00871E61">
      <w:pPr>
        <w:jc w:val="both"/>
        <w:rPr>
          <w:rFonts w:ascii="Times New Roman" w:hAnsi="Times New Roman" w:cs="Times New Roman"/>
        </w:rPr>
      </w:pPr>
      <w:r w:rsidRPr="000C505C">
        <w:rPr>
          <w:rFonts w:ascii="Times New Roman" w:hAnsi="Times New Roman" w:cs="Times New Roman"/>
        </w:rPr>
        <w:t>When one party receives something and the other loses something, the transaction is referred to as a consideration. Past consideration refers to a promise or deed that was made or performed prior to the signing of a contract. When someone takes time to reflect on their previous acts, they are more likely to follow through on new pledges. When writing a new contract, there are no issues that have previously been addressed in the original contract. When a new contract was signed, consideration from the previous agreement could not be applied to the new agreement.</w:t>
      </w:r>
    </w:p>
    <w:p w14:paraId="42361CA9" w14:textId="77777777" w:rsidR="00691BA2" w:rsidRPr="000C505C" w:rsidRDefault="00691BA2" w:rsidP="00871E61">
      <w:pPr>
        <w:jc w:val="both"/>
        <w:rPr>
          <w:rFonts w:ascii="Times New Roman" w:hAnsi="Times New Roman" w:cs="Times New Roman"/>
        </w:rPr>
      </w:pPr>
    </w:p>
    <w:p w14:paraId="30F65244" w14:textId="77777777" w:rsidR="00691BA2" w:rsidRPr="000C505C" w:rsidRDefault="00691BA2" w:rsidP="00871E61">
      <w:pPr>
        <w:jc w:val="both"/>
        <w:rPr>
          <w:rFonts w:ascii="Times New Roman" w:hAnsi="Times New Roman" w:cs="Times New Roman"/>
        </w:rPr>
      </w:pPr>
      <w:r w:rsidRPr="000C505C">
        <w:rPr>
          <w:rFonts w:ascii="Times New Roman" w:hAnsi="Times New Roman" w:cs="Times New Roman"/>
        </w:rPr>
        <w:t>Returning to the original question, the answer is no, prior consideration is not good consideration. A contract could not incorporate any prior consideration. It's invalid since the promisor received no advantage and there was no danger to the promisor. Consideration must be included in a contract in order for it to be enforceable.</w:t>
      </w:r>
    </w:p>
    <w:p w14:paraId="74BED07E" w14:textId="77777777" w:rsidR="00691BA2" w:rsidRPr="000C505C" w:rsidRDefault="00691BA2" w:rsidP="00871E61">
      <w:pPr>
        <w:jc w:val="both"/>
        <w:rPr>
          <w:rFonts w:ascii="Times New Roman" w:hAnsi="Times New Roman" w:cs="Times New Roman"/>
        </w:rPr>
      </w:pPr>
    </w:p>
    <w:p w14:paraId="116BFA4B" w14:textId="6A6EB6EA" w:rsidR="00691BA2" w:rsidRPr="000C505C" w:rsidRDefault="00691BA2" w:rsidP="00871E61">
      <w:pPr>
        <w:jc w:val="both"/>
        <w:rPr>
          <w:rFonts w:ascii="Times New Roman" w:hAnsi="Times New Roman" w:cs="Times New Roman"/>
        </w:rPr>
      </w:pPr>
      <w:r w:rsidRPr="000C505C">
        <w:rPr>
          <w:rFonts w:ascii="Times New Roman" w:hAnsi="Times New Roman" w:cs="Times New Roman"/>
        </w:rPr>
        <w:t>As an example, consider the instance of Re McArdle 1951, in which past consideration is not valid. Consideration had already taken place before the pledge to pay was made. As a result, the pledge to pay was void. Finally, a two-person contract requires that both parties promise each other something, whether it is to perform some kind of action or pay a certain sum of money. Reflecting on someone's prior consideration is often utilised when one has a moral obligation to do something for someone else. Laws almost never compel people to make this commitment.</w:t>
      </w:r>
    </w:p>
    <w:p w14:paraId="346C0F5E" w14:textId="30965341" w:rsidR="00691BA2" w:rsidRPr="000C505C" w:rsidRDefault="00691BA2" w:rsidP="00871E61">
      <w:pPr>
        <w:jc w:val="both"/>
        <w:rPr>
          <w:rFonts w:ascii="Times New Roman" w:hAnsi="Times New Roman" w:cs="Times New Roman"/>
        </w:rPr>
      </w:pPr>
    </w:p>
    <w:p w14:paraId="1204B0BE" w14:textId="0410E1F1" w:rsidR="00691BA2" w:rsidRPr="000C505C" w:rsidRDefault="000C505C" w:rsidP="00871E61">
      <w:pPr>
        <w:jc w:val="both"/>
        <w:rPr>
          <w:rFonts w:ascii="Times New Roman" w:hAnsi="Times New Roman" w:cs="Times New Roman"/>
        </w:rPr>
      </w:pPr>
      <w:r w:rsidRPr="000C505C">
        <w:rPr>
          <w:rFonts w:ascii="Times New Roman" w:hAnsi="Times New Roman" w:cs="Times New Roman"/>
        </w:rPr>
        <w:t>(</w:t>
      </w:r>
      <w:r w:rsidR="00691BA2" w:rsidRPr="000C505C">
        <w:rPr>
          <w:rFonts w:ascii="Times New Roman" w:hAnsi="Times New Roman" w:cs="Times New Roman"/>
        </w:rPr>
        <w:t>242</w:t>
      </w:r>
      <w:r w:rsidRPr="000C505C">
        <w:rPr>
          <w:rFonts w:ascii="Times New Roman" w:hAnsi="Times New Roman" w:cs="Times New Roman"/>
        </w:rPr>
        <w:t xml:space="preserve"> words)</w:t>
      </w:r>
    </w:p>
    <w:p w14:paraId="3412C8C9" w14:textId="4FADA55B" w:rsidR="007670E4" w:rsidRDefault="007670E4" w:rsidP="00871E61">
      <w:pPr>
        <w:jc w:val="both"/>
      </w:pPr>
    </w:p>
    <w:p w14:paraId="3DCD0895" w14:textId="77777777" w:rsidR="000A665D" w:rsidRDefault="000A665D" w:rsidP="00871E61">
      <w:pPr>
        <w:jc w:val="both"/>
      </w:pPr>
    </w:p>
    <w:p w14:paraId="3C577713" w14:textId="77777777" w:rsidR="00871E61" w:rsidRDefault="00871E61" w:rsidP="00871E61">
      <w:pPr>
        <w:jc w:val="both"/>
        <w:rPr>
          <w:rFonts w:ascii="Times New Roman" w:hAnsi="Times New Roman" w:cs="Times New Roman"/>
        </w:rPr>
      </w:pPr>
    </w:p>
    <w:p w14:paraId="027130F2" w14:textId="77777777" w:rsidR="00871E61" w:rsidRDefault="00871E61" w:rsidP="00871E61">
      <w:pPr>
        <w:jc w:val="both"/>
        <w:rPr>
          <w:rFonts w:ascii="Times New Roman" w:hAnsi="Times New Roman" w:cs="Times New Roman"/>
        </w:rPr>
      </w:pPr>
    </w:p>
    <w:p w14:paraId="0E3CD4B7" w14:textId="77777777" w:rsidR="00871E61" w:rsidRDefault="00871E61" w:rsidP="00871E61">
      <w:pPr>
        <w:jc w:val="both"/>
        <w:rPr>
          <w:rFonts w:ascii="Times New Roman" w:hAnsi="Times New Roman" w:cs="Times New Roman"/>
        </w:rPr>
      </w:pPr>
    </w:p>
    <w:p w14:paraId="2EFE872E" w14:textId="77777777" w:rsidR="00871E61" w:rsidRDefault="00871E61" w:rsidP="00871E61">
      <w:pPr>
        <w:jc w:val="both"/>
        <w:rPr>
          <w:rFonts w:ascii="Times New Roman" w:hAnsi="Times New Roman" w:cs="Times New Roman"/>
        </w:rPr>
      </w:pPr>
    </w:p>
    <w:p w14:paraId="63872B9F" w14:textId="77777777" w:rsidR="00871E61" w:rsidRDefault="00871E61" w:rsidP="00871E61">
      <w:pPr>
        <w:jc w:val="both"/>
        <w:rPr>
          <w:rFonts w:ascii="Times New Roman" w:hAnsi="Times New Roman" w:cs="Times New Roman"/>
        </w:rPr>
      </w:pPr>
    </w:p>
    <w:p w14:paraId="738AC1FC" w14:textId="77777777" w:rsidR="00871E61" w:rsidRDefault="00871E61" w:rsidP="00871E61">
      <w:pPr>
        <w:jc w:val="both"/>
        <w:rPr>
          <w:rFonts w:ascii="Times New Roman" w:hAnsi="Times New Roman" w:cs="Times New Roman"/>
        </w:rPr>
      </w:pPr>
    </w:p>
    <w:p w14:paraId="2DC42E72" w14:textId="77777777" w:rsidR="00871E61" w:rsidRDefault="00871E61" w:rsidP="00871E61">
      <w:pPr>
        <w:jc w:val="both"/>
        <w:rPr>
          <w:rFonts w:ascii="Times New Roman" w:hAnsi="Times New Roman" w:cs="Times New Roman"/>
        </w:rPr>
      </w:pPr>
    </w:p>
    <w:p w14:paraId="501ECE49" w14:textId="2D40E5FF" w:rsidR="007670E4" w:rsidRPr="000C505C" w:rsidRDefault="007670E4" w:rsidP="00871E61">
      <w:pPr>
        <w:jc w:val="both"/>
        <w:rPr>
          <w:rFonts w:ascii="Times New Roman" w:hAnsi="Times New Roman" w:cs="Times New Roman"/>
        </w:rPr>
      </w:pPr>
      <w:r w:rsidRPr="000C505C">
        <w:rPr>
          <w:rFonts w:ascii="Times New Roman" w:hAnsi="Times New Roman" w:cs="Times New Roman"/>
        </w:rPr>
        <w:t>(c)</w:t>
      </w:r>
    </w:p>
    <w:p w14:paraId="5CE90115" w14:textId="71DB76FD" w:rsidR="007670E4" w:rsidRPr="000C505C" w:rsidRDefault="007670E4" w:rsidP="00871E61">
      <w:pPr>
        <w:jc w:val="both"/>
        <w:rPr>
          <w:rFonts w:ascii="Times New Roman" w:hAnsi="Times New Roman" w:cs="Times New Roman"/>
        </w:rPr>
      </w:pPr>
    </w:p>
    <w:p w14:paraId="00676001" w14:textId="77777777" w:rsidR="007670E4" w:rsidRPr="000C505C" w:rsidRDefault="007670E4" w:rsidP="00871E61">
      <w:pPr>
        <w:jc w:val="both"/>
        <w:rPr>
          <w:rFonts w:ascii="Times New Roman" w:hAnsi="Times New Roman" w:cs="Times New Roman"/>
        </w:rPr>
      </w:pPr>
      <w:r w:rsidRPr="000C505C">
        <w:rPr>
          <w:rFonts w:ascii="Times New Roman" w:hAnsi="Times New Roman" w:cs="Times New Roman"/>
        </w:rPr>
        <w:t>The act of fulfilling one's obligations under a legal agreement is known as performance. A successful performance has the effect of relieving the person who is certain to do the act of any further contractual liability in the future. The parties to the contract are obligated to fulfil their promises in accordance with the provisions of the agreement. Accordingly, courts have generally held that an individual must fulfil his or her commitment, regardless of whether or not there is any dispute regarding its meaning. As a result, a preference is established in favour of the rights of the person who will benefit from the promise.</w:t>
      </w:r>
    </w:p>
    <w:p w14:paraId="18DAC72E" w14:textId="77777777" w:rsidR="007670E4" w:rsidRPr="000C505C" w:rsidRDefault="007670E4" w:rsidP="00871E61">
      <w:pPr>
        <w:jc w:val="both"/>
        <w:rPr>
          <w:rFonts w:ascii="Times New Roman" w:hAnsi="Times New Roman" w:cs="Times New Roman"/>
        </w:rPr>
      </w:pPr>
    </w:p>
    <w:p w14:paraId="1C17E7C3" w14:textId="77777777" w:rsidR="007670E4" w:rsidRPr="000C505C" w:rsidRDefault="007670E4" w:rsidP="00871E61">
      <w:pPr>
        <w:jc w:val="both"/>
        <w:rPr>
          <w:rFonts w:ascii="Times New Roman" w:hAnsi="Times New Roman" w:cs="Times New Roman"/>
        </w:rPr>
      </w:pPr>
      <w:r w:rsidRPr="000C505C">
        <w:rPr>
          <w:rFonts w:ascii="Times New Roman" w:hAnsi="Times New Roman" w:cs="Times New Roman"/>
        </w:rPr>
        <w:t>Occasionally, though, this general rule can be broken and performance can be harmed. Upon Governor Parry's return to Jamaica in 1795, the plaintiff's husband consented by contract to serve as his second officer. After completing the eight-week journey, he would be compensated. The applicant's husband died six weeks into the cruise. Six weeks' worth of labour was demanded by the plaintiffs in their lawsuits. It was concluded that the wife's legal action failed. There were no legal consequences for him if he didn't make it to Liverpool, so she had no claim.</w:t>
      </w:r>
    </w:p>
    <w:p w14:paraId="5C22E096" w14:textId="77777777" w:rsidR="007670E4" w:rsidRPr="000C505C" w:rsidRDefault="007670E4" w:rsidP="00871E61">
      <w:pPr>
        <w:jc w:val="both"/>
        <w:rPr>
          <w:rFonts w:ascii="Times New Roman" w:hAnsi="Times New Roman" w:cs="Times New Roman"/>
        </w:rPr>
      </w:pPr>
    </w:p>
    <w:p w14:paraId="0B70CB7D" w14:textId="50386AA7" w:rsidR="007670E4" w:rsidRPr="000C505C" w:rsidRDefault="007670E4" w:rsidP="00871E61">
      <w:pPr>
        <w:jc w:val="both"/>
        <w:rPr>
          <w:rFonts w:ascii="Times New Roman" w:hAnsi="Times New Roman" w:cs="Times New Roman"/>
        </w:rPr>
      </w:pPr>
      <w:r w:rsidRPr="000C505C">
        <w:rPr>
          <w:rFonts w:ascii="Times New Roman" w:hAnsi="Times New Roman" w:cs="Times New Roman"/>
        </w:rPr>
        <w:t>Acceptance of partial performance has been discovered as an exception to the whole performance requirement in this instance. If one party benefits from the partial performance of the contract, the other accepts or rejects the work and pays the specified amount for the received part.. It is possible to guarantee.</w:t>
      </w:r>
      <w:r w:rsidRPr="000C505C">
        <w:rPr>
          <w:rFonts w:ascii="Times New Roman" w:hAnsi="Times New Roman" w:cs="Times New Roman"/>
        </w:rPr>
        <w:t xml:space="preserve"> </w:t>
      </w:r>
      <w:r w:rsidRPr="000C505C">
        <w:rPr>
          <w:rFonts w:ascii="Times New Roman" w:hAnsi="Times New Roman" w:cs="Times New Roman"/>
        </w:rPr>
        <w:t>The promise bearer was stopped from fulfilling the promise, which should be the second exception. As a result, one of the parties to the contract will not be able to collect money at all.</w:t>
      </w:r>
      <w:r w:rsidRPr="000C505C">
        <w:rPr>
          <w:rFonts w:ascii="Times New Roman" w:hAnsi="Times New Roman" w:cs="Times New Roman"/>
        </w:rPr>
        <w:t xml:space="preserve"> </w:t>
      </w:r>
      <w:r w:rsidRPr="000C505C">
        <w:rPr>
          <w:rFonts w:ascii="Times New Roman" w:hAnsi="Times New Roman" w:cs="Times New Roman"/>
        </w:rPr>
        <w:t>A party is judged to have largely fulfilled its duties even if there are some defects in its performance if the contract has been executed in its whole. Because of this, you will get at least a discount, based on the severity of the breach of contract, which you will receive.</w:t>
      </w:r>
    </w:p>
    <w:p w14:paraId="1F606CA0" w14:textId="5133F570" w:rsidR="007670E4" w:rsidRPr="000C505C" w:rsidRDefault="007670E4" w:rsidP="00871E61">
      <w:pPr>
        <w:jc w:val="both"/>
        <w:rPr>
          <w:rFonts w:ascii="Times New Roman" w:hAnsi="Times New Roman" w:cs="Times New Roman"/>
        </w:rPr>
      </w:pPr>
    </w:p>
    <w:p w14:paraId="515BB62F" w14:textId="11F2C676" w:rsidR="007670E4" w:rsidRPr="000C505C" w:rsidRDefault="000C505C" w:rsidP="00871E61">
      <w:pPr>
        <w:jc w:val="both"/>
        <w:rPr>
          <w:rFonts w:ascii="Times New Roman" w:hAnsi="Times New Roman" w:cs="Times New Roman"/>
        </w:rPr>
      </w:pPr>
      <w:r w:rsidRPr="000C505C">
        <w:rPr>
          <w:rFonts w:ascii="Times New Roman" w:hAnsi="Times New Roman" w:cs="Times New Roman"/>
        </w:rPr>
        <w:t>(</w:t>
      </w:r>
      <w:r w:rsidR="007670E4" w:rsidRPr="000C505C">
        <w:rPr>
          <w:rFonts w:ascii="Times New Roman" w:hAnsi="Times New Roman" w:cs="Times New Roman"/>
        </w:rPr>
        <w:t xml:space="preserve">331 </w:t>
      </w:r>
      <w:r w:rsidRPr="000C505C">
        <w:rPr>
          <w:rFonts w:ascii="Times New Roman" w:hAnsi="Times New Roman" w:cs="Times New Roman"/>
        </w:rPr>
        <w:t>words)</w:t>
      </w:r>
    </w:p>
    <w:p w14:paraId="0D5EF63E" w14:textId="77777777" w:rsidR="007670E4" w:rsidRPr="007670E4" w:rsidRDefault="007670E4" w:rsidP="00871E61">
      <w:pPr>
        <w:jc w:val="both"/>
        <w:rPr>
          <w:lang w:val="en-GB"/>
        </w:rPr>
      </w:pPr>
    </w:p>
    <w:p w14:paraId="269F7CAA" w14:textId="77777777" w:rsidR="00871E61" w:rsidRDefault="00871E61" w:rsidP="00871E61">
      <w:pPr>
        <w:jc w:val="both"/>
      </w:pPr>
    </w:p>
    <w:p w14:paraId="51AD3B5E" w14:textId="09D40A65" w:rsidR="007670E4" w:rsidRPr="00871E61" w:rsidRDefault="001224BB" w:rsidP="00871E61">
      <w:pPr>
        <w:jc w:val="both"/>
      </w:pPr>
      <w:r w:rsidRPr="000C505C">
        <w:rPr>
          <w:rFonts w:ascii="Times New Roman" w:hAnsi="Times New Roman" w:cs="Times New Roman"/>
        </w:rPr>
        <w:t>(d)</w:t>
      </w:r>
    </w:p>
    <w:p w14:paraId="16A52CDD" w14:textId="59B6C824" w:rsidR="001224BB" w:rsidRPr="000C505C" w:rsidRDefault="001224BB" w:rsidP="00871E61">
      <w:pPr>
        <w:jc w:val="both"/>
        <w:rPr>
          <w:rFonts w:ascii="Times New Roman" w:hAnsi="Times New Roman" w:cs="Times New Roman"/>
        </w:rPr>
      </w:pPr>
    </w:p>
    <w:p w14:paraId="63CE85EE"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 xml:space="preserve">Two or more parties enter into an agreement that creates a duty for example, a duty to provide goods at a specified price on an agreed-upon timetable or a duty not to </w:t>
      </w:r>
      <w:proofErr w:type="spellStart"/>
      <w:r w:rsidRPr="000C505C">
        <w:rPr>
          <w:rFonts w:ascii="Times New Roman" w:hAnsi="Times New Roman" w:cs="Times New Roman"/>
        </w:rPr>
        <w:t>to</w:t>
      </w:r>
      <w:proofErr w:type="spellEnd"/>
      <w:r w:rsidRPr="000C505C">
        <w:rPr>
          <w:rFonts w:ascii="Times New Roman" w:hAnsi="Times New Roman" w:cs="Times New Roman"/>
        </w:rPr>
        <w:t xml:space="preserve"> do something that is, not to disclose an employer's trade secrets or financial condition to third parties for each party. Parties to a contract can sue for damages in court, however arbitration can be used to keep things private in cases when one party fails to live up to their end of the bargain. To be legally binding, a contract must be entered into voluntarily and without any pressure or coercion.</w:t>
      </w:r>
    </w:p>
    <w:p w14:paraId="04F4F034" w14:textId="77777777" w:rsidR="001224BB" w:rsidRPr="000C505C" w:rsidRDefault="001224BB" w:rsidP="00871E61">
      <w:pPr>
        <w:jc w:val="both"/>
        <w:rPr>
          <w:rFonts w:ascii="Times New Roman" w:hAnsi="Times New Roman" w:cs="Times New Roman"/>
        </w:rPr>
      </w:pPr>
    </w:p>
    <w:p w14:paraId="43AFAE37"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Among the essential characteristics of any legally binding contract are acceptance of the offer, consideration, intent to establish legal connections, capacity and clarity. When a contract is formed, it is based on the analysis of offers and acceptances. The offer and acceptance formula, devised in the 19th century, determines the moment at which the parties are aligned. For a contract to be enforceable, a party must first make an offer to another party.</w:t>
      </w:r>
    </w:p>
    <w:p w14:paraId="45BB5E14" w14:textId="77777777" w:rsidR="001224BB" w:rsidRPr="000C505C" w:rsidRDefault="001224BB" w:rsidP="00871E61">
      <w:pPr>
        <w:jc w:val="both"/>
        <w:rPr>
          <w:rFonts w:ascii="Times New Roman" w:hAnsi="Times New Roman" w:cs="Times New Roman"/>
        </w:rPr>
      </w:pPr>
    </w:p>
    <w:p w14:paraId="5428ED36" w14:textId="49E35D7E" w:rsidR="001224BB" w:rsidRPr="000C505C" w:rsidRDefault="001224BB" w:rsidP="00871E61">
      <w:pPr>
        <w:jc w:val="both"/>
        <w:rPr>
          <w:rFonts w:ascii="Times New Roman" w:hAnsi="Times New Roman" w:cs="Times New Roman"/>
        </w:rPr>
      </w:pPr>
      <w:r w:rsidRPr="000C505C">
        <w:rPr>
          <w:rFonts w:ascii="Times New Roman" w:hAnsi="Times New Roman" w:cs="Times New Roman"/>
        </w:rPr>
        <w:t>To be clear, an offer is one thing, but an invitation to treat is another. In order for a contract to be binding, an offer must be accepted, although an invitation to treat is not necessary. There are two types of offers: those that can be accepted and those that can't be accepted. To be genuine, an offer must be delivered in a way that the person receiving it can understand and decide whether or not to accept it. Actions, verbal communication, and writing are all examples of clear communication. It is possible to make a lawful offer to a group or an individual, or even the general public. The content of a legitimate offer must be clear and concise.</w:t>
      </w:r>
    </w:p>
    <w:p w14:paraId="32868A62" w14:textId="6E77A2BF" w:rsidR="001224BB" w:rsidRPr="000C505C" w:rsidRDefault="001224BB" w:rsidP="00871E61">
      <w:pPr>
        <w:jc w:val="both"/>
        <w:rPr>
          <w:rFonts w:ascii="Times New Roman" w:hAnsi="Times New Roman" w:cs="Times New Roman"/>
        </w:rPr>
      </w:pPr>
    </w:p>
    <w:p w14:paraId="198E95B5"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The act of accepting an offer signifies a party's agreement to be bound by its terms. You don't have to accept an offer verbally; you might accept it by doing anything. It's a counter-offer rather than an acceptance if someone claims to accept an offer, but accepts on terms that differ from the initial offer. Acceptance must be expressed to the offeror; a silent response cannot be taken as an agreement. For example, if the offeree has been offered terms of dealing and proceeds with the contract without formally indicating agreement, the silence may be interpreted as acceptance.</w:t>
      </w:r>
    </w:p>
    <w:p w14:paraId="0E1202FE" w14:textId="77777777" w:rsidR="001224BB" w:rsidRPr="000C505C" w:rsidRDefault="001224BB" w:rsidP="00871E61">
      <w:pPr>
        <w:jc w:val="both"/>
        <w:rPr>
          <w:rFonts w:ascii="Times New Roman" w:hAnsi="Times New Roman" w:cs="Times New Roman"/>
        </w:rPr>
      </w:pPr>
    </w:p>
    <w:p w14:paraId="7EAB6EB9" w14:textId="6D8D00BE" w:rsidR="001224BB" w:rsidRPr="000C505C" w:rsidRDefault="001224BB" w:rsidP="00871E61">
      <w:pPr>
        <w:jc w:val="both"/>
        <w:rPr>
          <w:rFonts w:ascii="Times New Roman" w:hAnsi="Times New Roman" w:cs="Times New Roman"/>
        </w:rPr>
      </w:pPr>
      <w:r w:rsidRPr="000C505C">
        <w:rPr>
          <w:rFonts w:ascii="Times New Roman" w:hAnsi="Times New Roman" w:cs="Times New Roman"/>
        </w:rPr>
        <w:t>Adverts in the journal 'Antique-tickers' were placed by Arthur. Ads are often invites to splurge. One party's desire to accept an offer is conveyed by inviting the other to a party's table. Because there is no immediate desire to sign a legally binding agreement, it can alternatively be viewed as an invitation to negotiate. It's still an invitation to treat, even if he set terms in the posting, since it remains open for serious proposals, which shows that he's willing to reduce the price if the offeror's new proposal is acceptable to him.</w:t>
      </w:r>
    </w:p>
    <w:p w14:paraId="50BB69A7" w14:textId="40D1147E" w:rsidR="001224BB" w:rsidRPr="000C505C" w:rsidRDefault="001224BB" w:rsidP="00871E61">
      <w:pPr>
        <w:jc w:val="both"/>
        <w:rPr>
          <w:rFonts w:ascii="Times New Roman" w:hAnsi="Times New Roman" w:cs="Times New Roman"/>
        </w:rPr>
      </w:pPr>
    </w:p>
    <w:p w14:paraId="7F226BB5"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Partridge v. Crittenden, 1968, will be Arthur's reference point. Classified ads for bramble finches were used as evidence for this case. According to Section 6 of the 1954 Protection of Birds Act, the selling of these birds was considered prohibited. His conviction was overturned, and he is now pursuing an appeal against the decision. The defendant's conviction was reversed by a judge. It was a call to action, not an offer. Legislative interpretation norms were applied in line with their literal meaning.</w:t>
      </w:r>
    </w:p>
    <w:p w14:paraId="668B089F" w14:textId="77777777" w:rsidR="001224BB" w:rsidRPr="000C505C" w:rsidRDefault="001224BB" w:rsidP="00871E61">
      <w:pPr>
        <w:jc w:val="both"/>
        <w:rPr>
          <w:rFonts w:ascii="Times New Roman" w:hAnsi="Times New Roman" w:cs="Times New Roman"/>
        </w:rPr>
      </w:pPr>
    </w:p>
    <w:p w14:paraId="0A77F823" w14:textId="5DAE0E56" w:rsidR="001224BB" w:rsidRPr="000C505C" w:rsidRDefault="001224BB" w:rsidP="00871E61">
      <w:pPr>
        <w:jc w:val="both"/>
        <w:rPr>
          <w:rFonts w:ascii="Times New Roman" w:hAnsi="Times New Roman" w:cs="Times New Roman"/>
        </w:rPr>
      </w:pPr>
      <w:r w:rsidRPr="000C505C">
        <w:rPr>
          <w:rFonts w:ascii="Times New Roman" w:hAnsi="Times New Roman" w:cs="Times New Roman"/>
        </w:rPr>
        <w:t>The court had to determine whether the advertisement was an offer to sell, in which case the defendant was guilty, or an invitation to treat, in which case the defendant was not guilty, in which case he had not committed an offence. Because the term "offer for sale" is used in criminal law, it was also argued whether the phrase should be understood differently in criminal law and contract law.</w:t>
      </w:r>
    </w:p>
    <w:p w14:paraId="377708B1"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Arthur's case is relevant since it has been established that the offer is legitimate only when it is communicated and accepted by Arthur, and not when they delivered their letters and emails. In spite of what he had stated, a two-way communication in respect to acceptance is still necessary for such a valid offer and a valid contract to exist.</w:t>
      </w:r>
    </w:p>
    <w:p w14:paraId="6C954E0F" w14:textId="77777777" w:rsidR="001224BB" w:rsidRPr="000C505C" w:rsidRDefault="001224BB" w:rsidP="00871E61">
      <w:pPr>
        <w:jc w:val="both"/>
        <w:rPr>
          <w:rFonts w:ascii="Times New Roman" w:hAnsi="Times New Roman" w:cs="Times New Roman"/>
        </w:rPr>
      </w:pPr>
    </w:p>
    <w:p w14:paraId="36E07489"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For Dennis and Arthur, the answer to the question of whether or not they have a contract is yes. This implies to me that Arthur intends to be legally obligated by a contract in the event Dennis agrees to pay him $13,000 for the watch, as Arthur claimed in the email requesting it. And the fact that Dennis communicated with Arthur during business hours shows that he is serious about the offer, as the ad stated. Finally, in Dennis's defence, he had complied with all terms and agreed to pay the exact sum mentioned in the agreement..................................</w:t>
      </w:r>
    </w:p>
    <w:p w14:paraId="5BE37293" w14:textId="77777777" w:rsidR="001224BB" w:rsidRPr="000C505C" w:rsidRDefault="001224BB" w:rsidP="00871E61">
      <w:pPr>
        <w:jc w:val="both"/>
        <w:rPr>
          <w:rFonts w:ascii="Times New Roman" w:hAnsi="Times New Roman" w:cs="Times New Roman"/>
        </w:rPr>
      </w:pPr>
    </w:p>
    <w:p w14:paraId="300C0409" w14:textId="2CE74837" w:rsidR="001224BB" w:rsidRPr="000C505C" w:rsidRDefault="001224BB" w:rsidP="00871E61">
      <w:pPr>
        <w:jc w:val="both"/>
        <w:rPr>
          <w:rFonts w:ascii="Times New Roman" w:hAnsi="Times New Roman" w:cs="Times New Roman"/>
        </w:rPr>
      </w:pPr>
      <w:r w:rsidRPr="000C505C">
        <w:rPr>
          <w:rFonts w:ascii="Times New Roman" w:hAnsi="Times New Roman" w:cs="Times New Roman"/>
        </w:rPr>
        <w:t>As for Christine and Arthur's legal relationship, we can claim that there is no contract between them. " Because Christine's counteroffer nullified Arthur's first offer, he is under no obligation to enter into a contract with her. A counter-offer will trump the original offer if it is made in response to it. As soon as the offeree responds to a proposal with a counter-proposal, the initial offer is no longer valid. Consequently, the recipient is unable to accept the initial proposal. The contract was terminated as a result of Christine's refusal to accept Arthur's 15000 proposition.</w:t>
      </w:r>
    </w:p>
    <w:p w14:paraId="3FCA2AFD" w14:textId="49E010EA" w:rsidR="001224BB" w:rsidRPr="000C505C" w:rsidRDefault="001224BB" w:rsidP="00871E61">
      <w:pPr>
        <w:jc w:val="both"/>
        <w:rPr>
          <w:rFonts w:ascii="Times New Roman" w:hAnsi="Times New Roman" w:cs="Times New Roman"/>
        </w:rPr>
      </w:pPr>
    </w:p>
    <w:p w14:paraId="0AC2E05B"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Regardless matter how much offer Arthur offered Christine, she couldn't fulfil the criteria and conditions. Christine's action resulted in the cancellation of another  contract. Because Arthur did not respond to Christine's new offer, there is no contract or legal duty between them, and he can utilise Hyde v Wrench,1840 as his defence in the lawsuit.</w:t>
      </w:r>
    </w:p>
    <w:p w14:paraId="7125AFB7" w14:textId="77777777" w:rsidR="001224BB" w:rsidRPr="000C505C" w:rsidRDefault="001224BB" w:rsidP="00871E61">
      <w:pPr>
        <w:jc w:val="both"/>
        <w:rPr>
          <w:rFonts w:ascii="Times New Roman" w:hAnsi="Times New Roman" w:cs="Times New Roman"/>
        </w:rPr>
      </w:pPr>
    </w:p>
    <w:p w14:paraId="4DD2E336"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For $1,000, Wrench offered Hyde a property in the case of Hyde v Wrench. In response to a claimant's offer of £950, the defendant rejected it. The claimant made a second effort, accepting the initial $1000 offer. Following the defendant's refusal to sell, the claimant filed a federal lawsuit for specific performance. It happened.</w:t>
      </w:r>
    </w:p>
    <w:p w14:paraId="2E635F77"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We didn't have a contract at the time. The initial offer is shattered when a counter-offer is made, and the offeree is unable to accept it.</w:t>
      </w:r>
    </w:p>
    <w:p w14:paraId="355231B2" w14:textId="77777777" w:rsidR="001224BB" w:rsidRPr="000C505C" w:rsidRDefault="001224BB" w:rsidP="00871E61">
      <w:pPr>
        <w:jc w:val="both"/>
        <w:rPr>
          <w:rFonts w:ascii="Times New Roman" w:hAnsi="Times New Roman" w:cs="Times New Roman"/>
        </w:rPr>
      </w:pPr>
    </w:p>
    <w:p w14:paraId="2D494EDC"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For Ben and Arthur's agreement, see here: Even though Ben had promised to adhere to all of the terms of Arthur's invitation to treat, he communicated about this contract in the most inefficient manner possible. Despite the fact that Arthur listed postal mail as a mode of contact, he finds that responding to emails is both quicker and easier than responding via postal mail. The postal rule did not apply because there was no acceptance on Arthur's part, making the contract invalid. As a symbol of their understanding, Arthur failed to respond to Ben's communication.</w:t>
      </w:r>
    </w:p>
    <w:p w14:paraId="7063158D" w14:textId="77777777" w:rsidR="001224BB" w:rsidRPr="000C505C" w:rsidRDefault="001224BB" w:rsidP="00871E61">
      <w:pPr>
        <w:jc w:val="both"/>
        <w:rPr>
          <w:rFonts w:ascii="Times New Roman" w:hAnsi="Times New Roman" w:cs="Times New Roman"/>
        </w:rPr>
      </w:pPr>
    </w:p>
    <w:p w14:paraId="243EB4F1" w14:textId="77777777" w:rsidR="001224BB" w:rsidRPr="000C505C" w:rsidRDefault="001224BB" w:rsidP="00871E61">
      <w:pPr>
        <w:jc w:val="both"/>
        <w:rPr>
          <w:rFonts w:ascii="Times New Roman" w:hAnsi="Times New Roman" w:cs="Times New Roman"/>
        </w:rPr>
      </w:pPr>
      <w:r w:rsidRPr="000C505C">
        <w:rPr>
          <w:rFonts w:ascii="Times New Roman" w:hAnsi="Times New Roman" w:cs="Times New Roman"/>
        </w:rPr>
        <w:t>Whenever the parties agree to communicate via mail, the postal rule is used. Once a letter is dropped off at the post office, it will be accepted if the address and stamp are correct. Although postal rule exclusion is simple for the parties to implement, as in the instance of Holwell securities v Hughes,1974.</w:t>
      </w:r>
    </w:p>
    <w:p w14:paraId="14B038A0" w14:textId="77777777" w:rsidR="001224BB" w:rsidRPr="000C505C" w:rsidRDefault="001224BB" w:rsidP="00871E61">
      <w:pPr>
        <w:jc w:val="both"/>
        <w:rPr>
          <w:rFonts w:ascii="Times New Roman" w:hAnsi="Times New Roman" w:cs="Times New Roman"/>
        </w:rPr>
      </w:pPr>
    </w:p>
    <w:p w14:paraId="33F5B527" w14:textId="6B74D2E4" w:rsidR="001224BB" w:rsidRPr="000C505C" w:rsidRDefault="001224BB" w:rsidP="00871E61">
      <w:pPr>
        <w:jc w:val="both"/>
        <w:rPr>
          <w:rFonts w:ascii="Times New Roman" w:hAnsi="Times New Roman" w:cs="Times New Roman"/>
        </w:rPr>
      </w:pPr>
      <w:r w:rsidRPr="000C505C">
        <w:rPr>
          <w:rFonts w:ascii="Times New Roman" w:hAnsi="Times New Roman" w:cs="Times New Roman"/>
        </w:rPr>
        <w:t xml:space="preserve">Dr Hughes granted Holwell Securities the option to purchase his house for £45,000 if they so desired. The option may be exercised 'by written notice' within six months after the date of this </w:t>
      </w:r>
      <w:r w:rsidR="000C505C" w:rsidRPr="000C505C">
        <w:rPr>
          <w:rFonts w:ascii="Times New Roman" w:hAnsi="Times New Roman" w:cs="Times New Roman"/>
        </w:rPr>
        <w:t>notice. Employees</w:t>
      </w:r>
      <w:r w:rsidRPr="000C505C">
        <w:rPr>
          <w:rFonts w:ascii="Times New Roman" w:hAnsi="Times New Roman" w:cs="Times New Roman"/>
        </w:rPr>
        <w:t xml:space="preserve"> received a letter from Holwell just before his option expired telling them to take advantage of it. This letter was never read by Hughes. Holwell was able to enforce the choice by demonstrating that it had been accepted before the expiration date was reached thanks to the postal rule. The judge decided. </w:t>
      </w:r>
      <w:proofErr w:type="spellStart"/>
      <w:r w:rsidRPr="000C505C">
        <w:rPr>
          <w:rFonts w:ascii="Times New Roman" w:hAnsi="Times New Roman" w:cs="Times New Roman"/>
        </w:rPr>
        <w:t>Dr.</w:t>
      </w:r>
      <w:proofErr w:type="spellEnd"/>
      <w:r w:rsidRPr="000C505C">
        <w:rPr>
          <w:rFonts w:ascii="Times New Roman" w:hAnsi="Times New Roman" w:cs="Times New Roman"/>
        </w:rPr>
        <w:t xml:space="preserve"> Hughes required "notice in writing" to ensure that he had received the communication, thereby excluding the postal rule.</w:t>
      </w:r>
    </w:p>
    <w:p w14:paraId="41BDA953" w14:textId="10A4ED7F" w:rsidR="00F12CCF" w:rsidRPr="000C505C" w:rsidRDefault="00F12CCF" w:rsidP="00871E61">
      <w:pPr>
        <w:jc w:val="both"/>
        <w:rPr>
          <w:rFonts w:ascii="Times New Roman" w:hAnsi="Times New Roman" w:cs="Times New Roman"/>
        </w:rPr>
      </w:pPr>
    </w:p>
    <w:p w14:paraId="2237DC08" w14:textId="1E640C5C" w:rsidR="000C505C" w:rsidRPr="000C505C" w:rsidRDefault="000C505C" w:rsidP="00871E61">
      <w:pPr>
        <w:jc w:val="both"/>
        <w:rPr>
          <w:rFonts w:ascii="Times New Roman" w:hAnsi="Times New Roman" w:cs="Times New Roman"/>
        </w:rPr>
      </w:pPr>
      <w:r w:rsidRPr="000C505C">
        <w:rPr>
          <w:rFonts w:ascii="Times New Roman" w:hAnsi="Times New Roman" w:cs="Times New Roman"/>
        </w:rPr>
        <w:t>(1279 words)</w:t>
      </w:r>
    </w:p>
    <w:p w14:paraId="2635B55B" w14:textId="7DCF1EEB" w:rsidR="000C505C" w:rsidRDefault="000C505C" w:rsidP="00871E61">
      <w:pPr>
        <w:jc w:val="both"/>
      </w:pPr>
    </w:p>
    <w:p w14:paraId="0DE21D5A" w14:textId="368CC277" w:rsidR="000A665D" w:rsidRDefault="000A665D" w:rsidP="00871E61">
      <w:pPr>
        <w:jc w:val="both"/>
      </w:pPr>
    </w:p>
    <w:p w14:paraId="0B18B64D" w14:textId="77777777" w:rsidR="00871E61" w:rsidRDefault="00871E61" w:rsidP="00871E61">
      <w:pPr>
        <w:jc w:val="both"/>
        <w:rPr>
          <w:rFonts w:ascii="Times New Roman" w:hAnsi="Times New Roman" w:cs="Times New Roman"/>
        </w:rPr>
      </w:pPr>
    </w:p>
    <w:p w14:paraId="4AF5B9FE" w14:textId="77777777" w:rsidR="00871E61" w:rsidRDefault="00871E61" w:rsidP="00871E61">
      <w:pPr>
        <w:jc w:val="both"/>
        <w:rPr>
          <w:rFonts w:ascii="Times New Roman" w:hAnsi="Times New Roman" w:cs="Times New Roman"/>
        </w:rPr>
      </w:pPr>
    </w:p>
    <w:p w14:paraId="5681D0B3" w14:textId="77777777" w:rsidR="00871E61" w:rsidRDefault="00871E61" w:rsidP="00871E61">
      <w:pPr>
        <w:jc w:val="both"/>
        <w:rPr>
          <w:rFonts w:ascii="Times New Roman" w:hAnsi="Times New Roman" w:cs="Times New Roman"/>
        </w:rPr>
      </w:pPr>
    </w:p>
    <w:p w14:paraId="4DF809B1" w14:textId="77777777" w:rsidR="00871E61" w:rsidRDefault="00871E61" w:rsidP="00871E61">
      <w:pPr>
        <w:jc w:val="both"/>
        <w:rPr>
          <w:rFonts w:ascii="Times New Roman" w:hAnsi="Times New Roman" w:cs="Times New Roman"/>
        </w:rPr>
      </w:pPr>
    </w:p>
    <w:p w14:paraId="5EA80060" w14:textId="77777777" w:rsidR="00871E61" w:rsidRDefault="00871E61" w:rsidP="00871E61">
      <w:pPr>
        <w:jc w:val="both"/>
        <w:rPr>
          <w:rFonts w:ascii="Times New Roman" w:hAnsi="Times New Roman" w:cs="Times New Roman"/>
        </w:rPr>
      </w:pPr>
    </w:p>
    <w:p w14:paraId="5DD670DC" w14:textId="77777777" w:rsidR="00871E61" w:rsidRDefault="00871E61" w:rsidP="00871E61">
      <w:pPr>
        <w:jc w:val="both"/>
        <w:rPr>
          <w:rFonts w:ascii="Times New Roman" w:hAnsi="Times New Roman" w:cs="Times New Roman"/>
        </w:rPr>
      </w:pPr>
    </w:p>
    <w:p w14:paraId="58330CDF" w14:textId="77777777" w:rsidR="00871E61" w:rsidRDefault="00871E61" w:rsidP="00871E61">
      <w:pPr>
        <w:jc w:val="both"/>
        <w:rPr>
          <w:rFonts w:ascii="Times New Roman" w:hAnsi="Times New Roman" w:cs="Times New Roman"/>
        </w:rPr>
      </w:pPr>
    </w:p>
    <w:p w14:paraId="3C35A62E" w14:textId="77777777" w:rsidR="00871E61" w:rsidRDefault="00871E61" w:rsidP="00871E61">
      <w:pPr>
        <w:jc w:val="both"/>
        <w:rPr>
          <w:rFonts w:ascii="Times New Roman" w:hAnsi="Times New Roman" w:cs="Times New Roman"/>
        </w:rPr>
      </w:pPr>
    </w:p>
    <w:p w14:paraId="3B1B2C72" w14:textId="77777777" w:rsidR="00871E61" w:rsidRDefault="00871E61" w:rsidP="00871E61">
      <w:pPr>
        <w:jc w:val="both"/>
        <w:rPr>
          <w:rFonts w:ascii="Times New Roman" w:hAnsi="Times New Roman" w:cs="Times New Roman"/>
        </w:rPr>
      </w:pPr>
    </w:p>
    <w:p w14:paraId="33EB5B25" w14:textId="77777777" w:rsidR="00871E61" w:rsidRDefault="00871E61" w:rsidP="00871E61">
      <w:pPr>
        <w:jc w:val="both"/>
        <w:rPr>
          <w:rFonts w:ascii="Times New Roman" w:hAnsi="Times New Roman" w:cs="Times New Roman"/>
        </w:rPr>
      </w:pPr>
    </w:p>
    <w:p w14:paraId="1741F9E2" w14:textId="77777777" w:rsidR="00871E61" w:rsidRDefault="00871E61" w:rsidP="00871E61">
      <w:pPr>
        <w:jc w:val="both"/>
        <w:rPr>
          <w:rFonts w:ascii="Times New Roman" w:hAnsi="Times New Roman" w:cs="Times New Roman"/>
        </w:rPr>
      </w:pPr>
    </w:p>
    <w:p w14:paraId="237A2A56" w14:textId="77777777" w:rsidR="00871E61" w:rsidRDefault="00871E61" w:rsidP="00871E61">
      <w:pPr>
        <w:jc w:val="both"/>
        <w:rPr>
          <w:rFonts w:ascii="Times New Roman" w:hAnsi="Times New Roman" w:cs="Times New Roman"/>
        </w:rPr>
      </w:pPr>
    </w:p>
    <w:p w14:paraId="56BC99B3" w14:textId="5A3697D7" w:rsidR="00871E61" w:rsidRDefault="00871E61" w:rsidP="00871E61">
      <w:pPr>
        <w:jc w:val="both"/>
        <w:rPr>
          <w:rFonts w:ascii="Times New Roman" w:hAnsi="Times New Roman" w:cs="Times New Roman"/>
        </w:rPr>
      </w:pPr>
    </w:p>
    <w:p w14:paraId="7B6BF76E" w14:textId="77777777" w:rsidR="00871E61" w:rsidRDefault="00871E61" w:rsidP="00871E61">
      <w:pPr>
        <w:jc w:val="both"/>
        <w:rPr>
          <w:rFonts w:ascii="Times New Roman" w:hAnsi="Times New Roman" w:cs="Times New Roman"/>
        </w:rPr>
      </w:pPr>
    </w:p>
    <w:p w14:paraId="500970F4" w14:textId="79F7889D" w:rsidR="00871E61" w:rsidRDefault="00871E61" w:rsidP="00871E61">
      <w:pPr>
        <w:jc w:val="both"/>
        <w:rPr>
          <w:rFonts w:ascii="Times New Roman" w:hAnsi="Times New Roman" w:cs="Times New Roman"/>
        </w:rPr>
      </w:pPr>
      <w:r>
        <w:rPr>
          <w:rFonts w:ascii="Times New Roman" w:hAnsi="Times New Roman" w:cs="Times New Roman"/>
        </w:rPr>
        <w:t>HARVARD REFERENCING</w:t>
      </w:r>
    </w:p>
    <w:p w14:paraId="2840EC18" w14:textId="77777777" w:rsidR="00871E61" w:rsidRDefault="00871E61" w:rsidP="00871E61">
      <w:pPr>
        <w:jc w:val="both"/>
        <w:rPr>
          <w:rFonts w:ascii="Times New Roman" w:hAnsi="Times New Roman" w:cs="Times New Roman"/>
        </w:rPr>
      </w:pPr>
    </w:p>
    <w:p w14:paraId="510D0E9E" w14:textId="652B7A8D" w:rsidR="000A665D" w:rsidRPr="00871E61" w:rsidRDefault="000A665D" w:rsidP="00871E61">
      <w:pPr>
        <w:jc w:val="both"/>
        <w:rPr>
          <w:rFonts w:ascii="Times New Roman" w:hAnsi="Times New Roman" w:cs="Times New Roman"/>
        </w:rPr>
      </w:pPr>
      <w:r w:rsidRPr="00871E61">
        <w:rPr>
          <w:rFonts w:ascii="Times New Roman" w:hAnsi="Times New Roman" w:cs="Times New Roman"/>
        </w:rPr>
        <w:t>(a)</w:t>
      </w:r>
    </w:p>
    <w:p w14:paraId="49DAD1D9" w14:textId="77777777" w:rsidR="00360553" w:rsidRDefault="00360553" w:rsidP="00871E61">
      <w:pPr>
        <w:jc w:val="both"/>
      </w:pPr>
    </w:p>
    <w:p w14:paraId="142FCBFB" w14:textId="77777777" w:rsidR="000A665D" w:rsidRPr="008E5108" w:rsidRDefault="000A665D" w:rsidP="00871E61">
      <w:pPr>
        <w:jc w:val="both"/>
        <w:rPr>
          <w:rFonts w:ascii="Times New Roman" w:hAnsi="Times New Roman" w:cs="Times New Roman"/>
        </w:rPr>
      </w:pPr>
      <w:r w:rsidRPr="008E5108">
        <w:rPr>
          <w:rFonts w:ascii="Times New Roman" w:hAnsi="Times New Roman" w:cs="Times New Roman"/>
        </w:rPr>
        <w:t>Article title:</w:t>
      </w:r>
      <w:r w:rsidRPr="008E5108">
        <w:rPr>
          <w:rFonts w:ascii="Times New Roman" w:hAnsi="Times New Roman" w:cs="Times New Roman"/>
        </w:rPr>
        <w:tab/>
        <w:t>Privity of Contract Definition | Legal Glossary | LexisNexis</w:t>
      </w:r>
    </w:p>
    <w:p w14:paraId="08B12817" w14:textId="4072D2B3" w:rsidR="000A665D" w:rsidRPr="008E5108" w:rsidRDefault="000A665D" w:rsidP="00871E61">
      <w:pPr>
        <w:jc w:val="both"/>
        <w:rPr>
          <w:rFonts w:ascii="Times New Roman" w:hAnsi="Times New Roman" w:cs="Times New Roman"/>
        </w:rPr>
      </w:pPr>
      <w:r w:rsidRPr="008E5108">
        <w:rPr>
          <w:rFonts w:ascii="Times New Roman" w:hAnsi="Times New Roman" w:cs="Times New Roman"/>
        </w:rPr>
        <w:t>Website title:</w:t>
      </w:r>
      <w:r w:rsidRPr="008E5108">
        <w:rPr>
          <w:rFonts w:ascii="Times New Roman" w:hAnsi="Times New Roman" w:cs="Times New Roman"/>
        </w:rPr>
        <w:tab/>
        <w:t>Lexisnexis.co.uk</w:t>
      </w:r>
    </w:p>
    <w:p w14:paraId="1FD2129B" w14:textId="3374DEDD" w:rsidR="000A665D" w:rsidRPr="008E5108" w:rsidRDefault="000A665D" w:rsidP="00871E61">
      <w:pPr>
        <w:jc w:val="both"/>
        <w:rPr>
          <w:rFonts w:ascii="Times New Roman" w:hAnsi="Times New Roman" w:cs="Times New Roman"/>
        </w:rPr>
      </w:pPr>
      <w:r w:rsidRPr="008E5108">
        <w:rPr>
          <w:rFonts w:ascii="Times New Roman" w:hAnsi="Times New Roman" w:cs="Times New Roman"/>
        </w:rPr>
        <w:t>URL:</w:t>
      </w:r>
      <w:r w:rsidRPr="008E5108">
        <w:rPr>
          <w:rFonts w:ascii="Times New Roman" w:hAnsi="Times New Roman" w:cs="Times New Roman"/>
        </w:rPr>
        <w:tab/>
      </w:r>
      <w:hyperlink r:id="rId4" w:history="1">
        <w:r w:rsidRPr="008E5108">
          <w:rPr>
            <w:rStyle w:val="Hyperlink"/>
            <w:rFonts w:ascii="Times New Roman" w:hAnsi="Times New Roman" w:cs="Times New Roman"/>
          </w:rPr>
          <w:t>https://www.lexisnexis.co.uk/legal/g</w:t>
        </w:r>
        <w:r w:rsidRPr="008E5108">
          <w:rPr>
            <w:rStyle w:val="Hyperlink"/>
            <w:rFonts w:ascii="Times New Roman" w:hAnsi="Times New Roman" w:cs="Times New Roman"/>
          </w:rPr>
          <w:t>l</w:t>
        </w:r>
        <w:r w:rsidRPr="008E5108">
          <w:rPr>
            <w:rStyle w:val="Hyperlink"/>
            <w:rFonts w:ascii="Times New Roman" w:hAnsi="Times New Roman" w:cs="Times New Roman"/>
          </w:rPr>
          <w:t>ossary/privity-of-contract</w:t>
        </w:r>
      </w:hyperlink>
    </w:p>
    <w:p w14:paraId="1C8C7ABE" w14:textId="722133F4" w:rsidR="000A665D" w:rsidRPr="008E5108" w:rsidRDefault="000A665D" w:rsidP="00871E61">
      <w:pPr>
        <w:jc w:val="both"/>
        <w:rPr>
          <w:rFonts w:ascii="Times New Roman" w:hAnsi="Times New Roman" w:cs="Times New Roman"/>
        </w:rPr>
      </w:pPr>
      <w:r w:rsidRPr="008E5108">
        <w:rPr>
          <w:rFonts w:ascii="Times New Roman" w:hAnsi="Times New Roman" w:cs="Times New Roman"/>
        </w:rPr>
        <w:t>Lexisnexis.co.uk. 2022. Privity of Contract Definition | Legal Glossary | LexisNexis. [online] Available at: &lt;https://www.lexisnexis.co.uk/legal/glossary/privity-of-contract&gt; [Accessed 4 March 2022].</w:t>
      </w:r>
    </w:p>
    <w:p w14:paraId="7ED30E06" w14:textId="01CDFC16" w:rsidR="008E5108" w:rsidRPr="00871E61" w:rsidRDefault="008E5108" w:rsidP="00871E61">
      <w:pPr>
        <w:jc w:val="both"/>
        <w:rPr>
          <w:rFonts w:ascii="Times New Roman" w:hAnsi="Times New Roman" w:cs="Times New Roman"/>
        </w:rPr>
      </w:pPr>
    </w:p>
    <w:p w14:paraId="564C8DDD" w14:textId="0D7DCD37" w:rsidR="008E5108" w:rsidRPr="00871E61" w:rsidRDefault="008E5108" w:rsidP="00871E61">
      <w:pPr>
        <w:jc w:val="both"/>
        <w:rPr>
          <w:rFonts w:ascii="Times New Roman" w:hAnsi="Times New Roman" w:cs="Times New Roman"/>
        </w:rPr>
      </w:pPr>
      <w:r w:rsidRPr="00871E61">
        <w:rPr>
          <w:rFonts w:ascii="Times New Roman" w:hAnsi="Times New Roman" w:cs="Times New Roman"/>
        </w:rPr>
        <w:t>(b)</w:t>
      </w:r>
    </w:p>
    <w:p w14:paraId="3C720F5D" w14:textId="77777777" w:rsidR="00360553" w:rsidRDefault="00360553" w:rsidP="00871E61">
      <w:pPr>
        <w:jc w:val="both"/>
      </w:pPr>
    </w:p>
    <w:p w14:paraId="3D81BE5B" w14:textId="36A6AA70" w:rsidR="008E5108" w:rsidRPr="008E5108" w:rsidRDefault="008E5108" w:rsidP="00871E61">
      <w:pPr>
        <w:jc w:val="both"/>
        <w:rPr>
          <w:rFonts w:ascii="Times New Roman" w:hAnsi="Times New Roman" w:cs="Times New Roman"/>
        </w:rPr>
      </w:pPr>
      <w:r w:rsidRPr="008E5108">
        <w:rPr>
          <w:rFonts w:ascii="Times New Roman" w:hAnsi="Times New Roman" w:cs="Times New Roman"/>
        </w:rPr>
        <w:t>2022. [online] Available at: &lt;https://www.upcounsel.com/past-consideratio&gt; [Accessed 4 March 2022].</w:t>
      </w:r>
    </w:p>
    <w:p w14:paraId="7B01B09C" w14:textId="77777777" w:rsidR="008E5108" w:rsidRPr="008E5108" w:rsidRDefault="008E5108" w:rsidP="00871E61">
      <w:pPr>
        <w:pStyle w:val="NormalWeb"/>
        <w:spacing w:before="0" w:beforeAutospacing="0" w:after="0" w:afterAutospacing="0" w:line="360" w:lineRule="atLeast"/>
        <w:jc w:val="both"/>
        <w:rPr>
          <w:color w:val="000000"/>
        </w:rPr>
      </w:pPr>
      <w:proofErr w:type="spellStart"/>
      <w:r w:rsidRPr="008E5108">
        <w:rPr>
          <w:color w:val="000000"/>
        </w:rPr>
        <w:t>UpCounsel</w:t>
      </w:r>
      <w:proofErr w:type="spellEnd"/>
      <w:r w:rsidRPr="008E5108">
        <w:rPr>
          <w:color w:val="000000"/>
        </w:rPr>
        <w:t>. (2019). </w:t>
      </w:r>
      <w:r w:rsidRPr="008E5108">
        <w:rPr>
          <w:i/>
          <w:iCs/>
          <w:color w:val="000000"/>
        </w:rPr>
        <w:t xml:space="preserve">Past Consideration | </w:t>
      </w:r>
      <w:proofErr w:type="spellStart"/>
      <w:r w:rsidRPr="008E5108">
        <w:rPr>
          <w:i/>
          <w:iCs/>
          <w:color w:val="000000"/>
        </w:rPr>
        <w:t>UpCounsel</w:t>
      </w:r>
      <w:proofErr w:type="spellEnd"/>
      <w:r w:rsidRPr="008E5108">
        <w:rPr>
          <w:i/>
          <w:iCs/>
          <w:color w:val="000000"/>
        </w:rPr>
        <w:t xml:space="preserve"> 2019</w:t>
      </w:r>
      <w:r w:rsidRPr="008E5108">
        <w:rPr>
          <w:color w:val="000000"/>
        </w:rPr>
        <w:t>. [online] Available at: https://www.upcounsel.com/past-consideration.</w:t>
      </w:r>
    </w:p>
    <w:p w14:paraId="4F98C423" w14:textId="220AAADB" w:rsidR="00360553" w:rsidRDefault="008E5108" w:rsidP="00871E61">
      <w:pPr>
        <w:pStyle w:val="NormalWeb"/>
        <w:jc w:val="both"/>
        <w:rPr>
          <w:rFonts w:ascii="Calibri" w:hAnsi="Calibri" w:cs="Calibri"/>
          <w:color w:val="000000"/>
          <w:sz w:val="27"/>
          <w:szCs w:val="27"/>
        </w:rPr>
      </w:pPr>
      <w:r>
        <w:rPr>
          <w:rFonts w:ascii="Calibri" w:hAnsi="Calibri" w:cs="Calibri"/>
          <w:color w:val="000000"/>
          <w:sz w:val="27"/>
          <w:szCs w:val="27"/>
        </w:rPr>
        <w:t>‌</w:t>
      </w:r>
      <w:r w:rsidR="00360553" w:rsidRPr="00871E61">
        <w:rPr>
          <w:color w:val="000000"/>
        </w:rPr>
        <w:t>(c)</w:t>
      </w:r>
    </w:p>
    <w:p w14:paraId="50075CB6" w14:textId="762158FC" w:rsidR="00360553" w:rsidRPr="00360553" w:rsidRDefault="00360553" w:rsidP="00871E61">
      <w:pPr>
        <w:pStyle w:val="NormalWeb"/>
        <w:spacing w:before="0" w:beforeAutospacing="0" w:after="0" w:afterAutospacing="0" w:line="360" w:lineRule="atLeast"/>
        <w:jc w:val="both"/>
        <w:rPr>
          <w:color w:val="000000"/>
        </w:rPr>
      </w:pPr>
      <w:proofErr w:type="spellStart"/>
      <w:r w:rsidRPr="00360553">
        <w:rPr>
          <w:color w:val="000000"/>
        </w:rPr>
        <w:t>Encyclopedia</w:t>
      </w:r>
      <w:proofErr w:type="spellEnd"/>
      <w:r w:rsidRPr="00360553">
        <w:rPr>
          <w:color w:val="000000"/>
        </w:rPr>
        <w:t xml:space="preserve"> Britannica. (n.d.). </w:t>
      </w:r>
      <w:r w:rsidRPr="00360553">
        <w:rPr>
          <w:i/>
          <w:iCs/>
          <w:color w:val="000000"/>
        </w:rPr>
        <w:t>Performance | contract law</w:t>
      </w:r>
      <w:r w:rsidRPr="00360553">
        <w:rPr>
          <w:color w:val="000000"/>
        </w:rPr>
        <w:t xml:space="preserve">. [online] Available at: </w:t>
      </w:r>
      <w:hyperlink r:id="rId5" w:history="1">
        <w:r w:rsidRPr="00360553">
          <w:rPr>
            <w:rStyle w:val="Hyperlink"/>
          </w:rPr>
          <w:t>https://www.britannica.com/topic/performance-contract-law</w:t>
        </w:r>
      </w:hyperlink>
      <w:r w:rsidRPr="00360553">
        <w:rPr>
          <w:color w:val="000000"/>
        </w:rPr>
        <w:t>.</w:t>
      </w:r>
    </w:p>
    <w:p w14:paraId="3C6CA4D0" w14:textId="77777777" w:rsidR="00360553" w:rsidRPr="00360553" w:rsidRDefault="00360553" w:rsidP="00871E61">
      <w:pPr>
        <w:pStyle w:val="NormalWeb"/>
        <w:spacing w:before="0" w:beforeAutospacing="0" w:after="0" w:afterAutospacing="0" w:line="360" w:lineRule="atLeast"/>
        <w:jc w:val="both"/>
        <w:rPr>
          <w:color w:val="000000"/>
        </w:rPr>
      </w:pPr>
    </w:p>
    <w:p w14:paraId="05A1787A" w14:textId="785FB96C" w:rsidR="00360553" w:rsidRPr="00360553" w:rsidRDefault="00360553" w:rsidP="00871E61">
      <w:pPr>
        <w:pStyle w:val="NormalWeb"/>
        <w:spacing w:before="0" w:beforeAutospacing="0" w:after="0" w:afterAutospacing="0" w:line="360" w:lineRule="atLeast"/>
        <w:jc w:val="both"/>
        <w:rPr>
          <w:color w:val="000000"/>
        </w:rPr>
      </w:pPr>
      <w:r w:rsidRPr="00360553">
        <w:rPr>
          <w:color w:val="000000"/>
        </w:rPr>
        <w:t>‌</w:t>
      </w:r>
      <w:proofErr w:type="spellStart"/>
      <w:r w:rsidRPr="00360553">
        <w:rPr>
          <w:color w:val="000000"/>
        </w:rPr>
        <w:t>UpCounsel</w:t>
      </w:r>
      <w:proofErr w:type="spellEnd"/>
      <w:r w:rsidRPr="00360553">
        <w:rPr>
          <w:color w:val="000000"/>
        </w:rPr>
        <w:t>. (n.d.). </w:t>
      </w:r>
      <w:r w:rsidRPr="00360553">
        <w:rPr>
          <w:i/>
          <w:iCs/>
          <w:color w:val="000000"/>
        </w:rPr>
        <w:t>Everything You Need to Know About Discharge by Performance</w:t>
      </w:r>
      <w:r w:rsidRPr="00360553">
        <w:rPr>
          <w:color w:val="000000"/>
        </w:rPr>
        <w:t xml:space="preserve">. [online] Available at: </w:t>
      </w:r>
      <w:hyperlink r:id="rId6" w:history="1">
        <w:r w:rsidRPr="00360553">
          <w:rPr>
            <w:rStyle w:val="Hyperlink"/>
          </w:rPr>
          <w:t>https://www.upcounsel.com/discharge-by-performance</w:t>
        </w:r>
      </w:hyperlink>
      <w:r w:rsidRPr="00360553">
        <w:rPr>
          <w:color w:val="000000"/>
        </w:rPr>
        <w:t>.</w:t>
      </w:r>
    </w:p>
    <w:p w14:paraId="0B596A6F" w14:textId="77777777" w:rsidR="00360553" w:rsidRPr="00360553" w:rsidRDefault="00360553" w:rsidP="00871E61">
      <w:pPr>
        <w:pStyle w:val="NormalWeb"/>
        <w:spacing w:before="0" w:beforeAutospacing="0" w:after="0" w:afterAutospacing="0" w:line="360" w:lineRule="atLeast"/>
        <w:jc w:val="both"/>
        <w:rPr>
          <w:color w:val="000000"/>
        </w:rPr>
      </w:pPr>
    </w:p>
    <w:p w14:paraId="34B7D999" w14:textId="0C2382A6" w:rsidR="00871E61" w:rsidRPr="00871E61" w:rsidRDefault="00360553" w:rsidP="00871E61">
      <w:pPr>
        <w:pStyle w:val="NormalWeb"/>
        <w:spacing w:before="0" w:beforeAutospacing="0" w:after="0" w:afterAutospacing="0" w:line="360" w:lineRule="atLeast"/>
        <w:jc w:val="both"/>
        <w:rPr>
          <w:rFonts w:ascii="Calibri" w:hAnsi="Calibri" w:cs="Calibri"/>
          <w:color w:val="000000"/>
          <w:sz w:val="27"/>
          <w:szCs w:val="27"/>
        </w:rPr>
      </w:pPr>
      <w:r w:rsidRPr="00360553">
        <w:rPr>
          <w:color w:val="000000"/>
        </w:rPr>
        <w:t>www.bailii.org. (n.d.). </w:t>
      </w:r>
      <w:r w:rsidRPr="00360553">
        <w:rPr>
          <w:i/>
          <w:iCs/>
          <w:color w:val="000000"/>
        </w:rPr>
        <w:t>Cutter v Powell [1795] EWHC KB J13 (9 June 1795)</w:t>
      </w:r>
      <w:r w:rsidRPr="00360553">
        <w:rPr>
          <w:color w:val="000000"/>
        </w:rPr>
        <w:t xml:space="preserve">. [online] Available at: </w:t>
      </w:r>
      <w:hyperlink r:id="rId7" w:history="1">
        <w:r w:rsidRPr="00360553">
          <w:rPr>
            <w:rStyle w:val="Hyperlink"/>
          </w:rPr>
          <w:t>https://www.bailii.org/ew/cases/EWHC/KB/1795/J13.html</w:t>
        </w:r>
      </w:hyperlink>
      <w:r>
        <w:rPr>
          <w:rFonts w:ascii="Calibri" w:hAnsi="Calibri" w:cs="Calibri"/>
          <w:color w:val="000000"/>
          <w:sz w:val="27"/>
          <w:szCs w:val="27"/>
        </w:rPr>
        <w:t>.</w:t>
      </w:r>
    </w:p>
    <w:p w14:paraId="2CC623D8" w14:textId="7449225A" w:rsidR="00360553" w:rsidRPr="00871E61" w:rsidRDefault="00360553" w:rsidP="00871E61">
      <w:pPr>
        <w:pStyle w:val="NormalWeb"/>
        <w:jc w:val="both"/>
        <w:rPr>
          <w:color w:val="000000"/>
        </w:rPr>
      </w:pPr>
      <w:r w:rsidRPr="00871E61">
        <w:rPr>
          <w:color w:val="000000"/>
        </w:rPr>
        <w:t>(d)</w:t>
      </w:r>
    </w:p>
    <w:p w14:paraId="518FDCCA" w14:textId="48CF5D0F" w:rsidR="00360553" w:rsidRPr="00871E61" w:rsidRDefault="00360553" w:rsidP="00871E61">
      <w:pPr>
        <w:pStyle w:val="NormalWeb"/>
        <w:spacing w:before="0" w:beforeAutospacing="0" w:after="0" w:afterAutospacing="0" w:line="360" w:lineRule="atLeast"/>
        <w:jc w:val="both"/>
        <w:rPr>
          <w:color w:val="000000"/>
        </w:rPr>
      </w:pPr>
      <w:r w:rsidRPr="00871E61">
        <w:rPr>
          <w:color w:val="000000"/>
        </w:rPr>
        <w:t>contract | Definition, History, &amp; Facts. (2019). In: </w:t>
      </w:r>
      <w:proofErr w:type="spellStart"/>
      <w:r w:rsidRPr="00871E61">
        <w:rPr>
          <w:i/>
          <w:iCs/>
          <w:color w:val="000000"/>
        </w:rPr>
        <w:t>Encyclopædia</w:t>
      </w:r>
      <w:proofErr w:type="spellEnd"/>
      <w:r w:rsidRPr="00871E61">
        <w:rPr>
          <w:i/>
          <w:iCs/>
          <w:color w:val="000000"/>
        </w:rPr>
        <w:t xml:space="preserve"> Britannica</w:t>
      </w:r>
      <w:r w:rsidRPr="00871E61">
        <w:rPr>
          <w:color w:val="000000"/>
        </w:rPr>
        <w:t xml:space="preserve">. [online] Available at: </w:t>
      </w:r>
      <w:hyperlink r:id="rId8" w:history="1">
        <w:r w:rsidRPr="00871E61">
          <w:rPr>
            <w:rStyle w:val="Hyperlink"/>
          </w:rPr>
          <w:t>https://www.britannica.com/topic/contract-law</w:t>
        </w:r>
      </w:hyperlink>
      <w:r w:rsidRPr="00871E61">
        <w:rPr>
          <w:color w:val="000000"/>
        </w:rPr>
        <w:t>.</w:t>
      </w:r>
    </w:p>
    <w:p w14:paraId="4DF2417A" w14:textId="5631D5D9" w:rsidR="00360553" w:rsidRPr="00871E61" w:rsidRDefault="00360553" w:rsidP="00871E61">
      <w:pPr>
        <w:pStyle w:val="NormalWeb"/>
        <w:spacing w:before="0" w:beforeAutospacing="0" w:after="0" w:afterAutospacing="0" w:line="360" w:lineRule="atLeast"/>
        <w:jc w:val="both"/>
        <w:rPr>
          <w:color w:val="000000"/>
        </w:rPr>
      </w:pPr>
    </w:p>
    <w:p w14:paraId="7B4395C7" w14:textId="4F9D08E6" w:rsidR="00360553" w:rsidRPr="00871E61" w:rsidRDefault="00360553" w:rsidP="00871E61">
      <w:pPr>
        <w:pStyle w:val="NormalWeb"/>
        <w:spacing w:before="0" w:beforeAutospacing="0" w:after="0" w:afterAutospacing="0" w:line="360" w:lineRule="atLeast"/>
        <w:jc w:val="both"/>
        <w:rPr>
          <w:color w:val="000000"/>
        </w:rPr>
      </w:pPr>
      <w:proofErr w:type="spellStart"/>
      <w:r w:rsidRPr="00871E61">
        <w:rPr>
          <w:color w:val="000000"/>
        </w:rPr>
        <w:t>DocPro</w:t>
      </w:r>
      <w:proofErr w:type="spellEnd"/>
      <w:r w:rsidRPr="00871E61">
        <w:rPr>
          <w:color w:val="000000"/>
        </w:rPr>
        <w:t>. (n.d.). </w:t>
      </w:r>
      <w:r w:rsidRPr="00871E61">
        <w:rPr>
          <w:i/>
          <w:iCs/>
          <w:color w:val="000000"/>
        </w:rPr>
        <w:t>6 Essential Elements of a Valid Contract with Examples</w:t>
      </w:r>
      <w:r w:rsidRPr="00871E61">
        <w:rPr>
          <w:color w:val="000000"/>
        </w:rPr>
        <w:t xml:space="preserve">. [online] Available at: </w:t>
      </w:r>
      <w:hyperlink r:id="rId9" w:history="1">
        <w:r w:rsidRPr="00871E61">
          <w:rPr>
            <w:rStyle w:val="Hyperlink"/>
          </w:rPr>
          <w:t>https://docpro.com/blog14/6-essential-elements-of-a-valid-contract-with-examples</w:t>
        </w:r>
      </w:hyperlink>
      <w:r w:rsidRPr="00871E61">
        <w:rPr>
          <w:color w:val="000000"/>
        </w:rPr>
        <w:t>.</w:t>
      </w:r>
    </w:p>
    <w:p w14:paraId="5D364A4D" w14:textId="566B4DA0" w:rsidR="00360553" w:rsidRPr="00871E61" w:rsidRDefault="00360553" w:rsidP="00871E61">
      <w:pPr>
        <w:pStyle w:val="NormalWeb"/>
        <w:spacing w:before="0" w:beforeAutospacing="0" w:after="0" w:afterAutospacing="0" w:line="360" w:lineRule="atLeast"/>
        <w:jc w:val="both"/>
        <w:rPr>
          <w:color w:val="000000"/>
        </w:rPr>
      </w:pPr>
    </w:p>
    <w:p w14:paraId="1FF0FE6B" w14:textId="2BBDC78E" w:rsidR="00360553" w:rsidRPr="00871E61" w:rsidRDefault="00360553" w:rsidP="00871E61">
      <w:pPr>
        <w:pStyle w:val="NormalWeb"/>
        <w:spacing w:before="0" w:beforeAutospacing="0" w:after="0" w:afterAutospacing="0" w:line="360" w:lineRule="atLeast"/>
        <w:jc w:val="both"/>
        <w:rPr>
          <w:color w:val="000000"/>
        </w:rPr>
      </w:pPr>
      <w:proofErr w:type="spellStart"/>
      <w:r w:rsidRPr="00871E61">
        <w:rPr>
          <w:color w:val="000000"/>
        </w:rPr>
        <w:t>UpCounsel</w:t>
      </w:r>
      <w:proofErr w:type="spellEnd"/>
      <w:r w:rsidRPr="00871E61">
        <w:rPr>
          <w:color w:val="000000"/>
        </w:rPr>
        <w:t>. (2020). </w:t>
      </w:r>
      <w:r w:rsidRPr="00871E61">
        <w:rPr>
          <w:i/>
          <w:iCs/>
          <w:color w:val="000000"/>
        </w:rPr>
        <w:t>What Is a Valid Offer in Contract Law?</w:t>
      </w:r>
      <w:r w:rsidRPr="00871E61">
        <w:rPr>
          <w:color w:val="000000"/>
        </w:rPr>
        <w:t xml:space="preserve"> [online] Available at: </w:t>
      </w:r>
      <w:hyperlink r:id="rId10" w:history="1">
        <w:r w:rsidRPr="00871E61">
          <w:rPr>
            <w:rStyle w:val="Hyperlink"/>
          </w:rPr>
          <w:t>https://www.upcounsel.com/what-is-a-valid-offer-in-contract-law</w:t>
        </w:r>
      </w:hyperlink>
      <w:r w:rsidRPr="00871E61">
        <w:rPr>
          <w:color w:val="000000"/>
        </w:rPr>
        <w:t>.</w:t>
      </w:r>
    </w:p>
    <w:p w14:paraId="75977BA6" w14:textId="77777777" w:rsidR="00360553" w:rsidRPr="00871E61" w:rsidRDefault="00360553" w:rsidP="00871E61">
      <w:pPr>
        <w:pStyle w:val="NormalWeb"/>
        <w:spacing w:before="0" w:beforeAutospacing="0" w:after="0" w:afterAutospacing="0" w:line="360" w:lineRule="atLeast"/>
        <w:jc w:val="both"/>
        <w:rPr>
          <w:color w:val="000000"/>
        </w:rPr>
      </w:pPr>
    </w:p>
    <w:p w14:paraId="7F5BF2CB" w14:textId="5C034943" w:rsidR="00871E61" w:rsidRDefault="00360553" w:rsidP="00871E61">
      <w:pPr>
        <w:pStyle w:val="NormalWeb"/>
        <w:spacing w:before="0" w:beforeAutospacing="0" w:after="0" w:afterAutospacing="0" w:line="360" w:lineRule="atLeast"/>
        <w:jc w:val="both"/>
        <w:rPr>
          <w:color w:val="000000"/>
        </w:rPr>
      </w:pPr>
      <w:r w:rsidRPr="00871E61">
        <w:rPr>
          <w:color w:val="000000"/>
        </w:rPr>
        <w:t>‌</w:t>
      </w:r>
      <w:r w:rsidR="00871E61" w:rsidRPr="00871E61">
        <w:rPr>
          <w:color w:val="000000"/>
        </w:rPr>
        <w:t>Casebriefs.com. (2019). </w:t>
      </w:r>
      <w:r w:rsidR="00871E61" w:rsidRPr="00871E61">
        <w:rPr>
          <w:i/>
          <w:iCs/>
          <w:color w:val="000000"/>
        </w:rPr>
        <w:t xml:space="preserve">Carlill v. Carbolic Smoke Ball Co. - Case Brief for Law Students | </w:t>
      </w:r>
      <w:proofErr w:type="spellStart"/>
      <w:r w:rsidR="00871E61" w:rsidRPr="00871E61">
        <w:rPr>
          <w:i/>
          <w:iCs/>
          <w:color w:val="000000"/>
        </w:rPr>
        <w:t>Casebriefs</w:t>
      </w:r>
      <w:proofErr w:type="spellEnd"/>
      <w:r w:rsidR="00871E61" w:rsidRPr="00871E61">
        <w:rPr>
          <w:color w:val="000000"/>
        </w:rPr>
        <w:t xml:space="preserve">. [online] Available at: </w:t>
      </w:r>
      <w:hyperlink r:id="rId11" w:history="1">
        <w:r w:rsidR="00871E61" w:rsidRPr="00871E61">
          <w:rPr>
            <w:rStyle w:val="Hyperlink"/>
          </w:rPr>
          <w:t>https://www.casebriefs.com/blog/law/contracts/contracts-keyed-to-calamari/the-agreement-process/carlill-v-carbolic-smoke-ball-co-2/</w:t>
        </w:r>
      </w:hyperlink>
      <w:r w:rsidR="00871E61" w:rsidRPr="00871E61">
        <w:rPr>
          <w:color w:val="000000"/>
        </w:rPr>
        <w:t>.</w:t>
      </w:r>
    </w:p>
    <w:p w14:paraId="051E6E0E" w14:textId="77777777" w:rsidR="008F6B33" w:rsidRPr="008F6B33" w:rsidRDefault="008F6B33" w:rsidP="00871E61">
      <w:pPr>
        <w:pStyle w:val="NormalWeb"/>
        <w:spacing w:before="0" w:beforeAutospacing="0" w:after="0" w:afterAutospacing="0" w:line="360" w:lineRule="atLeast"/>
        <w:jc w:val="both"/>
        <w:rPr>
          <w:color w:val="000000"/>
        </w:rPr>
      </w:pPr>
    </w:p>
    <w:p w14:paraId="6B9A4A19" w14:textId="77777777" w:rsidR="00871E61" w:rsidRDefault="00871E61" w:rsidP="00871E61">
      <w:pPr>
        <w:pStyle w:val="NormalWeb"/>
        <w:rPr>
          <w:rFonts w:ascii="Calibri" w:hAnsi="Calibri" w:cs="Calibri"/>
          <w:color w:val="000000"/>
          <w:sz w:val="27"/>
          <w:szCs w:val="27"/>
        </w:rPr>
      </w:pPr>
      <w:r>
        <w:rPr>
          <w:rFonts w:ascii="Calibri" w:hAnsi="Calibri" w:cs="Calibri"/>
          <w:color w:val="000000"/>
          <w:sz w:val="27"/>
          <w:szCs w:val="27"/>
        </w:rPr>
        <w:t>‌</w:t>
      </w:r>
    </w:p>
    <w:p w14:paraId="7B5D0125" w14:textId="04E05B34" w:rsidR="00360553" w:rsidRDefault="00360553" w:rsidP="00360553">
      <w:pPr>
        <w:pStyle w:val="NormalWeb"/>
        <w:rPr>
          <w:rFonts w:ascii="Calibri" w:hAnsi="Calibri" w:cs="Calibri"/>
          <w:color w:val="000000"/>
          <w:sz w:val="27"/>
          <w:szCs w:val="27"/>
        </w:rPr>
      </w:pPr>
    </w:p>
    <w:p w14:paraId="2E179BAE" w14:textId="77777777" w:rsidR="00871E61" w:rsidRDefault="00871E61" w:rsidP="00360553">
      <w:pPr>
        <w:pStyle w:val="NormalWeb"/>
        <w:rPr>
          <w:rFonts w:ascii="Calibri" w:hAnsi="Calibri" w:cs="Calibri"/>
          <w:color w:val="000000"/>
          <w:sz w:val="27"/>
          <w:szCs w:val="27"/>
        </w:rPr>
      </w:pPr>
    </w:p>
    <w:p w14:paraId="6D8DC671" w14:textId="77777777" w:rsidR="00360553" w:rsidRDefault="00360553" w:rsidP="00360553">
      <w:pPr>
        <w:pStyle w:val="NormalWeb"/>
        <w:spacing w:before="0" w:beforeAutospacing="0" w:after="0" w:afterAutospacing="0" w:line="360" w:lineRule="atLeast"/>
        <w:rPr>
          <w:rFonts w:ascii="Calibri" w:hAnsi="Calibri" w:cs="Calibri"/>
          <w:color w:val="000000"/>
          <w:sz w:val="27"/>
          <w:szCs w:val="27"/>
        </w:rPr>
      </w:pPr>
    </w:p>
    <w:p w14:paraId="6AD5F25E" w14:textId="77777777" w:rsidR="00360553" w:rsidRDefault="00360553" w:rsidP="00360553">
      <w:pPr>
        <w:pStyle w:val="NormalWeb"/>
        <w:rPr>
          <w:rFonts w:ascii="Calibri" w:hAnsi="Calibri" w:cs="Calibri"/>
          <w:color w:val="000000"/>
          <w:sz w:val="27"/>
          <w:szCs w:val="27"/>
        </w:rPr>
      </w:pPr>
      <w:r>
        <w:rPr>
          <w:rFonts w:ascii="Calibri" w:hAnsi="Calibri" w:cs="Calibri"/>
          <w:color w:val="000000"/>
          <w:sz w:val="27"/>
          <w:szCs w:val="27"/>
        </w:rPr>
        <w:t>‌</w:t>
      </w:r>
    </w:p>
    <w:p w14:paraId="50E5D806" w14:textId="77777777" w:rsidR="00360553" w:rsidRDefault="00360553" w:rsidP="00360553">
      <w:pPr>
        <w:pStyle w:val="NormalWeb"/>
        <w:spacing w:before="0" w:beforeAutospacing="0" w:after="0" w:afterAutospacing="0" w:line="360" w:lineRule="atLeast"/>
        <w:rPr>
          <w:rFonts w:ascii="Calibri" w:hAnsi="Calibri" w:cs="Calibri"/>
          <w:color w:val="000000"/>
          <w:sz w:val="27"/>
          <w:szCs w:val="27"/>
        </w:rPr>
      </w:pPr>
    </w:p>
    <w:p w14:paraId="17160FDF" w14:textId="77777777" w:rsidR="00360553" w:rsidRDefault="00360553" w:rsidP="00360553">
      <w:pPr>
        <w:pStyle w:val="NormalWeb"/>
        <w:rPr>
          <w:rFonts w:ascii="Calibri" w:hAnsi="Calibri" w:cs="Calibri"/>
          <w:color w:val="000000"/>
          <w:sz w:val="27"/>
          <w:szCs w:val="27"/>
        </w:rPr>
      </w:pPr>
      <w:r>
        <w:rPr>
          <w:rFonts w:ascii="Calibri" w:hAnsi="Calibri" w:cs="Calibri"/>
          <w:color w:val="000000"/>
          <w:sz w:val="27"/>
          <w:szCs w:val="27"/>
        </w:rPr>
        <w:t>‌</w:t>
      </w:r>
    </w:p>
    <w:p w14:paraId="1B197AFA" w14:textId="77777777" w:rsidR="00360553" w:rsidRDefault="00360553" w:rsidP="00360553">
      <w:pPr>
        <w:pStyle w:val="NormalWeb"/>
        <w:rPr>
          <w:rFonts w:ascii="Calibri" w:hAnsi="Calibri" w:cs="Calibri"/>
          <w:color w:val="000000"/>
          <w:sz w:val="27"/>
          <w:szCs w:val="27"/>
        </w:rPr>
      </w:pPr>
    </w:p>
    <w:p w14:paraId="0F72C379" w14:textId="77777777" w:rsidR="00360553" w:rsidRDefault="00360553" w:rsidP="00360553">
      <w:pPr>
        <w:pStyle w:val="NormalWeb"/>
        <w:spacing w:before="0" w:beforeAutospacing="0" w:after="0" w:afterAutospacing="0" w:line="360" w:lineRule="atLeast"/>
        <w:rPr>
          <w:rFonts w:ascii="Calibri" w:hAnsi="Calibri" w:cs="Calibri"/>
          <w:color w:val="000000"/>
          <w:sz w:val="27"/>
          <w:szCs w:val="27"/>
        </w:rPr>
      </w:pPr>
    </w:p>
    <w:p w14:paraId="1E979B84" w14:textId="77777777" w:rsidR="00360553" w:rsidRDefault="00360553" w:rsidP="00360553">
      <w:pPr>
        <w:pStyle w:val="NormalWeb"/>
        <w:rPr>
          <w:rFonts w:ascii="Calibri" w:hAnsi="Calibri" w:cs="Calibri"/>
          <w:color w:val="000000"/>
          <w:sz w:val="27"/>
          <w:szCs w:val="27"/>
        </w:rPr>
      </w:pPr>
      <w:r>
        <w:rPr>
          <w:rFonts w:ascii="Calibri" w:hAnsi="Calibri" w:cs="Calibri"/>
          <w:color w:val="000000"/>
          <w:sz w:val="27"/>
          <w:szCs w:val="27"/>
        </w:rPr>
        <w:t>‌</w:t>
      </w:r>
    </w:p>
    <w:p w14:paraId="457C92B3" w14:textId="3935DD76" w:rsidR="00360553" w:rsidRDefault="00360553" w:rsidP="00360553">
      <w:pPr>
        <w:pStyle w:val="NormalWeb"/>
        <w:rPr>
          <w:rFonts w:ascii="Calibri" w:hAnsi="Calibri" w:cs="Calibri"/>
          <w:color w:val="000000"/>
          <w:sz w:val="27"/>
          <w:szCs w:val="27"/>
        </w:rPr>
      </w:pPr>
    </w:p>
    <w:p w14:paraId="0E496AA1" w14:textId="77777777" w:rsidR="00360553" w:rsidRDefault="00360553" w:rsidP="008E5108">
      <w:pPr>
        <w:pStyle w:val="NormalWeb"/>
        <w:rPr>
          <w:rFonts w:ascii="Calibri" w:hAnsi="Calibri" w:cs="Calibri"/>
          <w:color w:val="000000"/>
          <w:sz w:val="27"/>
          <w:szCs w:val="27"/>
        </w:rPr>
      </w:pPr>
    </w:p>
    <w:p w14:paraId="32E5571E" w14:textId="77777777" w:rsidR="008E5108" w:rsidRDefault="008E5108" w:rsidP="000A665D">
      <w:pPr>
        <w:jc w:val="both"/>
      </w:pPr>
    </w:p>
    <w:sectPr w:rsidR="008E51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CCF"/>
    <w:rsid w:val="000A665D"/>
    <w:rsid w:val="000C505C"/>
    <w:rsid w:val="001224BB"/>
    <w:rsid w:val="00360553"/>
    <w:rsid w:val="00677900"/>
    <w:rsid w:val="00691BA2"/>
    <w:rsid w:val="007670E4"/>
    <w:rsid w:val="00871E61"/>
    <w:rsid w:val="008E5108"/>
    <w:rsid w:val="008F6B33"/>
    <w:rsid w:val="00F12CCF"/>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56696353"/>
  <w15:chartTrackingRefBased/>
  <w15:docId w15:val="{585B0B6C-090E-374F-9073-7F632212A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MY"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670E4"/>
    <w:rPr>
      <w:color w:val="0563C1" w:themeColor="hyperlink"/>
      <w:u w:val="single"/>
    </w:rPr>
  </w:style>
  <w:style w:type="character" w:styleId="UnresolvedMention">
    <w:name w:val="Unresolved Mention"/>
    <w:basedOn w:val="DefaultParagraphFont"/>
    <w:uiPriority w:val="99"/>
    <w:semiHidden/>
    <w:unhideWhenUsed/>
    <w:rsid w:val="007670E4"/>
    <w:rPr>
      <w:color w:val="605E5C"/>
      <w:shd w:val="clear" w:color="auto" w:fill="E1DFDD"/>
    </w:rPr>
  </w:style>
  <w:style w:type="paragraph" w:styleId="NormalWeb">
    <w:name w:val="Normal (Web)"/>
    <w:basedOn w:val="Normal"/>
    <w:uiPriority w:val="99"/>
    <w:semiHidden/>
    <w:unhideWhenUsed/>
    <w:rsid w:val="000A665D"/>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0A66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93630">
      <w:bodyDiv w:val="1"/>
      <w:marLeft w:val="0"/>
      <w:marRight w:val="0"/>
      <w:marTop w:val="0"/>
      <w:marBottom w:val="0"/>
      <w:divBdr>
        <w:top w:val="none" w:sz="0" w:space="0" w:color="auto"/>
        <w:left w:val="none" w:sz="0" w:space="0" w:color="auto"/>
        <w:bottom w:val="none" w:sz="0" w:space="0" w:color="auto"/>
        <w:right w:val="none" w:sz="0" w:space="0" w:color="auto"/>
      </w:divBdr>
    </w:div>
    <w:div w:id="331030398">
      <w:bodyDiv w:val="1"/>
      <w:marLeft w:val="0"/>
      <w:marRight w:val="0"/>
      <w:marTop w:val="0"/>
      <w:marBottom w:val="0"/>
      <w:divBdr>
        <w:top w:val="none" w:sz="0" w:space="0" w:color="auto"/>
        <w:left w:val="none" w:sz="0" w:space="0" w:color="auto"/>
        <w:bottom w:val="none" w:sz="0" w:space="0" w:color="auto"/>
        <w:right w:val="none" w:sz="0" w:space="0" w:color="auto"/>
      </w:divBdr>
    </w:div>
    <w:div w:id="588083637">
      <w:bodyDiv w:val="1"/>
      <w:marLeft w:val="0"/>
      <w:marRight w:val="0"/>
      <w:marTop w:val="0"/>
      <w:marBottom w:val="0"/>
      <w:divBdr>
        <w:top w:val="none" w:sz="0" w:space="0" w:color="auto"/>
        <w:left w:val="none" w:sz="0" w:space="0" w:color="auto"/>
        <w:bottom w:val="none" w:sz="0" w:space="0" w:color="auto"/>
        <w:right w:val="none" w:sz="0" w:space="0" w:color="auto"/>
      </w:divBdr>
    </w:div>
    <w:div w:id="649793169">
      <w:bodyDiv w:val="1"/>
      <w:marLeft w:val="0"/>
      <w:marRight w:val="0"/>
      <w:marTop w:val="0"/>
      <w:marBottom w:val="0"/>
      <w:divBdr>
        <w:top w:val="none" w:sz="0" w:space="0" w:color="auto"/>
        <w:left w:val="none" w:sz="0" w:space="0" w:color="auto"/>
        <w:bottom w:val="none" w:sz="0" w:space="0" w:color="auto"/>
        <w:right w:val="none" w:sz="0" w:space="0" w:color="auto"/>
      </w:divBdr>
    </w:div>
    <w:div w:id="938294840">
      <w:bodyDiv w:val="1"/>
      <w:marLeft w:val="0"/>
      <w:marRight w:val="0"/>
      <w:marTop w:val="0"/>
      <w:marBottom w:val="0"/>
      <w:divBdr>
        <w:top w:val="none" w:sz="0" w:space="0" w:color="auto"/>
        <w:left w:val="none" w:sz="0" w:space="0" w:color="auto"/>
        <w:bottom w:val="none" w:sz="0" w:space="0" w:color="auto"/>
        <w:right w:val="none" w:sz="0" w:space="0" w:color="auto"/>
      </w:divBdr>
    </w:div>
    <w:div w:id="1108157237">
      <w:bodyDiv w:val="1"/>
      <w:marLeft w:val="0"/>
      <w:marRight w:val="0"/>
      <w:marTop w:val="0"/>
      <w:marBottom w:val="0"/>
      <w:divBdr>
        <w:top w:val="none" w:sz="0" w:space="0" w:color="auto"/>
        <w:left w:val="none" w:sz="0" w:space="0" w:color="auto"/>
        <w:bottom w:val="none" w:sz="0" w:space="0" w:color="auto"/>
        <w:right w:val="none" w:sz="0" w:space="0" w:color="auto"/>
      </w:divBdr>
    </w:div>
    <w:div w:id="1406535741">
      <w:bodyDiv w:val="1"/>
      <w:marLeft w:val="0"/>
      <w:marRight w:val="0"/>
      <w:marTop w:val="0"/>
      <w:marBottom w:val="0"/>
      <w:divBdr>
        <w:top w:val="none" w:sz="0" w:space="0" w:color="auto"/>
        <w:left w:val="none" w:sz="0" w:space="0" w:color="auto"/>
        <w:bottom w:val="none" w:sz="0" w:space="0" w:color="auto"/>
        <w:right w:val="none" w:sz="0" w:space="0" w:color="auto"/>
      </w:divBdr>
    </w:div>
    <w:div w:id="1498109334">
      <w:bodyDiv w:val="1"/>
      <w:marLeft w:val="0"/>
      <w:marRight w:val="0"/>
      <w:marTop w:val="0"/>
      <w:marBottom w:val="0"/>
      <w:divBdr>
        <w:top w:val="none" w:sz="0" w:space="0" w:color="auto"/>
        <w:left w:val="none" w:sz="0" w:space="0" w:color="auto"/>
        <w:bottom w:val="none" w:sz="0" w:space="0" w:color="auto"/>
        <w:right w:val="none" w:sz="0" w:space="0" w:color="auto"/>
      </w:divBdr>
    </w:div>
    <w:div w:id="1622301779">
      <w:bodyDiv w:val="1"/>
      <w:marLeft w:val="0"/>
      <w:marRight w:val="0"/>
      <w:marTop w:val="0"/>
      <w:marBottom w:val="0"/>
      <w:divBdr>
        <w:top w:val="none" w:sz="0" w:space="0" w:color="auto"/>
        <w:left w:val="none" w:sz="0" w:space="0" w:color="auto"/>
        <w:bottom w:val="none" w:sz="0" w:space="0" w:color="auto"/>
        <w:right w:val="none" w:sz="0" w:space="0" w:color="auto"/>
      </w:divBdr>
    </w:div>
    <w:div w:id="1652706792">
      <w:bodyDiv w:val="1"/>
      <w:marLeft w:val="0"/>
      <w:marRight w:val="0"/>
      <w:marTop w:val="0"/>
      <w:marBottom w:val="0"/>
      <w:divBdr>
        <w:top w:val="none" w:sz="0" w:space="0" w:color="auto"/>
        <w:left w:val="none" w:sz="0" w:space="0" w:color="auto"/>
        <w:bottom w:val="none" w:sz="0" w:space="0" w:color="auto"/>
        <w:right w:val="none" w:sz="0" w:space="0" w:color="auto"/>
      </w:divBdr>
    </w:div>
    <w:div w:id="1783458273">
      <w:bodyDiv w:val="1"/>
      <w:marLeft w:val="0"/>
      <w:marRight w:val="0"/>
      <w:marTop w:val="0"/>
      <w:marBottom w:val="0"/>
      <w:divBdr>
        <w:top w:val="none" w:sz="0" w:space="0" w:color="auto"/>
        <w:left w:val="none" w:sz="0" w:space="0" w:color="auto"/>
        <w:bottom w:val="none" w:sz="0" w:space="0" w:color="auto"/>
        <w:right w:val="none" w:sz="0" w:space="0" w:color="auto"/>
      </w:divBdr>
    </w:div>
    <w:div w:id="1813598967">
      <w:bodyDiv w:val="1"/>
      <w:marLeft w:val="0"/>
      <w:marRight w:val="0"/>
      <w:marTop w:val="0"/>
      <w:marBottom w:val="0"/>
      <w:divBdr>
        <w:top w:val="none" w:sz="0" w:space="0" w:color="auto"/>
        <w:left w:val="none" w:sz="0" w:space="0" w:color="auto"/>
        <w:bottom w:val="none" w:sz="0" w:space="0" w:color="auto"/>
        <w:right w:val="none" w:sz="0" w:space="0" w:color="auto"/>
      </w:divBdr>
    </w:div>
    <w:div w:id="1948078027">
      <w:bodyDiv w:val="1"/>
      <w:marLeft w:val="0"/>
      <w:marRight w:val="0"/>
      <w:marTop w:val="0"/>
      <w:marBottom w:val="0"/>
      <w:divBdr>
        <w:top w:val="none" w:sz="0" w:space="0" w:color="auto"/>
        <w:left w:val="none" w:sz="0" w:space="0" w:color="auto"/>
        <w:bottom w:val="none" w:sz="0" w:space="0" w:color="auto"/>
        <w:right w:val="none" w:sz="0" w:space="0" w:color="auto"/>
      </w:divBdr>
    </w:div>
    <w:div w:id="1969898134">
      <w:bodyDiv w:val="1"/>
      <w:marLeft w:val="0"/>
      <w:marRight w:val="0"/>
      <w:marTop w:val="0"/>
      <w:marBottom w:val="0"/>
      <w:divBdr>
        <w:top w:val="none" w:sz="0" w:space="0" w:color="auto"/>
        <w:left w:val="none" w:sz="0" w:space="0" w:color="auto"/>
        <w:bottom w:val="none" w:sz="0" w:space="0" w:color="auto"/>
        <w:right w:val="none" w:sz="0" w:space="0" w:color="auto"/>
      </w:divBdr>
    </w:div>
    <w:div w:id="2125806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ontract-la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ailii.org/ew/cases/EWHC/KB/1795/J13.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pcounsel.com/discharge-by-performance" TargetMode="External"/><Relationship Id="rId11" Type="http://schemas.openxmlformats.org/officeDocument/2006/relationships/hyperlink" Target="https://www.casebriefs.com/blog/law/contracts/contracts-keyed-to-calamari/the-agreement-process/carlill-v-carbolic-smoke-ball-co-2/" TargetMode="External"/><Relationship Id="rId5" Type="http://schemas.openxmlformats.org/officeDocument/2006/relationships/hyperlink" Target="https://www.britannica.com/topic/performance-contract-law" TargetMode="External"/><Relationship Id="rId10" Type="http://schemas.openxmlformats.org/officeDocument/2006/relationships/hyperlink" Target="https://www.upcounsel.com/what-is-a-valid-offer-in-contract-law" TargetMode="External"/><Relationship Id="rId4" Type="http://schemas.openxmlformats.org/officeDocument/2006/relationships/hyperlink" Target="https://www.lexisnexis.co.uk/legal/glossary/privity-of-contract" TargetMode="External"/><Relationship Id="rId9" Type="http://schemas.openxmlformats.org/officeDocument/2006/relationships/hyperlink" Target="https://docpro.com/blog14/6-essential-elements-of-a-valid-contract-with-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NURAIN SYAZWANI BINTI KAMARUL AZAM</dc:creator>
  <cp:keywords/>
  <dc:description/>
  <cp:lastModifiedBy>NURAIN SYAZWANI BINTI KAMARUL AZAM</cp:lastModifiedBy>
  <cp:revision>1</cp:revision>
  <dcterms:created xsi:type="dcterms:W3CDTF">2022-03-04T15:57:00Z</dcterms:created>
  <dcterms:modified xsi:type="dcterms:W3CDTF">2022-03-04T17:00:00Z</dcterms:modified>
</cp:coreProperties>
</file>