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DE807" w14:textId="46AB3127" w:rsidR="009014E1" w:rsidRPr="00C8526D" w:rsidRDefault="009014E1" w:rsidP="007427C6">
      <w:pPr>
        <w:spacing w:before="120" w:after="120" w:line="360" w:lineRule="auto"/>
        <w:jc w:val="center"/>
        <w:rPr>
          <w:rFonts w:ascii="Arial" w:hAnsi="Arial" w:cs="Arial"/>
          <w:b/>
          <w:sz w:val="22"/>
          <w:szCs w:val="22"/>
        </w:rPr>
      </w:pPr>
      <w:r w:rsidRPr="00C8526D">
        <w:rPr>
          <w:rFonts w:ascii="Arial" w:hAnsi="Arial" w:cs="Arial"/>
          <w:b/>
          <w:bCs/>
          <w:sz w:val="22"/>
          <w:szCs w:val="22"/>
        </w:rPr>
        <w:t xml:space="preserve">Assignment title - </w:t>
      </w:r>
      <w:r w:rsidRPr="00C8526D">
        <w:rPr>
          <w:rFonts w:ascii="Arial" w:hAnsi="Arial" w:cs="Arial"/>
          <w:b/>
          <w:sz w:val="22"/>
          <w:szCs w:val="22"/>
        </w:rPr>
        <w:t>Principles of Health and Social Care Practice</w:t>
      </w:r>
    </w:p>
    <w:p w14:paraId="755BC488" w14:textId="0CEE8C01" w:rsidR="009014E1" w:rsidRPr="00C8526D" w:rsidRDefault="009014E1" w:rsidP="007427C6">
      <w:pPr>
        <w:spacing w:line="360" w:lineRule="auto"/>
        <w:rPr>
          <w:rFonts w:ascii="Arial" w:hAnsi="Arial" w:cs="Arial"/>
          <w:b/>
          <w:bCs/>
          <w:sz w:val="22"/>
          <w:szCs w:val="22"/>
        </w:rPr>
      </w:pPr>
      <w:r w:rsidRPr="00C8526D">
        <w:rPr>
          <w:rFonts w:ascii="Arial" w:hAnsi="Arial" w:cs="Arial"/>
          <w:b/>
          <w:bCs/>
          <w:sz w:val="22"/>
          <w:szCs w:val="22"/>
        </w:rPr>
        <w:t xml:space="preserve">                                                      Name - Babita Masih</w:t>
      </w:r>
    </w:p>
    <w:p w14:paraId="5C8F90D0" w14:textId="77777777" w:rsidR="009014E1" w:rsidRPr="00C8526D" w:rsidRDefault="009014E1" w:rsidP="007427C6">
      <w:pPr>
        <w:spacing w:line="360" w:lineRule="auto"/>
        <w:jc w:val="center"/>
        <w:rPr>
          <w:rFonts w:ascii="Arial" w:hAnsi="Arial" w:cs="Arial"/>
          <w:b/>
          <w:bCs/>
          <w:sz w:val="22"/>
          <w:szCs w:val="22"/>
        </w:rPr>
      </w:pPr>
      <w:r w:rsidRPr="00C8526D">
        <w:rPr>
          <w:rFonts w:ascii="Arial" w:hAnsi="Arial" w:cs="Arial"/>
          <w:b/>
          <w:bCs/>
          <w:sz w:val="22"/>
          <w:szCs w:val="22"/>
        </w:rPr>
        <w:t>Student Number - 2409655</w:t>
      </w:r>
    </w:p>
    <w:p w14:paraId="0AB35BB3" w14:textId="2323F588" w:rsidR="009014E1" w:rsidRPr="00C8526D" w:rsidRDefault="009014E1" w:rsidP="007427C6">
      <w:pPr>
        <w:spacing w:line="360" w:lineRule="auto"/>
        <w:jc w:val="center"/>
        <w:rPr>
          <w:rFonts w:ascii="Arial" w:hAnsi="Arial" w:cs="Arial"/>
          <w:b/>
          <w:bCs/>
          <w:sz w:val="22"/>
          <w:szCs w:val="22"/>
        </w:rPr>
      </w:pPr>
      <w:r w:rsidRPr="00C8526D">
        <w:rPr>
          <w:rFonts w:ascii="Arial" w:hAnsi="Arial" w:cs="Arial"/>
          <w:b/>
          <w:bCs/>
          <w:sz w:val="22"/>
          <w:szCs w:val="22"/>
        </w:rPr>
        <w:t>Module code – BMHP5016</w:t>
      </w:r>
      <w:r w:rsidRPr="00C8526D">
        <w:rPr>
          <w:rFonts w:ascii="Arial" w:hAnsi="Arial" w:cs="Arial"/>
          <w:b/>
          <w:bCs/>
          <w:sz w:val="22"/>
          <w:szCs w:val="22"/>
        </w:rPr>
        <w:tab/>
      </w:r>
    </w:p>
    <w:p w14:paraId="1DD1973B" w14:textId="2DE00FDD" w:rsidR="009014E1" w:rsidRPr="00C8526D" w:rsidRDefault="009014E1" w:rsidP="007427C6">
      <w:pPr>
        <w:spacing w:line="360" w:lineRule="auto"/>
        <w:jc w:val="center"/>
        <w:rPr>
          <w:rFonts w:ascii="Arial" w:hAnsi="Arial" w:cs="Arial"/>
          <w:b/>
          <w:bCs/>
          <w:sz w:val="22"/>
          <w:szCs w:val="22"/>
        </w:rPr>
      </w:pPr>
      <w:r w:rsidRPr="00C8526D">
        <w:rPr>
          <w:rFonts w:ascii="Arial" w:hAnsi="Arial" w:cs="Arial"/>
          <w:b/>
          <w:bCs/>
          <w:sz w:val="22"/>
          <w:szCs w:val="22"/>
        </w:rPr>
        <w:t>Word count – 25</w:t>
      </w:r>
      <w:r w:rsidR="009E0735" w:rsidRPr="00C8526D">
        <w:rPr>
          <w:rFonts w:ascii="Arial" w:hAnsi="Arial" w:cs="Arial"/>
          <w:b/>
          <w:bCs/>
          <w:sz w:val="22"/>
          <w:szCs w:val="22"/>
        </w:rPr>
        <w:t>05</w:t>
      </w:r>
    </w:p>
    <w:p w14:paraId="0CA36490" w14:textId="1878FD3E" w:rsidR="009014E1" w:rsidRPr="00C8526D" w:rsidRDefault="009014E1" w:rsidP="007427C6">
      <w:pPr>
        <w:spacing w:line="360" w:lineRule="auto"/>
        <w:jc w:val="center"/>
        <w:rPr>
          <w:rFonts w:ascii="Arial" w:hAnsi="Arial" w:cs="Arial"/>
          <w:b/>
          <w:bCs/>
          <w:sz w:val="22"/>
          <w:szCs w:val="22"/>
        </w:rPr>
      </w:pPr>
      <w:r w:rsidRPr="00C8526D">
        <w:rPr>
          <w:rFonts w:ascii="Arial" w:hAnsi="Arial" w:cs="Arial"/>
          <w:b/>
          <w:bCs/>
          <w:sz w:val="22"/>
          <w:szCs w:val="22"/>
        </w:rPr>
        <w:t>Submission – 17</w:t>
      </w:r>
      <w:r w:rsidRPr="00C8526D">
        <w:rPr>
          <w:rFonts w:ascii="Arial" w:hAnsi="Arial" w:cs="Arial"/>
          <w:b/>
          <w:bCs/>
          <w:sz w:val="22"/>
          <w:szCs w:val="22"/>
          <w:vertAlign w:val="superscript"/>
        </w:rPr>
        <w:t>th</w:t>
      </w:r>
      <w:r w:rsidRPr="00C8526D">
        <w:rPr>
          <w:rFonts w:ascii="Arial" w:hAnsi="Arial" w:cs="Arial"/>
          <w:b/>
          <w:bCs/>
          <w:sz w:val="22"/>
          <w:szCs w:val="22"/>
        </w:rPr>
        <w:t xml:space="preserve"> November 2025</w:t>
      </w:r>
    </w:p>
    <w:p w14:paraId="163C83E3" w14:textId="77777777" w:rsidR="009014E1" w:rsidRPr="00C8526D" w:rsidRDefault="009014E1" w:rsidP="007427C6">
      <w:pPr>
        <w:spacing w:line="360" w:lineRule="auto"/>
        <w:rPr>
          <w:rFonts w:ascii="Arial" w:hAnsi="Arial" w:cs="Arial"/>
          <w:b/>
          <w:bCs/>
          <w:sz w:val="22"/>
          <w:szCs w:val="22"/>
        </w:rPr>
      </w:pPr>
    </w:p>
    <w:p w14:paraId="4C6D241D" w14:textId="77777777" w:rsidR="009014E1" w:rsidRPr="00C8526D" w:rsidRDefault="009014E1" w:rsidP="007427C6">
      <w:pPr>
        <w:spacing w:line="360" w:lineRule="auto"/>
        <w:rPr>
          <w:rFonts w:ascii="Arial" w:hAnsi="Arial" w:cs="Arial"/>
          <w:b/>
          <w:bCs/>
          <w:sz w:val="22"/>
          <w:szCs w:val="22"/>
        </w:rPr>
      </w:pPr>
    </w:p>
    <w:p w14:paraId="71DA4236" w14:textId="77777777" w:rsidR="009014E1" w:rsidRPr="00C8526D" w:rsidRDefault="009014E1" w:rsidP="007427C6">
      <w:pPr>
        <w:spacing w:line="360" w:lineRule="auto"/>
        <w:rPr>
          <w:rFonts w:ascii="Arial" w:hAnsi="Arial" w:cs="Arial"/>
          <w:b/>
          <w:bCs/>
          <w:sz w:val="22"/>
          <w:szCs w:val="22"/>
        </w:rPr>
      </w:pPr>
    </w:p>
    <w:p w14:paraId="591AEE3E" w14:textId="77777777" w:rsidR="009014E1" w:rsidRPr="00C8526D" w:rsidRDefault="009014E1" w:rsidP="007427C6">
      <w:pPr>
        <w:spacing w:line="360" w:lineRule="auto"/>
        <w:rPr>
          <w:rFonts w:ascii="Arial" w:hAnsi="Arial" w:cs="Arial"/>
          <w:b/>
          <w:bCs/>
          <w:sz w:val="22"/>
          <w:szCs w:val="22"/>
        </w:rPr>
      </w:pPr>
    </w:p>
    <w:p w14:paraId="0FD5695C" w14:textId="77777777" w:rsidR="009014E1" w:rsidRPr="00C8526D" w:rsidRDefault="009014E1" w:rsidP="007427C6">
      <w:pPr>
        <w:spacing w:line="360" w:lineRule="auto"/>
        <w:rPr>
          <w:rFonts w:ascii="Arial" w:hAnsi="Arial" w:cs="Arial"/>
          <w:b/>
          <w:bCs/>
          <w:sz w:val="22"/>
          <w:szCs w:val="22"/>
        </w:rPr>
      </w:pPr>
    </w:p>
    <w:p w14:paraId="352E3308" w14:textId="77777777" w:rsidR="009014E1" w:rsidRPr="00C8526D" w:rsidRDefault="009014E1" w:rsidP="007427C6">
      <w:pPr>
        <w:spacing w:line="360" w:lineRule="auto"/>
        <w:rPr>
          <w:rFonts w:ascii="Arial" w:hAnsi="Arial" w:cs="Arial"/>
          <w:b/>
          <w:bCs/>
          <w:sz w:val="22"/>
          <w:szCs w:val="22"/>
        </w:rPr>
      </w:pPr>
    </w:p>
    <w:p w14:paraId="6CCE1104" w14:textId="77777777" w:rsidR="009014E1" w:rsidRPr="00C8526D" w:rsidRDefault="009014E1" w:rsidP="007427C6">
      <w:pPr>
        <w:spacing w:line="360" w:lineRule="auto"/>
        <w:rPr>
          <w:rFonts w:ascii="Arial" w:hAnsi="Arial" w:cs="Arial"/>
          <w:b/>
          <w:bCs/>
          <w:sz w:val="22"/>
          <w:szCs w:val="22"/>
        </w:rPr>
      </w:pPr>
    </w:p>
    <w:p w14:paraId="3189DF33" w14:textId="77777777" w:rsidR="009014E1" w:rsidRPr="00C8526D" w:rsidRDefault="009014E1" w:rsidP="007427C6">
      <w:pPr>
        <w:spacing w:line="360" w:lineRule="auto"/>
        <w:rPr>
          <w:rFonts w:ascii="Arial" w:hAnsi="Arial" w:cs="Arial"/>
          <w:b/>
          <w:bCs/>
          <w:sz w:val="22"/>
          <w:szCs w:val="22"/>
        </w:rPr>
      </w:pPr>
    </w:p>
    <w:p w14:paraId="08668FE4" w14:textId="77777777" w:rsidR="009014E1" w:rsidRPr="00C8526D" w:rsidRDefault="009014E1" w:rsidP="007427C6">
      <w:pPr>
        <w:spacing w:line="360" w:lineRule="auto"/>
        <w:rPr>
          <w:rFonts w:ascii="Arial" w:hAnsi="Arial" w:cs="Arial"/>
          <w:b/>
          <w:bCs/>
          <w:sz w:val="22"/>
          <w:szCs w:val="22"/>
        </w:rPr>
      </w:pPr>
    </w:p>
    <w:p w14:paraId="6FCADEEA" w14:textId="77777777" w:rsidR="009014E1" w:rsidRPr="00C8526D" w:rsidRDefault="009014E1" w:rsidP="007427C6">
      <w:pPr>
        <w:spacing w:line="360" w:lineRule="auto"/>
        <w:rPr>
          <w:rFonts w:ascii="Arial" w:hAnsi="Arial" w:cs="Arial"/>
          <w:b/>
          <w:bCs/>
          <w:sz w:val="22"/>
          <w:szCs w:val="22"/>
        </w:rPr>
      </w:pPr>
    </w:p>
    <w:p w14:paraId="47A7B955" w14:textId="77777777" w:rsidR="009014E1" w:rsidRPr="00C8526D" w:rsidRDefault="009014E1" w:rsidP="007427C6">
      <w:pPr>
        <w:spacing w:line="360" w:lineRule="auto"/>
        <w:rPr>
          <w:rFonts w:ascii="Arial" w:hAnsi="Arial" w:cs="Arial"/>
          <w:b/>
          <w:bCs/>
          <w:sz w:val="22"/>
          <w:szCs w:val="22"/>
        </w:rPr>
      </w:pPr>
    </w:p>
    <w:p w14:paraId="5EA3B081" w14:textId="77777777" w:rsidR="009014E1" w:rsidRPr="00C8526D" w:rsidRDefault="009014E1" w:rsidP="007427C6">
      <w:pPr>
        <w:spacing w:line="360" w:lineRule="auto"/>
        <w:rPr>
          <w:rFonts w:ascii="Arial" w:hAnsi="Arial" w:cs="Arial"/>
          <w:b/>
          <w:bCs/>
          <w:sz w:val="22"/>
          <w:szCs w:val="22"/>
        </w:rPr>
      </w:pPr>
    </w:p>
    <w:p w14:paraId="35440400" w14:textId="77777777" w:rsidR="009014E1" w:rsidRPr="00C8526D" w:rsidRDefault="009014E1" w:rsidP="007427C6">
      <w:pPr>
        <w:spacing w:line="360" w:lineRule="auto"/>
        <w:rPr>
          <w:rFonts w:ascii="Arial" w:hAnsi="Arial" w:cs="Arial"/>
          <w:b/>
          <w:bCs/>
          <w:sz w:val="22"/>
          <w:szCs w:val="22"/>
        </w:rPr>
      </w:pPr>
    </w:p>
    <w:p w14:paraId="5D351998" w14:textId="77777777" w:rsidR="009014E1" w:rsidRPr="00C8526D" w:rsidRDefault="009014E1" w:rsidP="007427C6">
      <w:pPr>
        <w:spacing w:line="360" w:lineRule="auto"/>
        <w:rPr>
          <w:rFonts w:ascii="Arial" w:hAnsi="Arial" w:cs="Arial"/>
          <w:b/>
          <w:bCs/>
          <w:sz w:val="22"/>
          <w:szCs w:val="22"/>
        </w:rPr>
      </w:pPr>
    </w:p>
    <w:p w14:paraId="4C1FF732" w14:textId="77777777" w:rsidR="009014E1" w:rsidRPr="00C8526D" w:rsidRDefault="009014E1" w:rsidP="007427C6">
      <w:pPr>
        <w:spacing w:line="360" w:lineRule="auto"/>
        <w:rPr>
          <w:rFonts w:ascii="Arial" w:hAnsi="Arial" w:cs="Arial"/>
          <w:b/>
          <w:bCs/>
          <w:sz w:val="22"/>
          <w:szCs w:val="22"/>
        </w:rPr>
      </w:pPr>
    </w:p>
    <w:p w14:paraId="1E9E7768" w14:textId="77777777" w:rsidR="009014E1" w:rsidRPr="00C8526D" w:rsidRDefault="009014E1" w:rsidP="007427C6">
      <w:pPr>
        <w:spacing w:line="360" w:lineRule="auto"/>
        <w:rPr>
          <w:rFonts w:ascii="Arial" w:hAnsi="Arial" w:cs="Arial"/>
          <w:b/>
          <w:bCs/>
          <w:sz w:val="22"/>
          <w:szCs w:val="22"/>
        </w:rPr>
      </w:pPr>
    </w:p>
    <w:p w14:paraId="7C36EA15" w14:textId="77777777" w:rsidR="009014E1" w:rsidRPr="00C8526D" w:rsidRDefault="009014E1" w:rsidP="007427C6">
      <w:pPr>
        <w:spacing w:line="360" w:lineRule="auto"/>
        <w:rPr>
          <w:rFonts w:ascii="Arial" w:hAnsi="Arial" w:cs="Arial"/>
          <w:b/>
          <w:bCs/>
          <w:sz w:val="22"/>
          <w:szCs w:val="22"/>
        </w:rPr>
      </w:pPr>
    </w:p>
    <w:p w14:paraId="7B1AA2B6" w14:textId="77777777" w:rsidR="009014E1" w:rsidRPr="00C8526D" w:rsidRDefault="009014E1" w:rsidP="007427C6">
      <w:pPr>
        <w:spacing w:line="360" w:lineRule="auto"/>
        <w:rPr>
          <w:rFonts w:ascii="Arial" w:hAnsi="Arial" w:cs="Arial"/>
          <w:b/>
          <w:bCs/>
          <w:sz w:val="22"/>
          <w:szCs w:val="22"/>
        </w:rPr>
      </w:pPr>
    </w:p>
    <w:p w14:paraId="4927CE39" w14:textId="77777777" w:rsidR="00640ADD" w:rsidRPr="00C8526D" w:rsidRDefault="00640ADD" w:rsidP="007427C6">
      <w:pPr>
        <w:spacing w:line="360" w:lineRule="auto"/>
        <w:rPr>
          <w:rFonts w:ascii="Arial" w:hAnsi="Arial" w:cs="Arial"/>
          <w:b/>
          <w:bCs/>
          <w:sz w:val="22"/>
          <w:szCs w:val="22"/>
        </w:rPr>
      </w:pPr>
    </w:p>
    <w:p w14:paraId="24D955BD" w14:textId="77777777" w:rsidR="00640ADD" w:rsidRPr="00C8526D" w:rsidRDefault="00640ADD" w:rsidP="007427C6">
      <w:pPr>
        <w:spacing w:line="360" w:lineRule="auto"/>
        <w:rPr>
          <w:rFonts w:ascii="Arial" w:hAnsi="Arial" w:cs="Arial"/>
          <w:b/>
          <w:bCs/>
          <w:sz w:val="22"/>
          <w:szCs w:val="22"/>
        </w:rPr>
      </w:pPr>
    </w:p>
    <w:p w14:paraId="61300E1F" w14:textId="77777777" w:rsidR="00640ADD" w:rsidRPr="00C8526D" w:rsidRDefault="00640ADD" w:rsidP="007427C6">
      <w:pPr>
        <w:spacing w:line="360" w:lineRule="auto"/>
        <w:rPr>
          <w:rFonts w:ascii="Arial" w:hAnsi="Arial" w:cs="Arial"/>
          <w:b/>
          <w:bCs/>
          <w:sz w:val="22"/>
          <w:szCs w:val="22"/>
        </w:rPr>
      </w:pPr>
    </w:p>
    <w:p w14:paraId="2CDB784F"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Table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0"/>
        <w:gridCol w:w="6759"/>
        <w:gridCol w:w="601"/>
      </w:tblGrid>
      <w:tr w:rsidR="00640ADD" w:rsidRPr="00640ADD" w14:paraId="3560F879" w14:textId="77777777">
        <w:trPr>
          <w:tblHeader/>
          <w:tblCellSpacing w:w="15" w:type="dxa"/>
        </w:trPr>
        <w:tc>
          <w:tcPr>
            <w:tcW w:w="0" w:type="auto"/>
            <w:vAlign w:val="center"/>
            <w:hideMark/>
          </w:tcPr>
          <w:p w14:paraId="7AA3496F"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Section</w:t>
            </w:r>
          </w:p>
        </w:tc>
        <w:tc>
          <w:tcPr>
            <w:tcW w:w="0" w:type="auto"/>
            <w:vAlign w:val="center"/>
            <w:hideMark/>
          </w:tcPr>
          <w:p w14:paraId="65452640"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Title</w:t>
            </w:r>
          </w:p>
        </w:tc>
        <w:tc>
          <w:tcPr>
            <w:tcW w:w="0" w:type="auto"/>
            <w:vAlign w:val="center"/>
            <w:hideMark/>
          </w:tcPr>
          <w:p w14:paraId="28D95A11"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Page</w:t>
            </w:r>
          </w:p>
        </w:tc>
      </w:tr>
      <w:tr w:rsidR="00640ADD" w:rsidRPr="00640ADD" w14:paraId="4140579E" w14:textId="77777777">
        <w:trPr>
          <w:tblCellSpacing w:w="15" w:type="dxa"/>
        </w:trPr>
        <w:tc>
          <w:tcPr>
            <w:tcW w:w="0" w:type="auto"/>
            <w:vAlign w:val="center"/>
            <w:hideMark/>
          </w:tcPr>
          <w:p w14:paraId="6428F992"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1</w:t>
            </w:r>
          </w:p>
        </w:tc>
        <w:tc>
          <w:tcPr>
            <w:tcW w:w="0" w:type="auto"/>
            <w:vAlign w:val="center"/>
            <w:hideMark/>
          </w:tcPr>
          <w:p w14:paraId="12FB380C"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Introduction</w:t>
            </w:r>
          </w:p>
        </w:tc>
        <w:tc>
          <w:tcPr>
            <w:tcW w:w="0" w:type="auto"/>
            <w:vAlign w:val="center"/>
            <w:hideMark/>
          </w:tcPr>
          <w:p w14:paraId="4AA1EE50"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___</w:t>
            </w:r>
          </w:p>
        </w:tc>
      </w:tr>
      <w:tr w:rsidR="00640ADD" w:rsidRPr="00640ADD" w14:paraId="30FC560E" w14:textId="77777777">
        <w:trPr>
          <w:tblCellSpacing w:w="15" w:type="dxa"/>
        </w:trPr>
        <w:tc>
          <w:tcPr>
            <w:tcW w:w="0" w:type="auto"/>
            <w:vAlign w:val="center"/>
            <w:hideMark/>
          </w:tcPr>
          <w:p w14:paraId="5C6E1918"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2</w:t>
            </w:r>
          </w:p>
        </w:tc>
        <w:tc>
          <w:tcPr>
            <w:tcW w:w="0" w:type="auto"/>
            <w:vAlign w:val="center"/>
            <w:hideMark/>
          </w:tcPr>
          <w:p w14:paraId="06C59F9D"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Person-Centred Care (PCC): Definition, Benefits and Limitations</w:t>
            </w:r>
          </w:p>
        </w:tc>
        <w:tc>
          <w:tcPr>
            <w:tcW w:w="0" w:type="auto"/>
            <w:vAlign w:val="center"/>
            <w:hideMark/>
          </w:tcPr>
          <w:p w14:paraId="6689011B"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___</w:t>
            </w:r>
          </w:p>
        </w:tc>
      </w:tr>
      <w:tr w:rsidR="00640ADD" w:rsidRPr="00640ADD" w14:paraId="099166CB" w14:textId="77777777">
        <w:trPr>
          <w:tblCellSpacing w:w="15" w:type="dxa"/>
        </w:trPr>
        <w:tc>
          <w:tcPr>
            <w:tcW w:w="0" w:type="auto"/>
            <w:vAlign w:val="center"/>
            <w:hideMark/>
          </w:tcPr>
          <w:p w14:paraId="5B7E2A7B"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3</w:t>
            </w:r>
          </w:p>
        </w:tc>
        <w:tc>
          <w:tcPr>
            <w:tcW w:w="0" w:type="auto"/>
            <w:vAlign w:val="center"/>
            <w:hideMark/>
          </w:tcPr>
          <w:p w14:paraId="123090E5"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Theory or Model Underpinning PCC</w:t>
            </w:r>
          </w:p>
        </w:tc>
        <w:tc>
          <w:tcPr>
            <w:tcW w:w="0" w:type="auto"/>
            <w:vAlign w:val="center"/>
            <w:hideMark/>
          </w:tcPr>
          <w:p w14:paraId="6C335D5B"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___</w:t>
            </w:r>
          </w:p>
        </w:tc>
      </w:tr>
      <w:tr w:rsidR="00640ADD" w:rsidRPr="00640ADD" w14:paraId="0737DCDF" w14:textId="77777777">
        <w:trPr>
          <w:tblCellSpacing w:w="15" w:type="dxa"/>
        </w:trPr>
        <w:tc>
          <w:tcPr>
            <w:tcW w:w="0" w:type="auto"/>
            <w:vAlign w:val="center"/>
            <w:hideMark/>
          </w:tcPr>
          <w:p w14:paraId="2A21419B"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4</w:t>
            </w:r>
          </w:p>
        </w:tc>
        <w:tc>
          <w:tcPr>
            <w:tcW w:w="0" w:type="auto"/>
            <w:vAlign w:val="center"/>
            <w:hideMark/>
          </w:tcPr>
          <w:p w14:paraId="58DE9233"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Ethical Fundamentals in Health and Social Care</w:t>
            </w:r>
          </w:p>
        </w:tc>
        <w:tc>
          <w:tcPr>
            <w:tcW w:w="0" w:type="auto"/>
            <w:vAlign w:val="center"/>
            <w:hideMark/>
          </w:tcPr>
          <w:p w14:paraId="6D9BA5E3"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___</w:t>
            </w:r>
          </w:p>
        </w:tc>
      </w:tr>
      <w:tr w:rsidR="00640ADD" w:rsidRPr="00640ADD" w14:paraId="09C5352B" w14:textId="77777777">
        <w:trPr>
          <w:tblCellSpacing w:w="15" w:type="dxa"/>
        </w:trPr>
        <w:tc>
          <w:tcPr>
            <w:tcW w:w="0" w:type="auto"/>
            <w:vAlign w:val="center"/>
            <w:hideMark/>
          </w:tcPr>
          <w:p w14:paraId="0520FD9B"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5</w:t>
            </w:r>
          </w:p>
        </w:tc>
        <w:tc>
          <w:tcPr>
            <w:tcW w:w="0" w:type="auto"/>
            <w:vAlign w:val="center"/>
            <w:hideMark/>
          </w:tcPr>
          <w:p w14:paraId="5DADC553"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Evaluation of Partnership Working (PW)</w:t>
            </w:r>
          </w:p>
        </w:tc>
        <w:tc>
          <w:tcPr>
            <w:tcW w:w="0" w:type="auto"/>
            <w:vAlign w:val="center"/>
            <w:hideMark/>
          </w:tcPr>
          <w:p w14:paraId="6E77ECD2"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___</w:t>
            </w:r>
          </w:p>
        </w:tc>
      </w:tr>
      <w:tr w:rsidR="00640ADD" w:rsidRPr="00640ADD" w14:paraId="4CE02DA0" w14:textId="77777777">
        <w:trPr>
          <w:tblCellSpacing w:w="15" w:type="dxa"/>
        </w:trPr>
        <w:tc>
          <w:tcPr>
            <w:tcW w:w="0" w:type="auto"/>
            <w:vAlign w:val="center"/>
            <w:hideMark/>
          </w:tcPr>
          <w:p w14:paraId="6D957647"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6</w:t>
            </w:r>
          </w:p>
        </w:tc>
        <w:tc>
          <w:tcPr>
            <w:tcW w:w="0" w:type="auto"/>
            <w:vAlign w:val="center"/>
            <w:hideMark/>
          </w:tcPr>
          <w:p w14:paraId="19E782D2"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Application of Partnership Working in Practice</w:t>
            </w:r>
          </w:p>
        </w:tc>
        <w:tc>
          <w:tcPr>
            <w:tcW w:w="0" w:type="auto"/>
            <w:vAlign w:val="center"/>
            <w:hideMark/>
          </w:tcPr>
          <w:p w14:paraId="61928409"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___</w:t>
            </w:r>
          </w:p>
        </w:tc>
      </w:tr>
      <w:tr w:rsidR="00640ADD" w:rsidRPr="00640ADD" w14:paraId="6539B1A8" w14:textId="77777777">
        <w:trPr>
          <w:tblCellSpacing w:w="15" w:type="dxa"/>
        </w:trPr>
        <w:tc>
          <w:tcPr>
            <w:tcW w:w="0" w:type="auto"/>
            <w:vAlign w:val="center"/>
            <w:hideMark/>
          </w:tcPr>
          <w:p w14:paraId="4F434397"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7</w:t>
            </w:r>
          </w:p>
        </w:tc>
        <w:tc>
          <w:tcPr>
            <w:tcW w:w="0" w:type="auto"/>
            <w:vAlign w:val="center"/>
            <w:hideMark/>
          </w:tcPr>
          <w:p w14:paraId="6284EA58"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Policy and Legislation Relevant to PCC and PW</w:t>
            </w:r>
          </w:p>
        </w:tc>
        <w:tc>
          <w:tcPr>
            <w:tcW w:w="0" w:type="auto"/>
            <w:vAlign w:val="center"/>
            <w:hideMark/>
          </w:tcPr>
          <w:p w14:paraId="201F20CA"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___</w:t>
            </w:r>
          </w:p>
        </w:tc>
      </w:tr>
      <w:tr w:rsidR="00640ADD" w:rsidRPr="00640ADD" w14:paraId="2C511572" w14:textId="77777777">
        <w:trPr>
          <w:tblCellSpacing w:w="15" w:type="dxa"/>
        </w:trPr>
        <w:tc>
          <w:tcPr>
            <w:tcW w:w="0" w:type="auto"/>
            <w:vAlign w:val="center"/>
            <w:hideMark/>
          </w:tcPr>
          <w:p w14:paraId="716176C9"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8</w:t>
            </w:r>
          </w:p>
        </w:tc>
        <w:tc>
          <w:tcPr>
            <w:tcW w:w="0" w:type="auto"/>
            <w:vAlign w:val="center"/>
            <w:hideMark/>
          </w:tcPr>
          <w:p w14:paraId="4316E76B"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Recommendations for Future Development</w:t>
            </w:r>
          </w:p>
        </w:tc>
        <w:tc>
          <w:tcPr>
            <w:tcW w:w="0" w:type="auto"/>
            <w:vAlign w:val="center"/>
            <w:hideMark/>
          </w:tcPr>
          <w:p w14:paraId="60B8CB03"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___</w:t>
            </w:r>
          </w:p>
        </w:tc>
      </w:tr>
      <w:tr w:rsidR="00640ADD" w:rsidRPr="00640ADD" w14:paraId="78D6A5DD" w14:textId="77777777">
        <w:trPr>
          <w:tblCellSpacing w:w="15" w:type="dxa"/>
        </w:trPr>
        <w:tc>
          <w:tcPr>
            <w:tcW w:w="0" w:type="auto"/>
            <w:vAlign w:val="center"/>
            <w:hideMark/>
          </w:tcPr>
          <w:p w14:paraId="3DB08AB5"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9</w:t>
            </w:r>
          </w:p>
        </w:tc>
        <w:tc>
          <w:tcPr>
            <w:tcW w:w="0" w:type="auto"/>
            <w:vAlign w:val="center"/>
            <w:hideMark/>
          </w:tcPr>
          <w:p w14:paraId="38C628DB"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Conclusion</w:t>
            </w:r>
          </w:p>
        </w:tc>
        <w:tc>
          <w:tcPr>
            <w:tcW w:w="0" w:type="auto"/>
            <w:vAlign w:val="center"/>
            <w:hideMark/>
          </w:tcPr>
          <w:p w14:paraId="251A3100"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___</w:t>
            </w:r>
          </w:p>
        </w:tc>
      </w:tr>
      <w:tr w:rsidR="00640ADD" w:rsidRPr="00640ADD" w14:paraId="2B2E7F52" w14:textId="77777777">
        <w:trPr>
          <w:tblCellSpacing w:w="15" w:type="dxa"/>
        </w:trPr>
        <w:tc>
          <w:tcPr>
            <w:tcW w:w="0" w:type="auto"/>
            <w:vAlign w:val="center"/>
            <w:hideMark/>
          </w:tcPr>
          <w:p w14:paraId="5DA5F975"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10</w:t>
            </w:r>
          </w:p>
        </w:tc>
        <w:tc>
          <w:tcPr>
            <w:tcW w:w="0" w:type="auto"/>
            <w:vAlign w:val="center"/>
            <w:hideMark/>
          </w:tcPr>
          <w:p w14:paraId="435FE62E"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References</w:t>
            </w:r>
          </w:p>
        </w:tc>
        <w:tc>
          <w:tcPr>
            <w:tcW w:w="0" w:type="auto"/>
            <w:vAlign w:val="center"/>
            <w:hideMark/>
          </w:tcPr>
          <w:p w14:paraId="510E4309" w14:textId="77777777" w:rsidR="00640ADD" w:rsidRPr="00640ADD" w:rsidRDefault="00640ADD" w:rsidP="007427C6">
            <w:pPr>
              <w:spacing w:line="360" w:lineRule="auto"/>
              <w:rPr>
                <w:rFonts w:ascii="Arial" w:hAnsi="Arial" w:cs="Arial"/>
                <w:b/>
                <w:bCs/>
                <w:sz w:val="22"/>
                <w:szCs w:val="22"/>
              </w:rPr>
            </w:pPr>
            <w:r w:rsidRPr="00640ADD">
              <w:rPr>
                <w:rFonts w:ascii="Arial" w:hAnsi="Arial" w:cs="Arial"/>
                <w:b/>
                <w:bCs/>
                <w:sz w:val="22"/>
                <w:szCs w:val="22"/>
              </w:rPr>
              <w:t>___</w:t>
            </w:r>
          </w:p>
        </w:tc>
      </w:tr>
    </w:tbl>
    <w:p w14:paraId="4695BE40" w14:textId="3368DA0B" w:rsidR="00640ADD" w:rsidRPr="00C8526D" w:rsidRDefault="00640ADD" w:rsidP="007427C6">
      <w:pPr>
        <w:spacing w:line="360" w:lineRule="auto"/>
        <w:rPr>
          <w:rFonts w:ascii="Arial" w:hAnsi="Arial" w:cs="Arial"/>
          <w:b/>
          <w:bCs/>
          <w:sz w:val="22"/>
          <w:szCs w:val="22"/>
        </w:rPr>
      </w:pPr>
    </w:p>
    <w:p w14:paraId="04BB1DAA" w14:textId="77777777" w:rsidR="00640ADD" w:rsidRPr="00C8526D" w:rsidRDefault="00640ADD" w:rsidP="007427C6">
      <w:pPr>
        <w:spacing w:line="360" w:lineRule="auto"/>
        <w:rPr>
          <w:rFonts w:ascii="Arial" w:hAnsi="Arial" w:cs="Arial"/>
          <w:b/>
          <w:bCs/>
          <w:sz w:val="22"/>
          <w:szCs w:val="22"/>
        </w:rPr>
      </w:pPr>
    </w:p>
    <w:p w14:paraId="22875B5D" w14:textId="77777777" w:rsidR="00640ADD" w:rsidRPr="00C8526D" w:rsidRDefault="00640ADD" w:rsidP="007427C6">
      <w:pPr>
        <w:spacing w:line="360" w:lineRule="auto"/>
        <w:rPr>
          <w:rFonts w:ascii="Arial" w:hAnsi="Arial" w:cs="Arial"/>
          <w:b/>
          <w:bCs/>
          <w:sz w:val="22"/>
          <w:szCs w:val="22"/>
        </w:rPr>
      </w:pPr>
    </w:p>
    <w:p w14:paraId="5CE08728" w14:textId="77777777" w:rsidR="00640ADD" w:rsidRPr="00C8526D" w:rsidRDefault="00640ADD" w:rsidP="007427C6">
      <w:pPr>
        <w:spacing w:line="360" w:lineRule="auto"/>
        <w:rPr>
          <w:rFonts w:ascii="Arial" w:hAnsi="Arial" w:cs="Arial"/>
          <w:b/>
          <w:bCs/>
          <w:sz w:val="22"/>
          <w:szCs w:val="22"/>
        </w:rPr>
      </w:pPr>
    </w:p>
    <w:p w14:paraId="2A765174" w14:textId="77777777" w:rsidR="00640ADD" w:rsidRPr="00C8526D" w:rsidRDefault="00640ADD" w:rsidP="007427C6">
      <w:pPr>
        <w:spacing w:line="360" w:lineRule="auto"/>
        <w:rPr>
          <w:rFonts w:ascii="Arial" w:hAnsi="Arial" w:cs="Arial"/>
          <w:b/>
          <w:bCs/>
          <w:sz w:val="22"/>
          <w:szCs w:val="22"/>
        </w:rPr>
      </w:pPr>
    </w:p>
    <w:p w14:paraId="11BF3591" w14:textId="77777777" w:rsidR="00640ADD" w:rsidRPr="00C8526D" w:rsidRDefault="00640ADD" w:rsidP="007427C6">
      <w:pPr>
        <w:spacing w:line="360" w:lineRule="auto"/>
        <w:rPr>
          <w:rFonts w:ascii="Arial" w:hAnsi="Arial" w:cs="Arial"/>
          <w:b/>
          <w:bCs/>
          <w:sz w:val="22"/>
          <w:szCs w:val="22"/>
        </w:rPr>
      </w:pPr>
    </w:p>
    <w:p w14:paraId="36ABC288" w14:textId="77777777" w:rsidR="00640ADD" w:rsidRPr="00C8526D" w:rsidRDefault="00640ADD" w:rsidP="007427C6">
      <w:pPr>
        <w:spacing w:line="360" w:lineRule="auto"/>
        <w:rPr>
          <w:rFonts w:ascii="Arial" w:hAnsi="Arial" w:cs="Arial"/>
          <w:b/>
          <w:bCs/>
          <w:sz w:val="22"/>
          <w:szCs w:val="22"/>
        </w:rPr>
      </w:pPr>
    </w:p>
    <w:p w14:paraId="5C62162E" w14:textId="77777777" w:rsidR="00640ADD" w:rsidRPr="00C8526D" w:rsidRDefault="00640ADD" w:rsidP="007427C6">
      <w:pPr>
        <w:spacing w:line="360" w:lineRule="auto"/>
        <w:rPr>
          <w:rFonts w:ascii="Arial" w:hAnsi="Arial" w:cs="Arial"/>
          <w:b/>
          <w:bCs/>
          <w:sz w:val="22"/>
          <w:szCs w:val="22"/>
        </w:rPr>
      </w:pPr>
    </w:p>
    <w:p w14:paraId="3F69A060" w14:textId="77777777" w:rsidR="00640ADD" w:rsidRPr="00C8526D" w:rsidRDefault="00640ADD" w:rsidP="007427C6">
      <w:pPr>
        <w:spacing w:line="360" w:lineRule="auto"/>
        <w:rPr>
          <w:rFonts w:ascii="Arial" w:hAnsi="Arial" w:cs="Arial"/>
          <w:b/>
          <w:bCs/>
          <w:sz w:val="22"/>
          <w:szCs w:val="22"/>
        </w:rPr>
      </w:pPr>
    </w:p>
    <w:p w14:paraId="21ED0236" w14:textId="77777777" w:rsidR="00640ADD" w:rsidRPr="00C8526D" w:rsidRDefault="00640ADD" w:rsidP="007427C6">
      <w:pPr>
        <w:spacing w:line="360" w:lineRule="auto"/>
        <w:rPr>
          <w:rFonts w:ascii="Arial" w:hAnsi="Arial" w:cs="Arial"/>
          <w:b/>
          <w:bCs/>
          <w:sz w:val="22"/>
          <w:szCs w:val="22"/>
        </w:rPr>
      </w:pPr>
    </w:p>
    <w:p w14:paraId="6B318902" w14:textId="77777777" w:rsidR="007427C6" w:rsidRDefault="007427C6" w:rsidP="007427C6">
      <w:pPr>
        <w:spacing w:line="360" w:lineRule="auto"/>
        <w:rPr>
          <w:rFonts w:ascii="Arial" w:hAnsi="Arial" w:cs="Arial"/>
          <w:b/>
          <w:bCs/>
          <w:sz w:val="22"/>
          <w:szCs w:val="22"/>
        </w:rPr>
      </w:pPr>
    </w:p>
    <w:p w14:paraId="5A739359" w14:textId="77777777" w:rsidR="007427C6" w:rsidRDefault="007427C6" w:rsidP="007427C6">
      <w:pPr>
        <w:spacing w:line="360" w:lineRule="auto"/>
        <w:rPr>
          <w:rFonts w:ascii="Arial" w:hAnsi="Arial" w:cs="Arial"/>
          <w:b/>
          <w:bCs/>
          <w:sz w:val="22"/>
          <w:szCs w:val="22"/>
        </w:rPr>
      </w:pPr>
    </w:p>
    <w:p w14:paraId="5E50B35F" w14:textId="66620C02" w:rsidR="002E6348" w:rsidRPr="00C8526D" w:rsidRDefault="002E6348" w:rsidP="007427C6">
      <w:pPr>
        <w:spacing w:line="360" w:lineRule="auto"/>
        <w:rPr>
          <w:rFonts w:ascii="Arial" w:hAnsi="Arial" w:cs="Arial"/>
          <w:b/>
          <w:bCs/>
          <w:sz w:val="22"/>
          <w:szCs w:val="22"/>
        </w:rPr>
      </w:pPr>
      <w:r w:rsidRPr="00C8526D">
        <w:rPr>
          <w:rFonts w:ascii="Arial" w:hAnsi="Arial" w:cs="Arial"/>
          <w:b/>
          <w:bCs/>
          <w:sz w:val="22"/>
          <w:szCs w:val="22"/>
        </w:rPr>
        <w:lastRenderedPageBreak/>
        <w:t xml:space="preserve">Introduction </w:t>
      </w:r>
    </w:p>
    <w:p w14:paraId="1D0F616A" w14:textId="77777777" w:rsidR="002E6348" w:rsidRPr="00C8526D" w:rsidRDefault="00906F21" w:rsidP="007427C6">
      <w:pPr>
        <w:spacing w:line="360" w:lineRule="auto"/>
        <w:rPr>
          <w:rFonts w:ascii="Arial" w:hAnsi="Arial" w:cs="Arial"/>
          <w:sz w:val="22"/>
          <w:szCs w:val="22"/>
        </w:rPr>
      </w:pPr>
      <w:r w:rsidRPr="00906F21">
        <w:rPr>
          <w:rFonts w:ascii="Arial" w:hAnsi="Arial" w:cs="Arial"/>
          <w:sz w:val="22"/>
          <w:szCs w:val="22"/>
        </w:rPr>
        <w:t xml:space="preserve">In the UK, partnership working (PW) and person-centred care (PCC) are the foundations modern health and social care practice. </w:t>
      </w:r>
      <w:r w:rsidRPr="00C8526D">
        <w:rPr>
          <w:rFonts w:ascii="Arial" w:hAnsi="Arial" w:cs="Arial"/>
          <w:sz w:val="22"/>
          <w:szCs w:val="22"/>
        </w:rPr>
        <w:t>To</w:t>
      </w:r>
      <w:r w:rsidRPr="00906F21">
        <w:rPr>
          <w:rFonts w:ascii="Arial" w:hAnsi="Arial" w:cs="Arial"/>
          <w:sz w:val="22"/>
          <w:szCs w:val="22"/>
        </w:rPr>
        <w:t xml:space="preserve"> ensure that care is customised to each person's particular preferences, needs, and values, PCC focusses on treating people with dignity, respect, and compassion. This is enhanced by partnership operating, which encourages efficient cooperation between agencies, families, service users, and professionals to provide coordinated and full support.</w:t>
      </w:r>
      <w:r w:rsidR="002E6348" w:rsidRPr="00C8526D">
        <w:rPr>
          <w:rFonts w:ascii="Arial" w:hAnsi="Arial" w:cs="Arial"/>
          <w:sz w:val="22"/>
          <w:szCs w:val="22"/>
        </w:rPr>
        <w:t xml:space="preserve"> </w:t>
      </w:r>
      <w:r w:rsidR="002E6348" w:rsidRPr="00C8526D">
        <w:rPr>
          <w:rFonts w:ascii="Arial" w:hAnsi="Arial" w:cs="Arial"/>
          <w:sz w:val="22"/>
          <w:szCs w:val="22"/>
        </w:rPr>
        <w:t>These solutions have become critical for raising service-user happiness, increasing health outcomes, and maintaining inclusive, safe, and moral care delivery. By listing important terms, looking at supporting theories, analysing ethical principles, examining the benefit of partnerships, and investigating their practical being implemented, the paper will assess the Principles of Community Building and psychological warfare. The Health and Social Care Act (2012) and the NHS Long Term Plan (2019), two pertinent UK laws and policies that support included and person-centred care systems, will also be highlighted. In the end, ideas for improving the performance of PCC and PW in</w:t>
      </w:r>
      <w:r w:rsidR="002E6348" w:rsidRPr="00C8526D">
        <w:rPr>
          <w:rFonts w:ascii="Arial" w:hAnsi="Arial" w:cs="Arial"/>
          <w:sz w:val="22"/>
          <w:szCs w:val="22"/>
        </w:rPr>
        <w:t xml:space="preserve"> </w:t>
      </w:r>
      <w:r w:rsidR="002E6348" w:rsidRPr="00C8526D">
        <w:rPr>
          <w:rFonts w:ascii="Arial" w:hAnsi="Arial" w:cs="Arial"/>
          <w:sz w:val="22"/>
          <w:szCs w:val="22"/>
        </w:rPr>
        <w:t>UK health and social care settings will be given.</w:t>
      </w:r>
    </w:p>
    <w:p w14:paraId="5B3E07D7" w14:textId="2BA8FD66" w:rsidR="002E6348" w:rsidRPr="00C8526D" w:rsidRDefault="002E6348" w:rsidP="007427C6">
      <w:pPr>
        <w:spacing w:line="360" w:lineRule="auto"/>
        <w:rPr>
          <w:rFonts w:ascii="Arial" w:hAnsi="Arial" w:cs="Arial"/>
          <w:b/>
          <w:bCs/>
          <w:sz w:val="22"/>
          <w:szCs w:val="22"/>
        </w:rPr>
      </w:pPr>
      <w:r w:rsidRPr="00C8526D">
        <w:rPr>
          <w:rFonts w:ascii="Arial" w:hAnsi="Arial" w:cs="Arial"/>
          <w:b/>
          <w:bCs/>
          <w:sz w:val="22"/>
          <w:szCs w:val="22"/>
        </w:rPr>
        <w:t>Person-Centred Care (PCC) – Definition, Benefits and Limitations</w:t>
      </w:r>
    </w:p>
    <w:p w14:paraId="0A4D60E9" w14:textId="5884CAF9" w:rsidR="000279E1" w:rsidRPr="00C8526D" w:rsidRDefault="000279E1" w:rsidP="007427C6">
      <w:pPr>
        <w:spacing w:line="360" w:lineRule="auto"/>
        <w:rPr>
          <w:rFonts w:ascii="Arial" w:hAnsi="Arial" w:cs="Arial"/>
          <w:sz w:val="22"/>
          <w:szCs w:val="22"/>
        </w:rPr>
      </w:pPr>
      <w:r w:rsidRPr="000279E1">
        <w:rPr>
          <w:rFonts w:ascii="Arial" w:hAnsi="Arial" w:cs="Arial"/>
          <w:sz w:val="22"/>
          <w:szCs w:val="22"/>
        </w:rPr>
        <w:t>A crucial strategy in health and social care is person-centred care (PCC), which focusses treating each person as an individual rather than only treating their sickness or condition. McCormack and McCance (2017) state that the process of care coordination means acknowledging the values, beliefs, and preferences of service users while supporting mutual respect and collaborative decision-making between individuals and professionals. PCC is recognised by the Department of Health (2012) as care that respects and responds to individuals' needs, making sure that all clinical and support decisions are based on their preferences. As a result, service users are viewed as active respondents in their treatment, which develops trust and raises feeling satisfied levels.</w:t>
      </w:r>
      <w:r w:rsidRPr="00C8526D">
        <w:rPr>
          <w:rFonts w:ascii="Arial" w:hAnsi="Arial" w:cs="Arial"/>
          <w:sz w:val="22"/>
          <w:szCs w:val="22"/>
        </w:rPr>
        <w:t xml:space="preserve">  </w:t>
      </w:r>
    </w:p>
    <w:p w14:paraId="58A9748F" w14:textId="77777777" w:rsidR="000279E1" w:rsidRPr="00C8526D" w:rsidRDefault="000279E1" w:rsidP="007427C6">
      <w:pPr>
        <w:spacing w:line="360" w:lineRule="auto"/>
        <w:rPr>
          <w:rFonts w:ascii="Arial" w:hAnsi="Arial" w:cs="Arial"/>
          <w:sz w:val="22"/>
          <w:szCs w:val="22"/>
        </w:rPr>
      </w:pPr>
      <w:r w:rsidRPr="000279E1">
        <w:rPr>
          <w:rFonts w:ascii="Arial" w:hAnsi="Arial" w:cs="Arial"/>
          <w:sz w:val="22"/>
          <w:szCs w:val="22"/>
        </w:rPr>
        <w:t>The primary benefits of PCC are associated with improved emotional well-being, more independence, and better care quality. People are more likely keeping to medications and sustain favourable health outcomes when they feel heard and participated (NHS England, 2019). By granting people a sense of control over their life, PCC also promotes empowerment and dignity, which is important for those with chronic illnesses or impairments. Personalised care plans, for instance, enable staff to modify services to fulfil cultural, emotional, and physical requirements, promoting inclusion as well as equality.</w:t>
      </w:r>
    </w:p>
    <w:p w14:paraId="1226D397" w14:textId="77777777" w:rsidR="0098119A" w:rsidRPr="00C8526D" w:rsidRDefault="0098119A" w:rsidP="007427C6">
      <w:pPr>
        <w:spacing w:line="360" w:lineRule="auto"/>
        <w:rPr>
          <w:rFonts w:ascii="Arial" w:hAnsi="Arial" w:cs="Arial"/>
          <w:sz w:val="22"/>
          <w:szCs w:val="22"/>
        </w:rPr>
      </w:pPr>
      <w:r w:rsidRPr="0098119A">
        <w:rPr>
          <w:rFonts w:ascii="Arial" w:hAnsi="Arial" w:cs="Arial"/>
          <w:sz w:val="22"/>
          <w:szCs w:val="22"/>
        </w:rPr>
        <w:t xml:space="preserve">However, putting PCC into action has </w:t>
      </w:r>
      <w:proofErr w:type="gramStart"/>
      <w:r w:rsidRPr="0098119A">
        <w:rPr>
          <w:rFonts w:ascii="Arial" w:hAnsi="Arial" w:cs="Arial"/>
          <w:sz w:val="22"/>
          <w:szCs w:val="22"/>
        </w:rPr>
        <w:t>a number of</w:t>
      </w:r>
      <w:proofErr w:type="gramEnd"/>
      <w:r w:rsidRPr="0098119A">
        <w:rPr>
          <w:rFonts w:ascii="Arial" w:hAnsi="Arial" w:cs="Arial"/>
          <w:sz w:val="22"/>
          <w:szCs w:val="22"/>
        </w:rPr>
        <w:t xml:space="preserve"> limitations. Professionals may find it challenging to give individualised attention due to limited time, staffing shortages, and heavy workloads. Additionally, employees may not be able to fully understand or apply PCC </w:t>
      </w:r>
      <w:r w:rsidRPr="0098119A">
        <w:rPr>
          <w:rFonts w:ascii="Arial" w:hAnsi="Arial" w:cs="Arial"/>
          <w:sz w:val="22"/>
          <w:szCs w:val="22"/>
        </w:rPr>
        <w:lastRenderedPageBreak/>
        <w:t>concepts due to insufficient training and communication skills (Health Foundation, 2016). Organisational challenges that limit flexibility in addressing individual needs include strict rules and little resources. Regardless these difficulties, fostering a person-centred culture is still crucial to provide safe, considerate, and efficient care in all settings.</w:t>
      </w:r>
    </w:p>
    <w:p w14:paraId="16D1B148" w14:textId="0D0E072D" w:rsidR="003E6571" w:rsidRPr="00C8526D" w:rsidRDefault="003E6571" w:rsidP="007427C6">
      <w:pPr>
        <w:spacing w:line="360" w:lineRule="auto"/>
        <w:rPr>
          <w:rFonts w:ascii="Arial" w:hAnsi="Arial" w:cs="Arial"/>
          <w:b/>
          <w:bCs/>
          <w:sz w:val="22"/>
          <w:szCs w:val="22"/>
        </w:rPr>
      </w:pPr>
      <w:r w:rsidRPr="00C8526D">
        <w:rPr>
          <w:rFonts w:ascii="Arial" w:hAnsi="Arial" w:cs="Arial"/>
          <w:b/>
          <w:bCs/>
          <w:sz w:val="22"/>
          <w:szCs w:val="22"/>
        </w:rPr>
        <w:t>Theory or Model Underpinning Person-Centred Care</w:t>
      </w:r>
    </w:p>
    <w:p w14:paraId="37415AA8" w14:textId="450F6F3B" w:rsidR="003E6571" w:rsidRPr="00C8526D" w:rsidRDefault="003E6571" w:rsidP="007427C6">
      <w:pPr>
        <w:spacing w:line="360" w:lineRule="auto"/>
        <w:rPr>
          <w:rFonts w:ascii="Arial" w:hAnsi="Arial" w:cs="Arial"/>
          <w:sz w:val="22"/>
          <w:szCs w:val="22"/>
        </w:rPr>
      </w:pPr>
      <w:r w:rsidRPr="003E6571">
        <w:rPr>
          <w:rFonts w:ascii="Arial" w:hAnsi="Arial" w:cs="Arial"/>
          <w:sz w:val="22"/>
          <w:szCs w:val="22"/>
        </w:rPr>
        <w:t xml:space="preserve">One of the primary pillars of person-centred care (PCC) is provided by Carl Rogers' Humanistic Theory (1959). Every person has the potential for personal development and independence, according to Steve Rogers, if they are supported in a setting of acceptance, respect, and empathy. </w:t>
      </w:r>
      <w:r w:rsidRPr="00C8526D">
        <w:rPr>
          <w:rFonts w:ascii="Arial" w:hAnsi="Arial" w:cs="Arial"/>
          <w:sz w:val="22"/>
          <w:szCs w:val="22"/>
        </w:rPr>
        <w:t>To</w:t>
      </w:r>
      <w:r w:rsidRPr="003E6571">
        <w:rPr>
          <w:rFonts w:ascii="Arial" w:hAnsi="Arial" w:cs="Arial"/>
          <w:sz w:val="22"/>
          <w:szCs w:val="22"/>
        </w:rPr>
        <w:t xml:space="preserve"> increase healthy and trusting connections between professionals and service users, he established the idea of the "core conditions"—empathy, harmony, and unconditional positive regard (Rogers, 1959). These concepts are put into effect throughout the health and social care sectors when carers actively listen, demonstrate sincere empathy, and include clients in their choices.</w:t>
      </w:r>
    </w:p>
    <w:p w14:paraId="6F2729E3" w14:textId="77777777" w:rsidR="00F3118D" w:rsidRPr="00C8526D" w:rsidRDefault="00F3118D" w:rsidP="007427C6">
      <w:pPr>
        <w:spacing w:line="360" w:lineRule="auto"/>
        <w:rPr>
          <w:rFonts w:ascii="Arial" w:hAnsi="Arial" w:cs="Arial"/>
          <w:sz w:val="22"/>
          <w:szCs w:val="22"/>
        </w:rPr>
      </w:pPr>
      <w:r w:rsidRPr="00F3118D">
        <w:rPr>
          <w:rFonts w:ascii="Arial" w:hAnsi="Arial" w:cs="Arial"/>
          <w:sz w:val="22"/>
          <w:szCs w:val="22"/>
        </w:rPr>
        <w:t>After asking healthcare professionals to view the person outside the illness and to attend on their feelings, experiences, and goals, this theory strongly concurs with PCC ideals. Service users are more likely to feel appreciated and supported when employees show empathy and respect, which will improve their motivation, contentment, and mental health (McCormack and McCance, 2017). Rogers' strategy of encouraging individuality and freedom of choice, for this reason, is shown in listening to an older adult's preferences for their daily routine or food choices at a place of care.</w:t>
      </w:r>
    </w:p>
    <w:p w14:paraId="1931F900" w14:textId="664CB866" w:rsidR="0036346C" w:rsidRPr="00C8526D" w:rsidRDefault="0036346C" w:rsidP="007427C6">
      <w:pPr>
        <w:spacing w:line="360" w:lineRule="auto"/>
        <w:rPr>
          <w:rFonts w:ascii="Arial" w:hAnsi="Arial" w:cs="Arial"/>
          <w:sz w:val="22"/>
          <w:szCs w:val="22"/>
        </w:rPr>
      </w:pPr>
      <w:r w:rsidRPr="0036346C">
        <w:rPr>
          <w:rFonts w:ascii="Arial" w:hAnsi="Arial" w:cs="Arial"/>
          <w:sz w:val="22"/>
          <w:szCs w:val="22"/>
        </w:rPr>
        <w:t xml:space="preserve">Applying Rogers' theory in present-day health and social care, however, has its limits. It can be challenging for carers to give the kind of individualised care that Rogers outlined due to time limitations, personnel shortages, and severe workloads. Also, some people may find it difficult to communicate their preferences because of mental limitations or issues with communication. whatever these difficulties, humanistic methods </w:t>
      </w:r>
      <w:r w:rsidR="0010358E" w:rsidRPr="00C8526D">
        <w:rPr>
          <w:rFonts w:ascii="Arial" w:hAnsi="Arial" w:cs="Arial"/>
          <w:sz w:val="22"/>
          <w:szCs w:val="22"/>
        </w:rPr>
        <w:t>are</w:t>
      </w:r>
      <w:r w:rsidRPr="0036346C">
        <w:rPr>
          <w:rFonts w:ascii="Arial" w:hAnsi="Arial" w:cs="Arial"/>
          <w:sz w:val="22"/>
          <w:szCs w:val="22"/>
        </w:rPr>
        <w:t xml:space="preserve"> still beneficial since it serves as a reminder to professionals that </w:t>
      </w:r>
      <w:r w:rsidR="0010358E" w:rsidRPr="00C8526D">
        <w:rPr>
          <w:rFonts w:ascii="Arial" w:hAnsi="Arial" w:cs="Arial"/>
          <w:sz w:val="22"/>
          <w:szCs w:val="22"/>
        </w:rPr>
        <w:t>respect,</w:t>
      </w:r>
      <w:r w:rsidRPr="0036346C">
        <w:rPr>
          <w:rFonts w:ascii="Arial" w:hAnsi="Arial" w:cs="Arial"/>
          <w:sz w:val="22"/>
          <w:szCs w:val="22"/>
        </w:rPr>
        <w:t xml:space="preserve"> and empathy are fundamental to providing safe, moral, and excellent c</w:t>
      </w:r>
    </w:p>
    <w:p w14:paraId="228A1EAE" w14:textId="6E360A02" w:rsidR="0010358E" w:rsidRPr="00C8526D" w:rsidRDefault="0010358E" w:rsidP="007427C6">
      <w:pPr>
        <w:spacing w:line="360" w:lineRule="auto"/>
        <w:rPr>
          <w:rFonts w:ascii="Arial" w:hAnsi="Arial" w:cs="Arial"/>
          <w:b/>
          <w:bCs/>
          <w:sz w:val="22"/>
          <w:szCs w:val="22"/>
        </w:rPr>
      </w:pPr>
      <w:r w:rsidRPr="00C8526D">
        <w:rPr>
          <w:rFonts w:ascii="Arial" w:hAnsi="Arial" w:cs="Arial"/>
          <w:b/>
          <w:bCs/>
          <w:sz w:val="22"/>
          <w:szCs w:val="22"/>
        </w:rPr>
        <w:t>Ethical Fundamentals in Health and Social Care</w:t>
      </w:r>
    </w:p>
    <w:p w14:paraId="2B8F35D7" w14:textId="77777777" w:rsidR="0010358E" w:rsidRPr="00C8526D" w:rsidRDefault="0010358E" w:rsidP="007427C6">
      <w:pPr>
        <w:spacing w:line="360" w:lineRule="auto"/>
        <w:rPr>
          <w:rFonts w:ascii="Arial" w:hAnsi="Arial" w:cs="Arial"/>
          <w:sz w:val="22"/>
          <w:szCs w:val="22"/>
        </w:rPr>
      </w:pPr>
      <w:r w:rsidRPr="0010358E">
        <w:rPr>
          <w:rFonts w:ascii="Arial" w:hAnsi="Arial" w:cs="Arial"/>
          <w:sz w:val="22"/>
          <w:szCs w:val="22"/>
        </w:rPr>
        <w:t xml:space="preserve">In the fields of health and social care, ethics are crucial in guiding professional conduct and decision-making. </w:t>
      </w:r>
      <w:r w:rsidRPr="00C8526D">
        <w:rPr>
          <w:rFonts w:ascii="Arial" w:hAnsi="Arial" w:cs="Arial"/>
          <w:sz w:val="22"/>
          <w:szCs w:val="22"/>
        </w:rPr>
        <w:t>To</w:t>
      </w:r>
      <w:r w:rsidRPr="0010358E">
        <w:rPr>
          <w:rFonts w:ascii="Arial" w:hAnsi="Arial" w:cs="Arial"/>
          <w:sz w:val="22"/>
          <w:szCs w:val="22"/>
        </w:rPr>
        <w:t xml:space="preserve"> ensure that care is fair, secure, and person-centred, Beauchamp and Childress (2013) established four primary ethical principles: independence, kindness, fairness, and justice. Freedom involves honouring an individual’s ability to make their own choices, even if professionals may not always agree with them. While kindness makes sure that activities do not cause damage, helping others is about behaving in the best interests of </w:t>
      </w:r>
      <w:r w:rsidRPr="0010358E">
        <w:rPr>
          <w:rFonts w:ascii="Arial" w:hAnsi="Arial" w:cs="Arial"/>
          <w:sz w:val="22"/>
          <w:szCs w:val="22"/>
        </w:rPr>
        <w:lastRenderedPageBreak/>
        <w:t xml:space="preserve">the individual. Fairness is the main aim of justice, ensuring that everyone has equal access to assistance and care. Furthermore, confidentiality and dignity are important moral values that support the development of trust and safeguard service users' privacy and sense of value (NHS </w:t>
      </w:r>
      <w:r w:rsidRPr="00C8526D">
        <w:rPr>
          <w:rFonts w:ascii="Arial" w:hAnsi="Arial" w:cs="Arial"/>
          <w:sz w:val="22"/>
          <w:szCs w:val="22"/>
        </w:rPr>
        <w:t>England, 2019).</w:t>
      </w:r>
    </w:p>
    <w:p w14:paraId="0F24DE1B" w14:textId="77777777" w:rsidR="00464D1A" w:rsidRPr="00C8526D" w:rsidRDefault="00464D1A" w:rsidP="007427C6">
      <w:pPr>
        <w:spacing w:line="360" w:lineRule="auto"/>
        <w:rPr>
          <w:rFonts w:ascii="Arial" w:hAnsi="Arial" w:cs="Arial"/>
          <w:sz w:val="22"/>
          <w:szCs w:val="22"/>
        </w:rPr>
      </w:pPr>
      <w:r w:rsidRPr="00464D1A">
        <w:rPr>
          <w:rFonts w:ascii="Arial" w:hAnsi="Arial" w:cs="Arial"/>
          <w:sz w:val="22"/>
          <w:szCs w:val="22"/>
        </w:rPr>
        <w:t>Because they stress treating every individual with equality, respect, and compassion, these concepts are strongly related to person-centred care (PCC). Independence and dignity are supported, for instance, when a client of a service is given the freedom to choose their daily activities or course of treatment. These concepts are also used by professionals to help them make tough decisions, such finding a balance between an individual's safety and freedom. Supporting senior citizens who want to remain at home with health hazards is a common example of this.</w:t>
      </w:r>
    </w:p>
    <w:p w14:paraId="490C49F7" w14:textId="77777777" w:rsidR="00464D1A" w:rsidRPr="00C8526D" w:rsidRDefault="00464D1A" w:rsidP="007427C6">
      <w:pPr>
        <w:spacing w:line="360" w:lineRule="auto"/>
        <w:rPr>
          <w:rFonts w:ascii="Arial" w:hAnsi="Arial" w:cs="Arial"/>
          <w:sz w:val="22"/>
          <w:szCs w:val="22"/>
        </w:rPr>
      </w:pPr>
      <w:r w:rsidRPr="00464D1A">
        <w:rPr>
          <w:rFonts w:ascii="Arial" w:hAnsi="Arial" w:cs="Arial"/>
          <w:sz w:val="22"/>
          <w:szCs w:val="22"/>
        </w:rPr>
        <w:t>However, it might be difficult to put ethical ideas into practice. It may be challenging to completely maintain autonomy or secrecy due to a lack of resources, staffing difficulties, or communication obstacles. Despite this, following medical ethical standards helps guarantee that everyone receives kind, fair, and respectful treatment (British Medical Association, 2021). Professionals may provide excellent care that really represents person-centred values by putting morals into their everyday work.</w:t>
      </w:r>
    </w:p>
    <w:p w14:paraId="6DBBC138" w14:textId="2A2AE591" w:rsidR="002A22DA" w:rsidRPr="00C8526D" w:rsidRDefault="002A22DA" w:rsidP="007427C6">
      <w:pPr>
        <w:spacing w:line="360" w:lineRule="auto"/>
        <w:rPr>
          <w:rFonts w:ascii="Arial" w:hAnsi="Arial" w:cs="Arial"/>
          <w:b/>
          <w:bCs/>
          <w:sz w:val="22"/>
          <w:szCs w:val="22"/>
        </w:rPr>
      </w:pPr>
      <w:r w:rsidRPr="00C8526D">
        <w:rPr>
          <w:rFonts w:ascii="Arial" w:hAnsi="Arial" w:cs="Arial"/>
          <w:b/>
          <w:bCs/>
          <w:sz w:val="22"/>
          <w:szCs w:val="22"/>
        </w:rPr>
        <w:t>Evaluation of Partnership Working (PW)</w:t>
      </w:r>
    </w:p>
    <w:p w14:paraId="3BB1DC77" w14:textId="77777777" w:rsidR="00C422A5" w:rsidRPr="00C8526D" w:rsidRDefault="00C422A5" w:rsidP="007427C6">
      <w:pPr>
        <w:spacing w:line="360" w:lineRule="auto"/>
        <w:rPr>
          <w:rFonts w:ascii="Arial" w:hAnsi="Arial" w:cs="Arial"/>
          <w:sz w:val="22"/>
          <w:szCs w:val="22"/>
        </w:rPr>
      </w:pPr>
      <w:r w:rsidRPr="00C422A5">
        <w:rPr>
          <w:rFonts w:ascii="Arial" w:hAnsi="Arial" w:cs="Arial"/>
          <w:sz w:val="22"/>
          <w:szCs w:val="22"/>
        </w:rPr>
        <w:t>In health and social care, partnership working (PW) is a joint approach that joins professionals, families, service users, and other organisations to achieve common objectives and enhance results. Successful partnership functioning enables services like the NHS, social care, and nonprofit groups to arrange assistance and offer more full and person-centred care, suggest the researchers Glasby and Dickinson (2014). By ensuring that people receive consistent care across various providers, this cooperation minimises duplication and support gaps. For instance, when healthcare workers and social workers collaborate to put together a shared, individualised care plan, a person with both physical and mental health requirements benefits.</w:t>
      </w:r>
    </w:p>
    <w:p w14:paraId="232D50A6" w14:textId="77777777" w:rsidR="00EF4C0D" w:rsidRPr="00EF4C0D" w:rsidRDefault="00EF4C0D" w:rsidP="007427C6">
      <w:pPr>
        <w:spacing w:line="360" w:lineRule="auto"/>
        <w:rPr>
          <w:rFonts w:ascii="Arial" w:hAnsi="Arial" w:cs="Arial"/>
          <w:sz w:val="22"/>
          <w:szCs w:val="22"/>
        </w:rPr>
      </w:pPr>
      <w:r w:rsidRPr="00EF4C0D">
        <w:rPr>
          <w:rFonts w:ascii="Arial" w:hAnsi="Arial" w:cs="Arial"/>
          <w:sz w:val="22"/>
          <w:szCs w:val="22"/>
        </w:rPr>
        <w:t>Better communication, happier workers, and increased employee and service user happiness are the primary advantages of partnership working. Professionals who work together can pool funds and experience, which speeds up decision-making and improves problem-solving (NHS England, 2019). Also, it creates trust and respect between employees and clients, resulting in a more welcoming and supportive care setting.</w:t>
      </w:r>
    </w:p>
    <w:p w14:paraId="6D766FFE" w14:textId="77777777" w:rsidR="008C4487" w:rsidRPr="00C8526D" w:rsidRDefault="00B81345" w:rsidP="007427C6">
      <w:pPr>
        <w:spacing w:line="360" w:lineRule="auto"/>
        <w:rPr>
          <w:rFonts w:ascii="Arial" w:hAnsi="Arial" w:cs="Arial"/>
          <w:sz w:val="22"/>
          <w:szCs w:val="22"/>
        </w:rPr>
      </w:pPr>
      <w:r w:rsidRPr="00B81345">
        <w:rPr>
          <w:rFonts w:ascii="Arial" w:hAnsi="Arial" w:cs="Arial"/>
          <w:sz w:val="22"/>
          <w:szCs w:val="22"/>
        </w:rPr>
        <w:t xml:space="preserve">Working in partnership can provide difficulties, though. Power imbalances amongst workers, poor communication, unclear responsibilities, and various organisational cultures may cause </w:t>
      </w:r>
      <w:r w:rsidRPr="00B81345">
        <w:rPr>
          <w:rFonts w:ascii="Arial" w:hAnsi="Arial" w:cs="Arial"/>
          <w:sz w:val="22"/>
          <w:szCs w:val="22"/>
        </w:rPr>
        <w:lastRenderedPageBreak/>
        <w:t>trouble or hinder development (</w:t>
      </w:r>
      <w:proofErr w:type="spellStart"/>
      <w:r w:rsidRPr="00B81345">
        <w:rPr>
          <w:rFonts w:ascii="Arial" w:hAnsi="Arial" w:cs="Arial"/>
          <w:sz w:val="22"/>
          <w:szCs w:val="22"/>
        </w:rPr>
        <w:t>Carnwell</w:t>
      </w:r>
      <w:proofErr w:type="spellEnd"/>
      <w:r w:rsidRPr="00B81345">
        <w:rPr>
          <w:rFonts w:ascii="Arial" w:hAnsi="Arial" w:cs="Arial"/>
          <w:sz w:val="22"/>
          <w:szCs w:val="22"/>
        </w:rPr>
        <w:t xml:space="preserve"> and Carson, 2009). Time restrictions and limited budget may also make regular meetings or information sharing difficult. Despite these obstacles, relationships may be built and shared, and high-quality treatment can be ensured with the support of strong leadership, common values, and continual training (Health and treatment Professions Council, 2020). Overall, partnership work remains an important component of delivering secure and person-centred car</w:t>
      </w:r>
    </w:p>
    <w:p w14:paraId="7C4A310B" w14:textId="75A8F2C5" w:rsidR="00B81345" w:rsidRPr="00B81345" w:rsidRDefault="00B81345" w:rsidP="007427C6">
      <w:pPr>
        <w:spacing w:line="360" w:lineRule="auto"/>
        <w:rPr>
          <w:rFonts w:ascii="Arial" w:hAnsi="Arial" w:cs="Arial"/>
          <w:sz w:val="22"/>
          <w:szCs w:val="22"/>
        </w:rPr>
      </w:pPr>
      <w:r w:rsidRPr="00C8526D">
        <w:rPr>
          <w:rFonts w:ascii="Arial" w:hAnsi="Arial" w:cs="Arial"/>
          <w:b/>
          <w:bCs/>
          <w:sz w:val="22"/>
          <w:szCs w:val="22"/>
        </w:rPr>
        <w:t xml:space="preserve"> </w:t>
      </w:r>
      <w:r w:rsidRPr="00C8526D">
        <w:rPr>
          <w:rFonts w:ascii="Arial" w:hAnsi="Arial" w:cs="Arial"/>
          <w:b/>
          <w:bCs/>
          <w:sz w:val="22"/>
          <w:szCs w:val="22"/>
        </w:rPr>
        <w:t>Application of Partnership Working in Practice</w:t>
      </w:r>
    </w:p>
    <w:p w14:paraId="369D3ECA" w14:textId="77777777" w:rsidR="00D70746" w:rsidRPr="00C8526D" w:rsidRDefault="00D70746" w:rsidP="007427C6">
      <w:pPr>
        <w:spacing w:line="360" w:lineRule="auto"/>
        <w:rPr>
          <w:rFonts w:ascii="Arial" w:hAnsi="Arial" w:cs="Arial"/>
          <w:sz w:val="22"/>
          <w:szCs w:val="22"/>
        </w:rPr>
      </w:pPr>
      <w:r w:rsidRPr="00D70746">
        <w:rPr>
          <w:rFonts w:ascii="Arial" w:hAnsi="Arial" w:cs="Arial"/>
          <w:sz w:val="22"/>
          <w:szCs w:val="22"/>
        </w:rPr>
        <w:t>In the care of older persons with multiple health and social needs, partnership working together is very key. To provide managed, person-centred care, integrated care brings together experts from various backgrounds, including physicians, nurses, social workers, physiotherapists, and care assistants. By ensuring that all professionals communicate information, agree on care goals, and plan actions through frequent multidisciplinary team (MDT) meetings, good partnership functioning helps prevent divided services, according to the Care Quality Commission (2020).</w:t>
      </w:r>
    </w:p>
    <w:p w14:paraId="128489E7" w14:textId="16CF746A" w:rsidR="00D96E83" w:rsidRPr="00C8526D" w:rsidRDefault="00D96E83" w:rsidP="007427C6">
      <w:pPr>
        <w:spacing w:line="360" w:lineRule="auto"/>
        <w:rPr>
          <w:rFonts w:ascii="Arial" w:hAnsi="Arial" w:cs="Arial"/>
          <w:sz w:val="22"/>
          <w:szCs w:val="22"/>
        </w:rPr>
      </w:pPr>
      <w:r w:rsidRPr="00D96E83">
        <w:rPr>
          <w:rFonts w:ascii="Arial" w:hAnsi="Arial" w:cs="Arial"/>
          <w:sz w:val="22"/>
          <w:szCs w:val="22"/>
        </w:rPr>
        <w:t xml:space="preserve">For example, an elderly person with diabetes and mobility issues would require home help, physiotherapy, and medical care. In this case, a shared care plan would be developed by the general care provider, district nurse, physiotherapist, and social worker. </w:t>
      </w:r>
      <w:r w:rsidRPr="00C8526D">
        <w:rPr>
          <w:rFonts w:ascii="Arial" w:hAnsi="Arial" w:cs="Arial"/>
          <w:sz w:val="22"/>
          <w:szCs w:val="22"/>
        </w:rPr>
        <w:t>To</w:t>
      </w:r>
      <w:r w:rsidRPr="00D96E83">
        <w:rPr>
          <w:rFonts w:ascii="Arial" w:hAnsi="Arial" w:cs="Arial"/>
          <w:sz w:val="22"/>
          <w:szCs w:val="22"/>
        </w:rPr>
        <w:t xml:space="preserve"> assist the </w:t>
      </w:r>
      <w:r w:rsidRPr="00C8526D">
        <w:rPr>
          <w:rFonts w:ascii="Arial" w:hAnsi="Arial" w:cs="Arial"/>
          <w:sz w:val="22"/>
          <w:szCs w:val="22"/>
        </w:rPr>
        <w:t>person,</w:t>
      </w:r>
      <w:r w:rsidRPr="00D96E83">
        <w:rPr>
          <w:rFonts w:ascii="Arial" w:hAnsi="Arial" w:cs="Arial"/>
          <w:sz w:val="22"/>
          <w:szCs w:val="22"/>
        </w:rPr>
        <w:t xml:space="preserve"> maintain their independence while carefully managing their disease, this plan would involve routine checkups, home improvements, and community support. According to NHS England (2019), this kind of collaboration guarantees that care is constant, consistent, and customised to the individual's preferences.</w:t>
      </w:r>
    </w:p>
    <w:p w14:paraId="3D87A83C" w14:textId="1684A176" w:rsidR="00D96E83" w:rsidRPr="00C8526D" w:rsidRDefault="00D96E83" w:rsidP="007427C6">
      <w:pPr>
        <w:spacing w:line="360" w:lineRule="auto"/>
        <w:rPr>
          <w:rFonts w:ascii="Arial" w:hAnsi="Arial" w:cs="Arial"/>
          <w:sz w:val="22"/>
          <w:szCs w:val="22"/>
        </w:rPr>
      </w:pPr>
      <w:r w:rsidRPr="00D96E83">
        <w:rPr>
          <w:rFonts w:ascii="Arial" w:hAnsi="Arial" w:cs="Arial"/>
          <w:sz w:val="22"/>
          <w:szCs w:val="22"/>
        </w:rPr>
        <w:t xml:space="preserve">Working in partnership has a </w:t>
      </w:r>
      <w:r w:rsidRPr="00C8526D">
        <w:rPr>
          <w:rFonts w:ascii="Arial" w:hAnsi="Arial" w:cs="Arial"/>
          <w:sz w:val="22"/>
          <w:szCs w:val="22"/>
        </w:rPr>
        <w:t>beneficial</w:t>
      </w:r>
      <w:r w:rsidRPr="00D96E83">
        <w:rPr>
          <w:rFonts w:ascii="Arial" w:hAnsi="Arial" w:cs="Arial"/>
          <w:sz w:val="22"/>
          <w:szCs w:val="22"/>
        </w:rPr>
        <w:t xml:space="preserve"> effect in this situation. It guarantees that service users and their families are more involved in choices about their care, lowers hospital admissions, and enhances professional communication (Glasby and Dickinson, 2014). Teamwork is still affected by issues including time limitations, challenges to information exchange, and a lack of resources. Despite this, integrated care continues to be one of the greatest examples of partnership in action, demonstrating how partnership enhances older people's entire experience as well as the quality of ca</w:t>
      </w:r>
      <w:r w:rsidR="00462642" w:rsidRPr="00C8526D">
        <w:rPr>
          <w:rFonts w:ascii="Arial" w:hAnsi="Arial" w:cs="Arial"/>
          <w:sz w:val="22"/>
          <w:szCs w:val="22"/>
        </w:rPr>
        <w:t>re.</w:t>
      </w:r>
    </w:p>
    <w:p w14:paraId="49E14804" w14:textId="73B349FF" w:rsidR="00462642" w:rsidRPr="00C8526D" w:rsidRDefault="00462642" w:rsidP="007427C6">
      <w:pPr>
        <w:spacing w:line="360" w:lineRule="auto"/>
        <w:rPr>
          <w:rFonts w:ascii="Arial" w:hAnsi="Arial" w:cs="Arial"/>
          <w:b/>
          <w:bCs/>
          <w:sz w:val="22"/>
          <w:szCs w:val="22"/>
        </w:rPr>
      </w:pPr>
      <w:r w:rsidRPr="00C8526D">
        <w:rPr>
          <w:rFonts w:ascii="Arial" w:hAnsi="Arial" w:cs="Arial"/>
          <w:b/>
          <w:bCs/>
          <w:sz w:val="22"/>
          <w:szCs w:val="22"/>
        </w:rPr>
        <w:t>Policy and Legislation Relevant to PCC and PW</w:t>
      </w:r>
    </w:p>
    <w:p w14:paraId="5B4C0D76" w14:textId="663E2993" w:rsidR="00462642" w:rsidRPr="00C8526D" w:rsidRDefault="00462642" w:rsidP="007427C6">
      <w:pPr>
        <w:spacing w:line="360" w:lineRule="auto"/>
        <w:rPr>
          <w:rFonts w:ascii="Arial" w:hAnsi="Arial" w:cs="Arial"/>
          <w:sz w:val="22"/>
          <w:szCs w:val="22"/>
        </w:rPr>
      </w:pPr>
      <w:r w:rsidRPr="00462642">
        <w:rPr>
          <w:rFonts w:ascii="Arial" w:hAnsi="Arial" w:cs="Arial"/>
          <w:sz w:val="22"/>
          <w:szCs w:val="22"/>
        </w:rPr>
        <w:t xml:space="preserve">Person-centred care (PCC) and partnership working (PW) in health and social care are supported by </w:t>
      </w:r>
      <w:r w:rsidRPr="00C8526D">
        <w:rPr>
          <w:rFonts w:ascii="Arial" w:hAnsi="Arial" w:cs="Arial"/>
          <w:sz w:val="22"/>
          <w:szCs w:val="22"/>
        </w:rPr>
        <w:t>a few</w:t>
      </w:r>
      <w:r w:rsidRPr="00462642">
        <w:rPr>
          <w:rFonts w:ascii="Arial" w:hAnsi="Arial" w:cs="Arial"/>
          <w:sz w:val="22"/>
          <w:szCs w:val="22"/>
        </w:rPr>
        <w:t xml:space="preserve"> important UK legislation and policies. </w:t>
      </w:r>
      <w:r w:rsidRPr="00C8526D">
        <w:rPr>
          <w:rFonts w:ascii="Arial" w:hAnsi="Arial" w:cs="Arial"/>
          <w:sz w:val="22"/>
          <w:szCs w:val="22"/>
        </w:rPr>
        <w:t>To</w:t>
      </w:r>
      <w:r w:rsidRPr="00462642">
        <w:rPr>
          <w:rFonts w:ascii="Arial" w:hAnsi="Arial" w:cs="Arial"/>
          <w:sz w:val="22"/>
          <w:szCs w:val="22"/>
        </w:rPr>
        <w:t xml:space="preserve"> improve service integration and patient outcomes, the Health and Social Care Act (2012) </w:t>
      </w:r>
      <w:r w:rsidRPr="00C8526D">
        <w:rPr>
          <w:rFonts w:ascii="Arial" w:hAnsi="Arial" w:cs="Arial"/>
          <w:sz w:val="22"/>
          <w:szCs w:val="22"/>
        </w:rPr>
        <w:t>promote</w:t>
      </w:r>
      <w:r w:rsidRPr="00462642">
        <w:rPr>
          <w:rFonts w:ascii="Arial" w:hAnsi="Arial" w:cs="Arial"/>
          <w:sz w:val="22"/>
          <w:szCs w:val="22"/>
        </w:rPr>
        <w:t xml:space="preserve"> cooperation between the NHS, local governments, and other care providers. It stresses how important it is to include service users in choices regarding their care and make sure that social and health care </w:t>
      </w:r>
      <w:r w:rsidRPr="00462642">
        <w:rPr>
          <w:rFonts w:ascii="Arial" w:hAnsi="Arial" w:cs="Arial"/>
          <w:sz w:val="22"/>
          <w:szCs w:val="22"/>
        </w:rPr>
        <w:lastRenderedPageBreak/>
        <w:t>providers cooperate well. Also, the Care Act (2014) stresses independence and well-being by requiring that local authorities evaluate each person's needs and create individualised care plans that encourage autonomy and choice (Department of Health and Social Care, 2014).</w:t>
      </w:r>
    </w:p>
    <w:p w14:paraId="36E4406F" w14:textId="77777777" w:rsidR="00462642" w:rsidRPr="00C8526D" w:rsidRDefault="00462642" w:rsidP="007427C6">
      <w:pPr>
        <w:spacing w:line="360" w:lineRule="auto"/>
        <w:rPr>
          <w:rFonts w:ascii="Arial" w:hAnsi="Arial" w:cs="Arial"/>
          <w:sz w:val="22"/>
          <w:szCs w:val="22"/>
        </w:rPr>
      </w:pPr>
      <w:r w:rsidRPr="00462642">
        <w:rPr>
          <w:rFonts w:ascii="Arial" w:hAnsi="Arial" w:cs="Arial"/>
          <w:sz w:val="22"/>
          <w:szCs w:val="22"/>
        </w:rPr>
        <w:t>By supporting integrated care systems (ICS), which unite many entities to provide planned and person-centred services, the NHS Long Term Plan (2019) further supports these objectives. It seeks to ensure that care is customised to individuals' needs rather than organisational boundaries and to lessen health disparities. Also, the Mental Capacity Act (2005) protects the rights of those who might not be able to make choices supporting autonomy and dignity, while the Equality Act (2010) protects people from discrimination, providing justice and respect in all care settings (Legislation.gov.uk, 2005).</w:t>
      </w:r>
    </w:p>
    <w:p w14:paraId="642EB5AA" w14:textId="77777777" w:rsidR="00C4519B" w:rsidRPr="00C8526D" w:rsidRDefault="00C4519B" w:rsidP="007427C6">
      <w:pPr>
        <w:spacing w:line="360" w:lineRule="auto"/>
        <w:rPr>
          <w:rFonts w:ascii="Arial" w:hAnsi="Arial" w:cs="Arial"/>
          <w:sz w:val="22"/>
          <w:szCs w:val="22"/>
        </w:rPr>
      </w:pPr>
      <w:r w:rsidRPr="00C4519B">
        <w:rPr>
          <w:rFonts w:ascii="Arial" w:hAnsi="Arial" w:cs="Arial"/>
          <w:sz w:val="22"/>
          <w:szCs w:val="22"/>
        </w:rPr>
        <w:t>Given the fact that these frameworks offer PCC and PW solid direction, practical challenges still exist. Complete implementation may be challenging due to problems including few resources, a lack of workers, and communication obstacles. However, when these rules and laws work properly, they contribute to the development of a health and social care system that is fair, welcoming, and centred on improving each person's quality of life.</w:t>
      </w:r>
    </w:p>
    <w:p w14:paraId="71CFF2C3" w14:textId="4806903D" w:rsidR="00C4519B" w:rsidRPr="00C8526D" w:rsidRDefault="00C4519B" w:rsidP="007427C6">
      <w:pPr>
        <w:spacing w:line="360" w:lineRule="auto"/>
        <w:rPr>
          <w:rFonts w:ascii="Arial" w:hAnsi="Arial" w:cs="Arial"/>
          <w:b/>
          <w:bCs/>
          <w:sz w:val="22"/>
          <w:szCs w:val="22"/>
        </w:rPr>
      </w:pPr>
      <w:r w:rsidRPr="00C8526D">
        <w:rPr>
          <w:rFonts w:ascii="Arial" w:hAnsi="Arial" w:cs="Arial"/>
          <w:b/>
          <w:bCs/>
          <w:sz w:val="22"/>
          <w:szCs w:val="22"/>
        </w:rPr>
        <w:t>Recommendations for Future Development</w:t>
      </w:r>
    </w:p>
    <w:p w14:paraId="6B3C2885" w14:textId="42A2F6C8" w:rsidR="00C4519B" w:rsidRPr="00C8526D" w:rsidRDefault="00C4519B" w:rsidP="007427C6">
      <w:pPr>
        <w:spacing w:line="360" w:lineRule="auto"/>
        <w:rPr>
          <w:rFonts w:ascii="Arial" w:hAnsi="Arial" w:cs="Arial"/>
          <w:sz w:val="22"/>
          <w:szCs w:val="22"/>
        </w:rPr>
      </w:pPr>
      <w:r w:rsidRPr="00C8526D">
        <w:rPr>
          <w:rFonts w:ascii="Arial" w:hAnsi="Arial" w:cs="Arial"/>
          <w:sz w:val="22"/>
          <w:szCs w:val="22"/>
        </w:rPr>
        <w:t>A few</w:t>
      </w:r>
      <w:r w:rsidRPr="00C4519B">
        <w:rPr>
          <w:rFonts w:ascii="Arial" w:hAnsi="Arial" w:cs="Arial"/>
          <w:sz w:val="22"/>
          <w:szCs w:val="22"/>
        </w:rPr>
        <w:t xml:space="preserve"> major changes are required </w:t>
      </w:r>
      <w:r w:rsidR="008C4487" w:rsidRPr="00C8526D">
        <w:rPr>
          <w:rFonts w:ascii="Arial" w:hAnsi="Arial" w:cs="Arial"/>
          <w:sz w:val="22"/>
          <w:szCs w:val="22"/>
        </w:rPr>
        <w:t>to</w:t>
      </w:r>
      <w:r w:rsidRPr="00C4519B">
        <w:rPr>
          <w:rFonts w:ascii="Arial" w:hAnsi="Arial" w:cs="Arial"/>
          <w:sz w:val="22"/>
          <w:szCs w:val="22"/>
        </w:rPr>
        <w:t xml:space="preserve"> improve person-centred care (PCC) and partnership working (PW) in the United Kingdom. To better understand and address individual needs, health and social care workers must first receive additional training in communication, empathy, and respect for culture. This would contribute to ensuring that all service users get inclusive and respectful care, irrespective of their background (Health Education England, 2021). Second, increased use of digital tools like virtual care planning and shared electronic data might enhance team communication and allow service users to join more actively in decision-making.</w:t>
      </w:r>
    </w:p>
    <w:p w14:paraId="3ADFB46E" w14:textId="77777777" w:rsidR="00C4519B" w:rsidRPr="00C8526D" w:rsidRDefault="00C4519B" w:rsidP="007427C6">
      <w:pPr>
        <w:spacing w:line="360" w:lineRule="auto"/>
        <w:rPr>
          <w:rFonts w:ascii="Arial" w:hAnsi="Arial" w:cs="Arial"/>
          <w:sz w:val="22"/>
          <w:szCs w:val="22"/>
        </w:rPr>
      </w:pPr>
      <w:r w:rsidRPr="00C4519B">
        <w:rPr>
          <w:rFonts w:ascii="Arial" w:hAnsi="Arial" w:cs="Arial"/>
          <w:sz w:val="22"/>
          <w:szCs w:val="22"/>
        </w:rPr>
        <w:t>Furthermore, more financing for integrated care systems (ICS) is necessary to promote partnerships across social and health services. To ensure that companies adhere to national standards for cooperation and person-centred practice, more policy action is also needed. Lastly, more responsive and efficient care systems can result from include families and service users in policy creation and service planning (NHS England, 2019). The UK can keep developing a health and social care system that is more effective, caring, and person-centred by working on these areas.</w:t>
      </w:r>
    </w:p>
    <w:p w14:paraId="686AEAED" w14:textId="19A90085" w:rsidR="007E7E2A" w:rsidRPr="00C8526D" w:rsidRDefault="007E7E2A" w:rsidP="007427C6">
      <w:pPr>
        <w:spacing w:line="360" w:lineRule="auto"/>
        <w:rPr>
          <w:rFonts w:ascii="Arial" w:hAnsi="Arial" w:cs="Arial"/>
          <w:b/>
          <w:bCs/>
          <w:sz w:val="22"/>
          <w:szCs w:val="22"/>
        </w:rPr>
      </w:pPr>
      <w:r w:rsidRPr="00C8526D">
        <w:rPr>
          <w:rFonts w:ascii="Arial" w:hAnsi="Arial" w:cs="Arial"/>
          <w:b/>
          <w:bCs/>
          <w:sz w:val="22"/>
          <w:szCs w:val="22"/>
        </w:rPr>
        <w:t>Conclusion</w:t>
      </w:r>
    </w:p>
    <w:p w14:paraId="45E6EE23" w14:textId="77777777" w:rsidR="002E7514" w:rsidRPr="002E7514" w:rsidRDefault="002E7514" w:rsidP="007427C6">
      <w:pPr>
        <w:spacing w:line="360" w:lineRule="auto"/>
        <w:rPr>
          <w:rFonts w:ascii="Arial" w:hAnsi="Arial" w:cs="Arial"/>
          <w:sz w:val="22"/>
          <w:szCs w:val="22"/>
        </w:rPr>
      </w:pPr>
      <w:r w:rsidRPr="002E7514">
        <w:rPr>
          <w:rFonts w:ascii="Arial" w:hAnsi="Arial" w:cs="Arial"/>
          <w:sz w:val="22"/>
          <w:szCs w:val="22"/>
        </w:rPr>
        <w:lastRenderedPageBreak/>
        <w:t>partnership working (PW) and person-centred care (PCC) are key ideas for providing caring and high-quality health and social care in the UK. While PW encourages cooperation between workers, service users, and groups to offer planned and full assistance, PCC guarantees that people are treated with dignity, respect, and empathy. Together, they provide a care setting that prioritises freedom, impartiality, and shared decisions.</w:t>
      </w:r>
    </w:p>
    <w:p w14:paraId="143FB08B" w14:textId="5808621C" w:rsidR="007E7E2A" w:rsidRPr="007E7E2A" w:rsidRDefault="007E7E2A" w:rsidP="007427C6">
      <w:pPr>
        <w:spacing w:line="360" w:lineRule="auto"/>
        <w:rPr>
          <w:rFonts w:ascii="Arial" w:hAnsi="Arial" w:cs="Arial"/>
          <w:sz w:val="22"/>
          <w:szCs w:val="22"/>
        </w:rPr>
      </w:pPr>
      <w:r w:rsidRPr="007E7E2A">
        <w:rPr>
          <w:rFonts w:ascii="Arial" w:hAnsi="Arial" w:cs="Arial"/>
          <w:sz w:val="22"/>
          <w:szCs w:val="22"/>
        </w:rPr>
        <w:t xml:space="preserve">The regular use of these ideas </w:t>
      </w:r>
      <w:r w:rsidRPr="00C8526D">
        <w:rPr>
          <w:rFonts w:ascii="Arial" w:hAnsi="Arial" w:cs="Arial"/>
          <w:sz w:val="22"/>
          <w:szCs w:val="22"/>
        </w:rPr>
        <w:t>is</w:t>
      </w:r>
      <w:r w:rsidRPr="007E7E2A">
        <w:rPr>
          <w:rFonts w:ascii="Arial" w:hAnsi="Arial" w:cs="Arial"/>
          <w:sz w:val="22"/>
          <w:szCs w:val="22"/>
        </w:rPr>
        <w:t xml:space="preserve"> still limited by issues such as staffing shortages, time restraints, and financial limitations. Even with robust policy frameworks like the NHS Long Term Plan (2019) and the treatment Act (2014), more effort must be done to guarantee that person-centred and partnership concepts are properly integrated into routine treatment. To overcome these obstacles, service-user engagement, good communication, and ongoing professional training are essential. A more responsive, effective, and inclusive health and social care system that really satisfies the many needs of people and communities will be created with ongoing development in these areas.</w:t>
      </w:r>
    </w:p>
    <w:p w14:paraId="6244329E" w14:textId="77777777" w:rsidR="002E7514" w:rsidRPr="00C4519B" w:rsidRDefault="002E7514" w:rsidP="007427C6">
      <w:pPr>
        <w:spacing w:line="360" w:lineRule="auto"/>
        <w:rPr>
          <w:rFonts w:ascii="Arial" w:hAnsi="Arial" w:cs="Arial"/>
          <w:sz w:val="22"/>
          <w:szCs w:val="22"/>
        </w:rPr>
      </w:pPr>
    </w:p>
    <w:p w14:paraId="616047AC" w14:textId="77777777" w:rsidR="00C4519B" w:rsidRPr="00C4519B" w:rsidRDefault="00C4519B" w:rsidP="007427C6">
      <w:pPr>
        <w:spacing w:line="360" w:lineRule="auto"/>
        <w:rPr>
          <w:rFonts w:ascii="Arial" w:hAnsi="Arial" w:cs="Arial"/>
          <w:sz w:val="22"/>
          <w:szCs w:val="22"/>
        </w:rPr>
      </w:pPr>
    </w:p>
    <w:p w14:paraId="61C2457D" w14:textId="77777777" w:rsidR="00C4519B" w:rsidRPr="00C4519B" w:rsidRDefault="00C4519B" w:rsidP="007427C6">
      <w:pPr>
        <w:spacing w:line="360" w:lineRule="auto"/>
        <w:rPr>
          <w:rFonts w:ascii="Arial" w:hAnsi="Arial" w:cs="Arial"/>
          <w:sz w:val="22"/>
          <w:szCs w:val="22"/>
        </w:rPr>
      </w:pPr>
    </w:p>
    <w:p w14:paraId="6BFB8FE6" w14:textId="77777777" w:rsidR="00C4519B" w:rsidRPr="00462642" w:rsidRDefault="00C4519B" w:rsidP="007427C6">
      <w:pPr>
        <w:spacing w:line="360" w:lineRule="auto"/>
        <w:rPr>
          <w:rFonts w:ascii="Arial" w:hAnsi="Arial" w:cs="Arial"/>
          <w:sz w:val="22"/>
          <w:szCs w:val="22"/>
        </w:rPr>
      </w:pPr>
    </w:p>
    <w:p w14:paraId="68743096" w14:textId="77777777" w:rsidR="00462642" w:rsidRPr="00462642" w:rsidRDefault="00462642" w:rsidP="007427C6">
      <w:pPr>
        <w:spacing w:line="360" w:lineRule="auto"/>
        <w:rPr>
          <w:rFonts w:ascii="Arial" w:hAnsi="Arial" w:cs="Arial"/>
          <w:sz w:val="22"/>
          <w:szCs w:val="22"/>
        </w:rPr>
      </w:pPr>
    </w:p>
    <w:p w14:paraId="30D71752" w14:textId="77777777" w:rsidR="00462642" w:rsidRPr="00D96E83" w:rsidRDefault="00462642" w:rsidP="007427C6">
      <w:pPr>
        <w:spacing w:line="360" w:lineRule="auto"/>
        <w:rPr>
          <w:rFonts w:ascii="Arial" w:hAnsi="Arial" w:cs="Arial"/>
          <w:sz w:val="22"/>
          <w:szCs w:val="22"/>
        </w:rPr>
      </w:pPr>
    </w:p>
    <w:p w14:paraId="50BFE424" w14:textId="77777777" w:rsidR="00D96E83" w:rsidRPr="00D96E83" w:rsidRDefault="00D96E83" w:rsidP="007427C6">
      <w:pPr>
        <w:spacing w:line="360" w:lineRule="auto"/>
        <w:rPr>
          <w:rFonts w:ascii="Arial" w:hAnsi="Arial" w:cs="Arial"/>
          <w:sz w:val="22"/>
          <w:szCs w:val="22"/>
        </w:rPr>
      </w:pPr>
    </w:p>
    <w:p w14:paraId="0902C254" w14:textId="77777777" w:rsidR="00D96E83" w:rsidRPr="00D70746" w:rsidRDefault="00D96E83" w:rsidP="007427C6">
      <w:pPr>
        <w:spacing w:line="360" w:lineRule="auto"/>
        <w:rPr>
          <w:rFonts w:ascii="Arial" w:hAnsi="Arial" w:cs="Arial"/>
          <w:sz w:val="22"/>
          <w:szCs w:val="22"/>
        </w:rPr>
      </w:pPr>
    </w:p>
    <w:p w14:paraId="4C78076F" w14:textId="77777777" w:rsidR="00EF4C0D" w:rsidRPr="00C422A5" w:rsidRDefault="00EF4C0D" w:rsidP="007427C6">
      <w:pPr>
        <w:spacing w:line="360" w:lineRule="auto"/>
        <w:rPr>
          <w:rFonts w:ascii="Arial" w:hAnsi="Arial" w:cs="Arial"/>
          <w:sz w:val="22"/>
          <w:szCs w:val="22"/>
        </w:rPr>
      </w:pPr>
    </w:p>
    <w:p w14:paraId="36BB82F6" w14:textId="77777777" w:rsidR="002A22DA" w:rsidRPr="00C8526D" w:rsidRDefault="002A22DA" w:rsidP="007427C6">
      <w:pPr>
        <w:spacing w:line="360" w:lineRule="auto"/>
        <w:rPr>
          <w:rFonts w:ascii="Arial" w:hAnsi="Arial" w:cs="Arial"/>
          <w:sz w:val="22"/>
          <w:szCs w:val="22"/>
        </w:rPr>
      </w:pPr>
    </w:p>
    <w:p w14:paraId="50A33C61" w14:textId="77777777" w:rsidR="002A22DA" w:rsidRPr="00464D1A" w:rsidRDefault="002A22DA" w:rsidP="007427C6">
      <w:pPr>
        <w:spacing w:line="360" w:lineRule="auto"/>
        <w:rPr>
          <w:rFonts w:ascii="Arial" w:hAnsi="Arial" w:cs="Arial"/>
          <w:sz w:val="22"/>
          <w:szCs w:val="22"/>
        </w:rPr>
      </w:pPr>
    </w:p>
    <w:p w14:paraId="17ABED9E" w14:textId="77777777" w:rsidR="00464D1A" w:rsidRPr="00464D1A" w:rsidRDefault="00464D1A" w:rsidP="007427C6">
      <w:pPr>
        <w:spacing w:line="360" w:lineRule="auto"/>
        <w:rPr>
          <w:rFonts w:ascii="Arial" w:hAnsi="Arial" w:cs="Arial"/>
          <w:sz w:val="22"/>
          <w:szCs w:val="22"/>
        </w:rPr>
      </w:pPr>
    </w:p>
    <w:p w14:paraId="73ADA43A" w14:textId="77777777" w:rsidR="00464D1A" w:rsidRPr="00C8526D" w:rsidRDefault="00464D1A" w:rsidP="007427C6">
      <w:pPr>
        <w:spacing w:line="360" w:lineRule="auto"/>
        <w:rPr>
          <w:rFonts w:ascii="Arial" w:hAnsi="Arial" w:cs="Arial"/>
          <w:sz w:val="22"/>
          <w:szCs w:val="22"/>
        </w:rPr>
      </w:pPr>
    </w:p>
    <w:p w14:paraId="30113A12" w14:textId="77777777" w:rsidR="0010358E" w:rsidRPr="0010358E" w:rsidRDefault="0010358E" w:rsidP="007427C6">
      <w:pPr>
        <w:spacing w:line="360" w:lineRule="auto"/>
        <w:rPr>
          <w:rFonts w:ascii="Arial" w:hAnsi="Arial" w:cs="Arial"/>
          <w:sz w:val="22"/>
          <w:szCs w:val="22"/>
        </w:rPr>
      </w:pPr>
    </w:p>
    <w:p w14:paraId="1FED8A86" w14:textId="77777777" w:rsidR="0010358E" w:rsidRPr="0036346C" w:rsidRDefault="0010358E" w:rsidP="007427C6">
      <w:pPr>
        <w:spacing w:line="360" w:lineRule="auto"/>
        <w:rPr>
          <w:rFonts w:ascii="Arial" w:hAnsi="Arial" w:cs="Arial"/>
          <w:sz w:val="22"/>
          <w:szCs w:val="22"/>
        </w:rPr>
      </w:pPr>
    </w:p>
    <w:p w14:paraId="76E8032E" w14:textId="77777777" w:rsidR="0010358E" w:rsidRPr="00F3118D" w:rsidRDefault="0010358E" w:rsidP="007427C6">
      <w:pPr>
        <w:spacing w:line="360" w:lineRule="auto"/>
        <w:rPr>
          <w:rFonts w:ascii="Arial" w:hAnsi="Arial" w:cs="Arial"/>
          <w:sz w:val="22"/>
          <w:szCs w:val="22"/>
        </w:rPr>
      </w:pPr>
    </w:p>
    <w:p w14:paraId="3DCEE702" w14:textId="77777777" w:rsidR="0010358E" w:rsidRPr="003E6571" w:rsidRDefault="0010358E" w:rsidP="007427C6">
      <w:pPr>
        <w:spacing w:line="360" w:lineRule="auto"/>
        <w:rPr>
          <w:rFonts w:ascii="Arial" w:hAnsi="Arial" w:cs="Arial"/>
          <w:sz w:val="22"/>
          <w:szCs w:val="22"/>
        </w:rPr>
      </w:pPr>
    </w:p>
    <w:p w14:paraId="458115C3" w14:textId="77777777" w:rsidR="0010358E" w:rsidRPr="0098119A" w:rsidRDefault="0010358E" w:rsidP="007427C6">
      <w:pPr>
        <w:spacing w:line="360" w:lineRule="auto"/>
        <w:rPr>
          <w:rFonts w:ascii="Arial" w:hAnsi="Arial" w:cs="Arial"/>
          <w:sz w:val="22"/>
          <w:szCs w:val="22"/>
        </w:rPr>
      </w:pPr>
    </w:p>
    <w:p w14:paraId="042CB21C" w14:textId="77777777" w:rsidR="0010358E" w:rsidRPr="000279E1" w:rsidRDefault="0010358E" w:rsidP="007427C6">
      <w:pPr>
        <w:spacing w:line="360" w:lineRule="auto"/>
        <w:rPr>
          <w:rFonts w:ascii="Arial" w:hAnsi="Arial" w:cs="Arial"/>
          <w:sz w:val="22"/>
          <w:szCs w:val="22"/>
        </w:rPr>
      </w:pPr>
    </w:p>
    <w:p w14:paraId="41B98E99" w14:textId="77777777" w:rsidR="0010358E" w:rsidRPr="000279E1" w:rsidRDefault="0010358E" w:rsidP="007427C6">
      <w:pPr>
        <w:spacing w:line="360" w:lineRule="auto"/>
        <w:rPr>
          <w:rFonts w:ascii="Arial" w:hAnsi="Arial" w:cs="Arial"/>
          <w:sz w:val="22"/>
          <w:szCs w:val="22"/>
        </w:rPr>
      </w:pPr>
    </w:p>
    <w:p w14:paraId="06A066CA" w14:textId="77777777" w:rsidR="0010358E" w:rsidRPr="00C8526D" w:rsidRDefault="0010358E" w:rsidP="007427C6">
      <w:pPr>
        <w:spacing w:line="360" w:lineRule="auto"/>
        <w:rPr>
          <w:rFonts w:ascii="Arial" w:hAnsi="Arial" w:cs="Arial"/>
          <w:sz w:val="22"/>
          <w:szCs w:val="22"/>
        </w:rPr>
      </w:pPr>
    </w:p>
    <w:p w14:paraId="529419BD" w14:textId="77777777" w:rsidR="0010358E" w:rsidRPr="00C8526D" w:rsidRDefault="0010358E" w:rsidP="007427C6">
      <w:pPr>
        <w:spacing w:line="360" w:lineRule="auto"/>
        <w:rPr>
          <w:rFonts w:ascii="Arial" w:hAnsi="Arial" w:cs="Arial"/>
          <w:sz w:val="22"/>
          <w:szCs w:val="22"/>
        </w:rPr>
      </w:pPr>
    </w:p>
    <w:p w14:paraId="16AC5702" w14:textId="77777777" w:rsidR="0010358E" w:rsidRPr="00C8526D" w:rsidRDefault="0010358E" w:rsidP="007427C6">
      <w:pPr>
        <w:spacing w:line="360" w:lineRule="auto"/>
        <w:rPr>
          <w:rFonts w:ascii="Arial" w:hAnsi="Arial" w:cs="Arial"/>
          <w:sz w:val="22"/>
          <w:szCs w:val="22"/>
        </w:rPr>
      </w:pPr>
    </w:p>
    <w:p w14:paraId="6C92980E" w14:textId="77777777" w:rsidR="0010358E" w:rsidRPr="00C8526D" w:rsidRDefault="0010358E" w:rsidP="007427C6">
      <w:pPr>
        <w:spacing w:line="360" w:lineRule="auto"/>
        <w:rPr>
          <w:rFonts w:ascii="Arial" w:hAnsi="Arial" w:cs="Arial"/>
          <w:sz w:val="22"/>
          <w:szCs w:val="22"/>
        </w:rPr>
      </w:pPr>
    </w:p>
    <w:p w14:paraId="4EE030FE" w14:textId="77777777" w:rsidR="0010358E" w:rsidRPr="00C8526D" w:rsidRDefault="0010358E" w:rsidP="007427C6">
      <w:pPr>
        <w:spacing w:line="360" w:lineRule="auto"/>
        <w:rPr>
          <w:rFonts w:ascii="Arial" w:hAnsi="Arial" w:cs="Arial"/>
          <w:sz w:val="22"/>
          <w:szCs w:val="22"/>
        </w:rPr>
      </w:pPr>
    </w:p>
    <w:p w14:paraId="09C46D4C" w14:textId="77777777" w:rsidR="0010358E" w:rsidRPr="00C8526D" w:rsidRDefault="0010358E" w:rsidP="007427C6">
      <w:pPr>
        <w:spacing w:line="360" w:lineRule="auto"/>
        <w:rPr>
          <w:rFonts w:ascii="Arial" w:hAnsi="Arial" w:cs="Arial"/>
          <w:sz w:val="22"/>
          <w:szCs w:val="22"/>
        </w:rPr>
      </w:pPr>
    </w:p>
    <w:p w14:paraId="3E5214D0" w14:textId="16F20078" w:rsidR="0010358E" w:rsidRPr="0010358E" w:rsidRDefault="0010358E" w:rsidP="007427C6">
      <w:pPr>
        <w:spacing w:line="360" w:lineRule="auto"/>
        <w:rPr>
          <w:rFonts w:ascii="Arial" w:hAnsi="Arial" w:cs="Arial"/>
          <w:sz w:val="22"/>
          <w:szCs w:val="22"/>
        </w:rPr>
      </w:pPr>
    </w:p>
    <w:p w14:paraId="0CDABF11" w14:textId="77777777" w:rsidR="0010358E" w:rsidRPr="0036346C" w:rsidRDefault="0010358E" w:rsidP="007427C6">
      <w:pPr>
        <w:spacing w:line="360" w:lineRule="auto"/>
        <w:rPr>
          <w:rFonts w:ascii="Arial" w:hAnsi="Arial" w:cs="Arial"/>
          <w:sz w:val="22"/>
          <w:szCs w:val="22"/>
        </w:rPr>
      </w:pPr>
    </w:p>
    <w:p w14:paraId="42317596" w14:textId="77777777" w:rsidR="0036346C" w:rsidRPr="00F3118D" w:rsidRDefault="0036346C" w:rsidP="007427C6">
      <w:pPr>
        <w:spacing w:line="360" w:lineRule="auto"/>
        <w:rPr>
          <w:rFonts w:ascii="Arial" w:hAnsi="Arial" w:cs="Arial"/>
          <w:sz w:val="22"/>
          <w:szCs w:val="22"/>
        </w:rPr>
      </w:pPr>
    </w:p>
    <w:p w14:paraId="527395ED" w14:textId="77777777" w:rsidR="00F3118D" w:rsidRPr="003E6571" w:rsidRDefault="00F3118D" w:rsidP="007427C6">
      <w:pPr>
        <w:spacing w:line="360" w:lineRule="auto"/>
        <w:rPr>
          <w:rFonts w:ascii="Arial" w:hAnsi="Arial" w:cs="Arial"/>
          <w:sz w:val="22"/>
          <w:szCs w:val="22"/>
        </w:rPr>
      </w:pPr>
    </w:p>
    <w:p w14:paraId="49E8D95E" w14:textId="77777777" w:rsidR="003E6571" w:rsidRPr="0098119A" w:rsidRDefault="003E6571" w:rsidP="007427C6">
      <w:pPr>
        <w:spacing w:line="360" w:lineRule="auto"/>
        <w:rPr>
          <w:rFonts w:ascii="Arial" w:hAnsi="Arial" w:cs="Arial"/>
          <w:sz w:val="22"/>
          <w:szCs w:val="22"/>
        </w:rPr>
      </w:pPr>
    </w:p>
    <w:p w14:paraId="584376D3" w14:textId="77777777" w:rsidR="0098119A" w:rsidRPr="000279E1" w:rsidRDefault="0098119A" w:rsidP="007427C6">
      <w:pPr>
        <w:spacing w:line="360" w:lineRule="auto"/>
        <w:rPr>
          <w:rFonts w:ascii="Arial" w:hAnsi="Arial" w:cs="Arial"/>
          <w:sz w:val="22"/>
          <w:szCs w:val="22"/>
        </w:rPr>
      </w:pPr>
    </w:p>
    <w:p w14:paraId="2F67C078" w14:textId="77777777" w:rsidR="000279E1" w:rsidRPr="000279E1" w:rsidRDefault="000279E1" w:rsidP="007427C6">
      <w:pPr>
        <w:spacing w:line="360" w:lineRule="auto"/>
        <w:rPr>
          <w:rFonts w:ascii="Arial" w:hAnsi="Arial" w:cs="Arial"/>
          <w:sz w:val="22"/>
          <w:szCs w:val="22"/>
        </w:rPr>
      </w:pPr>
    </w:p>
    <w:p w14:paraId="13C8F537" w14:textId="77777777" w:rsidR="000279E1" w:rsidRPr="00C8526D" w:rsidRDefault="000279E1" w:rsidP="007427C6">
      <w:pPr>
        <w:spacing w:line="360" w:lineRule="auto"/>
        <w:rPr>
          <w:rFonts w:ascii="Arial" w:hAnsi="Arial" w:cs="Arial"/>
          <w:sz w:val="22"/>
          <w:szCs w:val="22"/>
        </w:rPr>
      </w:pPr>
    </w:p>
    <w:p w14:paraId="33542C0D" w14:textId="77777777" w:rsidR="002E6348" w:rsidRPr="00C8526D" w:rsidRDefault="002E6348" w:rsidP="007427C6">
      <w:pPr>
        <w:spacing w:line="360" w:lineRule="auto"/>
        <w:rPr>
          <w:rFonts w:ascii="Arial" w:hAnsi="Arial" w:cs="Arial"/>
          <w:b/>
          <w:bCs/>
          <w:sz w:val="22"/>
          <w:szCs w:val="22"/>
        </w:rPr>
      </w:pPr>
    </w:p>
    <w:p w14:paraId="29D53F0E" w14:textId="77777777" w:rsidR="002E6348" w:rsidRPr="00C8526D" w:rsidRDefault="002E6348" w:rsidP="007427C6">
      <w:pPr>
        <w:spacing w:line="360" w:lineRule="auto"/>
        <w:rPr>
          <w:rFonts w:ascii="Arial" w:hAnsi="Arial" w:cs="Arial"/>
          <w:sz w:val="22"/>
          <w:szCs w:val="22"/>
        </w:rPr>
      </w:pPr>
    </w:p>
    <w:p w14:paraId="6F4B047A" w14:textId="77777777" w:rsidR="002E6348" w:rsidRPr="00C8526D" w:rsidRDefault="002E6348" w:rsidP="007427C6">
      <w:pPr>
        <w:spacing w:line="360" w:lineRule="auto"/>
        <w:rPr>
          <w:rFonts w:ascii="Arial" w:hAnsi="Arial" w:cs="Arial"/>
          <w:sz w:val="22"/>
          <w:szCs w:val="22"/>
        </w:rPr>
      </w:pPr>
    </w:p>
    <w:p w14:paraId="56705BCF" w14:textId="77777777" w:rsidR="002E6348" w:rsidRPr="00C8526D" w:rsidRDefault="002E6348" w:rsidP="007427C6">
      <w:pPr>
        <w:spacing w:line="360" w:lineRule="auto"/>
        <w:rPr>
          <w:rFonts w:ascii="Arial" w:hAnsi="Arial" w:cs="Arial"/>
          <w:sz w:val="22"/>
          <w:szCs w:val="22"/>
        </w:rPr>
      </w:pPr>
    </w:p>
    <w:p w14:paraId="36A0C339" w14:textId="77777777" w:rsidR="002E6348" w:rsidRPr="00C8526D" w:rsidRDefault="002E6348" w:rsidP="007427C6">
      <w:pPr>
        <w:spacing w:line="360" w:lineRule="auto"/>
        <w:rPr>
          <w:rFonts w:ascii="Arial" w:hAnsi="Arial" w:cs="Arial"/>
          <w:sz w:val="22"/>
          <w:szCs w:val="22"/>
        </w:rPr>
      </w:pPr>
    </w:p>
    <w:p w14:paraId="30091A5E" w14:textId="77777777" w:rsidR="002E6348" w:rsidRPr="00C8526D" w:rsidRDefault="002E6348" w:rsidP="007427C6">
      <w:pPr>
        <w:spacing w:line="360" w:lineRule="auto"/>
        <w:rPr>
          <w:rFonts w:ascii="Arial" w:hAnsi="Arial" w:cs="Arial"/>
          <w:sz w:val="22"/>
          <w:szCs w:val="22"/>
        </w:rPr>
      </w:pPr>
    </w:p>
    <w:p w14:paraId="19672846" w14:textId="007EFE07" w:rsidR="005536E7" w:rsidRPr="00C8526D" w:rsidRDefault="005536E7" w:rsidP="007427C6">
      <w:pPr>
        <w:spacing w:line="360" w:lineRule="auto"/>
        <w:rPr>
          <w:rFonts w:ascii="Arial" w:hAnsi="Arial" w:cs="Arial"/>
          <w:b/>
          <w:bCs/>
          <w:sz w:val="22"/>
          <w:szCs w:val="22"/>
        </w:rPr>
      </w:pPr>
    </w:p>
    <w:p w14:paraId="1C0FB5F2" w14:textId="77777777" w:rsidR="00F16818" w:rsidRDefault="00F16818" w:rsidP="007427C6">
      <w:pPr>
        <w:spacing w:line="360" w:lineRule="auto"/>
        <w:rPr>
          <w:rFonts w:ascii="Arial" w:hAnsi="Arial" w:cs="Arial"/>
          <w:b/>
          <w:bCs/>
          <w:sz w:val="22"/>
          <w:szCs w:val="22"/>
        </w:rPr>
      </w:pPr>
    </w:p>
    <w:p w14:paraId="70627982" w14:textId="77777777" w:rsidR="00F16818" w:rsidRPr="00C8526D" w:rsidRDefault="00F16818" w:rsidP="00F16818">
      <w:pPr>
        <w:spacing w:line="360" w:lineRule="auto"/>
        <w:rPr>
          <w:rFonts w:ascii="Arial" w:hAnsi="Arial" w:cs="Arial"/>
          <w:b/>
          <w:bCs/>
          <w:sz w:val="22"/>
          <w:szCs w:val="22"/>
        </w:rPr>
      </w:pPr>
      <w:r w:rsidRPr="002E6348">
        <w:rPr>
          <w:rFonts w:ascii="Arial" w:hAnsi="Arial" w:cs="Arial"/>
          <w:b/>
          <w:bCs/>
          <w:sz w:val="22"/>
          <w:szCs w:val="22"/>
        </w:rPr>
        <w:lastRenderedPageBreak/>
        <w:t>References</w:t>
      </w:r>
    </w:p>
    <w:p w14:paraId="1700A28C" w14:textId="09D06DC4"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Beauchamp, T. and Childress, J. (2013) </w:t>
      </w:r>
      <w:r w:rsidRPr="005536E7">
        <w:rPr>
          <w:rFonts w:ascii="Arial" w:hAnsi="Arial" w:cs="Arial"/>
          <w:b/>
          <w:bCs/>
          <w:i/>
          <w:iCs/>
          <w:sz w:val="22"/>
          <w:szCs w:val="22"/>
        </w:rPr>
        <w:t>Principles of Biomedical Ethics</w:t>
      </w:r>
      <w:r w:rsidRPr="005536E7">
        <w:rPr>
          <w:rFonts w:ascii="Arial" w:hAnsi="Arial" w:cs="Arial"/>
          <w:b/>
          <w:bCs/>
          <w:sz w:val="22"/>
          <w:szCs w:val="22"/>
        </w:rPr>
        <w:t xml:space="preserve">. 7th </w:t>
      </w:r>
      <w:proofErr w:type="spellStart"/>
      <w:r w:rsidRPr="005536E7">
        <w:rPr>
          <w:rFonts w:ascii="Arial" w:hAnsi="Arial" w:cs="Arial"/>
          <w:b/>
          <w:bCs/>
          <w:sz w:val="22"/>
          <w:szCs w:val="22"/>
        </w:rPr>
        <w:t>edn</w:t>
      </w:r>
      <w:proofErr w:type="spellEnd"/>
      <w:r w:rsidRPr="005536E7">
        <w:rPr>
          <w:rFonts w:ascii="Arial" w:hAnsi="Arial" w:cs="Arial"/>
          <w:b/>
          <w:bCs/>
          <w:sz w:val="22"/>
          <w:szCs w:val="22"/>
        </w:rPr>
        <w:t>. Oxford: Oxford University Press.</w:t>
      </w:r>
    </w:p>
    <w:p w14:paraId="0E688245"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British Medical Association (2021) </w:t>
      </w:r>
      <w:r w:rsidRPr="005536E7">
        <w:rPr>
          <w:rFonts w:ascii="Arial" w:hAnsi="Arial" w:cs="Arial"/>
          <w:b/>
          <w:bCs/>
          <w:i/>
          <w:iCs/>
          <w:sz w:val="22"/>
          <w:szCs w:val="22"/>
        </w:rPr>
        <w:t>Ethics Guidance for Doctors</w:t>
      </w:r>
      <w:r w:rsidRPr="005536E7">
        <w:rPr>
          <w:rFonts w:ascii="Arial" w:hAnsi="Arial" w:cs="Arial"/>
          <w:b/>
          <w:bCs/>
          <w:sz w:val="22"/>
          <w:szCs w:val="22"/>
        </w:rPr>
        <w:t>. London: BMA.</w:t>
      </w:r>
    </w:p>
    <w:p w14:paraId="5A5A4763" w14:textId="77777777" w:rsidR="005536E7" w:rsidRPr="005536E7" w:rsidRDefault="005536E7" w:rsidP="007427C6">
      <w:pPr>
        <w:spacing w:line="360" w:lineRule="auto"/>
        <w:rPr>
          <w:rFonts w:ascii="Arial" w:hAnsi="Arial" w:cs="Arial"/>
          <w:b/>
          <w:bCs/>
          <w:sz w:val="22"/>
          <w:szCs w:val="22"/>
        </w:rPr>
      </w:pPr>
      <w:proofErr w:type="spellStart"/>
      <w:r w:rsidRPr="005536E7">
        <w:rPr>
          <w:rFonts w:ascii="Arial" w:hAnsi="Arial" w:cs="Arial"/>
          <w:b/>
          <w:bCs/>
          <w:sz w:val="22"/>
          <w:szCs w:val="22"/>
        </w:rPr>
        <w:t>Carnwell</w:t>
      </w:r>
      <w:proofErr w:type="spellEnd"/>
      <w:r w:rsidRPr="005536E7">
        <w:rPr>
          <w:rFonts w:ascii="Arial" w:hAnsi="Arial" w:cs="Arial"/>
          <w:b/>
          <w:bCs/>
          <w:sz w:val="22"/>
          <w:szCs w:val="22"/>
        </w:rPr>
        <w:t xml:space="preserve">, R. and Carson, A. (2009) </w:t>
      </w:r>
      <w:r w:rsidRPr="005536E7">
        <w:rPr>
          <w:rFonts w:ascii="Arial" w:hAnsi="Arial" w:cs="Arial"/>
          <w:b/>
          <w:bCs/>
          <w:i/>
          <w:iCs/>
          <w:sz w:val="22"/>
          <w:szCs w:val="22"/>
        </w:rPr>
        <w:t>Effective Practice in Health and Social Care: A Partnership Approach</w:t>
      </w:r>
      <w:r w:rsidRPr="005536E7">
        <w:rPr>
          <w:rFonts w:ascii="Arial" w:hAnsi="Arial" w:cs="Arial"/>
          <w:b/>
          <w:bCs/>
          <w:sz w:val="22"/>
          <w:szCs w:val="22"/>
        </w:rPr>
        <w:t xml:space="preserve">. 2nd </w:t>
      </w:r>
      <w:proofErr w:type="spellStart"/>
      <w:r w:rsidRPr="005536E7">
        <w:rPr>
          <w:rFonts w:ascii="Arial" w:hAnsi="Arial" w:cs="Arial"/>
          <w:b/>
          <w:bCs/>
          <w:sz w:val="22"/>
          <w:szCs w:val="22"/>
        </w:rPr>
        <w:t>edn</w:t>
      </w:r>
      <w:proofErr w:type="spellEnd"/>
      <w:r w:rsidRPr="005536E7">
        <w:rPr>
          <w:rFonts w:ascii="Arial" w:hAnsi="Arial" w:cs="Arial"/>
          <w:b/>
          <w:bCs/>
          <w:sz w:val="22"/>
          <w:szCs w:val="22"/>
        </w:rPr>
        <w:t>. Maidenhead: Open University Press.</w:t>
      </w:r>
    </w:p>
    <w:p w14:paraId="54719541"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Care Quality Commission (2020) </w:t>
      </w:r>
      <w:r w:rsidRPr="005536E7">
        <w:rPr>
          <w:rFonts w:ascii="Arial" w:hAnsi="Arial" w:cs="Arial"/>
          <w:b/>
          <w:bCs/>
          <w:i/>
          <w:iCs/>
          <w:sz w:val="22"/>
          <w:szCs w:val="22"/>
        </w:rPr>
        <w:t>Driving Improvement Through Integration: Older People’s Care</w:t>
      </w:r>
      <w:r w:rsidRPr="005536E7">
        <w:rPr>
          <w:rFonts w:ascii="Arial" w:hAnsi="Arial" w:cs="Arial"/>
          <w:b/>
          <w:bCs/>
          <w:sz w:val="22"/>
          <w:szCs w:val="22"/>
        </w:rPr>
        <w:t>. London: CQC.</w:t>
      </w:r>
    </w:p>
    <w:p w14:paraId="2477B4DC"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Department of Health (2012) </w:t>
      </w:r>
      <w:r w:rsidRPr="005536E7">
        <w:rPr>
          <w:rFonts w:ascii="Arial" w:hAnsi="Arial" w:cs="Arial"/>
          <w:b/>
          <w:bCs/>
          <w:i/>
          <w:iCs/>
          <w:sz w:val="22"/>
          <w:szCs w:val="22"/>
        </w:rPr>
        <w:t>Caring for Our Future: Reforming Care and Support</w:t>
      </w:r>
      <w:r w:rsidRPr="005536E7">
        <w:rPr>
          <w:rFonts w:ascii="Arial" w:hAnsi="Arial" w:cs="Arial"/>
          <w:b/>
          <w:bCs/>
          <w:sz w:val="22"/>
          <w:szCs w:val="22"/>
        </w:rPr>
        <w:t>. London: HMSO.</w:t>
      </w:r>
    </w:p>
    <w:p w14:paraId="1F621206"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Department of Health and Social Care (2012) </w:t>
      </w:r>
      <w:r w:rsidRPr="005536E7">
        <w:rPr>
          <w:rFonts w:ascii="Arial" w:hAnsi="Arial" w:cs="Arial"/>
          <w:b/>
          <w:bCs/>
          <w:i/>
          <w:iCs/>
          <w:sz w:val="22"/>
          <w:szCs w:val="22"/>
        </w:rPr>
        <w:t>Health and Social Care Act 2012</w:t>
      </w:r>
      <w:r w:rsidRPr="005536E7">
        <w:rPr>
          <w:rFonts w:ascii="Arial" w:hAnsi="Arial" w:cs="Arial"/>
          <w:b/>
          <w:bCs/>
          <w:sz w:val="22"/>
          <w:szCs w:val="22"/>
        </w:rPr>
        <w:t>. London: HMSO.</w:t>
      </w:r>
    </w:p>
    <w:p w14:paraId="105A2934"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Department of Health and Social Care (2014) </w:t>
      </w:r>
      <w:r w:rsidRPr="005536E7">
        <w:rPr>
          <w:rFonts w:ascii="Arial" w:hAnsi="Arial" w:cs="Arial"/>
          <w:b/>
          <w:bCs/>
          <w:i/>
          <w:iCs/>
          <w:sz w:val="22"/>
          <w:szCs w:val="22"/>
        </w:rPr>
        <w:t>Care and Support Statutory Guidance: Issued Under the Care Act 2014</w:t>
      </w:r>
      <w:r w:rsidRPr="005536E7">
        <w:rPr>
          <w:rFonts w:ascii="Arial" w:hAnsi="Arial" w:cs="Arial"/>
          <w:b/>
          <w:bCs/>
          <w:sz w:val="22"/>
          <w:szCs w:val="22"/>
        </w:rPr>
        <w:t>. London: DHSC.</w:t>
      </w:r>
    </w:p>
    <w:p w14:paraId="6DEB6C21"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Glasby, J. and Dickinson, H. (2014) </w:t>
      </w:r>
      <w:r w:rsidRPr="005536E7">
        <w:rPr>
          <w:rFonts w:ascii="Arial" w:hAnsi="Arial" w:cs="Arial"/>
          <w:b/>
          <w:bCs/>
          <w:i/>
          <w:iCs/>
          <w:sz w:val="22"/>
          <w:szCs w:val="22"/>
        </w:rPr>
        <w:t>Partnership Working in Health and Social Care: What Is Integrated Care and How Can We Deliver It?</w:t>
      </w:r>
      <w:r w:rsidRPr="005536E7">
        <w:rPr>
          <w:rFonts w:ascii="Arial" w:hAnsi="Arial" w:cs="Arial"/>
          <w:b/>
          <w:bCs/>
          <w:sz w:val="22"/>
          <w:szCs w:val="22"/>
        </w:rPr>
        <w:t xml:space="preserve"> 2nd </w:t>
      </w:r>
      <w:proofErr w:type="spellStart"/>
      <w:r w:rsidRPr="005536E7">
        <w:rPr>
          <w:rFonts w:ascii="Arial" w:hAnsi="Arial" w:cs="Arial"/>
          <w:b/>
          <w:bCs/>
          <w:sz w:val="22"/>
          <w:szCs w:val="22"/>
        </w:rPr>
        <w:t>edn</w:t>
      </w:r>
      <w:proofErr w:type="spellEnd"/>
      <w:r w:rsidRPr="005536E7">
        <w:rPr>
          <w:rFonts w:ascii="Arial" w:hAnsi="Arial" w:cs="Arial"/>
          <w:b/>
          <w:bCs/>
          <w:sz w:val="22"/>
          <w:szCs w:val="22"/>
        </w:rPr>
        <w:t>. Bristol: Policy Press.</w:t>
      </w:r>
    </w:p>
    <w:p w14:paraId="7BA02FB0"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Glasby, J. and Dickinson, H. (2014) </w:t>
      </w:r>
      <w:r w:rsidRPr="005536E7">
        <w:rPr>
          <w:rFonts w:ascii="Arial" w:hAnsi="Arial" w:cs="Arial"/>
          <w:b/>
          <w:bCs/>
          <w:i/>
          <w:iCs/>
          <w:sz w:val="22"/>
          <w:szCs w:val="22"/>
        </w:rPr>
        <w:t>Partnership Working in Health and Social Care: What Is Integrated Care and How Can We Deliver It?</w:t>
      </w:r>
      <w:r w:rsidRPr="005536E7">
        <w:rPr>
          <w:rFonts w:ascii="Arial" w:hAnsi="Arial" w:cs="Arial"/>
          <w:b/>
          <w:bCs/>
          <w:sz w:val="22"/>
          <w:szCs w:val="22"/>
        </w:rPr>
        <w:t xml:space="preserve"> 2nd </w:t>
      </w:r>
      <w:proofErr w:type="spellStart"/>
      <w:r w:rsidRPr="005536E7">
        <w:rPr>
          <w:rFonts w:ascii="Arial" w:hAnsi="Arial" w:cs="Arial"/>
          <w:b/>
          <w:bCs/>
          <w:sz w:val="22"/>
          <w:szCs w:val="22"/>
        </w:rPr>
        <w:t>edn</w:t>
      </w:r>
      <w:proofErr w:type="spellEnd"/>
      <w:r w:rsidRPr="005536E7">
        <w:rPr>
          <w:rFonts w:ascii="Arial" w:hAnsi="Arial" w:cs="Arial"/>
          <w:b/>
          <w:bCs/>
          <w:sz w:val="22"/>
          <w:szCs w:val="22"/>
        </w:rPr>
        <w:t>. Bristol: Policy Press.</w:t>
      </w:r>
    </w:p>
    <w:p w14:paraId="4B525CF6"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Health and Care Professions Council (2020) </w:t>
      </w:r>
      <w:r w:rsidRPr="005536E7">
        <w:rPr>
          <w:rFonts w:ascii="Arial" w:hAnsi="Arial" w:cs="Arial"/>
          <w:b/>
          <w:bCs/>
          <w:i/>
          <w:iCs/>
          <w:sz w:val="22"/>
          <w:szCs w:val="22"/>
        </w:rPr>
        <w:t>Guidance on Conduct and Ethics for Students</w:t>
      </w:r>
      <w:r w:rsidRPr="005536E7">
        <w:rPr>
          <w:rFonts w:ascii="Arial" w:hAnsi="Arial" w:cs="Arial"/>
          <w:b/>
          <w:bCs/>
          <w:sz w:val="22"/>
          <w:szCs w:val="22"/>
        </w:rPr>
        <w:t>. London: HCPC.</w:t>
      </w:r>
    </w:p>
    <w:p w14:paraId="31C5241B"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Health Education England (2021) </w:t>
      </w:r>
      <w:r w:rsidRPr="005536E7">
        <w:rPr>
          <w:rFonts w:ascii="Arial" w:hAnsi="Arial" w:cs="Arial"/>
          <w:b/>
          <w:bCs/>
          <w:i/>
          <w:iCs/>
          <w:sz w:val="22"/>
          <w:szCs w:val="22"/>
        </w:rPr>
        <w:t>The Future of Health and Care Workforce Strategy</w:t>
      </w:r>
      <w:r w:rsidRPr="005536E7">
        <w:rPr>
          <w:rFonts w:ascii="Arial" w:hAnsi="Arial" w:cs="Arial"/>
          <w:b/>
          <w:bCs/>
          <w:sz w:val="22"/>
          <w:szCs w:val="22"/>
        </w:rPr>
        <w:t>. London: HEE.</w:t>
      </w:r>
    </w:p>
    <w:p w14:paraId="7306F85F"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Health Foundation (2016) </w:t>
      </w:r>
      <w:r w:rsidRPr="005536E7">
        <w:rPr>
          <w:rFonts w:ascii="Arial" w:hAnsi="Arial" w:cs="Arial"/>
          <w:b/>
          <w:bCs/>
          <w:i/>
          <w:iCs/>
          <w:sz w:val="22"/>
          <w:szCs w:val="22"/>
        </w:rPr>
        <w:t>Person-Centred Care Made Simple</w:t>
      </w:r>
      <w:r w:rsidRPr="005536E7">
        <w:rPr>
          <w:rFonts w:ascii="Arial" w:hAnsi="Arial" w:cs="Arial"/>
          <w:b/>
          <w:bCs/>
          <w:sz w:val="22"/>
          <w:szCs w:val="22"/>
        </w:rPr>
        <w:t>. London: The Health Foundation.</w:t>
      </w:r>
    </w:p>
    <w:p w14:paraId="6D73492C"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Health Foundation (2016) </w:t>
      </w:r>
      <w:r w:rsidRPr="005536E7">
        <w:rPr>
          <w:rFonts w:ascii="Arial" w:hAnsi="Arial" w:cs="Arial"/>
          <w:b/>
          <w:bCs/>
          <w:i/>
          <w:iCs/>
          <w:sz w:val="22"/>
          <w:szCs w:val="22"/>
        </w:rPr>
        <w:t>Person-Centred Care Made Simple</w:t>
      </w:r>
      <w:r w:rsidRPr="005536E7">
        <w:rPr>
          <w:rFonts w:ascii="Arial" w:hAnsi="Arial" w:cs="Arial"/>
          <w:b/>
          <w:bCs/>
          <w:sz w:val="22"/>
          <w:szCs w:val="22"/>
        </w:rPr>
        <w:t>. London: The Health Foundation.</w:t>
      </w:r>
    </w:p>
    <w:p w14:paraId="7ACB1624"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Legislation.gov.uk (2005) </w:t>
      </w:r>
      <w:r w:rsidRPr="005536E7">
        <w:rPr>
          <w:rFonts w:ascii="Arial" w:hAnsi="Arial" w:cs="Arial"/>
          <w:b/>
          <w:bCs/>
          <w:i/>
          <w:iCs/>
          <w:sz w:val="22"/>
          <w:szCs w:val="22"/>
        </w:rPr>
        <w:t>Mental Capacity Act 2005</w:t>
      </w:r>
      <w:r w:rsidRPr="005536E7">
        <w:rPr>
          <w:rFonts w:ascii="Arial" w:hAnsi="Arial" w:cs="Arial"/>
          <w:b/>
          <w:bCs/>
          <w:sz w:val="22"/>
          <w:szCs w:val="22"/>
        </w:rPr>
        <w:t>. London: The Stationery Office.</w:t>
      </w:r>
    </w:p>
    <w:p w14:paraId="5C1D5857"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McCormack, B. and McCance, T. (2017) </w:t>
      </w:r>
      <w:r w:rsidRPr="005536E7">
        <w:rPr>
          <w:rFonts w:ascii="Arial" w:hAnsi="Arial" w:cs="Arial"/>
          <w:b/>
          <w:bCs/>
          <w:i/>
          <w:iCs/>
          <w:sz w:val="22"/>
          <w:szCs w:val="22"/>
        </w:rPr>
        <w:t>Person-Centred Practice in Nursing and Health Care: Theory and Practice</w:t>
      </w:r>
      <w:r w:rsidRPr="005536E7">
        <w:rPr>
          <w:rFonts w:ascii="Arial" w:hAnsi="Arial" w:cs="Arial"/>
          <w:b/>
          <w:bCs/>
          <w:sz w:val="22"/>
          <w:szCs w:val="22"/>
        </w:rPr>
        <w:t xml:space="preserve">. 2nd </w:t>
      </w:r>
      <w:proofErr w:type="spellStart"/>
      <w:r w:rsidRPr="005536E7">
        <w:rPr>
          <w:rFonts w:ascii="Arial" w:hAnsi="Arial" w:cs="Arial"/>
          <w:b/>
          <w:bCs/>
          <w:sz w:val="22"/>
          <w:szCs w:val="22"/>
        </w:rPr>
        <w:t>edn</w:t>
      </w:r>
      <w:proofErr w:type="spellEnd"/>
      <w:r w:rsidRPr="005536E7">
        <w:rPr>
          <w:rFonts w:ascii="Arial" w:hAnsi="Arial" w:cs="Arial"/>
          <w:b/>
          <w:bCs/>
          <w:sz w:val="22"/>
          <w:szCs w:val="22"/>
        </w:rPr>
        <w:t>. Oxford: Wiley-Blackwell.</w:t>
      </w:r>
    </w:p>
    <w:p w14:paraId="6CD2E5C8"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lastRenderedPageBreak/>
        <w:t xml:space="preserve">McCormack, B. and McCance, T. (2017) </w:t>
      </w:r>
      <w:r w:rsidRPr="005536E7">
        <w:rPr>
          <w:rFonts w:ascii="Arial" w:hAnsi="Arial" w:cs="Arial"/>
          <w:b/>
          <w:bCs/>
          <w:i/>
          <w:iCs/>
          <w:sz w:val="22"/>
          <w:szCs w:val="22"/>
        </w:rPr>
        <w:t>Person-Centred Practice in Nursing and Health Care: Theory and Practice</w:t>
      </w:r>
      <w:r w:rsidRPr="005536E7">
        <w:rPr>
          <w:rFonts w:ascii="Arial" w:hAnsi="Arial" w:cs="Arial"/>
          <w:b/>
          <w:bCs/>
          <w:sz w:val="22"/>
          <w:szCs w:val="22"/>
        </w:rPr>
        <w:t xml:space="preserve">. 2nd </w:t>
      </w:r>
      <w:proofErr w:type="spellStart"/>
      <w:r w:rsidRPr="005536E7">
        <w:rPr>
          <w:rFonts w:ascii="Arial" w:hAnsi="Arial" w:cs="Arial"/>
          <w:b/>
          <w:bCs/>
          <w:sz w:val="22"/>
          <w:szCs w:val="22"/>
        </w:rPr>
        <w:t>edn</w:t>
      </w:r>
      <w:proofErr w:type="spellEnd"/>
      <w:r w:rsidRPr="005536E7">
        <w:rPr>
          <w:rFonts w:ascii="Arial" w:hAnsi="Arial" w:cs="Arial"/>
          <w:b/>
          <w:bCs/>
          <w:sz w:val="22"/>
          <w:szCs w:val="22"/>
        </w:rPr>
        <w:t>. Oxford: Wiley-Blackwell.</w:t>
      </w:r>
    </w:p>
    <w:p w14:paraId="71C6243C"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NHS England (2019) </w:t>
      </w:r>
      <w:r w:rsidRPr="005536E7">
        <w:rPr>
          <w:rFonts w:ascii="Arial" w:hAnsi="Arial" w:cs="Arial"/>
          <w:b/>
          <w:bCs/>
          <w:i/>
          <w:iCs/>
          <w:sz w:val="22"/>
          <w:szCs w:val="22"/>
        </w:rPr>
        <w:t>The NHS Long Term Plan</w:t>
      </w:r>
      <w:r w:rsidRPr="005536E7">
        <w:rPr>
          <w:rFonts w:ascii="Arial" w:hAnsi="Arial" w:cs="Arial"/>
          <w:b/>
          <w:bCs/>
          <w:sz w:val="22"/>
          <w:szCs w:val="22"/>
        </w:rPr>
        <w:t>. London: NHS England.</w:t>
      </w:r>
    </w:p>
    <w:p w14:paraId="5969184B"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NHS England (2019) </w:t>
      </w:r>
      <w:r w:rsidRPr="005536E7">
        <w:rPr>
          <w:rFonts w:ascii="Arial" w:hAnsi="Arial" w:cs="Arial"/>
          <w:b/>
          <w:bCs/>
          <w:i/>
          <w:iCs/>
          <w:sz w:val="22"/>
          <w:szCs w:val="22"/>
        </w:rPr>
        <w:t>The NHS Long Term Plan</w:t>
      </w:r>
      <w:r w:rsidRPr="005536E7">
        <w:rPr>
          <w:rFonts w:ascii="Arial" w:hAnsi="Arial" w:cs="Arial"/>
          <w:b/>
          <w:bCs/>
          <w:sz w:val="22"/>
          <w:szCs w:val="22"/>
        </w:rPr>
        <w:t>. London: NHS England.</w:t>
      </w:r>
    </w:p>
    <w:p w14:paraId="2FD5D0E2"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NHS England (2019) </w:t>
      </w:r>
      <w:r w:rsidRPr="005536E7">
        <w:rPr>
          <w:rFonts w:ascii="Arial" w:hAnsi="Arial" w:cs="Arial"/>
          <w:b/>
          <w:bCs/>
          <w:i/>
          <w:iCs/>
          <w:sz w:val="22"/>
          <w:szCs w:val="22"/>
        </w:rPr>
        <w:t>The NHS Long Term Plan</w:t>
      </w:r>
      <w:r w:rsidRPr="005536E7">
        <w:rPr>
          <w:rFonts w:ascii="Arial" w:hAnsi="Arial" w:cs="Arial"/>
          <w:b/>
          <w:bCs/>
          <w:sz w:val="22"/>
          <w:szCs w:val="22"/>
        </w:rPr>
        <w:t>. London: NHS England.</w:t>
      </w:r>
    </w:p>
    <w:p w14:paraId="38BB4D90"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NHS England (2019) </w:t>
      </w:r>
      <w:r w:rsidRPr="005536E7">
        <w:rPr>
          <w:rFonts w:ascii="Arial" w:hAnsi="Arial" w:cs="Arial"/>
          <w:b/>
          <w:bCs/>
          <w:i/>
          <w:iCs/>
          <w:sz w:val="22"/>
          <w:szCs w:val="22"/>
        </w:rPr>
        <w:t>The NHS Long Term Plan</w:t>
      </w:r>
      <w:r w:rsidRPr="005536E7">
        <w:rPr>
          <w:rFonts w:ascii="Arial" w:hAnsi="Arial" w:cs="Arial"/>
          <w:b/>
          <w:bCs/>
          <w:sz w:val="22"/>
          <w:szCs w:val="22"/>
        </w:rPr>
        <w:t>. London: NHS England.</w:t>
      </w:r>
    </w:p>
    <w:p w14:paraId="049B5087" w14:textId="77777777" w:rsidR="005536E7" w:rsidRPr="005536E7" w:rsidRDefault="005536E7" w:rsidP="007427C6">
      <w:pPr>
        <w:spacing w:line="360" w:lineRule="auto"/>
        <w:rPr>
          <w:rFonts w:ascii="Arial" w:hAnsi="Arial" w:cs="Arial"/>
          <w:b/>
          <w:bCs/>
          <w:sz w:val="22"/>
          <w:szCs w:val="22"/>
        </w:rPr>
      </w:pPr>
      <w:r w:rsidRPr="005536E7">
        <w:rPr>
          <w:rFonts w:ascii="Arial" w:hAnsi="Arial" w:cs="Arial"/>
          <w:b/>
          <w:bCs/>
          <w:sz w:val="22"/>
          <w:szCs w:val="22"/>
        </w:rPr>
        <w:t xml:space="preserve">Rogers, C. (1959) </w:t>
      </w:r>
      <w:r w:rsidRPr="005536E7">
        <w:rPr>
          <w:rFonts w:ascii="Arial" w:hAnsi="Arial" w:cs="Arial"/>
          <w:b/>
          <w:bCs/>
          <w:i/>
          <w:iCs/>
          <w:sz w:val="22"/>
          <w:szCs w:val="22"/>
        </w:rPr>
        <w:t>A Theory of Therapy, Personality and Interpersonal Relationships: As Developed in the Client-</w:t>
      </w:r>
      <w:proofErr w:type="spellStart"/>
      <w:r w:rsidRPr="005536E7">
        <w:rPr>
          <w:rFonts w:ascii="Arial" w:hAnsi="Arial" w:cs="Arial"/>
          <w:b/>
          <w:bCs/>
          <w:i/>
          <w:iCs/>
          <w:sz w:val="22"/>
          <w:szCs w:val="22"/>
        </w:rPr>
        <w:t>Centered</w:t>
      </w:r>
      <w:proofErr w:type="spellEnd"/>
      <w:r w:rsidRPr="005536E7">
        <w:rPr>
          <w:rFonts w:ascii="Arial" w:hAnsi="Arial" w:cs="Arial"/>
          <w:b/>
          <w:bCs/>
          <w:i/>
          <w:iCs/>
          <w:sz w:val="22"/>
          <w:szCs w:val="22"/>
        </w:rPr>
        <w:t xml:space="preserve"> Framework</w:t>
      </w:r>
      <w:r w:rsidRPr="005536E7">
        <w:rPr>
          <w:rFonts w:ascii="Arial" w:hAnsi="Arial" w:cs="Arial"/>
          <w:b/>
          <w:bCs/>
          <w:sz w:val="22"/>
          <w:szCs w:val="22"/>
        </w:rPr>
        <w:t>. New York: McGraw-Hill.</w:t>
      </w:r>
    </w:p>
    <w:p w14:paraId="32DA8F21" w14:textId="77777777" w:rsidR="005536E7" w:rsidRPr="00C8526D" w:rsidRDefault="005536E7" w:rsidP="007427C6">
      <w:pPr>
        <w:spacing w:line="360" w:lineRule="auto"/>
        <w:rPr>
          <w:rFonts w:ascii="Arial" w:hAnsi="Arial" w:cs="Arial"/>
          <w:b/>
          <w:bCs/>
          <w:sz w:val="22"/>
          <w:szCs w:val="22"/>
        </w:rPr>
      </w:pPr>
    </w:p>
    <w:p w14:paraId="57C95C5D" w14:textId="77777777" w:rsidR="005536E7" w:rsidRPr="00C8526D" w:rsidRDefault="005536E7" w:rsidP="007427C6">
      <w:pPr>
        <w:spacing w:line="360" w:lineRule="auto"/>
        <w:rPr>
          <w:rFonts w:ascii="Arial" w:hAnsi="Arial" w:cs="Arial"/>
          <w:b/>
          <w:bCs/>
          <w:sz w:val="22"/>
          <w:szCs w:val="22"/>
        </w:rPr>
      </w:pPr>
    </w:p>
    <w:p w14:paraId="29E8B3B6" w14:textId="77777777" w:rsidR="005536E7" w:rsidRPr="00C8526D" w:rsidRDefault="005536E7" w:rsidP="007427C6">
      <w:pPr>
        <w:spacing w:line="360" w:lineRule="auto"/>
        <w:rPr>
          <w:rFonts w:ascii="Arial" w:hAnsi="Arial" w:cs="Arial"/>
          <w:b/>
          <w:bCs/>
          <w:sz w:val="22"/>
          <w:szCs w:val="22"/>
        </w:rPr>
      </w:pPr>
    </w:p>
    <w:p w14:paraId="29550F10" w14:textId="77777777" w:rsidR="005536E7" w:rsidRPr="00C8526D" w:rsidRDefault="005536E7" w:rsidP="007427C6">
      <w:pPr>
        <w:spacing w:line="360" w:lineRule="auto"/>
        <w:rPr>
          <w:rFonts w:ascii="Arial" w:hAnsi="Arial" w:cs="Arial"/>
          <w:b/>
          <w:bCs/>
          <w:sz w:val="22"/>
          <w:szCs w:val="22"/>
        </w:rPr>
      </w:pPr>
    </w:p>
    <w:p w14:paraId="22E2CDFB" w14:textId="77777777" w:rsidR="005536E7" w:rsidRPr="00C8526D" w:rsidRDefault="005536E7" w:rsidP="007427C6">
      <w:pPr>
        <w:spacing w:line="360" w:lineRule="auto"/>
        <w:rPr>
          <w:rFonts w:ascii="Arial" w:hAnsi="Arial" w:cs="Arial"/>
          <w:b/>
          <w:bCs/>
          <w:sz w:val="22"/>
          <w:szCs w:val="22"/>
        </w:rPr>
      </w:pPr>
    </w:p>
    <w:p w14:paraId="407EFE9D" w14:textId="77777777" w:rsidR="005536E7" w:rsidRPr="00C8526D" w:rsidRDefault="005536E7" w:rsidP="007427C6">
      <w:pPr>
        <w:spacing w:line="360" w:lineRule="auto"/>
        <w:rPr>
          <w:rFonts w:ascii="Arial" w:hAnsi="Arial" w:cs="Arial"/>
          <w:b/>
          <w:bCs/>
          <w:sz w:val="22"/>
          <w:szCs w:val="22"/>
        </w:rPr>
      </w:pPr>
    </w:p>
    <w:p w14:paraId="444B37C6" w14:textId="77777777" w:rsidR="005536E7" w:rsidRPr="00C8526D" w:rsidRDefault="005536E7" w:rsidP="007427C6">
      <w:pPr>
        <w:spacing w:line="360" w:lineRule="auto"/>
        <w:rPr>
          <w:rFonts w:ascii="Arial" w:hAnsi="Arial" w:cs="Arial"/>
          <w:b/>
          <w:bCs/>
          <w:sz w:val="22"/>
          <w:szCs w:val="22"/>
        </w:rPr>
      </w:pPr>
    </w:p>
    <w:p w14:paraId="7691336E" w14:textId="77777777" w:rsidR="005536E7" w:rsidRPr="00C8526D" w:rsidRDefault="005536E7" w:rsidP="007427C6">
      <w:pPr>
        <w:spacing w:line="360" w:lineRule="auto"/>
        <w:rPr>
          <w:rFonts w:ascii="Arial" w:hAnsi="Arial" w:cs="Arial"/>
          <w:b/>
          <w:bCs/>
          <w:sz w:val="22"/>
          <w:szCs w:val="22"/>
        </w:rPr>
      </w:pPr>
    </w:p>
    <w:p w14:paraId="296F5B52" w14:textId="77777777" w:rsidR="005536E7" w:rsidRPr="00C8526D" w:rsidRDefault="005536E7" w:rsidP="007427C6">
      <w:pPr>
        <w:spacing w:line="360" w:lineRule="auto"/>
        <w:rPr>
          <w:rFonts w:ascii="Arial" w:hAnsi="Arial" w:cs="Arial"/>
          <w:b/>
          <w:bCs/>
          <w:sz w:val="22"/>
          <w:szCs w:val="22"/>
        </w:rPr>
      </w:pPr>
    </w:p>
    <w:p w14:paraId="511647AB" w14:textId="77777777" w:rsidR="005536E7" w:rsidRPr="00C8526D" w:rsidRDefault="005536E7" w:rsidP="007427C6">
      <w:pPr>
        <w:spacing w:line="360" w:lineRule="auto"/>
        <w:rPr>
          <w:rFonts w:ascii="Arial" w:hAnsi="Arial" w:cs="Arial"/>
          <w:b/>
          <w:bCs/>
          <w:sz w:val="22"/>
          <w:szCs w:val="22"/>
        </w:rPr>
      </w:pPr>
    </w:p>
    <w:p w14:paraId="47321EB3" w14:textId="77777777" w:rsidR="005536E7" w:rsidRPr="00C8526D" w:rsidRDefault="005536E7" w:rsidP="007427C6">
      <w:pPr>
        <w:spacing w:line="360" w:lineRule="auto"/>
        <w:rPr>
          <w:rFonts w:ascii="Arial" w:hAnsi="Arial" w:cs="Arial"/>
          <w:b/>
          <w:bCs/>
          <w:sz w:val="22"/>
          <w:szCs w:val="22"/>
        </w:rPr>
      </w:pPr>
    </w:p>
    <w:p w14:paraId="237CCD62" w14:textId="77777777" w:rsidR="005536E7" w:rsidRPr="00C8526D" w:rsidRDefault="005536E7" w:rsidP="007427C6">
      <w:pPr>
        <w:spacing w:line="360" w:lineRule="auto"/>
        <w:rPr>
          <w:rFonts w:ascii="Arial" w:hAnsi="Arial" w:cs="Arial"/>
          <w:b/>
          <w:bCs/>
          <w:sz w:val="22"/>
          <w:szCs w:val="22"/>
        </w:rPr>
      </w:pPr>
    </w:p>
    <w:p w14:paraId="7CDBE574" w14:textId="77777777" w:rsidR="005536E7" w:rsidRPr="00C8526D" w:rsidRDefault="005536E7" w:rsidP="007427C6">
      <w:pPr>
        <w:spacing w:line="360" w:lineRule="auto"/>
        <w:rPr>
          <w:rFonts w:ascii="Arial" w:hAnsi="Arial" w:cs="Arial"/>
          <w:b/>
          <w:bCs/>
          <w:sz w:val="22"/>
          <w:szCs w:val="22"/>
        </w:rPr>
      </w:pPr>
    </w:p>
    <w:p w14:paraId="126EA862" w14:textId="77777777" w:rsidR="00906F21" w:rsidRPr="00C8526D" w:rsidRDefault="00906F21" w:rsidP="007427C6">
      <w:pPr>
        <w:spacing w:line="360" w:lineRule="auto"/>
        <w:rPr>
          <w:rFonts w:ascii="Arial" w:hAnsi="Arial" w:cs="Arial"/>
          <w:sz w:val="22"/>
          <w:szCs w:val="22"/>
        </w:rPr>
      </w:pPr>
    </w:p>
    <w:sectPr w:rsidR="00906F21" w:rsidRPr="00C852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F21"/>
    <w:rsid w:val="000279E1"/>
    <w:rsid w:val="0010358E"/>
    <w:rsid w:val="002A22DA"/>
    <w:rsid w:val="002E6348"/>
    <w:rsid w:val="002E7514"/>
    <w:rsid w:val="0036346C"/>
    <w:rsid w:val="003E6571"/>
    <w:rsid w:val="00462642"/>
    <w:rsid w:val="00464D1A"/>
    <w:rsid w:val="005536E7"/>
    <w:rsid w:val="00640ADD"/>
    <w:rsid w:val="00731D3D"/>
    <w:rsid w:val="007427C6"/>
    <w:rsid w:val="007E7E2A"/>
    <w:rsid w:val="008C4487"/>
    <w:rsid w:val="009014E1"/>
    <w:rsid w:val="00906F21"/>
    <w:rsid w:val="0098119A"/>
    <w:rsid w:val="009B7BE2"/>
    <w:rsid w:val="009E0735"/>
    <w:rsid w:val="00B4524C"/>
    <w:rsid w:val="00B81345"/>
    <w:rsid w:val="00C422A5"/>
    <w:rsid w:val="00C4519B"/>
    <w:rsid w:val="00C8526D"/>
    <w:rsid w:val="00D70746"/>
    <w:rsid w:val="00D96E83"/>
    <w:rsid w:val="00EF4C0D"/>
    <w:rsid w:val="00F16818"/>
    <w:rsid w:val="00F31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E74B1"/>
  <w15:chartTrackingRefBased/>
  <w15:docId w15:val="{A25636C9-1FB8-4DDA-9AF1-A1E6F1FC6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818"/>
  </w:style>
  <w:style w:type="paragraph" w:styleId="Heading1">
    <w:name w:val="heading 1"/>
    <w:basedOn w:val="Normal"/>
    <w:next w:val="Normal"/>
    <w:link w:val="Heading1Char"/>
    <w:uiPriority w:val="9"/>
    <w:qFormat/>
    <w:rsid w:val="00906F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6F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6F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6F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6F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6F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6F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6F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6F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F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6F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6F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6F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6F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6F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6F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6F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6F21"/>
    <w:rPr>
      <w:rFonts w:eastAsiaTheme="majorEastAsia" w:cstheme="majorBidi"/>
      <w:color w:val="272727" w:themeColor="text1" w:themeTint="D8"/>
    </w:rPr>
  </w:style>
  <w:style w:type="paragraph" w:styleId="Title">
    <w:name w:val="Title"/>
    <w:basedOn w:val="Normal"/>
    <w:next w:val="Normal"/>
    <w:link w:val="TitleChar"/>
    <w:uiPriority w:val="10"/>
    <w:qFormat/>
    <w:rsid w:val="00906F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6F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6F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6F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6F21"/>
    <w:pPr>
      <w:spacing w:before="160"/>
      <w:jc w:val="center"/>
    </w:pPr>
    <w:rPr>
      <w:i/>
      <w:iCs/>
      <w:color w:val="404040" w:themeColor="text1" w:themeTint="BF"/>
    </w:rPr>
  </w:style>
  <w:style w:type="character" w:customStyle="1" w:styleId="QuoteChar">
    <w:name w:val="Quote Char"/>
    <w:basedOn w:val="DefaultParagraphFont"/>
    <w:link w:val="Quote"/>
    <w:uiPriority w:val="29"/>
    <w:rsid w:val="00906F21"/>
    <w:rPr>
      <w:i/>
      <w:iCs/>
      <w:color w:val="404040" w:themeColor="text1" w:themeTint="BF"/>
    </w:rPr>
  </w:style>
  <w:style w:type="paragraph" w:styleId="ListParagraph">
    <w:name w:val="List Paragraph"/>
    <w:basedOn w:val="Normal"/>
    <w:uiPriority w:val="34"/>
    <w:qFormat/>
    <w:rsid w:val="00906F21"/>
    <w:pPr>
      <w:ind w:left="720"/>
      <w:contextualSpacing/>
    </w:pPr>
  </w:style>
  <w:style w:type="character" w:styleId="IntenseEmphasis">
    <w:name w:val="Intense Emphasis"/>
    <w:basedOn w:val="DefaultParagraphFont"/>
    <w:uiPriority w:val="21"/>
    <w:qFormat/>
    <w:rsid w:val="00906F21"/>
    <w:rPr>
      <w:i/>
      <w:iCs/>
      <w:color w:val="0F4761" w:themeColor="accent1" w:themeShade="BF"/>
    </w:rPr>
  </w:style>
  <w:style w:type="paragraph" w:styleId="IntenseQuote">
    <w:name w:val="Intense Quote"/>
    <w:basedOn w:val="Normal"/>
    <w:next w:val="Normal"/>
    <w:link w:val="IntenseQuoteChar"/>
    <w:uiPriority w:val="30"/>
    <w:qFormat/>
    <w:rsid w:val="00906F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6F21"/>
    <w:rPr>
      <w:i/>
      <w:iCs/>
      <w:color w:val="0F4761" w:themeColor="accent1" w:themeShade="BF"/>
    </w:rPr>
  </w:style>
  <w:style w:type="character" w:styleId="IntenseReference">
    <w:name w:val="Intense Reference"/>
    <w:basedOn w:val="DefaultParagraphFont"/>
    <w:uiPriority w:val="32"/>
    <w:qFormat/>
    <w:rsid w:val="00906F2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c2806fbaa1d406f6e96fbf2db7555411">
  <xsd:schema xmlns:xsd="http://www.w3.org/2001/XMLSchema" xmlns:xs="http://www.w3.org/2001/XMLSchema" xmlns:p="http://schemas.microsoft.com/office/2006/metadata/properties" xmlns:ns3="0085e1a2-9cbf-4b92-866b-21f3c89040b6" targetNamespace="http://schemas.microsoft.com/office/2006/metadata/properties" ma:root="true" ma:fieldsID="c422e81e28b53a3f505df3f8108890a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28D23-863B-4240-92FA-22F3FF22F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54A4E0-F9C9-4BA8-8DED-328169EC5518}">
  <ds:schemaRefs>
    <ds:schemaRef ds:uri="http://schemas.microsoft.com/sharepoint/v3/contenttype/forms"/>
  </ds:schemaRefs>
</ds:datastoreItem>
</file>

<file path=customXml/itemProps3.xml><?xml version="1.0" encoding="utf-8"?>
<ds:datastoreItem xmlns:ds="http://schemas.openxmlformats.org/officeDocument/2006/customXml" ds:itemID="{251E14E5-E609-4F80-AC7E-6FA4A44119F1}">
  <ds:schemaRef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0085e1a2-9cbf-4b92-866b-21f3c89040b6"/>
    <ds:schemaRef ds:uri="http://purl.org/dc/dcmitype/"/>
    <ds:schemaRef ds:uri="http://schemas.microsoft.com/office/2006/metadata/properties"/>
    <ds:schemaRef ds:uri="http://www.w3.org/XML/1998/namespace"/>
    <ds:schemaRef ds:uri="http://purl.org/dc/elements/1.1/"/>
  </ds:schemaRefs>
</ds:datastoreItem>
</file>

<file path=customXml/itemProps4.xml><?xml version="1.0" encoding="utf-8"?>
<ds:datastoreItem xmlns:ds="http://schemas.openxmlformats.org/officeDocument/2006/customXml" ds:itemID="{BE248EE4-0EEA-4302-A647-8087FBE2F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2687</Words>
  <Characters>15317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Babita Masih (2409655)</dc:creator>
  <cp:keywords/>
  <dc:description/>
  <cp:lastModifiedBy>Babita Masih</cp:lastModifiedBy>
  <cp:revision>2</cp:revision>
  <dcterms:created xsi:type="dcterms:W3CDTF">2025-11-14T15:57:00Z</dcterms:created>
  <dcterms:modified xsi:type="dcterms:W3CDTF">2025-11-14T15:57:00Z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