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79A" w:rsidRDefault="0098579A" w:rsidP="0098579A">
      <w:pPr>
        <w:rPr>
          <w:b/>
          <w:sz w:val="56"/>
          <w:szCs w:val="56"/>
          <w:lang w:val="en-GB"/>
        </w:rPr>
      </w:pPr>
      <w:r>
        <w:rPr>
          <w:sz w:val="56"/>
          <w:szCs w:val="56"/>
          <w:lang w:val="en-GB"/>
        </w:rPr>
        <w:t xml:space="preserve">       </w:t>
      </w:r>
      <w:r w:rsidRPr="00325CCF">
        <w:rPr>
          <w:b/>
          <w:sz w:val="56"/>
          <w:szCs w:val="56"/>
          <w:lang w:val="en-GB"/>
        </w:rPr>
        <w:t>BA BUSINESS MANAGEMENT</w:t>
      </w:r>
    </w:p>
    <w:p w:rsidR="0098579A" w:rsidRDefault="0098579A" w:rsidP="0098579A">
      <w:pPr>
        <w:rPr>
          <w:b/>
          <w:sz w:val="48"/>
          <w:szCs w:val="48"/>
          <w:lang w:val="en-GB"/>
        </w:rPr>
      </w:pPr>
      <w:r>
        <w:rPr>
          <w:b/>
          <w:sz w:val="56"/>
          <w:szCs w:val="56"/>
          <w:lang w:val="en-GB"/>
        </w:rPr>
        <w:t xml:space="preserve">                   </w:t>
      </w:r>
      <w:r>
        <w:rPr>
          <w:b/>
          <w:sz w:val="48"/>
          <w:szCs w:val="48"/>
          <w:lang w:val="en-GB"/>
        </w:rPr>
        <w:t>ASSIGNMENT 2</w:t>
      </w:r>
    </w:p>
    <w:p w:rsidR="0098579A" w:rsidRDefault="0098579A" w:rsidP="0098579A">
      <w:pPr>
        <w:rPr>
          <w:b/>
          <w:sz w:val="48"/>
          <w:szCs w:val="48"/>
          <w:lang w:val="en-GB"/>
        </w:rPr>
      </w:pPr>
    </w:p>
    <w:p w:rsidR="0098579A" w:rsidRDefault="0098579A" w:rsidP="0098579A">
      <w:pPr>
        <w:rPr>
          <w:sz w:val="48"/>
          <w:szCs w:val="48"/>
          <w:lang w:val="en-GB"/>
        </w:rPr>
      </w:pPr>
      <w:r>
        <w:rPr>
          <w:b/>
          <w:sz w:val="48"/>
          <w:szCs w:val="48"/>
          <w:lang w:val="en-GB"/>
        </w:rPr>
        <w:t xml:space="preserve">MODULE: </w:t>
      </w:r>
      <w:r w:rsidRPr="00325CCF">
        <w:rPr>
          <w:sz w:val="48"/>
          <w:szCs w:val="48"/>
          <w:lang w:val="en-GB"/>
        </w:rPr>
        <w:t>Community Engagement</w:t>
      </w:r>
    </w:p>
    <w:p w:rsidR="0098579A" w:rsidRDefault="0098579A" w:rsidP="0098579A">
      <w:pPr>
        <w:rPr>
          <w:sz w:val="48"/>
          <w:szCs w:val="48"/>
          <w:lang w:val="en-GB"/>
        </w:rPr>
      </w:pPr>
      <w:r w:rsidRPr="00325CCF">
        <w:rPr>
          <w:b/>
          <w:sz w:val="48"/>
          <w:szCs w:val="48"/>
          <w:lang w:val="en-GB"/>
        </w:rPr>
        <w:t>CODE</w:t>
      </w:r>
      <w:r>
        <w:rPr>
          <w:b/>
          <w:sz w:val="48"/>
          <w:szCs w:val="48"/>
          <w:lang w:val="en-GB"/>
        </w:rPr>
        <w:t xml:space="preserve">: </w:t>
      </w:r>
      <w:r w:rsidRPr="00325CCF">
        <w:rPr>
          <w:sz w:val="48"/>
          <w:szCs w:val="48"/>
          <w:lang w:val="en-GB"/>
        </w:rPr>
        <w:t>LCBB4002</w:t>
      </w:r>
    </w:p>
    <w:p w:rsidR="0098579A" w:rsidRDefault="0098579A" w:rsidP="0098579A">
      <w:pPr>
        <w:rPr>
          <w:sz w:val="48"/>
          <w:szCs w:val="48"/>
          <w:lang w:val="en-GB"/>
        </w:rPr>
      </w:pPr>
      <w:r w:rsidRPr="00325CCF">
        <w:rPr>
          <w:b/>
          <w:sz w:val="48"/>
          <w:szCs w:val="48"/>
          <w:lang w:val="en-GB"/>
        </w:rPr>
        <w:t>LECTURER</w:t>
      </w:r>
      <w:r>
        <w:rPr>
          <w:b/>
          <w:sz w:val="48"/>
          <w:szCs w:val="48"/>
          <w:lang w:val="en-GB"/>
        </w:rPr>
        <w:t xml:space="preserve">: </w:t>
      </w:r>
      <w:r w:rsidRPr="00325CCF">
        <w:rPr>
          <w:sz w:val="48"/>
          <w:szCs w:val="48"/>
          <w:lang w:val="en-GB"/>
        </w:rPr>
        <w:t>Anita Nan</w:t>
      </w:r>
    </w:p>
    <w:p w:rsidR="0098579A" w:rsidRDefault="0098579A" w:rsidP="0098579A">
      <w:pPr>
        <w:rPr>
          <w:sz w:val="48"/>
          <w:szCs w:val="48"/>
          <w:lang w:val="en-GB"/>
        </w:rPr>
      </w:pPr>
      <w:r w:rsidRPr="00325CCF">
        <w:rPr>
          <w:b/>
          <w:sz w:val="48"/>
          <w:szCs w:val="48"/>
          <w:lang w:val="en-GB"/>
        </w:rPr>
        <w:t>NAME</w:t>
      </w:r>
      <w:r>
        <w:rPr>
          <w:b/>
          <w:sz w:val="48"/>
          <w:szCs w:val="48"/>
          <w:lang w:val="en-GB"/>
        </w:rPr>
        <w:t xml:space="preserve">: </w:t>
      </w:r>
      <w:proofErr w:type="spellStart"/>
      <w:proofErr w:type="gramStart"/>
      <w:r w:rsidRPr="00325CCF">
        <w:rPr>
          <w:sz w:val="48"/>
          <w:szCs w:val="48"/>
          <w:lang w:val="en-GB"/>
        </w:rPr>
        <w:t>Evelina</w:t>
      </w:r>
      <w:proofErr w:type="spellEnd"/>
      <w:r>
        <w:rPr>
          <w:sz w:val="48"/>
          <w:szCs w:val="48"/>
          <w:lang w:val="en-GB"/>
        </w:rPr>
        <w:t xml:space="preserve"> </w:t>
      </w:r>
      <w:r w:rsidRPr="00325CCF">
        <w:rPr>
          <w:sz w:val="48"/>
          <w:szCs w:val="48"/>
          <w:lang w:val="en-GB"/>
        </w:rPr>
        <w:t xml:space="preserve"> </w:t>
      </w:r>
      <w:proofErr w:type="spellStart"/>
      <w:r w:rsidRPr="00325CCF">
        <w:rPr>
          <w:sz w:val="48"/>
          <w:szCs w:val="48"/>
          <w:lang w:val="en-GB"/>
        </w:rPr>
        <w:t>Koleva</w:t>
      </w:r>
      <w:proofErr w:type="spellEnd"/>
      <w:proofErr w:type="gramEnd"/>
    </w:p>
    <w:p w:rsidR="0098579A" w:rsidRDefault="0098579A" w:rsidP="0098579A">
      <w:pPr>
        <w:rPr>
          <w:sz w:val="48"/>
          <w:szCs w:val="48"/>
          <w:lang w:val="en-GB"/>
        </w:rPr>
      </w:pPr>
      <w:r w:rsidRPr="00325CCF">
        <w:rPr>
          <w:b/>
          <w:sz w:val="48"/>
          <w:szCs w:val="48"/>
          <w:lang w:val="en-GB"/>
        </w:rPr>
        <w:t>STUDENT ID</w:t>
      </w:r>
      <w:r>
        <w:rPr>
          <w:b/>
          <w:sz w:val="48"/>
          <w:szCs w:val="48"/>
          <w:lang w:val="en-GB"/>
        </w:rPr>
        <w:t xml:space="preserve">: </w:t>
      </w:r>
      <w:r w:rsidRPr="00325CCF">
        <w:rPr>
          <w:sz w:val="48"/>
          <w:szCs w:val="48"/>
          <w:lang w:val="en-GB"/>
        </w:rPr>
        <w:t>2131127</w:t>
      </w:r>
    </w:p>
    <w:p w:rsidR="0098579A" w:rsidRDefault="0098579A" w:rsidP="0098579A">
      <w:pPr>
        <w:rPr>
          <w:sz w:val="48"/>
          <w:szCs w:val="48"/>
          <w:lang w:val="en-GB"/>
        </w:rPr>
      </w:pPr>
    </w:p>
    <w:p w:rsidR="0098579A" w:rsidRDefault="0098579A" w:rsidP="0098579A">
      <w:pPr>
        <w:rPr>
          <w:sz w:val="48"/>
          <w:szCs w:val="48"/>
          <w:lang w:val="en-GB"/>
        </w:rPr>
      </w:pPr>
    </w:p>
    <w:p w:rsidR="0098579A" w:rsidRDefault="0098579A" w:rsidP="0098579A">
      <w:pPr>
        <w:rPr>
          <w:sz w:val="48"/>
          <w:szCs w:val="48"/>
          <w:lang w:val="en-GB"/>
        </w:rPr>
      </w:pPr>
    </w:p>
    <w:p w:rsidR="0098579A" w:rsidRDefault="0098579A" w:rsidP="0098579A">
      <w:pPr>
        <w:rPr>
          <w:b/>
          <w:sz w:val="48"/>
          <w:szCs w:val="48"/>
          <w:lang w:val="en-GB"/>
        </w:rPr>
      </w:pPr>
      <w:r>
        <w:rPr>
          <w:sz w:val="48"/>
          <w:szCs w:val="48"/>
          <w:lang w:val="en-GB"/>
        </w:rPr>
        <w:t xml:space="preserve">               </w:t>
      </w:r>
      <w:proofErr w:type="gramStart"/>
      <w:r w:rsidRPr="00325CCF">
        <w:rPr>
          <w:b/>
          <w:sz w:val="48"/>
          <w:szCs w:val="48"/>
          <w:lang w:val="en-GB"/>
        </w:rPr>
        <w:t>SUBMITTED  ON</w:t>
      </w:r>
      <w:proofErr w:type="gramEnd"/>
      <w:r w:rsidR="007B35F1">
        <w:rPr>
          <w:b/>
          <w:sz w:val="48"/>
          <w:szCs w:val="48"/>
          <w:lang w:val="en-GB"/>
        </w:rPr>
        <w:t xml:space="preserve"> </w:t>
      </w:r>
      <w:r>
        <w:rPr>
          <w:b/>
          <w:sz w:val="48"/>
          <w:szCs w:val="48"/>
          <w:lang w:val="en-GB"/>
        </w:rPr>
        <w:t xml:space="preserve"> 5</w:t>
      </w:r>
      <w:r w:rsidRPr="0098579A">
        <w:rPr>
          <w:b/>
          <w:sz w:val="48"/>
          <w:szCs w:val="48"/>
          <w:vertAlign w:val="superscript"/>
          <w:lang w:val="en-GB"/>
        </w:rPr>
        <w:t>TH</w:t>
      </w:r>
      <w:r>
        <w:rPr>
          <w:b/>
          <w:sz w:val="48"/>
          <w:szCs w:val="48"/>
          <w:lang w:val="en-GB"/>
        </w:rPr>
        <w:t xml:space="preserve">  OF JANUARY 2023</w:t>
      </w:r>
    </w:p>
    <w:p w:rsidR="0098579A" w:rsidRDefault="0098579A" w:rsidP="0098579A">
      <w:pPr>
        <w:rPr>
          <w:b/>
          <w:sz w:val="48"/>
          <w:szCs w:val="48"/>
          <w:lang w:val="en-GB"/>
        </w:rPr>
      </w:pPr>
    </w:p>
    <w:p w:rsidR="0098579A" w:rsidRDefault="0098579A" w:rsidP="0098579A">
      <w:pPr>
        <w:rPr>
          <w:b/>
          <w:sz w:val="48"/>
          <w:szCs w:val="48"/>
          <w:lang w:val="en-GB"/>
        </w:rPr>
      </w:pPr>
    </w:p>
    <w:p w:rsidR="0098579A" w:rsidRDefault="0098579A" w:rsidP="0098579A">
      <w:pPr>
        <w:rPr>
          <w:b/>
          <w:sz w:val="48"/>
          <w:szCs w:val="48"/>
          <w:lang w:val="en-GB"/>
        </w:rPr>
      </w:pPr>
    </w:p>
    <w:p w:rsidR="0098579A" w:rsidRDefault="0098579A" w:rsidP="0098579A">
      <w:pPr>
        <w:pStyle w:val="ContentsHeading"/>
        <w:pageBreakBefore/>
      </w:pPr>
      <w:r>
        <w:lastRenderedPageBreak/>
        <w:t>Table of Contents</w:t>
      </w:r>
    </w:p>
    <w:p w:rsidR="0098579A" w:rsidRDefault="0098579A" w:rsidP="0098579A">
      <w:pPr>
        <w:pStyle w:val="TOC1"/>
      </w:pPr>
      <w:r>
        <w:fldChar w:fldCharType="begin"/>
      </w:r>
      <w:r>
        <w:instrText xml:space="preserve"> TOC \f \o "1-9" \o "1-9" </w:instrText>
      </w:r>
      <w:r>
        <w:fldChar w:fldCharType="separate"/>
      </w:r>
      <w:r>
        <w:t>INTRODUCTION</w:t>
      </w:r>
      <w:r>
        <w:tab/>
        <w:t>3</w:t>
      </w:r>
    </w:p>
    <w:p w:rsidR="0098579A" w:rsidRDefault="0098579A" w:rsidP="0098579A">
      <w:pPr>
        <w:pStyle w:val="TOC1"/>
      </w:pPr>
      <w:r>
        <w:t>MAIN BODY</w:t>
      </w:r>
      <w:r>
        <w:tab/>
        <w:t>3</w:t>
      </w:r>
    </w:p>
    <w:p w:rsidR="0098579A" w:rsidRDefault="0098579A" w:rsidP="0098579A">
      <w:pPr>
        <w:pStyle w:val="TOC2"/>
        <w:tabs>
          <w:tab w:val="clear" w:pos="9077"/>
          <w:tab w:val="right" w:leader="dot" w:pos="9360"/>
        </w:tabs>
      </w:pPr>
      <w:r>
        <w:t>Describe the difference between both the projects</w:t>
      </w:r>
      <w:r>
        <w:tab/>
        <w:t>3</w:t>
      </w:r>
    </w:p>
    <w:p w:rsidR="0098579A" w:rsidRDefault="0098579A" w:rsidP="0098579A">
      <w:pPr>
        <w:pStyle w:val="TOC2"/>
        <w:tabs>
          <w:tab w:val="clear" w:pos="9077"/>
          <w:tab w:val="right" w:leader="dot" w:pos="9360"/>
        </w:tabs>
      </w:pPr>
      <w:r>
        <w:t>Analyse and evaluate the best practices on their community engagement approaches</w:t>
      </w:r>
      <w:r>
        <w:tab/>
        <w:t>4</w:t>
      </w:r>
    </w:p>
    <w:p w:rsidR="0098579A" w:rsidRDefault="0098579A" w:rsidP="0098579A">
      <w:pPr>
        <w:pStyle w:val="TOC2"/>
        <w:tabs>
          <w:tab w:val="clear" w:pos="9077"/>
          <w:tab w:val="right" w:leader="dot" w:pos="9360"/>
        </w:tabs>
      </w:pPr>
      <w:r>
        <w:t>Discuss impact of active consultation, communication, stakeholders’ participation, and inclusion.</w:t>
      </w:r>
      <w:r>
        <w:tab/>
        <w:t>5</w:t>
      </w:r>
    </w:p>
    <w:p w:rsidR="0098579A" w:rsidRDefault="0098579A" w:rsidP="0098579A">
      <w:pPr>
        <w:pStyle w:val="TOC2"/>
        <w:tabs>
          <w:tab w:val="clear" w:pos="9077"/>
          <w:tab w:val="right" w:leader="dot" w:pos="9360"/>
        </w:tabs>
      </w:pPr>
      <w:r>
        <w:t>Process used to achieve best practices</w:t>
      </w:r>
      <w:r>
        <w:tab/>
      </w:r>
      <w:r w:rsidR="002C7BDC">
        <w:t>5</w:t>
      </w:r>
    </w:p>
    <w:p w:rsidR="0098579A" w:rsidRDefault="0098579A" w:rsidP="0098579A">
      <w:pPr>
        <w:pStyle w:val="TOC1"/>
      </w:pPr>
      <w:r>
        <w:t>CONCLUSION</w:t>
      </w:r>
      <w:r>
        <w:tab/>
      </w:r>
      <w:r w:rsidR="002C7BDC">
        <w:t>7</w:t>
      </w:r>
    </w:p>
    <w:p w:rsidR="0098579A" w:rsidRDefault="0098579A" w:rsidP="0098579A">
      <w:pPr>
        <w:pStyle w:val="TOC1"/>
      </w:pPr>
      <w:r>
        <w:t>REFERENCES:</w:t>
      </w:r>
      <w:r>
        <w:tab/>
      </w:r>
      <w:r w:rsidR="002C7BDC">
        <w:t>8</w:t>
      </w:r>
    </w:p>
    <w:p w:rsidR="0098579A" w:rsidRPr="0098579A" w:rsidRDefault="0098579A" w:rsidP="0098579A">
      <w:r>
        <w:t>Books and Journals</w:t>
      </w:r>
      <w:r w:rsidR="002C7BDC">
        <w:t>……………………………………………………………………………………………………………………</w:t>
      </w:r>
      <w:r>
        <w:tab/>
      </w:r>
      <w:r w:rsidR="002C7BDC">
        <w:rPr>
          <w:sz w:val="24"/>
          <w:szCs w:val="24"/>
        </w:rPr>
        <w:t>8</w:t>
      </w:r>
      <w:r>
        <w:fldChar w:fldCharType="end"/>
      </w:r>
    </w:p>
    <w:p w:rsidR="0098579A" w:rsidRDefault="0098579A" w:rsidP="0098579A">
      <w:pPr>
        <w:rPr>
          <w:b/>
          <w:sz w:val="48"/>
          <w:szCs w:val="48"/>
          <w:lang w:val="en-GB"/>
        </w:rPr>
      </w:pPr>
    </w:p>
    <w:p w:rsidR="0098579A" w:rsidRDefault="0098579A" w:rsidP="0098579A">
      <w:pPr>
        <w:rPr>
          <w:b/>
          <w:sz w:val="48"/>
          <w:szCs w:val="48"/>
          <w:lang w:val="en-GB"/>
        </w:rPr>
      </w:pPr>
    </w:p>
    <w:p w:rsidR="00B03445" w:rsidRDefault="00B03445"/>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p w:rsidR="0098579A" w:rsidRDefault="0098579A" w:rsidP="0098579A">
      <w:pPr>
        <w:pStyle w:val="Heading1"/>
        <w:pageBreakBefore/>
      </w:pPr>
      <w:r>
        <w:lastRenderedPageBreak/>
        <w:t>INTRODUCTION</w:t>
      </w:r>
    </w:p>
    <w:p w:rsidR="0098579A" w:rsidRDefault="0098579A" w:rsidP="0098579A">
      <w:pPr>
        <w:rPr>
          <w:color w:val="000000"/>
        </w:rPr>
      </w:pPr>
      <w:r>
        <w:rPr>
          <w:color w:val="000000"/>
        </w:rPr>
        <w:tab/>
        <w:t xml:space="preserve">Community engagement refers to the process which involves working collaboratively. This includes individuals and groups affiliated by special interest, geographic proximity or having similar interests. It helps individuals to bring </w:t>
      </w:r>
      <w:proofErr w:type="gramStart"/>
      <w:r>
        <w:rPr>
          <w:color w:val="000000"/>
        </w:rPr>
        <w:t>out</w:t>
      </w:r>
      <w:r w:rsidR="002C7BDC">
        <w:rPr>
          <w:color w:val="000000"/>
        </w:rPr>
        <w:t xml:space="preserve"> </w:t>
      </w:r>
      <w:r>
        <w:rPr>
          <w:color w:val="000000"/>
        </w:rPr>
        <w:t xml:space="preserve"> </w:t>
      </w:r>
      <w:proofErr w:type="spellStart"/>
      <w:r>
        <w:rPr>
          <w:color w:val="000000"/>
        </w:rPr>
        <w:t>behavioura</w:t>
      </w:r>
      <w:proofErr w:type="spellEnd"/>
      <w:proofErr w:type="gramEnd"/>
      <w:r w:rsidR="002C7BDC">
        <w:rPr>
          <w:color w:val="000000"/>
        </w:rPr>
        <w:t xml:space="preserve"> </w:t>
      </w:r>
      <w:r>
        <w:rPr>
          <w:color w:val="000000"/>
        </w:rPr>
        <w:t>l and environmental</w:t>
      </w:r>
      <w:r w:rsidR="002C7BDC">
        <w:rPr>
          <w:color w:val="000000"/>
        </w:rPr>
        <w:t xml:space="preserve"> </w:t>
      </w:r>
      <w:r>
        <w:rPr>
          <w:color w:val="000000"/>
        </w:rPr>
        <w:t xml:space="preserve"> changes  which</w:t>
      </w:r>
      <w:r w:rsidR="002C7BDC">
        <w:rPr>
          <w:color w:val="000000"/>
        </w:rPr>
        <w:t xml:space="preserve"> </w:t>
      </w:r>
      <w:r>
        <w:rPr>
          <w:color w:val="000000"/>
        </w:rPr>
        <w:t xml:space="preserve"> contributes in their well being. Community engagement addresses some issues with the help of proper guidelines, approaches and frameworks (</w:t>
      </w:r>
      <w:proofErr w:type="spellStart"/>
      <w:r>
        <w:rPr>
          <w:color w:val="000000"/>
        </w:rPr>
        <w:t>Brummer</w:t>
      </w:r>
      <w:proofErr w:type="spellEnd"/>
      <w:r>
        <w:rPr>
          <w:color w:val="000000"/>
        </w:rPr>
        <w:t xml:space="preserve">, 2018). All the members of community involve themselves for the </w:t>
      </w:r>
      <w:proofErr w:type="spellStart"/>
      <w:r>
        <w:rPr>
          <w:color w:val="000000"/>
        </w:rPr>
        <w:t>fulfilment</w:t>
      </w:r>
      <w:proofErr w:type="spellEnd"/>
      <w:r>
        <w:rPr>
          <w:color w:val="000000"/>
        </w:rPr>
        <w:t xml:space="preserve"> of community commitments. It can effectively promote sustainable decisions by communicating the interests and needs of each and individual of community. Inclusive and effective solutions can be found with the help of community engagement. This report is based on the success of Common wealth games, held in Birmingham. It is a multi sport event undertaken by different international athletes. This report will include the differences between the two projects along with the evaluation of best practices related to the community engagement approaches. The reflection is included in this report about the differently performed practices. The impact of communication, participation of stakeholders, consultation and inclusion is discussed in this report. </w:t>
      </w:r>
    </w:p>
    <w:p w:rsidR="0098579A" w:rsidRDefault="0098579A" w:rsidP="0098579A">
      <w:pPr>
        <w:rPr>
          <w:color w:val="000000"/>
        </w:rPr>
      </w:pPr>
      <w:r>
        <w:rPr>
          <w:color w:val="000000"/>
        </w:rPr>
        <w:tab/>
      </w:r>
    </w:p>
    <w:p w:rsidR="0098579A" w:rsidRDefault="0098579A" w:rsidP="0098579A">
      <w:pPr>
        <w:pStyle w:val="Heading1"/>
      </w:pPr>
      <w:r>
        <w:t>MAIN BODY</w:t>
      </w:r>
    </w:p>
    <w:p w:rsidR="0098579A" w:rsidRDefault="0098579A" w:rsidP="0098579A">
      <w:pPr>
        <w:pStyle w:val="Heading2"/>
      </w:pPr>
      <w:r>
        <w:t>Describe the difference between both the projects</w:t>
      </w:r>
    </w:p>
    <w:p w:rsidR="0098579A" w:rsidRDefault="0098579A" w:rsidP="0098579A">
      <w:r>
        <w:tab/>
        <w:t>Common wealth games are known as friendly games which held on international level between different athletes and countries. The first event was held in 1930, but due to world war 2</w:t>
      </w:r>
      <w:r>
        <w:rPr>
          <w:vertAlign w:val="superscript"/>
        </w:rPr>
        <w:t>nd</w:t>
      </w:r>
      <w:r>
        <w:t xml:space="preserve"> it was cancelled in 1942 and 1946. </w:t>
      </w:r>
      <w:proofErr w:type="gramStart"/>
      <w:r>
        <w:t>it</w:t>
      </w:r>
      <w:proofErr w:type="gramEnd"/>
      <w:r>
        <w:t xml:space="preserve"> includes number of sports such as archery, netball, cycling, boxing, badminton, wrestling, lawn bowls, gymnastics and many more. The last commonwealth game was held in July and August 2022, Birmingham. It was the largest multi sport event which takes place in last 10 years in England. They have introduced three additional games during Birmingham 2022 namely, beach volleyball, </w:t>
      </w:r>
      <w:proofErr w:type="spellStart"/>
      <w:r>
        <w:t>para</w:t>
      </w:r>
      <w:proofErr w:type="spellEnd"/>
      <w:r>
        <w:t xml:space="preserve"> table tennis and women's cricket. These games were overseen by (CGF) Commonwealth Games Federation and they are responsible for controlling sporting </w:t>
      </w:r>
      <w:proofErr w:type="spellStart"/>
      <w:r>
        <w:t>programme</w:t>
      </w:r>
      <w:proofErr w:type="spellEnd"/>
      <w:r>
        <w:t xml:space="preserve">   and select the names of host cities.   </w:t>
      </w:r>
    </w:p>
    <w:p w:rsidR="0098579A" w:rsidRDefault="0098579A" w:rsidP="0098579A">
      <w:r>
        <w:tab/>
        <w:t xml:space="preserve">On the other hand, </w:t>
      </w:r>
      <w:proofErr w:type="gramStart"/>
      <w:r>
        <w:t>Olympic  games</w:t>
      </w:r>
      <w:proofErr w:type="gramEnd"/>
      <w:r>
        <w:t xml:space="preserve"> are known as leading international sports events which majorly focus on the winter and summer sports competitors </w:t>
      </w:r>
      <w:r>
        <w:rPr>
          <w:color w:val="000000"/>
        </w:rPr>
        <w:t>(Christenson, 2019)</w:t>
      </w:r>
      <w:r>
        <w:t xml:space="preserve">. This allows large number of athletes from all over the world to take participation in variety of competition.  Olympics allow any country to take participation but Common wealth games only allow countries which are controlled by British </w:t>
      </w:r>
      <w:proofErr w:type="gramStart"/>
      <w:r>
        <w:t>empire</w:t>
      </w:r>
      <w:proofErr w:type="gramEnd"/>
      <w:r>
        <w:t xml:space="preserve">. In Tokyo Olympics 2020, the participation of 206 </w:t>
      </w:r>
      <w:proofErr w:type="gramStart"/>
      <w:r>
        <w:t>countries  were</w:t>
      </w:r>
      <w:proofErr w:type="gramEnd"/>
      <w:r>
        <w:t xml:space="preserve"> recorded while only 72 teams were participated in Common wealth games 2020. </w:t>
      </w:r>
    </w:p>
    <w:p w:rsidR="0098579A" w:rsidRDefault="0098579A" w:rsidP="0098579A"/>
    <w:p w:rsidR="0098579A" w:rsidRDefault="0098579A" w:rsidP="0098579A"/>
    <w:p w:rsidR="0098579A" w:rsidRDefault="0098579A" w:rsidP="0098579A"/>
    <w:p w:rsidR="0098579A" w:rsidRDefault="0098579A" w:rsidP="0098579A"/>
    <w:p w:rsidR="0098579A" w:rsidRDefault="0098579A" w:rsidP="0098579A"/>
    <w:p w:rsidR="0098579A" w:rsidRDefault="0098579A" w:rsidP="0098579A">
      <w:pPr>
        <w:pStyle w:val="Heading2"/>
      </w:pPr>
      <w:r>
        <w:lastRenderedPageBreak/>
        <w:t>Analyse and evaluate the best practices on their community engagement approaches</w:t>
      </w:r>
    </w:p>
    <w:p w:rsidR="0098579A" w:rsidRDefault="0098579A" w:rsidP="0098579A">
      <w:r>
        <w:tab/>
        <w:t xml:space="preserve">Community engagement approaches focus on involving individuals for taking decisions and formulating plans. Communities have to take assistances of these approaches in order to </w:t>
      </w:r>
      <w:proofErr w:type="spellStart"/>
      <w:r>
        <w:t>fulfil</w:t>
      </w:r>
      <w:proofErr w:type="spellEnd"/>
      <w:r>
        <w:t xml:space="preserve"> their goals and targets. Different community engagement approaches are as follows:</w:t>
      </w:r>
    </w:p>
    <w:p w:rsidR="0098579A" w:rsidRDefault="0098579A" w:rsidP="0098579A">
      <w:r>
        <w:tab/>
      </w:r>
      <w:r>
        <w:rPr>
          <w:b/>
          <w:bCs/>
        </w:rPr>
        <w:t xml:space="preserve">Community meetings: </w:t>
      </w:r>
      <w:r>
        <w:t>This includes number of stakeholders of community who interact face to face with each other. It provides opportunity for transparency and openness which results in better understandings. Common</w:t>
      </w:r>
      <w:r w:rsidR="002C7BDC">
        <w:t xml:space="preserve"> </w:t>
      </w:r>
      <w:proofErr w:type="gramStart"/>
      <w:r>
        <w:t>wealth</w:t>
      </w:r>
      <w:r w:rsidR="002C7BDC">
        <w:t xml:space="preserve"> </w:t>
      </w:r>
      <w:r>
        <w:t xml:space="preserve"> games</w:t>
      </w:r>
      <w:proofErr w:type="gramEnd"/>
      <w:r w:rsidR="002C7BDC">
        <w:t xml:space="preserve"> </w:t>
      </w:r>
      <w:r>
        <w:t xml:space="preserve"> formulates</w:t>
      </w:r>
      <w:r w:rsidR="002C7BDC">
        <w:t xml:space="preserve"> </w:t>
      </w:r>
      <w:r>
        <w:t xml:space="preserve"> their decisions and plans by involving this approach. It allows all the individuals to </w:t>
      </w:r>
      <w:proofErr w:type="spellStart"/>
      <w:r>
        <w:t>analyse</w:t>
      </w:r>
      <w:proofErr w:type="spellEnd"/>
      <w:r>
        <w:t xml:space="preserve"> the significance of topics by gathering feedbacks and reviews from </w:t>
      </w:r>
      <w:proofErr w:type="gramStart"/>
      <w:r>
        <w:t>every</w:t>
      </w:r>
      <w:r w:rsidR="002C7BDC">
        <w:t xml:space="preserve"> </w:t>
      </w:r>
      <w:r>
        <w:t xml:space="preserve"> individual</w:t>
      </w:r>
      <w:proofErr w:type="gramEnd"/>
      <w:r>
        <w:t xml:space="preserve"> </w:t>
      </w:r>
      <w:r>
        <w:rPr>
          <w:color w:val="000000"/>
        </w:rPr>
        <w:t xml:space="preserve"> (Dolan and et.al., 2019)</w:t>
      </w:r>
      <w:r>
        <w:t xml:space="preserve">. Stakeholders can increase their attendance by participating in the community meetings. </w:t>
      </w:r>
    </w:p>
    <w:p w:rsidR="0098579A" w:rsidRDefault="0098579A" w:rsidP="0098579A">
      <w:r>
        <w:tab/>
      </w:r>
      <w:r>
        <w:rPr>
          <w:b/>
          <w:bCs/>
        </w:rPr>
        <w:t xml:space="preserve">Focus groups: </w:t>
      </w:r>
      <w:r>
        <w:t xml:space="preserve">It </w:t>
      </w:r>
      <w:proofErr w:type="gramStart"/>
      <w:r>
        <w:t>focus</w:t>
      </w:r>
      <w:proofErr w:type="gramEnd"/>
      <w:r>
        <w:t xml:space="preserve"> on engaging small related groups for discussion of specific topics. </w:t>
      </w:r>
      <w:proofErr w:type="spellStart"/>
      <w:r>
        <w:t>Marginalised</w:t>
      </w:r>
      <w:proofErr w:type="spellEnd"/>
      <w:r>
        <w:t xml:space="preserve"> stakeholder groups of Common wealth games take participation so that they can carry out decisions according to their own understandings. </w:t>
      </w:r>
      <w:proofErr w:type="gramStart"/>
      <w:r>
        <w:t>Common wealth games is</w:t>
      </w:r>
      <w:proofErr w:type="gramEnd"/>
      <w:r>
        <w:t xml:space="preserve"> divided into number of departments which schedule their meetings according to their requirements. It </w:t>
      </w:r>
      <w:proofErr w:type="gramStart"/>
      <w:r>
        <w:t>save</w:t>
      </w:r>
      <w:proofErr w:type="gramEnd"/>
      <w:r>
        <w:t xml:space="preserve"> lot of time and resources when focused groups are involved in meetings and sessions. It effectively </w:t>
      </w:r>
      <w:proofErr w:type="gramStart"/>
      <w:r>
        <w:t>identify</w:t>
      </w:r>
      <w:proofErr w:type="gramEnd"/>
      <w:r>
        <w:t xml:space="preserve"> important issues rather </w:t>
      </w:r>
      <w:proofErr w:type="spellStart"/>
      <w:r>
        <w:t>then</w:t>
      </w:r>
      <w:proofErr w:type="spellEnd"/>
      <w:r>
        <w:t xml:space="preserve"> focusing on larger platforms. Conflicts and miss understandings can be handled and resolved in short duration in this type of approach. </w:t>
      </w:r>
    </w:p>
    <w:p w:rsidR="0098579A" w:rsidRDefault="0098579A" w:rsidP="0098579A">
      <w:r>
        <w:tab/>
      </w:r>
      <w:r>
        <w:rPr>
          <w:b/>
          <w:bCs/>
        </w:rPr>
        <w:t xml:space="preserve">Web based engagement: </w:t>
      </w:r>
      <w:r>
        <w:t xml:space="preserve">This focus on the use of online communications with the help of cloud based survey systems, social media and other online discussion platforms. Online public participation is also highly effective way to engage community which can be done with the help of this approach. Common wealth games engage their other stakeholders with the use of different online public platforms </w:t>
      </w:r>
      <w:r>
        <w:rPr>
          <w:color w:val="000000"/>
        </w:rPr>
        <w:t>(</w:t>
      </w:r>
      <w:proofErr w:type="spellStart"/>
      <w:r>
        <w:rPr>
          <w:color w:val="000000"/>
        </w:rPr>
        <w:t>Kamboj</w:t>
      </w:r>
      <w:proofErr w:type="spellEnd"/>
      <w:r>
        <w:rPr>
          <w:color w:val="000000"/>
        </w:rPr>
        <w:t xml:space="preserve"> and </w:t>
      </w:r>
      <w:proofErr w:type="gramStart"/>
      <w:r>
        <w:rPr>
          <w:color w:val="000000"/>
        </w:rPr>
        <w:t>et.al.,</w:t>
      </w:r>
      <w:proofErr w:type="gramEnd"/>
      <w:r>
        <w:rPr>
          <w:color w:val="000000"/>
        </w:rPr>
        <w:t xml:space="preserve"> 2018)</w:t>
      </w:r>
      <w:r>
        <w:t xml:space="preserve">. They can effectively reach and access large groups and also collect information and data related to them. Web based engagement is highly convenient and flexible way to encourage the participation of larger community. It eliminates the barriers related to the time and location and </w:t>
      </w:r>
      <w:proofErr w:type="gramStart"/>
      <w:r>
        <w:t>improve</w:t>
      </w:r>
      <w:proofErr w:type="gramEnd"/>
      <w:r>
        <w:t xml:space="preserve"> the discussion procedures in appropriate manner. Involvement of diversified individuals can easily resolve complex and critical issues with the help of creative ideas and solutions. </w:t>
      </w:r>
    </w:p>
    <w:p w:rsidR="0098579A" w:rsidRDefault="0098579A" w:rsidP="0098579A">
      <w:r>
        <w:tab/>
      </w:r>
      <w:r>
        <w:rPr>
          <w:b/>
          <w:bCs/>
        </w:rPr>
        <w:t xml:space="preserve">Online consultations: </w:t>
      </w:r>
      <w:r>
        <w:t xml:space="preserve">The rapid growth and involvement of internet in the life of individuals provides opportunity to involve all the stakeholders at a time. It </w:t>
      </w:r>
      <w:proofErr w:type="gramStart"/>
      <w:r>
        <w:t>increase</w:t>
      </w:r>
      <w:proofErr w:type="gramEnd"/>
      <w:r>
        <w:t xml:space="preserve"> the range of interaction and communication among larger groups. Common wealth games aims to provide consultation opportunities to their stakeholders so that they can resolve their doubts and queries. It helps them in increasing the rate of participation without any huge investment. </w:t>
      </w:r>
    </w:p>
    <w:p w:rsidR="0098579A" w:rsidRDefault="0098579A" w:rsidP="0098579A"/>
    <w:p w:rsidR="0098579A" w:rsidRDefault="0098579A" w:rsidP="0098579A"/>
    <w:p w:rsidR="0098579A" w:rsidRDefault="0098579A" w:rsidP="0098579A"/>
    <w:p w:rsidR="0098579A" w:rsidRDefault="0098579A" w:rsidP="0098579A"/>
    <w:p w:rsidR="0098579A" w:rsidRDefault="0098579A" w:rsidP="0098579A"/>
    <w:p w:rsidR="0098579A" w:rsidRDefault="0098579A" w:rsidP="0098579A"/>
    <w:p w:rsidR="0098579A" w:rsidRDefault="0098579A" w:rsidP="0098579A">
      <w:pPr>
        <w:pStyle w:val="Heading2"/>
        <w:rPr>
          <w:bCs w:val="0"/>
        </w:rPr>
      </w:pPr>
      <w:r>
        <w:rPr>
          <w:bCs w:val="0"/>
        </w:rPr>
        <w:lastRenderedPageBreak/>
        <w:t>Discuss impact of active consultation, communication, stakeholders’ participation, and inclusion.</w:t>
      </w:r>
    </w:p>
    <w:p w:rsidR="0098579A" w:rsidRDefault="0098579A" w:rsidP="0098579A">
      <w:r>
        <w:tab/>
        <w:t xml:space="preserve">Community engagement aims to focus on the issues and affecting factors related to the specific topic. Some of the factors like communication, active consultation, inclusion and participation of stakeholders are important as they provide number of ideas and </w:t>
      </w:r>
      <w:proofErr w:type="gramStart"/>
      <w:r>
        <w:t xml:space="preserve">alternatives </w:t>
      </w:r>
      <w:r>
        <w:rPr>
          <w:color w:val="000000"/>
        </w:rPr>
        <w:t xml:space="preserve"> (</w:t>
      </w:r>
      <w:proofErr w:type="spellStart"/>
      <w:proofErr w:type="gramEnd"/>
      <w:r>
        <w:rPr>
          <w:color w:val="000000"/>
        </w:rPr>
        <w:t>Kapera</w:t>
      </w:r>
      <w:proofErr w:type="spellEnd"/>
      <w:r>
        <w:rPr>
          <w:color w:val="000000"/>
        </w:rPr>
        <w:t>,  2018)</w:t>
      </w:r>
      <w:r>
        <w:t xml:space="preserve">. Commonwealth games can achieve success during Birmingham 2022 with the involvement of these related factors. Community participants played important role during the common wealth games, Birmingham 2022. The </w:t>
      </w:r>
      <w:proofErr w:type="gramStart"/>
      <w:r>
        <w:t>impact of these factors on community engagement are</w:t>
      </w:r>
      <w:proofErr w:type="gramEnd"/>
      <w:r>
        <w:t xml:space="preserve"> discussed below:</w:t>
      </w:r>
    </w:p>
    <w:p w:rsidR="0098579A" w:rsidRDefault="0098579A" w:rsidP="0098579A">
      <w:r>
        <w:tab/>
      </w:r>
      <w:r>
        <w:rPr>
          <w:b/>
          <w:bCs/>
        </w:rPr>
        <w:t xml:space="preserve">Stakeholders: </w:t>
      </w:r>
      <w:r>
        <w:t xml:space="preserve">It includes diversified set of individuals who are involved in the event or project. They take interest in contributing their efforts in the particular project and connect themselves in decision making procedures. Common wealth games achieve success in Birmingham 2022 by involving stakeholders in all the confidential planning and decision makings. Different problems can be resolved which are related to the </w:t>
      </w:r>
      <w:proofErr w:type="gramStart"/>
      <w:r>
        <w:t xml:space="preserve">events </w:t>
      </w:r>
      <w:r>
        <w:rPr>
          <w:color w:val="000000"/>
        </w:rPr>
        <w:t xml:space="preserve"> (</w:t>
      </w:r>
      <w:proofErr w:type="gramEnd"/>
      <w:r>
        <w:rPr>
          <w:color w:val="000000"/>
        </w:rPr>
        <w:t xml:space="preserve">Yusuf and </w:t>
      </w:r>
      <w:proofErr w:type="spellStart"/>
      <w:r>
        <w:rPr>
          <w:color w:val="000000"/>
        </w:rPr>
        <w:t>Busalim</w:t>
      </w:r>
      <w:proofErr w:type="spellEnd"/>
      <w:r>
        <w:rPr>
          <w:color w:val="000000"/>
        </w:rPr>
        <w:t>, 2018)</w:t>
      </w:r>
      <w:r>
        <w:t xml:space="preserve">. They focus on each and every game which held in the event so that they can eliminate any </w:t>
      </w:r>
      <w:proofErr w:type="gramStart"/>
      <w:r>
        <w:t>confusions</w:t>
      </w:r>
      <w:proofErr w:type="gramEnd"/>
      <w:r>
        <w:t xml:space="preserve">. Community members ensures that potential </w:t>
      </w:r>
      <w:proofErr w:type="spellStart"/>
      <w:r>
        <w:t>utilisation</w:t>
      </w:r>
      <w:proofErr w:type="spellEnd"/>
      <w:r>
        <w:t xml:space="preserve"> of available resources should be carried. </w:t>
      </w:r>
    </w:p>
    <w:p w:rsidR="0098579A" w:rsidRDefault="0098579A" w:rsidP="0098579A">
      <w:r>
        <w:tab/>
      </w:r>
      <w:r>
        <w:rPr>
          <w:b/>
          <w:bCs/>
        </w:rPr>
        <w:t>Communication:</w:t>
      </w:r>
      <w:r>
        <w:t xml:space="preserve"> It is essential factor which create positive impact on the community engagement. With the help of effective communication all the stakeholders interact with each other and share relevant </w:t>
      </w:r>
      <w:proofErr w:type="spellStart"/>
      <w:proofErr w:type="gramStart"/>
      <w:r>
        <w:t>informations</w:t>
      </w:r>
      <w:proofErr w:type="spellEnd"/>
      <w:r>
        <w:t xml:space="preserve"> </w:t>
      </w:r>
      <w:r>
        <w:rPr>
          <w:color w:val="000000"/>
        </w:rPr>
        <w:t xml:space="preserve"> (</w:t>
      </w:r>
      <w:proofErr w:type="spellStart"/>
      <w:proofErr w:type="gramEnd"/>
      <w:r>
        <w:rPr>
          <w:color w:val="000000"/>
        </w:rPr>
        <w:t>Kumagai</w:t>
      </w:r>
      <w:proofErr w:type="spellEnd"/>
      <w:r>
        <w:rPr>
          <w:color w:val="000000"/>
        </w:rPr>
        <w:t xml:space="preserve"> and </w:t>
      </w:r>
      <w:proofErr w:type="spellStart"/>
      <w:r>
        <w:rPr>
          <w:color w:val="000000"/>
        </w:rPr>
        <w:t>Partidario</w:t>
      </w:r>
      <w:proofErr w:type="spellEnd"/>
      <w:r>
        <w:rPr>
          <w:color w:val="000000"/>
        </w:rPr>
        <w:t>, 2019)</w:t>
      </w:r>
      <w:r>
        <w:t xml:space="preserve">. It </w:t>
      </w:r>
      <w:proofErr w:type="gramStart"/>
      <w:r>
        <w:t>connect</w:t>
      </w:r>
      <w:proofErr w:type="gramEnd"/>
      <w:r>
        <w:t xml:space="preserve"> the ideas and thoughts with actual actions so that projects and events can be accomplished. </w:t>
      </w:r>
      <w:proofErr w:type="gramStart"/>
      <w:r>
        <w:t>Commonwealth games includes</w:t>
      </w:r>
      <w:proofErr w:type="gramEnd"/>
      <w:r>
        <w:t xml:space="preserve"> various types of discussions related to their games and actions. It is necessary to communicate all the plans and procedures so that competition can be held at best level. </w:t>
      </w:r>
    </w:p>
    <w:p w:rsidR="007B35F1" w:rsidRDefault="0098579A" w:rsidP="007B35F1">
      <w:r>
        <w:tab/>
      </w:r>
      <w:r>
        <w:rPr>
          <w:b/>
          <w:bCs/>
        </w:rPr>
        <w:t>Active consultation</w:t>
      </w:r>
      <w:r>
        <w:t xml:space="preserve">: It </w:t>
      </w:r>
      <w:proofErr w:type="gramStart"/>
      <w:r>
        <w:t>focus</w:t>
      </w:r>
      <w:proofErr w:type="gramEnd"/>
      <w:r>
        <w:t xml:space="preserve"> on the concerns and sentiments of the community. Appropriate responses and alternatives can b e provided with the help of consultation during community engagement. It empowers community members by strengthen their capacities and capabilities as a whole community. In Common wealth games Birmingham 2020, each and every community member is responsible for their own duties which need to be carried out in appropriate manner. It clarifies the </w:t>
      </w:r>
      <w:r w:rsidR="007B35F1">
        <w:t xml:space="preserve">actual significance of the topics and decisions which provides positive outcomes. </w:t>
      </w:r>
    </w:p>
    <w:p w:rsidR="007B35F1" w:rsidRDefault="007B35F1" w:rsidP="007B35F1">
      <w:r>
        <w:tab/>
        <w:t xml:space="preserve"> </w:t>
      </w:r>
      <w:r>
        <w:rPr>
          <w:b/>
          <w:bCs/>
        </w:rPr>
        <w:t xml:space="preserve">Inclusion: </w:t>
      </w:r>
      <w:r>
        <w:t xml:space="preserve">It </w:t>
      </w:r>
      <w:proofErr w:type="gramStart"/>
      <w:r>
        <w:t>suggest</w:t>
      </w:r>
      <w:proofErr w:type="gramEnd"/>
      <w:r>
        <w:t xml:space="preserve"> that each and every individual is equally valued and respected in the community. It secure the rights of all the stakeholders so that they can feel motivated in order to contribute their </w:t>
      </w:r>
      <w:proofErr w:type="gramStart"/>
      <w:r>
        <w:t xml:space="preserve">efforts </w:t>
      </w:r>
      <w:r>
        <w:rPr>
          <w:color w:val="000000"/>
        </w:rPr>
        <w:t xml:space="preserve"> (</w:t>
      </w:r>
      <w:proofErr w:type="gramEnd"/>
      <w:r>
        <w:rPr>
          <w:color w:val="000000"/>
        </w:rPr>
        <w:t xml:space="preserve">Saud, </w:t>
      </w:r>
      <w:proofErr w:type="spellStart"/>
      <w:r>
        <w:rPr>
          <w:color w:val="000000"/>
        </w:rPr>
        <w:t>Mashud</w:t>
      </w:r>
      <w:proofErr w:type="spellEnd"/>
      <w:r>
        <w:rPr>
          <w:color w:val="000000"/>
        </w:rPr>
        <w:t xml:space="preserve"> and Ida, 2020)</w:t>
      </w:r>
      <w:r>
        <w:t xml:space="preserve">. It develops better connections and </w:t>
      </w:r>
      <w:proofErr w:type="gramStart"/>
      <w:r>
        <w:t>remove</w:t>
      </w:r>
      <w:proofErr w:type="gramEnd"/>
      <w:r>
        <w:t xml:space="preserve"> in equality from the community. Common wealth games allow countries who are controlled by the regulations of British </w:t>
      </w:r>
      <w:proofErr w:type="gramStart"/>
      <w:r>
        <w:t>empire</w:t>
      </w:r>
      <w:proofErr w:type="gramEnd"/>
      <w:r>
        <w:t xml:space="preserve">. The teams involved in the multinational games valued equally without any discriminations and partialities. </w:t>
      </w:r>
    </w:p>
    <w:p w:rsidR="007B35F1" w:rsidRDefault="007B35F1" w:rsidP="007B35F1">
      <w:pPr>
        <w:pStyle w:val="Heading2"/>
        <w:rPr>
          <w:bCs w:val="0"/>
        </w:rPr>
      </w:pPr>
      <w:r>
        <w:rPr>
          <w:bCs w:val="0"/>
        </w:rPr>
        <w:t>Process used to achieve best practices</w:t>
      </w:r>
    </w:p>
    <w:p w:rsidR="007B35F1" w:rsidRDefault="007B35F1" w:rsidP="007B35F1">
      <w:r>
        <w:tab/>
        <w:t>Community engagement faces number of issues on regular basis which needs to be identified and resolved. Common wealth games also used these approaches which results in their effective success. It engages community in appropriate manner so that positive outcomes can be carried out. Suitable practices should be involved for resolving negative impacts and challenges to great extent. Different steps which should be involved for the implementation of best practices are mentioned below:</w:t>
      </w:r>
    </w:p>
    <w:p w:rsidR="007B35F1" w:rsidRDefault="007B35F1" w:rsidP="007B35F1">
      <w:r>
        <w:lastRenderedPageBreak/>
        <w:tab/>
      </w:r>
      <w:r>
        <w:rPr>
          <w:b/>
          <w:bCs/>
        </w:rPr>
        <w:t xml:space="preserve">Research: </w:t>
      </w:r>
      <w:r>
        <w:t xml:space="preserve">It is the first stage where individuals are responsible for carry out research so that they can understand the actual problem or situation. Common wealth games, Birmingham 2020 includes varieties of games among international athletes which requires proper arrangements. Stakeholder and community members focus on different areas so that they can </w:t>
      </w:r>
      <w:proofErr w:type="spellStart"/>
      <w:r>
        <w:t>fulfil</w:t>
      </w:r>
      <w:proofErr w:type="spellEnd"/>
      <w:r>
        <w:t xml:space="preserve"> all the requirements in effective manner. Stakeholders possess power to great extent which help overall event in maintaining their standard. Their thoughts and reviews plays significant role while taking important decisions. With the help of research, Common wealth games accomplished their main aim along with the fulfilling the requirements of their athletes. It maintains appropriate confidentiality trust and comfort which is required for some of the significant topics involved in common wealth games.  It </w:t>
      </w:r>
      <w:proofErr w:type="gramStart"/>
      <w:r>
        <w:t>create</w:t>
      </w:r>
      <w:proofErr w:type="gramEnd"/>
      <w:r>
        <w:t xml:space="preserve"> huge difference in the outcomes by contributing the best efforts. Research develops better understanding among diversified groups which is essential for the achievement of prescribed criteria</w:t>
      </w:r>
    </w:p>
    <w:p w:rsidR="007B35F1" w:rsidRDefault="007B35F1" w:rsidP="007B35F1">
      <w:r>
        <w:tab/>
      </w:r>
      <w:r>
        <w:rPr>
          <w:b/>
          <w:bCs/>
        </w:rPr>
        <w:t xml:space="preserve">Community mapping: </w:t>
      </w:r>
      <w:r>
        <w:t xml:space="preserve">All the activities should be carried out in required sequential manner so that goals can be attained. Community members should be involved during planning so that resources can be </w:t>
      </w:r>
      <w:proofErr w:type="spellStart"/>
      <w:r>
        <w:t>utilised</w:t>
      </w:r>
      <w:proofErr w:type="spellEnd"/>
      <w:r>
        <w:t xml:space="preserve"> in best manner </w:t>
      </w:r>
      <w:r>
        <w:rPr>
          <w:color w:val="000000"/>
        </w:rPr>
        <w:t>(</w:t>
      </w:r>
      <w:proofErr w:type="spellStart"/>
      <w:r>
        <w:rPr>
          <w:color w:val="000000"/>
        </w:rPr>
        <w:t>Vakilna</w:t>
      </w:r>
      <w:proofErr w:type="spellEnd"/>
      <w:r>
        <w:rPr>
          <w:color w:val="000000"/>
        </w:rPr>
        <w:t xml:space="preserve">, </w:t>
      </w:r>
      <w:proofErr w:type="spellStart"/>
      <w:r>
        <w:rPr>
          <w:color w:val="000000"/>
        </w:rPr>
        <w:t>Nambiar</w:t>
      </w:r>
      <w:proofErr w:type="spellEnd"/>
      <w:r>
        <w:rPr>
          <w:color w:val="000000"/>
        </w:rPr>
        <w:t xml:space="preserve"> and Desai</w:t>
      </w:r>
      <w:proofErr w:type="gramStart"/>
      <w:r>
        <w:rPr>
          <w:color w:val="000000"/>
        </w:rPr>
        <w:t>,  2018</w:t>
      </w:r>
      <w:proofErr w:type="gramEnd"/>
      <w:r>
        <w:rPr>
          <w:color w:val="000000"/>
        </w:rPr>
        <w:t>)</w:t>
      </w:r>
      <w:r>
        <w:t xml:space="preserve">. Common wealth games held regularly according to the fixed time </w:t>
      </w:r>
      <w:proofErr w:type="gramStart"/>
      <w:r>
        <w:t>intervals which requires</w:t>
      </w:r>
      <w:proofErr w:type="gramEnd"/>
      <w:r>
        <w:t xml:space="preserve"> lot of planning and decision makings. </w:t>
      </w:r>
      <w:proofErr w:type="gramStart"/>
      <w:r>
        <w:t>Community members coordinates</w:t>
      </w:r>
      <w:proofErr w:type="gramEnd"/>
      <w:r>
        <w:t xml:space="preserve"> all the essential resources so that they can achieve success. Common wealth games can get new ideas and procedures which are best suitable according to the international game requirements from the stakeholders. Personal touch of stakeholders results in </w:t>
      </w:r>
      <w:proofErr w:type="spellStart"/>
      <w:r>
        <w:t>minimisation</w:t>
      </w:r>
      <w:proofErr w:type="spellEnd"/>
      <w:r>
        <w:t xml:space="preserve"> of miss understandings and doubts in strategic manner. It can effectively attract media attention which is necessary for the popularity of common wealth games in all over the world. </w:t>
      </w:r>
    </w:p>
    <w:p w:rsidR="007B35F1" w:rsidRDefault="007B35F1" w:rsidP="007B35F1">
      <w:r>
        <w:tab/>
      </w:r>
      <w:r>
        <w:rPr>
          <w:b/>
          <w:bCs/>
        </w:rPr>
        <w:t xml:space="preserve">Social media engagement: </w:t>
      </w:r>
      <w:r>
        <w:t xml:space="preserve">It is the important factor which provides platform for communication and interaction. Members of community attracted towards the information present on social media applications. Common wealth games update their information regularly on the social media so that they keep update the entire community. It plays important role in influencing each and every individual in effective manner. It helps in resolving various queries and doubts which can negatively affect the growth of overall community. Stakeholders arrange meetings and use different social platforms so that they can communicate without any hindrance. Emails and messages through internet can be shared in effective manner which accomplish the actual target of community engagement.  </w:t>
      </w:r>
    </w:p>
    <w:p w:rsidR="007B35F1" w:rsidRDefault="007B35F1" w:rsidP="007B35F1">
      <w:r>
        <w:tab/>
      </w:r>
      <w:r>
        <w:rPr>
          <w:b/>
          <w:bCs/>
        </w:rPr>
        <w:t xml:space="preserve">Monitor performance: </w:t>
      </w:r>
      <w:r>
        <w:t xml:space="preserve">This is the final step which is responsible to keep track on the performance related to the community engagement. All the problems and issues should be rectified by providing best alternatives which helps in achievement of best outcomes </w:t>
      </w:r>
      <w:r>
        <w:rPr>
          <w:color w:val="000000"/>
        </w:rPr>
        <w:t xml:space="preserve">(Walker and </w:t>
      </w:r>
      <w:proofErr w:type="gramStart"/>
      <w:r>
        <w:rPr>
          <w:color w:val="000000"/>
        </w:rPr>
        <w:t>et.al.,</w:t>
      </w:r>
      <w:proofErr w:type="gramEnd"/>
      <w:r>
        <w:rPr>
          <w:color w:val="000000"/>
        </w:rPr>
        <w:t xml:space="preserve"> 2018)</w:t>
      </w:r>
      <w:r>
        <w:t xml:space="preserve">. Common wealth games achieved success in Birmingham as they ensure all the duties and responsibilities should be carried out in effective manner. Every stakeholder contributes their best possible and positive efforts so that predefined goals can be accomplished. It is required to improve the practices stakeholders and professionals can provide consultation.  Consultations are responsible for elimination of negative factors so that growth and development can be achieved. Appropriate alternatives can be provided so that critical situations become </w:t>
      </w:r>
      <w:proofErr w:type="spellStart"/>
      <w:r>
        <w:t>favourable</w:t>
      </w:r>
      <w:proofErr w:type="spellEnd"/>
      <w:r>
        <w:t xml:space="preserve"> for the achievement of targets. </w:t>
      </w:r>
    </w:p>
    <w:p w:rsidR="007B35F1" w:rsidRDefault="007B35F1" w:rsidP="007B35F1">
      <w:r>
        <w:tab/>
      </w:r>
    </w:p>
    <w:p w:rsidR="002C7BDC" w:rsidRDefault="002C7BDC" w:rsidP="002C7BDC">
      <w:pPr>
        <w:pStyle w:val="Heading1"/>
        <w:pageBreakBefore/>
      </w:pPr>
      <w:r>
        <w:lastRenderedPageBreak/>
        <w:t>CONCLUSION</w:t>
      </w:r>
    </w:p>
    <w:p w:rsidR="007B35F1" w:rsidRDefault="002C7BDC" w:rsidP="002C7BDC">
      <w:r>
        <w:rPr>
          <w:rFonts w:ascii="Times New Roman" w:hAnsi="Times New Roman" w:cs="Times New Roman"/>
          <w:color w:val="000000"/>
        </w:rPr>
        <w:tab/>
        <w:t xml:space="preserve">From the above report it can be concluded that every member of community should be involved so that appropriate standard can be maintained. Well being of community requires contribution and participation of diversified individual. Similar situations and interest requires collaborative working which defines appropriate community engagement. Decisions and planning can be taken place in effective manner when stakeholders contribute by providing their ideas and thoughts. It is necessary to become accountable and responsible towards the community so that welfare can be done. It eliminates negative factors and challenges from the society as it creates inclusive environment. This report discussed about the two different projects along with their differences. Various community engagement approaches are mentioned in this report. </w:t>
      </w:r>
      <w:proofErr w:type="gramStart"/>
      <w:r>
        <w:rPr>
          <w:rFonts w:ascii="Times New Roman" w:hAnsi="Times New Roman" w:cs="Times New Roman"/>
          <w:color w:val="000000"/>
        </w:rPr>
        <w:t>Community  have</w:t>
      </w:r>
      <w:proofErr w:type="gramEnd"/>
      <w:r>
        <w:rPr>
          <w:rFonts w:ascii="Times New Roman" w:hAnsi="Times New Roman" w:cs="Times New Roman"/>
          <w:color w:val="000000"/>
        </w:rPr>
        <w:t xml:space="preserve">  to involve best practices for the proper engagement of each and every individual. Impact of communication, stakeholder's participation and consultation were also discussed in this report </w:t>
      </w: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rPr>
          <w:rFonts w:ascii="Times New Roman" w:hAnsi="Times New Roman" w:cs="Times New Roman"/>
          <w:color w:val="000000"/>
        </w:rPr>
      </w:pPr>
    </w:p>
    <w:p w:rsidR="007B35F1" w:rsidRDefault="007B35F1" w:rsidP="007B35F1">
      <w:pPr>
        <w:pStyle w:val="Heading1"/>
        <w:pageBreakBefore/>
      </w:pPr>
      <w:r>
        <w:lastRenderedPageBreak/>
        <w:t xml:space="preserve"> REFERENCES:</w:t>
      </w:r>
    </w:p>
    <w:p w:rsidR="007B35F1" w:rsidRDefault="007B35F1" w:rsidP="007B35F1">
      <w:pPr>
        <w:pStyle w:val="Heading2"/>
        <w:rPr>
          <w:shd w:val="clear" w:color="auto" w:fill="FFFFFF"/>
        </w:rPr>
      </w:pPr>
      <w:r>
        <w:t>Books and Journals</w:t>
      </w:r>
    </w:p>
    <w:p w:rsidR="007B35F1" w:rsidRDefault="007B35F1" w:rsidP="007B35F1">
      <w:pPr>
        <w:suppressAutoHyphens/>
        <w:spacing w:line="100" w:lineRule="atLeast"/>
        <w:ind w:left="867" w:hanging="817"/>
        <w:jc w:val="both"/>
        <w:rPr>
          <w:shd w:val="clear" w:color="auto" w:fill="FFFFFF"/>
        </w:rPr>
      </w:pPr>
      <w:proofErr w:type="spellStart"/>
      <w:proofErr w:type="gramStart"/>
      <w:r>
        <w:rPr>
          <w:shd w:val="clear" w:color="auto" w:fill="FFFFFF"/>
        </w:rPr>
        <w:t>Brummer</w:t>
      </w:r>
      <w:proofErr w:type="spellEnd"/>
      <w:r>
        <w:rPr>
          <w:shd w:val="clear" w:color="auto" w:fill="FFFFFF"/>
        </w:rPr>
        <w:t>, V., 2018.</w:t>
      </w:r>
      <w:proofErr w:type="gramEnd"/>
      <w:r>
        <w:rPr>
          <w:shd w:val="clear" w:color="auto" w:fill="FFFFFF"/>
        </w:rPr>
        <w:t xml:space="preserve"> Community energy–benefits and barriers: A comparative literature review of Community Energy in the UK, Germany and the USA, the benefits it provides for society and the barriers it faces. </w:t>
      </w:r>
      <w:proofErr w:type="gramStart"/>
      <w:r>
        <w:rPr>
          <w:shd w:val="clear" w:color="auto" w:fill="FFFFFF"/>
        </w:rPr>
        <w:t>Renewable and Sustainable Energy Reviews, 94, pp.187-196.</w:t>
      </w:r>
      <w:proofErr w:type="gramEnd"/>
    </w:p>
    <w:p w:rsidR="007B35F1" w:rsidRDefault="007B35F1" w:rsidP="007B35F1">
      <w:pPr>
        <w:suppressAutoHyphens/>
        <w:spacing w:line="100" w:lineRule="atLeast"/>
        <w:ind w:left="867" w:hanging="817"/>
        <w:jc w:val="both"/>
        <w:rPr>
          <w:shd w:val="clear" w:color="auto" w:fill="FFFFFF"/>
        </w:rPr>
      </w:pPr>
      <w:r>
        <w:rPr>
          <w:shd w:val="clear" w:color="auto" w:fill="FFFFFF"/>
        </w:rPr>
        <w:t xml:space="preserve">Christenson, J.A., 2019. </w:t>
      </w:r>
      <w:proofErr w:type="gramStart"/>
      <w:r>
        <w:rPr>
          <w:shd w:val="clear" w:color="auto" w:fill="FFFFFF"/>
        </w:rPr>
        <w:t>Community development.</w:t>
      </w:r>
      <w:proofErr w:type="gramEnd"/>
      <w:r>
        <w:rPr>
          <w:shd w:val="clear" w:color="auto" w:fill="FFFFFF"/>
        </w:rPr>
        <w:t xml:space="preserve"> In Rural Society in the US: Issues for the 1980s (pp. 264-272). </w:t>
      </w:r>
      <w:proofErr w:type="spellStart"/>
      <w:proofErr w:type="gramStart"/>
      <w:r>
        <w:rPr>
          <w:shd w:val="clear" w:color="auto" w:fill="FFFFFF"/>
        </w:rPr>
        <w:t>Routledge</w:t>
      </w:r>
      <w:proofErr w:type="spellEnd"/>
      <w:r>
        <w:rPr>
          <w:shd w:val="clear" w:color="auto" w:fill="FFFFFF"/>
        </w:rPr>
        <w:t>.</w:t>
      </w:r>
      <w:proofErr w:type="gramEnd"/>
    </w:p>
    <w:p w:rsidR="007B35F1" w:rsidRDefault="007B35F1" w:rsidP="007B35F1">
      <w:pPr>
        <w:suppressAutoHyphens/>
        <w:spacing w:line="100" w:lineRule="atLeast"/>
        <w:ind w:left="867" w:hanging="817"/>
        <w:jc w:val="both"/>
        <w:rPr>
          <w:shd w:val="clear" w:color="auto" w:fill="FFFFFF"/>
        </w:rPr>
      </w:pPr>
      <w:r>
        <w:rPr>
          <w:shd w:val="clear" w:color="auto" w:fill="FFFFFF"/>
        </w:rPr>
        <w:t xml:space="preserve">Dolan and </w:t>
      </w:r>
      <w:proofErr w:type="gramStart"/>
      <w:r>
        <w:rPr>
          <w:shd w:val="clear" w:color="auto" w:fill="FFFFFF"/>
        </w:rPr>
        <w:t>et.al.,</w:t>
      </w:r>
      <w:proofErr w:type="gramEnd"/>
      <w:r>
        <w:rPr>
          <w:shd w:val="clear" w:color="auto" w:fill="FFFFFF"/>
        </w:rPr>
        <w:t xml:space="preserve"> 2019. Social media engagement behavior: A framework for engaging customers through social media content. </w:t>
      </w:r>
      <w:proofErr w:type="gramStart"/>
      <w:r>
        <w:rPr>
          <w:shd w:val="clear" w:color="auto" w:fill="FFFFFF"/>
        </w:rPr>
        <w:t>European Journal of Marketing.</w:t>
      </w:r>
      <w:proofErr w:type="gramEnd"/>
    </w:p>
    <w:p w:rsidR="007B35F1" w:rsidRDefault="007B35F1" w:rsidP="007B35F1">
      <w:pPr>
        <w:suppressAutoHyphens/>
        <w:spacing w:line="100" w:lineRule="atLeast"/>
        <w:ind w:left="867" w:hanging="817"/>
        <w:jc w:val="both"/>
        <w:rPr>
          <w:shd w:val="clear" w:color="auto" w:fill="FFFFFF"/>
        </w:rPr>
      </w:pPr>
      <w:proofErr w:type="spellStart"/>
      <w:r>
        <w:rPr>
          <w:shd w:val="clear" w:color="auto" w:fill="FFFFFF"/>
        </w:rPr>
        <w:t>Kamboj</w:t>
      </w:r>
      <w:proofErr w:type="spellEnd"/>
      <w:r>
        <w:rPr>
          <w:shd w:val="clear" w:color="auto" w:fill="FFFFFF"/>
        </w:rPr>
        <w:t xml:space="preserve"> and </w:t>
      </w:r>
      <w:proofErr w:type="gramStart"/>
      <w:r>
        <w:rPr>
          <w:shd w:val="clear" w:color="auto" w:fill="FFFFFF"/>
        </w:rPr>
        <w:t>et.al.,</w:t>
      </w:r>
      <w:proofErr w:type="gramEnd"/>
      <w:r>
        <w:rPr>
          <w:shd w:val="clear" w:color="auto" w:fill="FFFFFF"/>
        </w:rPr>
        <w:t xml:space="preserve"> 2018. Examining branding co-creation in brand communities on social media: Applying the paradigm of Stimulus-Organism-Response. </w:t>
      </w:r>
      <w:proofErr w:type="gramStart"/>
      <w:r>
        <w:rPr>
          <w:shd w:val="clear" w:color="auto" w:fill="FFFFFF"/>
        </w:rPr>
        <w:t>International Journal of Information Management, 39, pp.169-185.</w:t>
      </w:r>
      <w:proofErr w:type="gramEnd"/>
    </w:p>
    <w:p w:rsidR="007B35F1" w:rsidRDefault="007B35F1" w:rsidP="007B35F1">
      <w:pPr>
        <w:suppressAutoHyphens/>
        <w:spacing w:line="100" w:lineRule="atLeast"/>
        <w:ind w:left="867" w:hanging="817"/>
        <w:jc w:val="both"/>
        <w:rPr>
          <w:shd w:val="clear" w:color="auto" w:fill="FFFFFF"/>
        </w:rPr>
      </w:pPr>
      <w:proofErr w:type="spellStart"/>
      <w:r>
        <w:rPr>
          <w:shd w:val="clear" w:color="auto" w:fill="FFFFFF"/>
        </w:rPr>
        <w:t>Kapera</w:t>
      </w:r>
      <w:proofErr w:type="spellEnd"/>
      <w:r>
        <w:rPr>
          <w:shd w:val="clear" w:color="auto" w:fill="FFFFFF"/>
        </w:rPr>
        <w:t xml:space="preserve">, I., 2018. </w:t>
      </w:r>
      <w:proofErr w:type="gramStart"/>
      <w:r>
        <w:rPr>
          <w:shd w:val="clear" w:color="auto" w:fill="FFFFFF"/>
        </w:rPr>
        <w:t>Sustainable tourism development efforts by local governments in Poland.</w:t>
      </w:r>
      <w:proofErr w:type="gramEnd"/>
      <w:r>
        <w:rPr>
          <w:shd w:val="clear" w:color="auto" w:fill="FFFFFF"/>
        </w:rPr>
        <w:t> </w:t>
      </w:r>
      <w:proofErr w:type="gramStart"/>
      <w:r>
        <w:rPr>
          <w:shd w:val="clear" w:color="auto" w:fill="FFFFFF"/>
        </w:rPr>
        <w:t>Sustainable cities and society, 40, pp.581-588.</w:t>
      </w:r>
      <w:proofErr w:type="gramEnd"/>
    </w:p>
    <w:p w:rsidR="007B35F1" w:rsidRDefault="007B35F1" w:rsidP="007B35F1">
      <w:pPr>
        <w:suppressAutoHyphens/>
        <w:spacing w:line="100" w:lineRule="atLeast"/>
        <w:ind w:left="867" w:hanging="817"/>
        <w:jc w:val="both"/>
        <w:rPr>
          <w:shd w:val="clear" w:color="auto" w:fill="FFFFFF"/>
        </w:rPr>
      </w:pPr>
      <w:proofErr w:type="spellStart"/>
      <w:proofErr w:type="gramStart"/>
      <w:r>
        <w:rPr>
          <w:shd w:val="clear" w:color="auto" w:fill="FFFFFF"/>
        </w:rPr>
        <w:t>Kumagai</w:t>
      </w:r>
      <w:proofErr w:type="spellEnd"/>
      <w:r>
        <w:rPr>
          <w:shd w:val="clear" w:color="auto" w:fill="FFFFFF"/>
        </w:rPr>
        <w:t xml:space="preserve">, Y. and </w:t>
      </w:r>
      <w:proofErr w:type="spellStart"/>
      <w:r>
        <w:rPr>
          <w:shd w:val="clear" w:color="auto" w:fill="FFFFFF"/>
        </w:rPr>
        <w:t>Partidario</w:t>
      </w:r>
      <w:proofErr w:type="spellEnd"/>
      <w:r>
        <w:rPr>
          <w:shd w:val="clear" w:color="auto" w:fill="FFFFFF"/>
        </w:rPr>
        <w:t>, M., 2019.</w:t>
      </w:r>
      <w:proofErr w:type="gramEnd"/>
      <w:r>
        <w:rPr>
          <w:shd w:val="clear" w:color="auto" w:fill="FFFFFF"/>
        </w:rPr>
        <w:t xml:space="preserve"> Lasting community wellbeing: Comparison of Lisbon and Tokyo. </w:t>
      </w:r>
      <w:proofErr w:type="gramStart"/>
      <w:r>
        <w:rPr>
          <w:shd w:val="clear" w:color="auto" w:fill="FFFFFF"/>
        </w:rPr>
        <w:t>Sustainable Development, 27(1), pp.84-95.</w:t>
      </w:r>
      <w:proofErr w:type="gramEnd"/>
    </w:p>
    <w:p w:rsidR="007B35F1" w:rsidRDefault="007B35F1" w:rsidP="007B35F1">
      <w:pPr>
        <w:suppressAutoHyphens/>
        <w:spacing w:line="100" w:lineRule="atLeast"/>
        <w:ind w:left="867" w:hanging="817"/>
        <w:jc w:val="both"/>
        <w:rPr>
          <w:shd w:val="clear" w:color="auto" w:fill="FFFFFF"/>
        </w:rPr>
      </w:pPr>
      <w:proofErr w:type="gramStart"/>
      <w:r>
        <w:rPr>
          <w:shd w:val="clear" w:color="auto" w:fill="FFFFFF"/>
        </w:rPr>
        <w:t xml:space="preserve">Saud, M., </w:t>
      </w:r>
      <w:proofErr w:type="spellStart"/>
      <w:r>
        <w:rPr>
          <w:shd w:val="clear" w:color="auto" w:fill="FFFFFF"/>
        </w:rPr>
        <w:t>Mashud</w:t>
      </w:r>
      <w:proofErr w:type="spellEnd"/>
      <w:r>
        <w:rPr>
          <w:shd w:val="clear" w:color="auto" w:fill="FFFFFF"/>
        </w:rPr>
        <w:t>, M.I. and Ida, R., 2020.</w:t>
      </w:r>
      <w:proofErr w:type="gramEnd"/>
      <w:r>
        <w:rPr>
          <w:shd w:val="clear" w:color="auto" w:fill="FFFFFF"/>
        </w:rPr>
        <w:t xml:space="preserve"> Usage of social media during the pandemic: Seeking support and awareness about COVID‐19 through social media platforms. </w:t>
      </w:r>
      <w:proofErr w:type="gramStart"/>
      <w:r>
        <w:rPr>
          <w:shd w:val="clear" w:color="auto" w:fill="FFFFFF"/>
        </w:rPr>
        <w:t>Journal of Public Affairs, 20(4), p.e2417.</w:t>
      </w:r>
      <w:proofErr w:type="gramEnd"/>
    </w:p>
    <w:p w:rsidR="007B35F1" w:rsidRDefault="007B35F1" w:rsidP="007B35F1">
      <w:pPr>
        <w:suppressAutoHyphens/>
        <w:spacing w:line="100" w:lineRule="atLeast"/>
        <w:ind w:left="867" w:hanging="817"/>
        <w:jc w:val="both"/>
        <w:rPr>
          <w:shd w:val="clear" w:color="auto" w:fill="FFFFFF"/>
        </w:rPr>
      </w:pPr>
      <w:proofErr w:type="spellStart"/>
      <w:proofErr w:type="gramStart"/>
      <w:r>
        <w:rPr>
          <w:shd w:val="clear" w:color="auto" w:fill="FFFFFF"/>
        </w:rPr>
        <w:t>Vakilna</w:t>
      </w:r>
      <w:proofErr w:type="spellEnd"/>
      <w:r>
        <w:rPr>
          <w:shd w:val="clear" w:color="auto" w:fill="FFFFFF"/>
        </w:rPr>
        <w:t xml:space="preserve">, R., </w:t>
      </w:r>
      <w:proofErr w:type="spellStart"/>
      <w:r>
        <w:rPr>
          <w:shd w:val="clear" w:color="auto" w:fill="FFFFFF"/>
        </w:rPr>
        <w:t>Nambiar</w:t>
      </w:r>
      <w:proofErr w:type="spellEnd"/>
      <w:r>
        <w:rPr>
          <w:shd w:val="clear" w:color="auto" w:fill="FFFFFF"/>
        </w:rPr>
        <w:t>, V. and Desai, R., 2018.</w:t>
      </w:r>
      <w:proofErr w:type="gramEnd"/>
      <w:r>
        <w:rPr>
          <w:shd w:val="clear" w:color="auto" w:fill="FFFFFF"/>
        </w:rPr>
        <w:t xml:space="preserve"> Profile, Knowledge and Problems of Grass Roots Level Workers and Service Delivery by them in ICDS Blocks: A Cross Sectional Study. </w:t>
      </w:r>
      <w:proofErr w:type="gramStart"/>
      <w:r>
        <w:rPr>
          <w:shd w:val="clear" w:color="auto" w:fill="FFFFFF"/>
        </w:rPr>
        <w:t>Indian Journal of Public Health Research &amp; Development, 9(8).</w:t>
      </w:r>
      <w:proofErr w:type="gramEnd"/>
    </w:p>
    <w:p w:rsidR="007B35F1" w:rsidRDefault="007B35F1" w:rsidP="007B35F1">
      <w:pPr>
        <w:suppressAutoHyphens/>
        <w:spacing w:line="100" w:lineRule="atLeast"/>
        <w:ind w:left="867" w:hanging="817"/>
        <w:jc w:val="both"/>
        <w:rPr>
          <w:shd w:val="clear" w:color="auto" w:fill="FFFFFF"/>
        </w:rPr>
      </w:pPr>
      <w:r>
        <w:rPr>
          <w:shd w:val="clear" w:color="auto" w:fill="FFFFFF"/>
        </w:rPr>
        <w:t xml:space="preserve">Walker and </w:t>
      </w:r>
      <w:proofErr w:type="gramStart"/>
      <w:r>
        <w:rPr>
          <w:shd w:val="clear" w:color="auto" w:fill="FFFFFF"/>
        </w:rPr>
        <w:t>et.al.,</w:t>
      </w:r>
      <w:proofErr w:type="gramEnd"/>
      <w:r>
        <w:rPr>
          <w:shd w:val="clear" w:color="auto" w:fill="FFFFFF"/>
        </w:rPr>
        <w:t xml:space="preserve"> 2018. </w:t>
      </w:r>
      <w:proofErr w:type="gramStart"/>
      <w:r>
        <w:rPr>
          <w:shd w:val="clear" w:color="auto" w:fill="FFFFFF"/>
        </w:rPr>
        <w:t>Predicting resident involvement in neighborhood and voluntary groups in a Latino/Latina neighborhood undergoing transit-oriented development and gentrification.</w:t>
      </w:r>
      <w:proofErr w:type="gramEnd"/>
      <w:r>
        <w:rPr>
          <w:shd w:val="clear" w:color="auto" w:fill="FFFFFF"/>
        </w:rPr>
        <w:t> </w:t>
      </w:r>
      <w:proofErr w:type="gramStart"/>
      <w:r>
        <w:rPr>
          <w:shd w:val="clear" w:color="auto" w:fill="FFFFFF"/>
        </w:rPr>
        <w:t>Nonprofit and Voluntary Sector Quarterly, 47(6), pp.1135-1154.</w:t>
      </w:r>
      <w:proofErr w:type="gramEnd"/>
    </w:p>
    <w:p w:rsidR="007B35F1" w:rsidRDefault="007B35F1" w:rsidP="007B35F1">
      <w:pPr>
        <w:suppressAutoHyphens/>
        <w:spacing w:line="100" w:lineRule="atLeast"/>
        <w:ind w:left="867" w:hanging="817"/>
        <w:jc w:val="both"/>
        <w:rPr>
          <w:shd w:val="clear" w:color="auto" w:fill="FFFFFF"/>
        </w:rPr>
      </w:pPr>
      <w:r>
        <w:rPr>
          <w:shd w:val="clear" w:color="auto" w:fill="FFFFFF"/>
        </w:rPr>
        <w:t xml:space="preserve">Yusuf, A.S. and </w:t>
      </w:r>
      <w:proofErr w:type="spellStart"/>
      <w:r>
        <w:rPr>
          <w:shd w:val="clear" w:color="auto" w:fill="FFFFFF"/>
        </w:rPr>
        <w:t>Busalim</w:t>
      </w:r>
      <w:proofErr w:type="spellEnd"/>
      <w:r>
        <w:rPr>
          <w:shd w:val="clear" w:color="auto" w:fill="FFFFFF"/>
        </w:rPr>
        <w:t>, A.H., 2018. Influence of e-WOM engagement on consumer purchase intention in social commerce. </w:t>
      </w:r>
      <w:proofErr w:type="gramStart"/>
      <w:r>
        <w:rPr>
          <w:shd w:val="clear" w:color="auto" w:fill="FFFFFF"/>
        </w:rPr>
        <w:t>Journal of Services Marketing.</w:t>
      </w:r>
      <w:proofErr w:type="gramEnd"/>
    </w:p>
    <w:p w:rsidR="007B35F1" w:rsidRDefault="007B35F1" w:rsidP="007B35F1">
      <w:pPr>
        <w:suppressAutoHyphens/>
        <w:spacing w:line="100" w:lineRule="atLeast"/>
        <w:ind w:left="867" w:hanging="817"/>
        <w:jc w:val="both"/>
        <w:rPr>
          <w:rFonts w:ascii="Times New Roman" w:hAnsi="Times New Roman" w:cs="Times New Roman"/>
          <w:color w:val="000000"/>
          <w:u w:val="single"/>
        </w:rPr>
      </w:pPr>
    </w:p>
    <w:p w:rsidR="007B35F1" w:rsidRDefault="007B35F1" w:rsidP="007B35F1">
      <w:pPr>
        <w:rPr>
          <w:rFonts w:ascii="Times New Roman" w:hAnsi="Times New Roman" w:cs="Times New Roman"/>
          <w:color w:val="000000"/>
          <w:u w:val="single"/>
        </w:rPr>
      </w:pPr>
    </w:p>
    <w:p w:rsidR="007B35F1" w:rsidRDefault="007B35F1" w:rsidP="007B35F1">
      <w:pPr>
        <w:rPr>
          <w:rFonts w:ascii="Times New Roman" w:hAnsi="Times New Roman" w:cs="Times New Roman"/>
          <w:color w:val="000000"/>
        </w:rPr>
      </w:pPr>
    </w:p>
    <w:p w:rsidR="007B35F1" w:rsidRDefault="007B35F1" w:rsidP="007B35F1"/>
    <w:p w:rsidR="0098579A" w:rsidRDefault="0098579A" w:rsidP="0098579A"/>
    <w:p w:rsidR="0098579A" w:rsidRDefault="0098579A" w:rsidP="0098579A"/>
    <w:p w:rsidR="0098579A" w:rsidRDefault="0098579A" w:rsidP="0098579A"/>
    <w:sectPr w:rsidR="0098579A" w:rsidSect="00B0344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roid Sans">
    <w:altName w:val="MS Mincho"/>
    <w:charset w:val="80"/>
    <w:family w:val="auto"/>
    <w:pitch w:val="variable"/>
    <w:sig w:usb0="00000000" w:usb1="00000000" w:usb2="00000000" w:usb3="00000000" w:csb0="00000000" w:csb1="00000000"/>
  </w:font>
  <w:font w:name="DejaVu Sans">
    <w:altName w:val="Yu Gothic"/>
    <w:charset w:val="8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8579A"/>
    <w:rsid w:val="002C7BDC"/>
    <w:rsid w:val="007B35F1"/>
    <w:rsid w:val="0098579A"/>
    <w:rsid w:val="00B0344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79A"/>
    <w:rPr>
      <w:rFonts w:eastAsiaTheme="minorEastAsia"/>
      <w:lang w:val="en-US" w:bidi="en-US"/>
    </w:rPr>
  </w:style>
  <w:style w:type="paragraph" w:styleId="Heading1">
    <w:name w:val="heading 1"/>
    <w:basedOn w:val="Normal"/>
    <w:next w:val="Normal"/>
    <w:link w:val="Heading1Char"/>
    <w:qFormat/>
    <w:rsid w:val="0098579A"/>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bidi="ar-SA"/>
    </w:rPr>
  </w:style>
  <w:style w:type="paragraph" w:styleId="Heading2">
    <w:name w:val="heading 2"/>
    <w:basedOn w:val="Normal"/>
    <w:next w:val="Normal"/>
    <w:link w:val="Heading2Char"/>
    <w:qFormat/>
    <w:rsid w:val="0098579A"/>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val="en-GB" w:eastAsia="ar-SA"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sHeading">
    <w:name w:val="Contents Heading"/>
    <w:basedOn w:val="Normal"/>
    <w:rsid w:val="0098579A"/>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val="en-GB" w:eastAsia="ar-SA" w:bidi="ar-SA"/>
    </w:rPr>
  </w:style>
  <w:style w:type="paragraph" w:styleId="TOC1">
    <w:name w:val="toc 1"/>
    <w:basedOn w:val="Normal"/>
    <w:rsid w:val="0098579A"/>
    <w:pPr>
      <w:suppressLineNumbers/>
      <w:tabs>
        <w:tab w:val="right" w:leader="dot" w:pos="9360"/>
      </w:tabs>
      <w:suppressAutoHyphens/>
      <w:spacing w:after="0" w:line="360" w:lineRule="auto"/>
      <w:jc w:val="both"/>
    </w:pPr>
    <w:rPr>
      <w:rFonts w:ascii="Times New Roman" w:eastAsia="Calibri" w:hAnsi="Times New Roman" w:cs="DejaVu Sans"/>
      <w:color w:val="000000"/>
      <w:sz w:val="24"/>
      <w:lang w:val="en-GB" w:eastAsia="ar-SA" w:bidi="ar-SA"/>
    </w:rPr>
  </w:style>
  <w:style w:type="paragraph" w:styleId="TOC2">
    <w:name w:val="toc 2"/>
    <w:basedOn w:val="Normal"/>
    <w:rsid w:val="0098579A"/>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val="en-GB" w:eastAsia="ar-SA" w:bidi="ar-SA"/>
    </w:rPr>
  </w:style>
  <w:style w:type="character" w:customStyle="1" w:styleId="Heading1Char">
    <w:name w:val="Heading 1 Char"/>
    <w:basedOn w:val="DefaultParagraphFont"/>
    <w:link w:val="Heading1"/>
    <w:rsid w:val="0098579A"/>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98579A"/>
    <w:rPr>
      <w:rFonts w:ascii="Times New Roman" w:eastAsia="Times New Roman" w:hAnsi="Times New Roman" w:cs="Times New Roman"/>
      <w:bCs/>
      <w:color w:val="000000"/>
      <w:sz w:val="24"/>
      <w:szCs w:val="26"/>
      <w:u w:val="single"/>
      <w:lang w:val="en-GB"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2023-01-05T13:31:00Z</dcterms:created>
  <dcterms:modified xsi:type="dcterms:W3CDTF">2023-01-05T14:02:00Z</dcterms:modified>
</cp:coreProperties>
</file>