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32"/>
          <w:shd w:fill="auto" w:val="clear"/>
        </w:rPr>
        <w:t xml:space="preserve">Module code: LCBB 4001</w:t>
      </w:r>
    </w:p>
    <w:p>
      <w:pPr>
        <w:spacing w:before="0" w:after="160" w:line="259"/>
        <w:ind w:right="0" w:left="0" w:firstLine="0"/>
        <w:jc w:val="center"/>
        <w:rPr>
          <w:rFonts w:ascii="Calibri" w:hAnsi="Calibri" w:cs="Calibri" w:eastAsia="Calibri"/>
          <w:color w:val="auto"/>
          <w:spacing w:val="0"/>
          <w:position w:val="0"/>
          <w:sz w:val="22"/>
          <w:shd w:fill="auto" w:val="clear"/>
        </w:rPr>
      </w:pPr>
      <w:r>
        <w:rPr>
          <w:rFonts w:ascii="Arial" w:hAnsi="Arial" w:cs="Arial" w:eastAsia="Arial"/>
          <w:color w:val="auto"/>
          <w:spacing w:val="0"/>
          <w:position w:val="0"/>
          <w:sz w:val="32"/>
          <w:shd w:fill="auto" w:val="clear"/>
        </w:rPr>
        <w:t xml:space="preserve">Module title:Accounting Fundamentals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Times New Roman" w:hAnsi="Times New Roman" w:cs="Times New Roman" w:eastAsia="Times New Roman"/>
          <w:b/>
          <w:color w:val="auto"/>
          <w:spacing w:val="-10"/>
          <w:position w:val="0"/>
          <w:sz w:val="56"/>
          <w:shd w:fill="auto" w:val="clear"/>
        </w:rPr>
      </w:pPr>
      <w:r>
        <w:rPr>
          <w:rFonts w:ascii="Arial" w:hAnsi="Arial" w:cs="Arial" w:eastAsia="Arial"/>
          <w:b/>
          <w:color w:val="auto"/>
          <w:spacing w:val="-10"/>
          <w:position w:val="0"/>
          <w:sz w:val="32"/>
          <w:shd w:fill="auto" w:val="clear"/>
        </w:rPr>
        <w:t xml:space="preserve">Essay on Accounting Fundamentals</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10"/>
          <w:position w:val="0"/>
          <w:sz w:val="56"/>
          <w:shd w:fill="auto" w:val="clear"/>
        </w:rPr>
      </w:pPr>
    </w:p>
    <w:p>
      <w:pPr>
        <w:spacing w:before="0" w:after="160" w:line="259"/>
        <w:ind w:right="0" w:left="0" w:firstLine="0"/>
        <w:jc w:val="center"/>
        <w:rPr>
          <w:rFonts w:ascii="Calibri" w:hAnsi="Calibri" w:cs="Calibri" w:eastAsia="Calibri"/>
          <w:color w:val="auto"/>
          <w:spacing w:val="0"/>
          <w:position w:val="0"/>
          <w:sz w:val="32"/>
          <w:shd w:fill="auto" w:val="clear"/>
        </w:rPr>
      </w:pPr>
      <w:r>
        <w:rPr>
          <w:rFonts w:ascii="Arial" w:hAnsi="Arial" w:cs="Arial" w:eastAsia="Arial"/>
          <w:color w:val="auto"/>
          <w:spacing w:val="0"/>
          <w:position w:val="0"/>
          <w:sz w:val="36"/>
          <w:shd w:fill="auto" w:val="clear"/>
        </w:rPr>
        <w:t xml:space="preserve">STUDENT ID</w:t>
      </w:r>
      <w:r>
        <w:rPr>
          <w:rFonts w:ascii="Calibri" w:hAnsi="Calibri" w:cs="Calibri" w:eastAsia="Calibri"/>
          <w:color w:val="auto"/>
          <w:spacing w:val="0"/>
          <w:position w:val="0"/>
          <w:sz w:val="36"/>
          <w:shd w:fill="auto" w:val="clear"/>
        </w:rPr>
        <w:t xml:space="preserve">:</w:t>
      </w:r>
      <w:r>
        <w:rPr>
          <w:rFonts w:ascii="Calibri" w:hAnsi="Calibri" w:cs="Calibri" w:eastAsia="Calibri"/>
          <w:color w:val="auto"/>
          <w:spacing w:val="0"/>
          <w:position w:val="0"/>
          <w:sz w:val="32"/>
          <w:shd w:fill="auto" w:val="clear"/>
        </w:rPr>
        <w:t xml:space="preserve">2127256</w:t>
        <w:t xml:space="preserve"> </w:t>
      </w:r>
    </w:p>
    <w:p>
      <w:pPr>
        <w:spacing w:before="0" w:after="160" w:line="259"/>
        <w:ind w:right="0" w:left="0" w:firstLine="0"/>
        <w:jc w:val="center"/>
        <w:rPr>
          <w:rFonts w:ascii="Times New Roman" w:hAnsi="Times New Roman" w:cs="Times New Roman" w:eastAsia="Times New Roman"/>
          <w:b/>
          <w:color w:val="2F5496"/>
          <w:spacing w:val="0"/>
          <w:position w:val="0"/>
          <w:sz w:val="36"/>
          <w:shd w:fill="auto" w:val="clear"/>
        </w:rPr>
      </w:pPr>
      <w:r>
        <w:rPr>
          <w:rFonts w:ascii="Arial" w:hAnsi="Arial" w:cs="Arial" w:eastAsia="Arial"/>
          <w:color w:val="auto"/>
          <w:spacing w:val="0"/>
          <w:position w:val="0"/>
          <w:sz w:val="36"/>
          <w:shd w:fill="auto" w:val="clear"/>
        </w:rPr>
        <w:t xml:space="preserve">STUDENT NAME</w:t>
      </w:r>
      <w:r>
        <w:rPr>
          <w:rFonts w:ascii="Calibri" w:hAnsi="Calibri" w:cs="Calibri" w:eastAsia="Calibri"/>
          <w:color w:val="auto"/>
          <w:spacing w:val="0"/>
          <w:position w:val="0"/>
          <w:sz w:val="36"/>
          <w:shd w:fill="auto" w:val="clear"/>
        </w:rPr>
        <w:t xml:space="preserve">: </w:t>
      </w:r>
      <w:r>
        <w:rPr>
          <w:rFonts w:ascii="Calibri" w:hAnsi="Calibri" w:cs="Calibri" w:eastAsia="Calibri"/>
          <w:color w:val="auto"/>
          <w:spacing w:val="0"/>
          <w:position w:val="0"/>
          <w:sz w:val="32"/>
          <w:shd w:fill="auto" w:val="clear"/>
        </w:rPr>
        <w:t xml:space="preserve">DEMIR DEMIROV</w:t>
      </w:r>
    </w:p>
    <w:p>
      <w:pPr>
        <w:keepNext w:val="true"/>
        <w:keepLines w:val="true"/>
        <w:spacing w:before="240" w:after="0" w:line="259"/>
        <w:ind w:right="0" w:left="0" w:firstLine="0"/>
        <w:jc w:val="center"/>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Income Statement and Balance Sheet are two of the four financial statements and certainly, the most important ones. Income Statement reflects the financial output of an entity’s financial transactions of a whole accounting period. On the other hand, Balance sheet shows the financial position of an entity representing the amounts of assets and liabilities of the entity on a certain point of time. In the first section of this assignment, the balance sheet and income statement of “Angela”, a business entity, have been prepared showing her financial performance and financial position for the year ending on 31</w:t>
      </w:r>
      <w:r>
        <w:rPr>
          <w:rFonts w:ascii="Arial" w:hAnsi="Arial" w:cs="Arial" w:eastAsia="Arial"/>
          <w:color w:val="auto"/>
          <w:spacing w:val="0"/>
          <w:position w:val="0"/>
          <w:sz w:val="22"/>
          <w:shd w:fill="auto" w:val="clear"/>
          <w:vertAlign w:val="superscript"/>
        </w:rPr>
        <w:t xml:space="preserve">st</w:t>
      </w:r>
      <w:r>
        <w:rPr>
          <w:rFonts w:ascii="Arial" w:hAnsi="Arial" w:cs="Arial" w:eastAsia="Arial"/>
          <w:color w:val="auto"/>
          <w:spacing w:val="0"/>
          <w:position w:val="0"/>
          <w:sz w:val="22"/>
          <w:shd w:fill="auto" w:val="clear"/>
        </w:rPr>
        <w:t xml:space="preserve"> December, 2021.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the second section of the assignment, four significant principles of accounting have been discussed in details that include consistency, going concern, materiality and monetary unit. The definitions, explanations, importance, advantages &amp; disadvantages of the principles have been discussed according to the requirements. </w:t>
        <w:t xml:space="preserve">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40" w:after="0" w:line="259"/>
        <w:ind w:right="0" w:left="0" w:firstLine="0"/>
        <w:jc w:val="left"/>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Angela’s Income Statement &amp; Balance Sheet</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3999"/>
        <w:gridCol w:w="940"/>
        <w:gridCol w:w="940"/>
      </w:tblGrid>
      <w:tr>
        <w:trPr>
          <w:trHeight w:val="300" w:hRule="auto"/>
          <w:jc w:val="center"/>
        </w:trPr>
        <w:tc>
          <w:tcPr>
            <w:tcW w:w="5879" w:type="dxa"/>
            <w:gridSpan w:val="3"/>
            <w:tcBorders>
              <w:top w:val="single" w:color="000000" w:sz="8"/>
              <w:left w:val="single" w:color="000000" w:sz="8"/>
              <w:bottom w:val="single" w:color="000000" w:sz="0"/>
              <w:right w:val="single" w:color="000000" w:sz="8"/>
            </w:tcBorders>
            <w:shd w:color="000000" w:fill="c6efce" w:val="clear"/>
            <w:tcMar>
              <w:left w:w="108" w:type="dxa"/>
              <w:right w:w="108" w:type="dxa"/>
            </w:tcMar>
            <w:vAlign w:val="center"/>
          </w:tcPr>
          <w:p>
            <w:pPr>
              <w:spacing w:before="0" w:after="0" w:line="240"/>
              <w:ind w:right="0" w:left="0" w:firstLine="0"/>
              <w:jc w:val="center"/>
              <w:rPr>
                <w:rFonts w:ascii="Arial" w:hAnsi="Arial" w:cs="Arial" w:eastAsia="Arial"/>
                <w:spacing w:val="0"/>
                <w:position w:val="0"/>
                <w:sz w:val="22"/>
                <w:shd w:fill="auto" w:val="clear"/>
              </w:rPr>
            </w:pPr>
            <w:r>
              <w:rPr>
                <w:rFonts w:ascii="Arial" w:hAnsi="Arial" w:cs="Arial" w:eastAsia="Arial"/>
                <w:color w:val="006100"/>
                <w:spacing w:val="0"/>
                <w:position w:val="0"/>
                <w:sz w:val="22"/>
                <w:shd w:fill="auto" w:val="clear"/>
              </w:rPr>
              <w:t xml:space="preserve">Angela</w:t>
            </w:r>
          </w:p>
        </w:tc>
      </w:tr>
      <w:tr>
        <w:trPr>
          <w:trHeight w:val="300" w:hRule="auto"/>
          <w:jc w:val="center"/>
        </w:trPr>
        <w:tc>
          <w:tcPr>
            <w:tcW w:w="5879" w:type="dxa"/>
            <w:gridSpan w:val="3"/>
            <w:tcBorders>
              <w:top w:val="single" w:color="000000" w:sz="0"/>
              <w:left w:val="single" w:color="000000" w:sz="8"/>
              <w:bottom w:val="single" w:color="000000" w:sz="0"/>
              <w:right w:val="single" w:color="000000" w:sz="8"/>
            </w:tcBorders>
            <w:shd w:color="000000" w:fill="c6efce" w:val="clear"/>
            <w:tcMar>
              <w:left w:w="108" w:type="dxa"/>
              <w:right w:w="108" w:type="dxa"/>
            </w:tcMar>
            <w:vAlign w:val="center"/>
          </w:tcPr>
          <w:p>
            <w:pPr>
              <w:spacing w:before="0" w:after="0" w:line="240"/>
              <w:ind w:right="0" w:left="0" w:firstLine="0"/>
              <w:jc w:val="center"/>
              <w:rPr>
                <w:rFonts w:ascii="Arial" w:hAnsi="Arial" w:cs="Arial" w:eastAsia="Arial"/>
                <w:spacing w:val="0"/>
                <w:position w:val="0"/>
                <w:sz w:val="22"/>
                <w:shd w:fill="auto" w:val="clear"/>
              </w:rPr>
            </w:pPr>
            <w:r>
              <w:rPr>
                <w:rFonts w:ascii="Arial" w:hAnsi="Arial" w:cs="Arial" w:eastAsia="Arial"/>
                <w:color w:val="006100"/>
                <w:spacing w:val="0"/>
                <w:position w:val="0"/>
                <w:sz w:val="22"/>
                <w:shd w:fill="auto" w:val="clear"/>
              </w:rPr>
              <w:t xml:space="preserve">Income Statement</w:t>
            </w:r>
          </w:p>
        </w:tc>
      </w:tr>
      <w:tr>
        <w:trPr>
          <w:trHeight w:val="300" w:hRule="auto"/>
          <w:jc w:val="center"/>
        </w:trPr>
        <w:tc>
          <w:tcPr>
            <w:tcW w:w="5879" w:type="dxa"/>
            <w:gridSpan w:val="3"/>
            <w:tcBorders>
              <w:top w:val="single" w:color="000000" w:sz="0"/>
              <w:left w:val="single" w:color="000000" w:sz="8"/>
              <w:bottom w:val="single" w:color="000000" w:sz="0"/>
              <w:right w:val="single" w:color="000000" w:sz="8"/>
            </w:tcBorders>
            <w:shd w:color="000000" w:fill="c6efce" w:val="clear"/>
            <w:tcMar>
              <w:left w:w="108" w:type="dxa"/>
              <w:right w:w="108" w:type="dxa"/>
            </w:tcMar>
            <w:vAlign w:val="bottom"/>
          </w:tcPr>
          <w:p>
            <w:pPr>
              <w:spacing w:before="0" w:after="0" w:line="240"/>
              <w:ind w:right="0" w:left="0" w:firstLine="0"/>
              <w:jc w:val="center"/>
              <w:rPr>
                <w:rFonts w:ascii="Arial" w:hAnsi="Arial" w:cs="Arial" w:eastAsia="Arial"/>
                <w:spacing w:val="0"/>
                <w:position w:val="0"/>
                <w:sz w:val="22"/>
                <w:shd w:fill="auto" w:val="clear"/>
              </w:rPr>
            </w:pPr>
            <w:r>
              <w:rPr>
                <w:rFonts w:ascii="Arial" w:hAnsi="Arial" w:cs="Arial" w:eastAsia="Arial"/>
                <w:color w:val="006100"/>
                <w:spacing w:val="0"/>
                <w:position w:val="0"/>
                <w:sz w:val="22"/>
                <w:shd w:fill="auto" w:val="clear"/>
              </w:rPr>
              <w:t xml:space="preserve"> For the year ending 31st December 2021</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000000" w:fill="ffff00"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Particulars</w:t>
            </w:r>
          </w:p>
        </w:tc>
        <w:tc>
          <w:tcPr>
            <w:tcW w:w="940" w:type="dxa"/>
            <w:tcBorders>
              <w:top w:val="single" w:color="000000" w:sz="0"/>
              <w:left w:val="single" w:color="000000" w:sz="0"/>
              <w:bottom w:val="single" w:color="000000" w:sz="0"/>
              <w:right w:val="single" w:color="000000" w:sz="8"/>
            </w:tcBorders>
            <w:shd w:color="000000" w:fill="ffff00" w:val="clear"/>
            <w:tcMar>
              <w:left w:w="108" w:type="dxa"/>
              <w:right w:w="108" w:type="dxa"/>
            </w:tcMar>
            <w:vAlign w:val="bottom"/>
          </w:tcPr>
          <w:p>
            <w:pPr>
              <w:spacing w:before="0" w:after="0" w:line="240"/>
              <w:ind w:right="0" w:left="0" w:firstLine="0"/>
              <w:jc w:val="center"/>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w:t>
            </w:r>
          </w:p>
        </w:tc>
        <w:tc>
          <w:tcPr>
            <w:tcW w:w="940" w:type="dxa"/>
            <w:tcBorders>
              <w:top w:val="single" w:color="000000" w:sz="0"/>
              <w:left w:val="single" w:color="000000" w:sz="0"/>
              <w:bottom w:val="single" w:color="000000" w:sz="0"/>
              <w:right w:val="single" w:color="000000" w:sz="8"/>
            </w:tcBorders>
            <w:shd w:color="000000" w:fill="ffff00" w:val="clear"/>
            <w:tcMar>
              <w:left w:w="108" w:type="dxa"/>
              <w:right w:w="108" w:type="dxa"/>
            </w:tcMar>
            <w:vAlign w:val="bottom"/>
          </w:tcPr>
          <w:p>
            <w:pPr>
              <w:spacing w:before="0" w:after="0" w:line="240"/>
              <w:ind w:right="0" w:left="0" w:firstLine="0"/>
              <w:jc w:val="center"/>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Sales</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310423</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Less: Cost of Goods Sold</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Purchases</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214,165</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214,165</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Gross Profit</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96,258</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Less: Operating Costs</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Administration expenses</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2,772</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Rental and insurance costs</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19,200</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Salaries and wages</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35,804</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Bad Debt Expense</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980</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Depreciation Expense- Delivery Van</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6,918</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Depreciation Expense- Shop Fittings</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1,220</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66,894</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Operating Profit</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29,364</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Less: Unrealized Holding Loss</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5058</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Sundry Expenses</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2,250</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99" w:type="dxa"/>
            <w:tcBorders>
              <w:top w:val="single" w:color="000000" w:sz="0"/>
              <w:left w:val="single" w:color="000000" w:sz="8"/>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0"/>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7,308</w:t>
            </w:r>
          </w:p>
        </w:tc>
      </w:tr>
      <w:tr>
        <w:trPr>
          <w:trHeight w:val="315" w:hRule="auto"/>
          <w:jc w:val="center"/>
        </w:trPr>
        <w:tc>
          <w:tcPr>
            <w:tcW w:w="3999" w:type="dxa"/>
            <w:tcBorders>
              <w:top w:val="single" w:color="000000" w:sz="0"/>
              <w:left w:val="single" w:color="000000" w:sz="8"/>
              <w:bottom w:val="single" w:color="000000" w:sz="8"/>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Net Profit</w:t>
            </w:r>
          </w:p>
        </w:tc>
        <w:tc>
          <w:tcPr>
            <w:tcW w:w="940" w:type="dxa"/>
            <w:tcBorders>
              <w:top w:val="single" w:color="000000" w:sz="0"/>
              <w:left w:val="single" w:color="000000" w:sz="0"/>
              <w:bottom w:val="single" w:color="000000" w:sz="8"/>
              <w:right w:val="single" w:color="000000" w:sz="8"/>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940" w:type="dxa"/>
            <w:tcBorders>
              <w:top w:val="single" w:color="000000" w:sz="0"/>
              <w:left w:val="single" w:color="000000" w:sz="0"/>
              <w:bottom w:val="single" w:color="000000" w:sz="8"/>
              <w:right w:val="single" w:color="000000" w:sz="8"/>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22,056</w:t>
            </w:r>
          </w:p>
        </w:tc>
      </w:tr>
    </w:tbl>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259"/>
        <w:ind w:right="0" w:left="0" w:firstLine="0"/>
        <w:jc w:val="left"/>
        <w:rPr>
          <w:rFonts w:ascii="Arial" w:hAnsi="Arial" w:cs="Arial" w:eastAsia="Arial"/>
          <w:color w:val="auto"/>
          <w:spacing w:val="0"/>
          <w:position w:val="0"/>
          <w:sz w:val="22"/>
          <w:shd w:fill="auto" w:val="clear"/>
        </w:rPr>
      </w:pPr>
    </w:p>
    <w:tbl>
      <w:tblPr/>
      <w:tblGrid>
        <w:gridCol w:w="3912"/>
        <w:gridCol w:w="829"/>
        <w:gridCol w:w="829"/>
        <w:gridCol w:w="829"/>
      </w:tblGrid>
      <w:tr>
        <w:trPr>
          <w:trHeight w:val="300" w:hRule="auto"/>
          <w:jc w:val="center"/>
        </w:trPr>
        <w:tc>
          <w:tcPr>
            <w:tcW w:w="6399" w:type="dxa"/>
            <w:gridSpan w:val="4"/>
            <w:tcBorders>
              <w:top w:val="single" w:color="000000" w:sz="4"/>
              <w:left w:val="single" w:color="000000" w:sz="4"/>
              <w:bottom w:val="single" w:color="000000" w:sz="0"/>
              <w:right w:val="single" w:color="000000" w:sz="4"/>
            </w:tcBorders>
            <w:shd w:color="000000" w:fill="c6efce" w:val="clear"/>
            <w:tcMar>
              <w:left w:w="108" w:type="dxa"/>
              <w:right w:w="108" w:type="dxa"/>
            </w:tcMar>
            <w:vAlign w:val="center"/>
          </w:tcPr>
          <w:p>
            <w:pPr>
              <w:spacing w:before="0" w:after="0" w:line="240"/>
              <w:ind w:right="0" w:left="0" w:firstLine="0"/>
              <w:jc w:val="center"/>
              <w:rPr>
                <w:rFonts w:ascii="Arial" w:hAnsi="Arial" w:cs="Arial" w:eastAsia="Arial"/>
                <w:spacing w:val="0"/>
                <w:position w:val="0"/>
                <w:sz w:val="22"/>
                <w:shd w:fill="auto" w:val="clear"/>
              </w:rPr>
            </w:pPr>
            <w:r>
              <w:rPr>
                <w:rFonts w:ascii="Arial" w:hAnsi="Arial" w:cs="Arial" w:eastAsia="Arial"/>
                <w:color w:val="006100"/>
                <w:spacing w:val="0"/>
                <w:position w:val="0"/>
                <w:sz w:val="22"/>
                <w:shd w:fill="auto" w:val="clear"/>
              </w:rPr>
              <w:t xml:space="preserve">Angela</w:t>
            </w:r>
          </w:p>
        </w:tc>
      </w:tr>
      <w:tr>
        <w:trPr>
          <w:trHeight w:val="300" w:hRule="auto"/>
          <w:jc w:val="center"/>
        </w:trPr>
        <w:tc>
          <w:tcPr>
            <w:tcW w:w="6399" w:type="dxa"/>
            <w:gridSpan w:val="4"/>
            <w:tcBorders>
              <w:top w:val="single" w:color="000000" w:sz="0"/>
              <w:left w:val="single" w:color="000000" w:sz="4"/>
              <w:bottom w:val="single" w:color="000000" w:sz="0"/>
              <w:right w:val="single" w:color="000000" w:sz="4"/>
            </w:tcBorders>
            <w:shd w:color="000000" w:fill="c6efce" w:val="clear"/>
            <w:tcMar>
              <w:left w:w="108" w:type="dxa"/>
              <w:right w:w="108" w:type="dxa"/>
            </w:tcMar>
            <w:vAlign w:val="center"/>
          </w:tcPr>
          <w:p>
            <w:pPr>
              <w:spacing w:before="0" w:after="0" w:line="240"/>
              <w:ind w:right="0" w:left="0" w:firstLine="0"/>
              <w:jc w:val="center"/>
              <w:rPr>
                <w:rFonts w:ascii="Arial" w:hAnsi="Arial" w:cs="Arial" w:eastAsia="Arial"/>
                <w:spacing w:val="0"/>
                <w:position w:val="0"/>
                <w:sz w:val="22"/>
                <w:shd w:fill="auto" w:val="clear"/>
              </w:rPr>
            </w:pPr>
            <w:r>
              <w:rPr>
                <w:rFonts w:ascii="Arial" w:hAnsi="Arial" w:cs="Arial" w:eastAsia="Arial"/>
                <w:color w:val="006100"/>
                <w:spacing w:val="0"/>
                <w:position w:val="0"/>
                <w:sz w:val="22"/>
                <w:shd w:fill="auto" w:val="clear"/>
              </w:rPr>
              <w:t xml:space="preserve">Balance Sheet</w:t>
            </w:r>
          </w:p>
        </w:tc>
      </w:tr>
      <w:tr>
        <w:trPr>
          <w:trHeight w:val="300" w:hRule="auto"/>
          <w:jc w:val="center"/>
        </w:trPr>
        <w:tc>
          <w:tcPr>
            <w:tcW w:w="6399" w:type="dxa"/>
            <w:gridSpan w:val="4"/>
            <w:tcBorders>
              <w:top w:val="single" w:color="000000" w:sz="0"/>
              <w:left w:val="single" w:color="000000" w:sz="4"/>
              <w:bottom w:val="single" w:color="000000" w:sz="0"/>
              <w:right w:val="single" w:color="000000" w:sz="4"/>
            </w:tcBorders>
            <w:shd w:color="000000" w:fill="c6efce" w:val="clear"/>
            <w:tcMar>
              <w:left w:w="108" w:type="dxa"/>
              <w:right w:w="108" w:type="dxa"/>
            </w:tcMar>
            <w:vAlign w:val="bottom"/>
          </w:tcPr>
          <w:p>
            <w:pPr>
              <w:spacing w:before="0" w:after="0" w:line="240"/>
              <w:ind w:right="0" w:left="0" w:firstLine="0"/>
              <w:jc w:val="center"/>
              <w:rPr>
                <w:rFonts w:ascii="Arial" w:hAnsi="Arial" w:cs="Arial" w:eastAsia="Arial"/>
                <w:spacing w:val="0"/>
                <w:position w:val="0"/>
                <w:sz w:val="22"/>
                <w:shd w:fill="auto" w:val="clear"/>
              </w:rPr>
            </w:pPr>
            <w:r>
              <w:rPr>
                <w:rFonts w:ascii="Arial" w:hAnsi="Arial" w:cs="Arial" w:eastAsia="Arial"/>
                <w:color w:val="006100"/>
                <w:spacing w:val="0"/>
                <w:position w:val="0"/>
                <w:sz w:val="22"/>
                <w:shd w:fill="auto" w:val="clear"/>
              </w:rPr>
              <w:t xml:space="preserve"> For the year ending 31st December 2021</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000000" w:fill="ffff00"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Particulars</w:t>
            </w:r>
          </w:p>
        </w:tc>
        <w:tc>
          <w:tcPr>
            <w:tcW w:w="829" w:type="dxa"/>
            <w:tcBorders>
              <w:top w:val="single" w:color="000000" w:sz="0"/>
              <w:left w:val="single" w:color="000000" w:sz="0"/>
              <w:bottom w:val="single" w:color="000000" w:sz="0"/>
              <w:right w:val="single" w:color="000000" w:sz="4"/>
            </w:tcBorders>
            <w:shd w:color="000000" w:fill="ffff00" w:val="clear"/>
            <w:tcMar>
              <w:left w:w="108" w:type="dxa"/>
              <w:right w:w="108" w:type="dxa"/>
            </w:tcMar>
            <w:vAlign w:val="bottom"/>
          </w:tcPr>
          <w:p>
            <w:pPr>
              <w:spacing w:before="0" w:after="0" w:line="240"/>
              <w:ind w:right="0" w:left="0" w:firstLine="0"/>
              <w:jc w:val="center"/>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w:t>
            </w:r>
          </w:p>
        </w:tc>
        <w:tc>
          <w:tcPr>
            <w:tcW w:w="829" w:type="dxa"/>
            <w:tcBorders>
              <w:top w:val="single" w:color="000000" w:sz="0"/>
              <w:left w:val="single" w:color="000000" w:sz="0"/>
              <w:bottom w:val="single" w:color="000000" w:sz="0"/>
              <w:right w:val="single" w:color="000000" w:sz="4"/>
            </w:tcBorders>
            <w:shd w:color="000000" w:fill="ffff00" w:val="clear"/>
            <w:tcMar>
              <w:left w:w="108" w:type="dxa"/>
              <w:right w:w="108" w:type="dxa"/>
            </w:tcMar>
            <w:vAlign w:val="bottom"/>
          </w:tcPr>
          <w:p>
            <w:pPr>
              <w:spacing w:before="0" w:after="0" w:line="240"/>
              <w:ind w:right="0" w:left="0" w:firstLine="0"/>
              <w:jc w:val="center"/>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w:t>
            </w:r>
          </w:p>
        </w:tc>
        <w:tc>
          <w:tcPr>
            <w:tcW w:w="829" w:type="dxa"/>
            <w:tcBorders>
              <w:top w:val="single" w:color="000000" w:sz="0"/>
              <w:left w:val="single" w:color="000000" w:sz="0"/>
              <w:bottom w:val="single" w:color="000000" w:sz="0"/>
              <w:right w:val="single" w:color="000000" w:sz="4"/>
            </w:tcBorders>
            <w:shd w:color="000000" w:fill="ffff00" w:val="clear"/>
            <w:tcMar>
              <w:left w:w="108" w:type="dxa"/>
              <w:right w:w="108" w:type="dxa"/>
            </w:tcMar>
            <w:vAlign w:val="bottom"/>
          </w:tcPr>
          <w:p>
            <w:pPr>
              <w:spacing w:before="0" w:after="0" w:line="240"/>
              <w:ind w:right="0" w:left="0" w:firstLine="0"/>
              <w:jc w:val="center"/>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Assets</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Delivery van at cost</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35,580</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less: Accumulated Depreciation</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19438</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16,142</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Shop fittings at cost</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12,200</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less: Accumulated Depreciation</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8540</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color w:val="auto"/>
                <w:spacing w:val="0"/>
                <w:position w:val="0"/>
                <w:sz w:val="22"/>
                <w:shd w:fill="auto" w:val="clear"/>
              </w:rPr>
            </w:pP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3,660</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Stock</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25,164</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Trade Debtors</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6,860</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Less: Bad debt Expense</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980</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5,880</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Cash at bank</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82</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Total Assets</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50,928</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Liabilities and Owner's Equity</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color w:val="auto"/>
                <w:spacing w:val="0"/>
                <w:position w:val="0"/>
                <w:sz w:val="22"/>
                <w:shd w:fill="auto" w:val="clear"/>
              </w:rPr>
            </w:pP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Owner's Capital</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4,993</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Add: Net Profit</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22,056</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27,049</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color w:val="auto"/>
                <w:spacing w:val="0"/>
                <w:position w:val="0"/>
                <w:sz w:val="22"/>
                <w:shd w:fill="auto" w:val="clear"/>
              </w:rPr>
            </w:pPr>
          </w:p>
        </w:tc>
      </w:tr>
      <w:tr>
        <w:trPr>
          <w:trHeight w:val="315"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Less: Drawings</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18,270</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8,779</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Trade creditors/payables</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34,420</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Creditor for VAT</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7,729</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r>
      <w:tr>
        <w:trPr>
          <w:trHeight w:val="300" w:hRule="auto"/>
          <w:jc w:val="center"/>
        </w:trPr>
        <w:tc>
          <w:tcPr>
            <w:tcW w:w="3912"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42,149</w:t>
            </w:r>
          </w:p>
        </w:tc>
      </w:tr>
      <w:tr>
        <w:trPr>
          <w:trHeight w:val="300" w:hRule="auto"/>
          <w:jc w:val="center"/>
        </w:trPr>
        <w:tc>
          <w:tcPr>
            <w:tcW w:w="3912"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b/>
                <w:color w:val="000000"/>
                <w:spacing w:val="0"/>
                <w:position w:val="0"/>
                <w:sz w:val="22"/>
                <w:shd w:fill="auto" w:val="clear"/>
              </w:rPr>
              <w:t xml:space="preserve">Total Liabilities and Owner's Equity</w:t>
            </w:r>
          </w:p>
        </w:tc>
        <w:tc>
          <w:tcPr>
            <w:tcW w:w="82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829"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u w:val="single"/>
                <w:shd w:fill="auto" w:val="clear"/>
              </w:rPr>
              <w:t xml:space="preserve">50,928</w:t>
            </w:r>
          </w:p>
        </w:tc>
      </w:tr>
    </w:tbl>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b/>
          <w:color w:val="2F5496"/>
          <w:spacing w:val="0"/>
          <w:position w:val="0"/>
          <w:sz w:val="22"/>
          <w:shd w:fill="auto" w:val="clear"/>
        </w:rPr>
      </w:pPr>
    </w:p>
    <w:p>
      <w:pPr>
        <w:keepNext w:val="true"/>
        <w:keepLines w:val="true"/>
        <w:spacing w:before="240" w:after="0" w:line="259"/>
        <w:ind w:right="0" w:left="0" w:firstLine="0"/>
        <w:jc w:val="center"/>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Discussion of Accounting Principles</w:t>
      </w:r>
    </w:p>
    <w:p>
      <w:pPr>
        <w:spacing w:before="0" w:after="160" w:line="259"/>
        <w:ind w:right="0" w:left="0" w:firstLine="0"/>
        <w:jc w:val="left"/>
        <w:rPr>
          <w:rFonts w:ascii="Arial" w:hAnsi="Arial" w:cs="Arial" w:eastAsia="Arial"/>
          <w:color w:val="auto"/>
          <w:spacing w:val="0"/>
          <w:position w:val="0"/>
          <w:sz w:val="22"/>
          <w:shd w:fill="auto" w:val="clear"/>
        </w:rPr>
      </w:pPr>
    </w:p>
    <w:p>
      <w:pPr>
        <w:keepNext w:val="true"/>
        <w:keepLines w:val="true"/>
        <w:spacing w:before="40" w:after="0" w:line="259"/>
        <w:ind w:right="0" w:left="0" w:firstLine="0"/>
        <w:jc w:val="left"/>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The Principle of Consistency</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Explanation: </w:t>
      </w:r>
      <w:r>
        <w:rPr>
          <w:rFonts w:ascii="Arial" w:hAnsi="Arial" w:cs="Arial" w:eastAsia="Arial"/>
          <w:color w:val="auto"/>
          <w:spacing w:val="0"/>
          <w:position w:val="0"/>
          <w:sz w:val="22"/>
          <w:shd w:fill="auto" w:val="clear"/>
        </w:rPr>
        <w:t xml:space="preserve">According to the principle of consistency in accounting, an organization should apply the same practice and approach for similar events unless there is a good cause to deviate.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accountant often must handle difficulties using a variety of accounting concepts (e.g., depreciation on fixed assets, valuation of stock, etc.). This notion emphasizes that accountants should stick to one procedure. Changes in strategy can affect a company's profitability, thus consistency is important. However, future changes are still possible. Any fair adjustment that improves accounting is acceptable, but it must be noted.</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Objective: </w:t>
      </w:r>
      <w:r>
        <w:rPr>
          <w:rFonts w:ascii="Arial" w:hAnsi="Arial" w:cs="Arial" w:eastAsia="Arial"/>
          <w:color w:val="auto"/>
          <w:spacing w:val="0"/>
          <w:position w:val="0"/>
          <w:sz w:val="22"/>
          <w:shd w:fill="auto" w:val="clear"/>
        </w:rPr>
        <w:t xml:space="preserve">The primary goal of implementing this principle is to make certain that a person's performance may be evaluated and evaluated on the same criteria from one year to the next. For instance, if a company depreciates their motor vehicles using the straight-line technique in 2015 but switches to the falling balance method for 2016, their financial statements for the two years will not be comparable. This is because the straight-line method is more accurate.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Importance: </w:t>
      </w:r>
      <w:r>
        <w:rPr>
          <w:rFonts w:ascii="Arial" w:hAnsi="Arial" w:cs="Arial" w:eastAsia="Arial"/>
          <w:color w:val="auto"/>
          <w:spacing w:val="0"/>
          <w:position w:val="0"/>
          <w:sz w:val="22"/>
          <w:shd w:fill="auto" w:val="clear"/>
        </w:rPr>
        <w:t xml:space="preserve">Auditors worry whether their clients follow the consistency principle when reporting financial accounts. Investors and creditors can compare results between periods using financial statements. Many auditors discuss financial report consistency with the client's management. If a client's financial accounts contradict the consistency principle, an auditor may refuse to issue an opinion.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consistency principle prevents management from overstating sales and profits. Without a consistency criterion, management may easily fake annual financial statements to mislead success. To boost earnings in the first few years, it can adopt straight-line depreciation instead of double-declining balance.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When a company's operations stay constant yet earnings rise unexpectedly, the consistency principle is not being observed. Financial statement users should be frightened and investigate. If a company doesn't disclose and justify its consistency principle infractions, its financial statements won't be reliable or comparable.</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Advantages: </w:t>
      </w:r>
    </w:p>
    <w:p>
      <w:pPr>
        <w:numPr>
          <w:ilvl w:val="0"/>
          <w:numId w:val="20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Accounting business managers will become familiar with the process by adopting the same procedures and policies. After initial training, they will be able to regularly conduct financial reporting responsibilities.</w:t>
      </w:r>
    </w:p>
    <w:p>
      <w:pPr>
        <w:numPr>
          <w:ilvl w:val="0"/>
          <w:numId w:val="20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Changing accounting standards and methods every quarter would increase training costs and diminish staff efficiency.</w:t>
      </w:r>
    </w:p>
    <w:p>
      <w:pPr>
        <w:numPr>
          <w:ilvl w:val="0"/>
          <w:numId w:val="20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Consistency principle ensures staff use the same accounting methods from period to period, preventing retraining. Employee efficiency increases with process familiarity.</w:t>
      </w:r>
    </w:p>
    <w:p>
      <w:pPr>
        <w:numPr>
          <w:ilvl w:val="0"/>
          <w:numId w:val="20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Most auditors won't give their judgment on a company's financial statements if it violates the consistency principle and doesn't provide adequate disclosures or a strong enough justification.</w:t>
      </w:r>
    </w:p>
    <w:p>
      <w:pPr>
        <w:numPr>
          <w:ilvl w:val="0"/>
          <w:numId w:val="20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company's financial statements will follow the consistency principle each period. Investors, creditors, managers, and other stakeholders could compare a company's financial and operational success across time.</w:t>
      </w:r>
    </w:p>
    <w:p>
      <w:pPr>
        <w:keepNext w:val="true"/>
        <w:keepLines w:val="true"/>
        <w:spacing w:before="40" w:after="0" w:line="259"/>
        <w:ind w:right="0" w:left="0" w:firstLine="0"/>
        <w:jc w:val="left"/>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The Materiality Concept</w:t>
      </w:r>
    </w:p>
    <w:p>
      <w:pPr>
        <w:spacing w:before="0" w:after="160" w:line="259"/>
        <w:ind w:right="0" w:left="0" w:firstLine="0"/>
        <w:jc w:val="left"/>
        <w:rPr>
          <w:rFonts w:ascii="Arial" w:hAnsi="Arial" w:cs="Arial" w:eastAsia="Arial"/>
          <w:b/>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Explanation: </w:t>
      </w:r>
      <w:r>
        <w:rPr>
          <w:rFonts w:ascii="Arial" w:hAnsi="Arial" w:cs="Arial" w:eastAsia="Arial"/>
          <w:color w:val="auto"/>
          <w:spacing w:val="0"/>
          <w:position w:val="0"/>
          <w:sz w:val="22"/>
          <w:shd w:fill="auto" w:val="clear"/>
        </w:rPr>
        <w:t xml:space="preserve">According to the materiality idea, financial information is significant if it would change a reasonable person's opinion. The financial statements should include all significant financial information that may impact a user's judgment.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Size and significance determine materiality. One organization's financial data may be irrelevant to another. This is obvious when comparing small and large businesses. Due to its size and revenue, a large company may have little expenses. Does financial statement information matter? materiality tries to answer. If not, the company shouldn't mention it in its financial statements. Financial information materiality is usually determined by qualitative and quantitative considerations. Expertise and great judgment help professionals determine what's material.</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Objective: </w:t>
      </w:r>
      <w:r>
        <w:rPr>
          <w:rFonts w:ascii="Arial" w:hAnsi="Arial" w:cs="Arial" w:eastAsia="Arial"/>
          <w:color w:val="auto"/>
          <w:spacing w:val="0"/>
          <w:position w:val="0"/>
          <w:sz w:val="22"/>
          <w:shd w:fill="auto" w:val="clear"/>
        </w:rPr>
        <w:t xml:space="preserve">The auditors' judgment can be established in the context provided by the materiality idea. The auditors must publish a report outlining a true and fair representation of the company's financial statements. So, it will be simpler for an auditor to establish an unbiased conclusion with the aid of material facts.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Importance: </w:t>
      </w:r>
      <w:r>
        <w:rPr>
          <w:rFonts w:ascii="Arial" w:hAnsi="Arial" w:cs="Arial" w:eastAsia="Arial"/>
          <w:color w:val="auto"/>
          <w:spacing w:val="0"/>
          <w:position w:val="0"/>
          <w:sz w:val="22"/>
          <w:shd w:fill="auto" w:val="clear"/>
        </w:rPr>
        <w:t xml:space="preserve">A corporation may view information as irrelevant if a transaction's financial amount is sufficiently low or if its nature is sufficiently unimportant to the company's core business operations. In this situation, a corporation may choose to utilize a less expensive or quicker way of accounting for the transaction in place of the one recommended by accounting principles. The materiality level for one company may not be the same as the materiality criterion for another company, and the threshold may change over time.</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Advantages: </w:t>
      </w:r>
    </w:p>
    <w:p>
      <w:pPr>
        <w:numPr>
          <w:ilvl w:val="0"/>
          <w:numId w:val="20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idea of materiality aids users in understanding significant commercial transactions. Since the investors' and shareholders' money is invested in the company, they have a right to be informed about important issues so that they can continue to feel secure knowing that their money is secure.</w:t>
      </w:r>
    </w:p>
    <w:p>
      <w:pPr>
        <w:numPr>
          <w:ilvl w:val="0"/>
          <w:numId w:val="20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Since only the major transactions require full disclosures, there is less of a need to keep track of every single activity.</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Disadvantages: </w:t>
      </w:r>
    </w:p>
    <w:p>
      <w:pPr>
        <w:numPr>
          <w:ilvl w:val="0"/>
          <w:numId w:val="20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Judgment blunders can happen. Making judgments can be challenging since the object may be inconsequential to one person and material to another.</w:t>
      </w:r>
    </w:p>
    <w:p>
      <w:pPr>
        <w:numPr>
          <w:ilvl w:val="0"/>
          <w:numId w:val="20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When determining whether a transaction is material or immaterial, it may be necessary to hire an expert, which can be costly for small businesses.</w:t>
      </w:r>
    </w:p>
    <w:p>
      <w:pPr>
        <w:numPr>
          <w:ilvl w:val="0"/>
          <w:numId w:val="20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reporting of significant transactions can be time- and labor-intensive.</w:t>
      </w:r>
    </w:p>
    <w:p>
      <w:pPr>
        <w:keepNext w:val="true"/>
        <w:keepLines w:val="true"/>
        <w:spacing w:before="40" w:after="0" w:line="259"/>
        <w:ind w:right="0" w:left="0" w:firstLine="0"/>
        <w:jc w:val="left"/>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The Monetary Unit Assumption</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Explanation:</w:t>
      </w:r>
      <w:r>
        <w:rPr>
          <w:rFonts w:ascii="Arial" w:hAnsi="Arial" w:cs="Arial" w:eastAsia="Arial"/>
          <w:color w:val="auto"/>
          <w:spacing w:val="0"/>
          <w:position w:val="0"/>
          <w:sz w:val="22"/>
          <w:shd w:fill="auto" w:val="clear"/>
        </w:rPr>
        <w:t xml:space="preserve"> The monetary unit assumption that all financial or monetary exchanges are business links and transactions. Every economic and financial activity involves money. Financial data and accounting indicators give a solid basis for comparing firms. Accounting studies monetary transactions.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GAAP assumes the dollar is a reliable, useful unit for all organizations. Accessible, too. All currencies swap at different rates on worldwide marketplaces. Converting US dollars and British pounds to euro, peso, or yen is easy.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FASB doesn't recognize how inflation affects financial reporting. This is mostly owing to low US inflation. The FASB may revise SFAC No. 5 if the US economy changes and inflation rates approach hyperinflationary levels like Brazil and South Africa.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Objective: </w:t>
      </w:r>
      <w:r>
        <w:rPr>
          <w:rFonts w:ascii="Arial" w:hAnsi="Arial" w:cs="Arial" w:eastAsia="Arial"/>
          <w:color w:val="auto"/>
          <w:spacing w:val="0"/>
          <w:position w:val="0"/>
          <w:sz w:val="22"/>
          <w:shd w:fill="auto" w:val="clear"/>
        </w:rPr>
        <w:t xml:space="preserve">The objective of the assumption is to enable the accounting process to quantify the economic events.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Importance: </w:t>
      </w:r>
    </w:p>
    <w:p>
      <w:pPr>
        <w:numPr>
          <w:ilvl w:val="0"/>
          <w:numId w:val="21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Every transaction that occurs in a corporation must be recorded using a monetary unit. The primary reason for this is that, over the course of time, the monetary unit contributes significantly to maintaining stability.</w:t>
      </w:r>
    </w:p>
    <w:p>
      <w:pPr>
        <w:numPr>
          <w:ilvl w:val="0"/>
          <w:numId w:val="21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Every transaction that occurs in a firm must be recorded using one of the accepted monetary systems, such as US dollars. This is due to the fact that the monetary unit, in the long run, brings about stability.</w:t>
      </w:r>
    </w:p>
    <w:p>
      <w:pPr>
        <w:numPr>
          <w:ilvl w:val="0"/>
          <w:numId w:val="212"/>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Only the activities and dealings that can be quantified through the use of monetary units ought to be recorded in the books of an organization. If a certain occurrence or transaction cannot be quantified in terms of money, then it should not be recorded in the books of accounts for the company.</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Criticisms: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Despite the fact that the monetary unit assumption makes accounting more manageable, there may be occasions when it leads to complications. When a corporation maintains its books of accounts, the monetary unit assumption can lead to a few difficulties, including the following:</w:t>
      </w:r>
    </w:p>
    <w:p>
      <w:pPr>
        <w:numPr>
          <w:ilvl w:val="0"/>
          <w:numId w:val="21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When recording, the monetary unit assumption has the drawback of ignoring the impacts of inflation, which is one of the problems with this assumption. At was demonstrated in the earlier illustration, the original purchase price of a parcel of land, which was $50,000 in 1992, is still reflected in official records as that amount even in 2019. Since 1992, there has been a discernible shift in the power of the dollar to purchase goods and services; nevertheless, the assumption regarding the monetary unit does not take this into account.</w:t>
      </w:r>
    </w:p>
    <w:p>
      <w:pPr>
        <w:numPr>
          <w:ilvl w:val="0"/>
          <w:numId w:val="214"/>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This assumption also has the potential to deceive or trick people who are looking at financial accounts from the outside. This is another issue with it. For instance, XYZ Limited owns land that is valued at $350,000. There is a possibility that it is not currently $350,000, given that $50,000 of the stated amount is dated from 1992.</w:t>
      </w:r>
    </w:p>
    <w:p>
      <w:pPr>
        <w:keepNext w:val="true"/>
        <w:keepLines w:val="true"/>
        <w:spacing w:before="40" w:after="0" w:line="259"/>
        <w:ind w:right="0" w:left="0" w:firstLine="0"/>
        <w:jc w:val="left"/>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The Going Concern Concept</w:t>
      </w:r>
    </w:p>
    <w:p>
      <w:pPr>
        <w:spacing w:before="0" w:after="160" w:line="259"/>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Businesses should be regarded as if they will function indefinitely or long enough to achieve their goals, according to the going concern idea. Going concern expects enterprises will have a lengthy existence and not close or be sold soon. Going-concern companies are projected to persist. Soon-to-close companies aren't going concerns.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GAAP emphasizes the going concern idea. Companies couldn't prepay or accrue expenses without the going concern assumption. Why prepay or accumulate if we don't presume companies will operate? The company may not last long enough to incur future costs.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Going concern's contribution to GAAP is assets. Depreciating and amortizing assets assumes firms will continue to operate. Due to the going concern assumption, assets are reported at historical costs. If we ignore the going concern and presume the business could liquidate within a year, a liquidation method is more appropriate. All assets would be deemed current rather than current and long-term.</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Some enterprises fail and close. If the company's finances show the going concern assumption can't be followed (the company might go bankrupt), the financial statements should disclose this.</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Advantages: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Going concern provides several benefits, but a few of the more significant ones are:</w:t>
      </w:r>
    </w:p>
    <w:p>
      <w:pPr>
        <w:numPr>
          <w:ilvl w:val="0"/>
          <w:numId w:val="21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Companies buy a significant quantity of fixed assets during the early years as part of the outlay for urgent needs. But the advantages of the assets are dispersed throughout the year (generally over a year). The recording of such expense over the asset's life is acknowledged by the running concern.</w:t>
      </w:r>
    </w:p>
    <w:p>
      <w:pPr>
        <w:numPr>
          <w:ilvl w:val="0"/>
          <w:numId w:val="21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foundation for documenting income or profits over the years they apply to is the "going concern" idea.</w:t>
      </w:r>
    </w:p>
    <w:p>
      <w:pPr>
        <w:numPr>
          <w:ilvl w:val="0"/>
          <w:numId w:val="218"/>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idea allows for the division of liabilities and assets into short-term, long-term (often lasting more than a year), and 12-month intervals. It fosters faith in a company's ability to survive into the future.</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Disadvantages: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Going concern has several limitations:</w:t>
      </w:r>
    </w:p>
    <w:p>
      <w:pPr>
        <w:numPr>
          <w:ilvl w:val="0"/>
          <w:numId w:val="22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Financial reports are created at cost, not market value. If a firm had to liquidate its assets, the financial records would be updated. New values can differ dramatically from cost-based ones.</w:t>
      </w:r>
    </w:p>
    <w:p>
      <w:pPr>
        <w:numPr>
          <w:ilvl w:val="0"/>
          <w:numId w:val="22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If the company is closing, going-concern financial statements are prepared. This could deceive stakeholders with incorrect information.</w:t>
      </w:r>
    </w:p>
    <w:p>
      <w:pPr>
        <w:numPr>
          <w:ilvl w:val="0"/>
          <w:numId w:val="220"/>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Changing laws may make going-concern problematic for the business. It would accelerate financial transaction recording.</w:t>
      </w:r>
    </w:p>
    <w:p>
      <w:pPr>
        <w:keepNext w:val="true"/>
        <w:keepLines w:val="true"/>
        <w:spacing w:before="240" w:after="0" w:line="259"/>
        <w:ind w:right="0" w:left="0" w:firstLine="0"/>
        <w:jc w:val="center"/>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four accounting principles discussed above are very significant in preparing financial statements of any business entity. Every process in this world needs to follow some standards of regulations. Same goes to the accounting process. If there were no principles, different entities would record and process their transactions in different ways which would really hamper comparability of financial information as well as financial decision making. That would create huge problems for the entities as well as the investors. </w:t>
      </w:r>
    </w:p>
    <w:p>
      <w:pPr>
        <w:spacing w:before="0" w:after="160" w:line="259"/>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160" w:line="259"/>
        <w:ind w:right="0" w:left="0" w:firstLine="0"/>
        <w:jc w:val="left"/>
        <w:rPr>
          <w:rFonts w:ascii="Arial" w:hAnsi="Arial" w:cs="Arial" w:eastAsia="Arial"/>
          <w:color w:val="auto"/>
          <w:spacing w:val="0"/>
          <w:position w:val="0"/>
          <w:sz w:val="22"/>
          <w:shd w:fill="auto" w:val="clear"/>
        </w:rPr>
      </w:pPr>
    </w:p>
    <w:p>
      <w:pPr>
        <w:keepNext w:val="true"/>
        <w:keepLines w:val="true"/>
        <w:spacing w:before="240" w:after="0" w:line="259"/>
        <w:ind w:right="0" w:left="0" w:firstLine="0"/>
        <w:jc w:val="center"/>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References</w:t>
      </w:r>
    </w:p>
    <w:p>
      <w:pPr>
        <w:numPr>
          <w:ilvl w:val="0"/>
          <w:numId w:val="225"/>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Weygandt, J.J., Kieso, D.E., Kimmel, P.D., Trenholm, B., Warren, V. and Novak, L., 2019. </w:t>
      </w:r>
      <w:r>
        <w:rPr>
          <w:rFonts w:ascii="Arial" w:hAnsi="Arial" w:cs="Arial" w:eastAsia="Arial"/>
          <w:i/>
          <w:color w:val="222222"/>
          <w:spacing w:val="0"/>
          <w:position w:val="0"/>
          <w:sz w:val="22"/>
          <w:shd w:fill="FFFFFF" w:val="clear"/>
        </w:rPr>
        <w:t xml:space="preserve">Accounting Principles, Volume 2</w:t>
      </w:r>
      <w:r>
        <w:rPr>
          <w:rFonts w:ascii="Arial" w:hAnsi="Arial" w:cs="Arial" w:eastAsia="Arial"/>
          <w:color w:val="222222"/>
          <w:spacing w:val="0"/>
          <w:position w:val="0"/>
          <w:sz w:val="22"/>
          <w:shd w:fill="FFFFFF" w:val="clear"/>
        </w:rPr>
        <w:t xml:space="preserve">. John Wiley &amp; Sons.</w:t>
      </w:r>
    </w:p>
    <w:p>
      <w:pPr>
        <w:numPr>
          <w:ilvl w:val="0"/>
          <w:numId w:val="225"/>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Gordeeva, M., 2011. MATERIALITY IN ACCOUNTING. </w:t>
      </w:r>
      <w:r>
        <w:rPr>
          <w:rFonts w:ascii="Arial" w:hAnsi="Arial" w:cs="Arial" w:eastAsia="Arial"/>
          <w:i/>
          <w:color w:val="222222"/>
          <w:spacing w:val="0"/>
          <w:position w:val="0"/>
          <w:sz w:val="22"/>
          <w:shd w:fill="FFFFFF" w:val="clear"/>
        </w:rPr>
        <w:t xml:space="preserve">Economics &amp; Management</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16</w:t>
      </w:r>
      <w:r>
        <w:rPr>
          <w:rFonts w:ascii="Arial" w:hAnsi="Arial" w:cs="Arial" w:eastAsia="Arial"/>
          <w:color w:val="222222"/>
          <w:spacing w:val="0"/>
          <w:position w:val="0"/>
          <w:sz w:val="22"/>
          <w:shd w:fill="FFFFFF" w:val="clear"/>
        </w:rPr>
        <w:t xml:space="preserve">.</w:t>
      </w:r>
    </w:p>
    <w:p>
      <w:pPr>
        <w:numPr>
          <w:ilvl w:val="0"/>
          <w:numId w:val="225"/>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Wiseman, D.E., 1957. </w:t>
      </w:r>
      <w:r>
        <w:rPr>
          <w:rFonts w:ascii="Arial" w:hAnsi="Arial" w:cs="Arial" w:eastAsia="Arial"/>
          <w:i/>
          <w:color w:val="222222"/>
          <w:spacing w:val="0"/>
          <w:position w:val="0"/>
          <w:sz w:val="22"/>
          <w:shd w:fill="FFFFFF" w:val="clear"/>
        </w:rPr>
        <w:t xml:space="preserve">The going concern concept in accounting</w:t>
      </w:r>
      <w:r>
        <w:rPr>
          <w:rFonts w:ascii="Arial" w:hAnsi="Arial" w:cs="Arial" w:eastAsia="Arial"/>
          <w:color w:val="222222"/>
          <w:spacing w:val="0"/>
          <w:position w:val="0"/>
          <w:sz w:val="22"/>
          <w:shd w:fill="FFFFFF" w:val="clear"/>
        </w:rPr>
        <w:t xml:space="preserve">. University of Illinois at Urbana-Champaign.</w:t>
      </w:r>
    </w:p>
    <w:p>
      <w:pPr>
        <w:numPr>
          <w:ilvl w:val="0"/>
          <w:numId w:val="225"/>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Meyers, T.L., 2019. Accounting Assumptions and the Farm Business.</w:t>
      </w:r>
    </w:p>
    <w:p>
      <w:pPr>
        <w:numPr>
          <w:ilvl w:val="0"/>
          <w:numId w:val="225"/>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Wüstemann, J. and Wüstemann, S., 2010. Why consistency of accounting standards matters: A contribution to the rules</w:t>
      </w:r>
      <w:r>
        <w:rPr>
          <w:rFonts w:ascii="Arial" w:hAnsi="Arial" w:cs="Arial" w:eastAsia="Arial"/>
          <w:color w:val="222222"/>
          <w:spacing w:val="0"/>
          <w:position w:val="0"/>
          <w:sz w:val="22"/>
          <w:shd w:fill="FFFFFF" w:val="clear"/>
        </w:rPr>
        <w:t xml:space="preserve">‐</w:t>
      </w:r>
      <w:r>
        <w:rPr>
          <w:rFonts w:ascii="Arial" w:hAnsi="Arial" w:cs="Arial" w:eastAsia="Arial"/>
          <w:color w:val="222222"/>
          <w:spacing w:val="0"/>
          <w:position w:val="0"/>
          <w:sz w:val="22"/>
          <w:shd w:fill="FFFFFF" w:val="clear"/>
        </w:rPr>
        <w:t xml:space="preserve">versus</w:t>
      </w:r>
      <w:r>
        <w:rPr>
          <w:rFonts w:ascii="Arial" w:hAnsi="Arial" w:cs="Arial" w:eastAsia="Arial"/>
          <w:color w:val="222222"/>
          <w:spacing w:val="0"/>
          <w:position w:val="0"/>
          <w:sz w:val="22"/>
          <w:shd w:fill="FFFFFF" w:val="clear"/>
        </w:rPr>
        <w:t xml:space="preserve">‐</w:t>
      </w:r>
      <w:r>
        <w:rPr>
          <w:rFonts w:ascii="Arial" w:hAnsi="Arial" w:cs="Arial" w:eastAsia="Arial"/>
          <w:color w:val="222222"/>
          <w:spacing w:val="0"/>
          <w:position w:val="0"/>
          <w:sz w:val="22"/>
          <w:shd w:fill="FFFFFF" w:val="clear"/>
        </w:rPr>
        <w:t xml:space="preserve">principles debate in financial reporting.</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Abacus</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46</w:t>
      </w:r>
      <w:r>
        <w:rPr>
          <w:rFonts w:ascii="Arial" w:hAnsi="Arial" w:cs="Arial" w:eastAsia="Arial"/>
          <w:color w:val="222222"/>
          <w:spacing w:val="0"/>
          <w:position w:val="0"/>
          <w:sz w:val="22"/>
          <w:shd w:fill="FFFFFF" w:val="clear"/>
        </w:rPr>
        <w:t xml:space="preserve">(1), pp.1-27.</w:t>
      </w:r>
    </w:p>
    <w:p>
      <w:pPr>
        <w:numPr>
          <w:ilvl w:val="0"/>
          <w:numId w:val="225"/>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FFFFFF" w:val="clear"/>
        </w:rPr>
        <w:t xml:space="preserve">2022. [online] Available at: &lt;</w:t>
      </w:r>
      <w:hyperlink xmlns:r="http://schemas.openxmlformats.org/officeDocument/2006/relationships" r:id="docRId0">
        <w:r>
          <w:rPr>
            <w:rFonts w:ascii="Arial" w:hAnsi="Arial" w:cs="Arial" w:eastAsia="Arial"/>
            <w:color w:val="000000"/>
            <w:spacing w:val="0"/>
            <w:position w:val="0"/>
            <w:sz w:val="22"/>
            <w:u w:val="single"/>
            <w:shd w:fill="FFFFFF" w:val="clear"/>
          </w:rPr>
          <w:t xml:space="preserve">https://www.vedantu.com/commerce/going-concern-concept</w:t>
        </w:r>
      </w:hyperlink>
      <w:r>
        <w:rPr>
          <w:rFonts w:ascii="Arial" w:hAnsi="Arial" w:cs="Arial" w:eastAsia="Arial"/>
          <w:color w:val="000000"/>
          <w:spacing w:val="0"/>
          <w:position w:val="0"/>
          <w:sz w:val="22"/>
          <w:shd w:fill="FFFFFF" w:val="clear"/>
        </w:rPr>
        <w:t xml:space="preserve">&gt; [Accessed 7 July 2022]. </w:t>
      </w:r>
    </w:p>
    <w:p>
      <w:pPr>
        <w:numPr>
          <w:ilvl w:val="0"/>
          <w:numId w:val="225"/>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FFFFFF" w:val="clear"/>
        </w:rPr>
        <w:t xml:space="preserve">Collective, C., 2022. </w:t>
      </w:r>
      <w:r>
        <w:rPr>
          <w:rFonts w:ascii="Arial" w:hAnsi="Arial" w:cs="Arial" w:eastAsia="Arial"/>
          <w:i/>
          <w:color w:val="000000"/>
          <w:spacing w:val="0"/>
          <w:position w:val="0"/>
          <w:sz w:val="22"/>
          <w:shd w:fill="FFFFFF" w:val="clear"/>
        </w:rPr>
        <w:t xml:space="preserve">Monetary Unit Assumption | Examples, Implications, Problems</w:t>
      </w:r>
      <w:r>
        <w:rPr>
          <w:rFonts w:ascii="Arial" w:hAnsi="Arial" w:cs="Arial" w:eastAsia="Arial"/>
          <w:color w:val="000000"/>
          <w:spacing w:val="0"/>
          <w:position w:val="0"/>
          <w:sz w:val="22"/>
          <w:shd w:fill="FFFFFF" w:val="clear"/>
        </w:rPr>
        <w:t xml:space="preserve">. [online] Carboncollective.co. Available at: &lt;</w:t>
      </w:r>
      <w:hyperlink xmlns:r="http://schemas.openxmlformats.org/officeDocument/2006/relationships" r:id="docRId1">
        <w:r>
          <w:rPr>
            <w:rFonts w:ascii="Arial" w:hAnsi="Arial" w:cs="Arial" w:eastAsia="Arial"/>
            <w:color w:val="000000"/>
            <w:spacing w:val="0"/>
            <w:position w:val="0"/>
            <w:sz w:val="22"/>
            <w:u w:val="single"/>
            <w:shd w:fill="FFFFFF" w:val="clear"/>
          </w:rPr>
          <w:t xml:space="preserve">https://www.carboncollective.co/sustainable-investing/monetary-unit-assumption</w:t>
        </w:r>
      </w:hyperlink>
      <w:r>
        <w:rPr>
          <w:rFonts w:ascii="Arial" w:hAnsi="Arial" w:cs="Arial" w:eastAsia="Arial"/>
          <w:color w:val="000000"/>
          <w:spacing w:val="0"/>
          <w:position w:val="0"/>
          <w:sz w:val="22"/>
          <w:shd w:fill="FFFFFF" w:val="clear"/>
        </w:rPr>
        <w:t xml:space="preserve">&gt; [Accessed 7 July 2022].</w:t>
      </w:r>
    </w:p>
    <w:p>
      <w:pPr>
        <w:numPr>
          <w:ilvl w:val="0"/>
          <w:numId w:val="225"/>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FFFFFF" w:val="clear"/>
        </w:rPr>
        <w:t xml:space="preserve">Collective, C., 2022. </w:t>
      </w:r>
      <w:r>
        <w:rPr>
          <w:rFonts w:ascii="Arial" w:hAnsi="Arial" w:cs="Arial" w:eastAsia="Arial"/>
          <w:i/>
          <w:color w:val="000000"/>
          <w:spacing w:val="0"/>
          <w:position w:val="0"/>
          <w:sz w:val="22"/>
          <w:shd w:fill="FFFFFF" w:val="clear"/>
        </w:rPr>
        <w:t xml:space="preserve">Consistency Principle | Importance, Advantages, Examples</w:t>
      </w:r>
      <w:r>
        <w:rPr>
          <w:rFonts w:ascii="Arial" w:hAnsi="Arial" w:cs="Arial" w:eastAsia="Arial"/>
          <w:color w:val="000000"/>
          <w:spacing w:val="0"/>
          <w:position w:val="0"/>
          <w:sz w:val="22"/>
          <w:shd w:fill="FFFFFF" w:val="clear"/>
        </w:rPr>
        <w:t xml:space="preserve">. [online] Carboncollective.co. Available at: &lt;</w:t>
      </w:r>
      <w:hyperlink xmlns:r="http://schemas.openxmlformats.org/officeDocument/2006/relationships" r:id="docRId2">
        <w:r>
          <w:rPr>
            <w:rFonts w:ascii="Arial" w:hAnsi="Arial" w:cs="Arial" w:eastAsia="Arial"/>
            <w:color w:val="000000"/>
            <w:spacing w:val="0"/>
            <w:position w:val="0"/>
            <w:sz w:val="22"/>
            <w:u w:val="single"/>
            <w:shd w:fill="FFFFFF" w:val="clear"/>
          </w:rPr>
          <w:t xml:space="preserve">https://www.carboncollective.co/sustainable-investing/consistency-principle</w:t>
        </w:r>
      </w:hyperlink>
      <w:r>
        <w:rPr>
          <w:rFonts w:ascii="Arial" w:hAnsi="Arial" w:cs="Arial" w:eastAsia="Arial"/>
          <w:color w:val="000000"/>
          <w:spacing w:val="0"/>
          <w:position w:val="0"/>
          <w:sz w:val="22"/>
          <w:shd w:fill="FFFFFF" w:val="clear"/>
        </w:rPr>
        <w:t xml:space="preserve">&gt; [Accessed 7 July 2022].</w:t>
      </w:r>
    </w:p>
    <w:p>
      <w:pPr>
        <w:numPr>
          <w:ilvl w:val="0"/>
          <w:numId w:val="225"/>
        </w:numPr>
        <w:spacing w:before="0" w:after="160" w:line="259"/>
        <w:ind w:right="0" w:left="720" w:hanging="360"/>
        <w:jc w:val="left"/>
        <w:rPr>
          <w:rFonts w:ascii="Arial" w:hAnsi="Arial" w:cs="Arial" w:eastAsia="Arial"/>
          <w:color w:val="auto"/>
          <w:spacing w:val="0"/>
          <w:position w:val="0"/>
          <w:sz w:val="22"/>
          <w:shd w:fill="auto" w:val="clear"/>
        </w:rPr>
      </w:pPr>
      <w:r>
        <w:rPr>
          <w:rFonts w:ascii="Arial" w:hAnsi="Arial" w:cs="Arial" w:eastAsia="Arial"/>
          <w:color w:val="000000"/>
          <w:spacing w:val="0"/>
          <w:position w:val="0"/>
          <w:sz w:val="22"/>
          <w:shd w:fill="FFFFFF" w:val="clear"/>
        </w:rPr>
        <w:t xml:space="preserve">Finance Strategists. 2022. </w:t>
      </w:r>
      <w:r>
        <w:rPr>
          <w:rFonts w:ascii="Arial" w:hAnsi="Arial" w:cs="Arial" w:eastAsia="Arial"/>
          <w:i/>
          <w:color w:val="000000"/>
          <w:spacing w:val="0"/>
          <w:position w:val="0"/>
          <w:sz w:val="22"/>
          <w:shd w:fill="FFFFFF" w:val="clear"/>
        </w:rPr>
        <w:t xml:space="preserve">Consistency Principle of Accounting | Definition, Explanation &amp; Examples</w:t>
      </w:r>
      <w:r>
        <w:rPr>
          <w:rFonts w:ascii="Arial" w:hAnsi="Arial" w:cs="Arial" w:eastAsia="Arial"/>
          <w:color w:val="000000"/>
          <w:spacing w:val="0"/>
          <w:position w:val="0"/>
          <w:sz w:val="22"/>
          <w:shd w:fill="FFFFFF" w:val="clear"/>
        </w:rPr>
        <w:t xml:space="preserve">. [online] Available at: &lt;</w:t>
      </w:r>
      <w:hyperlink xmlns:r="http://schemas.openxmlformats.org/officeDocument/2006/relationships" r:id="docRId3">
        <w:r>
          <w:rPr>
            <w:rFonts w:ascii="Arial" w:hAnsi="Arial" w:cs="Arial" w:eastAsia="Arial"/>
            <w:color w:val="000000"/>
            <w:spacing w:val="0"/>
            <w:position w:val="0"/>
            <w:sz w:val="22"/>
            <w:u w:val="single"/>
            <w:shd w:fill="FFFFFF" w:val="clear"/>
          </w:rPr>
          <w:t xml:space="preserve">https://learn.financestrategists.com/explanation/accounting-concepts-and-principles/consistency-principle/</w:t>
        </w:r>
      </w:hyperlink>
      <w:r>
        <w:rPr>
          <w:rFonts w:ascii="Arial" w:hAnsi="Arial" w:cs="Arial" w:eastAsia="Arial"/>
          <w:color w:val="000000"/>
          <w:spacing w:val="0"/>
          <w:position w:val="0"/>
          <w:sz w:val="22"/>
          <w:shd w:fill="FFFFFF" w:val="clear"/>
        </w:rPr>
        <w:t xml:space="preserve">&gt; [Accessed 7 July 2022].</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num w:numId="202">
    <w:abstractNumId w:val="42"/>
  </w:num>
  <w:num w:numId="206">
    <w:abstractNumId w:val="36"/>
  </w:num>
  <w:num w:numId="208">
    <w:abstractNumId w:val="30"/>
  </w:num>
  <w:num w:numId="212">
    <w:abstractNumId w:val="24"/>
  </w:num>
  <w:num w:numId="214">
    <w:abstractNumId w:val="18"/>
  </w:num>
  <w:num w:numId="218">
    <w:abstractNumId w:val="12"/>
  </w:num>
  <w:num w:numId="220">
    <w:abstractNumId w:val="6"/>
  </w:num>
  <w:num w:numId="22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carboncollective.co/sustainable-investing/monetary-unit-assumption" Id="docRId1" Type="http://schemas.openxmlformats.org/officeDocument/2006/relationships/hyperlink" /><Relationship TargetMode="External" Target="https://learn.financestrategists.com/explanation/accounting-concepts-and-principles/consistency-principle/" Id="docRId3" Type="http://schemas.openxmlformats.org/officeDocument/2006/relationships/hyperlink" /><Relationship Target="styles.xml" Id="docRId5" Type="http://schemas.openxmlformats.org/officeDocument/2006/relationships/styles" /><Relationship TargetMode="External" Target="https://www.vedantu.com/commerce/going-concern-concept" Id="docRId0" Type="http://schemas.openxmlformats.org/officeDocument/2006/relationships/hyperlink" /><Relationship TargetMode="External" Target="https://www.carboncollective.co/sustainable-investing/consistency-principle" Id="docRId2" Type="http://schemas.openxmlformats.org/officeDocument/2006/relationships/hyperlink" /><Relationship Target="numbering.xml" Id="docRId4" Type="http://schemas.openxmlformats.org/officeDocument/2006/relationships/numbering" /></Relationships>
</file>