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sz w:val="2"/>
          <w:lang w:val="en-GB"/>
        </w:rPr>
        <w:id w:val="-1123384572"/>
        <w:docPartObj>
          <w:docPartGallery w:val="Cover Pages"/>
          <w:docPartUnique/>
        </w:docPartObj>
      </w:sdtPr>
      <w:sdtEndPr>
        <w:rPr>
          <w:sz w:val="22"/>
        </w:rPr>
      </w:sdtEndPr>
      <w:sdtContent>
        <w:p w14:paraId="639544D0" w14:textId="5C27055C" w:rsidR="00D17059" w:rsidRDefault="00EB759C">
          <w:pPr>
            <w:pStyle w:val="NoSpacing"/>
            <w:rPr>
              <w:sz w:val="2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2B450CA" wp14:editId="19801BE4">
                    <wp:simplePos x="0" y="0"/>
                    <wp:positionH relativeFrom="margin">
                      <wp:align>right</wp:align>
                    </wp:positionH>
                    <wp:positionV relativeFrom="margin">
                      <wp:posOffset>-287867</wp:posOffset>
                    </wp:positionV>
                    <wp:extent cx="5731087" cy="2751667"/>
                    <wp:effectExtent l="0" t="0" r="0" b="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31087" cy="2751667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A47B8CC" w14:textId="77777777" w:rsidR="004F413D" w:rsidRDefault="004F413D" w:rsidP="004F413D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HAnsi"/>
                                    <w:caps/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</w:p>
                              <w:p w14:paraId="7590340C" w14:textId="20BE9430" w:rsidR="00D17059" w:rsidRPr="00FA12A3" w:rsidRDefault="00D17059" w:rsidP="004F413D">
                                <w:pPr>
                                  <w:pStyle w:val="NoSpacing"/>
                                  <w:jc w:val="center"/>
                                  <w:rPr>
                                    <w:rFonts w:ascii="Aharoni" w:eastAsiaTheme="majorEastAsia" w:hAnsi="Aharoni" w:cs="Aharoni"/>
                                    <w:caps/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r w:rsidRPr="00FA12A3">
                                  <w:rPr>
                                    <w:rFonts w:ascii="Aharoni" w:eastAsiaTheme="majorEastAsia" w:hAnsi="Aharoni" w:cs="Aharoni" w:hint="cs"/>
                                    <w:caps/>
                                    <w:color w:val="4472C4" w:themeColor="accent1"/>
                                    <w:sz w:val="64"/>
                                    <w:szCs w:val="64"/>
                                  </w:rPr>
                                  <w:t>Considerations of explosive trains in artillery rounds during service life and use</w:t>
                                </w:r>
                              </w:p>
                              <w:p w14:paraId="2EA4204B" w14:textId="77777777" w:rsidR="004F413D" w:rsidRDefault="004F413D" w:rsidP="004F413D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HAnsi"/>
                                    <w:caps/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</w:p>
                              <w:p w14:paraId="763CB950" w14:textId="77777777" w:rsidR="004F413D" w:rsidRDefault="004F413D" w:rsidP="004F413D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HAnsi"/>
                                    <w:caps/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</w:p>
                              <w:p w14:paraId="6EBD62CF" w14:textId="5C6EA31B" w:rsidR="004F413D" w:rsidRDefault="004F413D" w:rsidP="004F413D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HAnsi"/>
                                    <w:caps/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</w:p>
                              <w:p w14:paraId="6074972C" w14:textId="77777777" w:rsidR="004F413D" w:rsidRDefault="004F413D" w:rsidP="004F413D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HAnsi"/>
                                    <w:caps/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</w:p>
                              <w:p w14:paraId="4E74F064" w14:textId="77777777" w:rsidR="004F413D" w:rsidRDefault="004F413D" w:rsidP="004F413D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HAnsi"/>
                                    <w:caps/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</w:p>
                              <w:p w14:paraId="2A078BAD" w14:textId="77777777" w:rsidR="009E2E17" w:rsidRDefault="009E2E17" w:rsidP="009E2E17">
                                <w:pPr>
                                  <w:jc w:val="center"/>
                                  <w:rPr>
                                    <w:color w:val="FF0000"/>
                                  </w:rPr>
                                </w:pPr>
                              </w:p>
                              <w:p w14:paraId="01A32676" w14:textId="77777777" w:rsidR="004F413D" w:rsidRDefault="004F413D" w:rsidP="004F413D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HAnsi"/>
                                    <w:caps/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</w:p>
                              <w:p w14:paraId="0CF07BFE" w14:textId="77777777" w:rsidR="004F413D" w:rsidRDefault="004F413D" w:rsidP="004F413D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HAnsi"/>
                                    <w:caps/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</w:p>
                              <w:p w14:paraId="7F32A799" w14:textId="77777777" w:rsidR="00163993" w:rsidRDefault="00163993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2FB2954E" w14:textId="77777777" w:rsidR="00D17059" w:rsidRDefault="00D17059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2B450C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400.05pt;margin-top:-22.65pt;width:451.25pt;height:216.65pt;z-index:251661312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margin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s5GsagIAAD4FAAAOAAAAZHJzL2Uyb0RvYy54bWysVEtvGyEQvlfqf0Dc67Wd2E6trCM3katK&#10;URLVqXLGLMSrsgyFsXfdX5+BXT/k9pKqFxiYbz7myfVNUxm2VT6UYHM+6PU5U1ZCUdrXnP94Xny6&#10;4iygsIUwYFXOdyrwm9nHD9e1m6ohrMEUyjMisWFau5yvEd00y4Jcq0qEHjhlSanBVwLp6F+zwoua&#10;2CuTDfv9cVaDL5wHqUKg27tWyWeJX2sl8VHroJCZnJNvmFaf1lVcs9m1mL564dal7NwQ/+BFJUpL&#10;jx6o7gQKtvHlH1RVKT0E0NiTUGWgdSlVioGiGfTPolmuhVMpFkpOcIc0hf9HKx+2S/fkGTZfoKEC&#10;xoTULkwDXcZ4Gu2ruJOnjPSUwt0hbapBJulyNLkY9K8mnEnSDSejwXg8iTzZ0dz5gF8VVCwKOfdU&#10;l5Qusb0P2EL3kPiahUVpTKqNsazO+fhi1E8GBw2RGxuxKlW5ozm6niTcGRUxxn5XmpVFiiBepP5S&#10;t8azraDOEFIqiyn4xEvoiNLkxHsMO/zRq/cYt3HsXwaLB+OqtOBT9GduFz/3LusWTzk/iTuK2Kya&#10;rqQrKHZUaQ/tEAQnFyVV414EfBKeup6KS5OMj7RoA5R16CTO1uB//+0+4qkZSctZTVOU8/BrI7zi&#10;zHyz1KafB5eXcezS4XI0GdLBn2pWpxq7qW6ByjGgP8PJJEY8mr2oPVQvNPDz+CqphJX0ds5xL95i&#10;O9v0YUg1nycQDZoTeG+XTkbqWJ3Ya8/Ni/Cua0ikXn6A/byJ6VlftthoaWG+QdBlatqY4DarXeJp&#10;SFPbdx9K/AVOzwl1/PZmbwAAAP//AwBQSwMEFAAGAAgAAAAhAIJjUfXgAAAACAEAAA8AAABkcnMv&#10;ZG93bnJldi54bWxMjzFPwzAUhHck/oP1kNham5SgNM1LVUWqkBAMLV3YnNhNIuznELtt4NdjpjKe&#10;7nT3XbGerGFnPfreEcLDXADT1DjVU4tweN/OMmA+SFLSONII39rDury9KWSu3IV2+rwPLYsl5HOJ&#10;0IUw5Jz7ptNW+rkbNEXv6EYrQ5Rjy9UoL7HcGp4I8cSt7CkudHLQVaebz/3JIrxU2ze5qxOb/Zjq&#10;+fW4Gb4OHyni/d20WQELegrXMPzhR3QoI1PtTqQ8MwjxSECYPaYLYNFeiiQFViMsskwALwv+/0D5&#10;CwAA//8DAFBLAQItABQABgAIAAAAIQC2gziS/gAAAOEBAAATAAAAAAAAAAAAAAAAAAAAAABbQ29u&#10;dGVudF9UeXBlc10ueG1sUEsBAi0AFAAGAAgAAAAhADj9If/WAAAAlAEAAAsAAAAAAAAAAAAAAAAA&#10;LwEAAF9yZWxzLy5yZWxzUEsBAi0AFAAGAAgAAAAhAISzkaxqAgAAPgUAAA4AAAAAAAAAAAAAAAAA&#10;LgIAAGRycy9lMm9Eb2MueG1sUEsBAi0AFAAGAAgAAAAhAIJjUfXgAAAACAEAAA8AAAAAAAAAAAAA&#10;AAAAxAQAAGRycy9kb3ducmV2LnhtbFBLBQYAAAAABAAEAPMAAADRBQAAAAA=&#10;" filled="f" stroked="f" strokeweight=".5pt">
                    <v:textbox>
                      <w:txbxContent>
                        <w:p w14:paraId="4A47B8CC" w14:textId="77777777" w:rsidR="004F413D" w:rsidRDefault="004F413D" w:rsidP="004F413D">
                          <w:pPr>
                            <w:pStyle w:val="NoSpacing"/>
                            <w:jc w:val="center"/>
                            <w:rPr>
                              <w:rFonts w:asciiTheme="majorHAnsi" w:eastAsiaTheme="majorEastAsia" w:hAnsiTheme="majorHAnsi" w:cstheme="majorHAnsi"/>
                              <w:caps/>
                              <w:color w:val="4472C4" w:themeColor="accent1"/>
                              <w:sz w:val="64"/>
                              <w:szCs w:val="64"/>
                            </w:rPr>
                          </w:pPr>
                        </w:p>
                        <w:p w14:paraId="7590340C" w14:textId="20BE9430" w:rsidR="00D17059" w:rsidRPr="00FA12A3" w:rsidRDefault="00D17059" w:rsidP="004F413D">
                          <w:pPr>
                            <w:pStyle w:val="NoSpacing"/>
                            <w:jc w:val="center"/>
                            <w:rPr>
                              <w:rFonts w:ascii="Aharoni" w:eastAsiaTheme="majorEastAsia" w:hAnsi="Aharoni" w:cs="Aharoni"/>
                              <w:caps/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r w:rsidRPr="00FA12A3">
                            <w:rPr>
                              <w:rFonts w:ascii="Aharoni" w:eastAsiaTheme="majorEastAsia" w:hAnsi="Aharoni" w:cs="Aharoni" w:hint="cs"/>
                              <w:caps/>
                              <w:color w:val="4472C4" w:themeColor="accent1"/>
                              <w:sz w:val="64"/>
                              <w:szCs w:val="64"/>
                            </w:rPr>
                            <w:t>Considerations of explosive trains in artillery rounds during service life and use</w:t>
                          </w:r>
                        </w:p>
                        <w:p w14:paraId="2EA4204B" w14:textId="77777777" w:rsidR="004F413D" w:rsidRDefault="004F413D" w:rsidP="004F413D">
                          <w:pPr>
                            <w:pStyle w:val="NoSpacing"/>
                            <w:jc w:val="center"/>
                            <w:rPr>
                              <w:rFonts w:asciiTheme="majorHAnsi" w:eastAsiaTheme="majorEastAsia" w:hAnsiTheme="majorHAnsi" w:cstheme="majorHAnsi"/>
                              <w:caps/>
                              <w:color w:val="4472C4" w:themeColor="accent1"/>
                              <w:sz w:val="64"/>
                              <w:szCs w:val="64"/>
                            </w:rPr>
                          </w:pPr>
                        </w:p>
                        <w:p w14:paraId="763CB950" w14:textId="77777777" w:rsidR="004F413D" w:rsidRDefault="004F413D" w:rsidP="004F413D">
                          <w:pPr>
                            <w:pStyle w:val="NoSpacing"/>
                            <w:jc w:val="center"/>
                            <w:rPr>
                              <w:rFonts w:asciiTheme="majorHAnsi" w:eastAsiaTheme="majorEastAsia" w:hAnsiTheme="majorHAnsi" w:cstheme="majorHAnsi"/>
                              <w:caps/>
                              <w:color w:val="4472C4" w:themeColor="accent1"/>
                              <w:sz w:val="64"/>
                              <w:szCs w:val="64"/>
                            </w:rPr>
                          </w:pPr>
                        </w:p>
                        <w:p w14:paraId="6EBD62CF" w14:textId="5C6EA31B" w:rsidR="004F413D" w:rsidRDefault="004F413D" w:rsidP="004F413D">
                          <w:pPr>
                            <w:pStyle w:val="NoSpacing"/>
                            <w:jc w:val="center"/>
                            <w:rPr>
                              <w:rFonts w:asciiTheme="majorHAnsi" w:eastAsiaTheme="majorEastAsia" w:hAnsiTheme="majorHAnsi" w:cstheme="majorHAnsi"/>
                              <w:caps/>
                              <w:color w:val="4472C4" w:themeColor="accent1"/>
                              <w:sz w:val="64"/>
                              <w:szCs w:val="64"/>
                            </w:rPr>
                          </w:pPr>
                        </w:p>
                        <w:p w14:paraId="6074972C" w14:textId="77777777" w:rsidR="004F413D" w:rsidRDefault="004F413D" w:rsidP="004F413D">
                          <w:pPr>
                            <w:pStyle w:val="NoSpacing"/>
                            <w:jc w:val="center"/>
                            <w:rPr>
                              <w:rFonts w:asciiTheme="majorHAnsi" w:eastAsiaTheme="majorEastAsia" w:hAnsiTheme="majorHAnsi" w:cstheme="majorHAnsi"/>
                              <w:caps/>
                              <w:color w:val="4472C4" w:themeColor="accent1"/>
                              <w:sz w:val="64"/>
                              <w:szCs w:val="64"/>
                            </w:rPr>
                          </w:pPr>
                        </w:p>
                        <w:p w14:paraId="4E74F064" w14:textId="77777777" w:rsidR="004F413D" w:rsidRDefault="004F413D" w:rsidP="004F413D">
                          <w:pPr>
                            <w:pStyle w:val="NoSpacing"/>
                            <w:jc w:val="center"/>
                            <w:rPr>
                              <w:rFonts w:asciiTheme="majorHAnsi" w:eastAsiaTheme="majorEastAsia" w:hAnsiTheme="majorHAnsi" w:cstheme="majorHAnsi"/>
                              <w:caps/>
                              <w:color w:val="4472C4" w:themeColor="accent1"/>
                              <w:sz w:val="64"/>
                              <w:szCs w:val="64"/>
                            </w:rPr>
                          </w:pPr>
                        </w:p>
                        <w:p w14:paraId="2A078BAD" w14:textId="77777777" w:rsidR="009E2E17" w:rsidRDefault="009E2E17" w:rsidP="009E2E17">
                          <w:pPr>
                            <w:jc w:val="center"/>
                            <w:rPr>
                              <w:color w:val="FF0000"/>
                            </w:rPr>
                          </w:pPr>
                        </w:p>
                        <w:p w14:paraId="01A32676" w14:textId="77777777" w:rsidR="004F413D" w:rsidRDefault="004F413D" w:rsidP="004F413D">
                          <w:pPr>
                            <w:pStyle w:val="NoSpacing"/>
                            <w:jc w:val="center"/>
                            <w:rPr>
                              <w:rFonts w:asciiTheme="majorHAnsi" w:eastAsiaTheme="majorEastAsia" w:hAnsiTheme="majorHAnsi" w:cstheme="majorHAnsi"/>
                              <w:caps/>
                              <w:color w:val="4472C4" w:themeColor="accent1"/>
                              <w:sz w:val="64"/>
                              <w:szCs w:val="64"/>
                            </w:rPr>
                          </w:pPr>
                        </w:p>
                        <w:p w14:paraId="0CF07BFE" w14:textId="77777777" w:rsidR="004F413D" w:rsidRDefault="004F413D" w:rsidP="004F413D">
                          <w:pPr>
                            <w:pStyle w:val="NoSpacing"/>
                            <w:jc w:val="center"/>
                            <w:rPr>
                              <w:rFonts w:asciiTheme="majorHAnsi" w:eastAsiaTheme="majorEastAsia" w:hAnsiTheme="majorHAnsi" w:cstheme="majorHAnsi"/>
                              <w:caps/>
                              <w:color w:val="4472C4" w:themeColor="accent1"/>
                              <w:sz w:val="64"/>
                              <w:szCs w:val="64"/>
                            </w:rPr>
                          </w:pPr>
                        </w:p>
                        <w:p w14:paraId="7F32A799" w14:textId="77777777" w:rsidR="00163993" w:rsidRDefault="00163993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</w:p>
                        <w:p w14:paraId="2FB2954E" w14:textId="77777777" w:rsidR="00D17059" w:rsidRDefault="00D17059"/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</w:p>
        <w:p w14:paraId="707DBC79" w14:textId="37C35880" w:rsidR="00D17059" w:rsidRDefault="00D17059"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6C9B0ACB" wp14:editId="12FA04F6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023278C3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</w:p>
      </w:sdtContent>
    </w:sdt>
    <w:p w14:paraId="61B69FE4" w14:textId="703FE459" w:rsidR="001B1131" w:rsidRDefault="001B1131" w:rsidP="00D775F6">
      <w:pPr>
        <w:jc w:val="center"/>
        <w:rPr>
          <w:color w:val="FF0000"/>
        </w:rPr>
      </w:pPr>
    </w:p>
    <w:p w14:paraId="22DDB9B1" w14:textId="38001871" w:rsidR="001B1131" w:rsidRDefault="001B1131" w:rsidP="00D775F6">
      <w:pPr>
        <w:jc w:val="center"/>
        <w:rPr>
          <w:color w:val="FF0000"/>
        </w:rPr>
      </w:pPr>
    </w:p>
    <w:p w14:paraId="65E73ECE" w14:textId="0904BB07" w:rsidR="001B1131" w:rsidRDefault="001B1131" w:rsidP="00D775F6">
      <w:pPr>
        <w:jc w:val="center"/>
        <w:rPr>
          <w:color w:val="FF0000"/>
        </w:rPr>
      </w:pPr>
    </w:p>
    <w:p w14:paraId="7726A811" w14:textId="71581043" w:rsidR="001B1131" w:rsidRDefault="001B1131" w:rsidP="00D775F6">
      <w:pPr>
        <w:jc w:val="center"/>
        <w:rPr>
          <w:color w:val="FF0000"/>
        </w:rPr>
      </w:pPr>
    </w:p>
    <w:p w14:paraId="2A3C4968" w14:textId="510E2077" w:rsidR="001B1131" w:rsidRDefault="001B1131" w:rsidP="00D775F6">
      <w:pPr>
        <w:jc w:val="center"/>
        <w:rPr>
          <w:color w:val="FF0000"/>
        </w:rPr>
      </w:pPr>
    </w:p>
    <w:p w14:paraId="4BC090E1" w14:textId="05BD9560" w:rsidR="001B1131" w:rsidRDefault="001B1131" w:rsidP="00D775F6">
      <w:pPr>
        <w:jc w:val="center"/>
        <w:rPr>
          <w:color w:val="FF0000"/>
        </w:rPr>
      </w:pPr>
    </w:p>
    <w:p w14:paraId="77A7ACDC" w14:textId="1770E6D1" w:rsidR="001B1131" w:rsidRDefault="001B1131" w:rsidP="00D775F6">
      <w:pPr>
        <w:jc w:val="center"/>
        <w:rPr>
          <w:color w:val="FF0000"/>
        </w:rPr>
      </w:pPr>
    </w:p>
    <w:p w14:paraId="5C1779E3" w14:textId="621E5283" w:rsidR="001B1131" w:rsidRDefault="001B1131" w:rsidP="00D775F6">
      <w:pPr>
        <w:jc w:val="center"/>
        <w:rPr>
          <w:color w:val="FF0000"/>
        </w:rPr>
      </w:pPr>
    </w:p>
    <w:p w14:paraId="5D9BFD8E" w14:textId="161F8E01" w:rsidR="001B1131" w:rsidRDefault="009E2E17" w:rsidP="00D775F6">
      <w:pPr>
        <w:jc w:val="center"/>
        <w:rPr>
          <w:color w:val="FF000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1" locked="0" layoutInCell="1" allowOverlap="1" wp14:anchorId="539787E4" wp14:editId="2B09EB6A">
                <wp:simplePos x="0" y="0"/>
                <wp:positionH relativeFrom="column">
                  <wp:posOffset>137160</wp:posOffset>
                </wp:positionH>
                <wp:positionV relativeFrom="paragraph">
                  <wp:posOffset>2571750</wp:posOffset>
                </wp:positionV>
                <wp:extent cx="2891155" cy="635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9115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1E981A6" w14:textId="22BEAA8F" w:rsidR="009E2E17" w:rsidRPr="00A87D55" w:rsidRDefault="009E2E17" w:rsidP="009E2E17">
                            <w:pPr>
                              <w:pStyle w:val="Caption"/>
                              <w:rPr>
                                <w:noProof/>
                                <w:color w:val="FF0000"/>
                              </w:rPr>
                            </w:pPr>
                            <w:bookmarkStart w:id="0" w:name="_Toc139033499"/>
                            <w:r>
                              <w:t xml:space="preserve">Figure </w:t>
                            </w:r>
                            <w:r w:rsidR="00794B46">
                              <w:fldChar w:fldCharType="begin"/>
                            </w:r>
                            <w:r w:rsidR="00794B46">
                              <w:instrText xml:space="preserve"> SEQ Figure \* ARABIC </w:instrText>
                            </w:r>
                            <w:r w:rsidR="00794B46">
                              <w:fldChar w:fldCharType="separate"/>
                            </w:r>
                            <w:r w:rsidR="00EA4B47">
                              <w:rPr>
                                <w:noProof/>
                              </w:rPr>
                              <w:t>1</w:t>
                            </w:r>
                            <w:r w:rsidR="00794B46">
                              <w:rPr>
                                <w:noProof/>
                              </w:rPr>
                              <w:fldChar w:fldCharType="end"/>
                            </w:r>
                            <w:r w:rsidR="00CB0740">
                              <w:t xml:space="preserve"> – Remains of a munition’s storage site.</w:t>
                            </w:r>
                            <w:sdt>
                              <w:sdtPr>
                                <w:rPr>
                                  <w:vertAlign w:val="superscript"/>
                                </w:rPr>
                                <w:id w:val="948669667"/>
                                <w:citation/>
                              </w:sdtPr>
                              <w:sdtEndPr/>
                              <w:sdtContent>
                                <w:r w:rsidR="006409D3" w:rsidRPr="006409D3">
                                  <w:rPr>
                                    <w:vertAlign w:val="superscript"/>
                                  </w:rPr>
                                  <w:fldChar w:fldCharType="begin"/>
                                </w:r>
                                <w:r w:rsidR="006409D3" w:rsidRPr="006409D3">
                                  <w:rPr>
                                    <w:vertAlign w:val="superscript"/>
                                  </w:rPr>
                                  <w:instrText xml:space="preserve"> CITATION Edw13 \l 2057 </w:instrText>
                                </w:r>
                                <w:r w:rsidR="006409D3" w:rsidRPr="006409D3">
                                  <w:rPr>
                                    <w:vertAlign w:val="superscript"/>
                                  </w:rPr>
                                  <w:fldChar w:fldCharType="separate"/>
                                </w:r>
                                <w:r w:rsidR="001F6D9D">
                                  <w:rPr>
                                    <w:noProof/>
                                    <w:vertAlign w:val="superscript"/>
                                  </w:rPr>
                                  <w:t xml:space="preserve"> </w:t>
                                </w:r>
                                <w:r w:rsidR="001F6D9D" w:rsidRPr="001F6D9D">
                                  <w:rPr>
                                    <w:noProof/>
                                  </w:rPr>
                                  <w:t>[5]</w:t>
                                </w:r>
                                <w:r w:rsidR="006409D3" w:rsidRPr="006409D3">
                                  <w:rPr>
                                    <w:vertAlign w:val="superscript"/>
                                  </w:rPr>
                                  <w:fldChar w:fldCharType="end"/>
                                </w:r>
                              </w:sdtContent>
                            </w:sdt>
                            <w:bookmarkEnd w:id="0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39787E4" id="Text Box 1" o:spid="_x0000_s1027" type="#_x0000_t202" style="position:absolute;left:0;text-align:left;margin-left:10.8pt;margin-top:202.5pt;width:227.65pt;height:.05pt;z-index:-251652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JJx6GQIAAD8EAAAOAAAAZHJzL2Uyb0RvYy54bWysU8Fu2zAMvQ/YPwi6L04ypOiMOEWWIsOA&#10;oC2QFj0rshwLkEWNUmJnXz9KjpOu22nYRaZJihTfe5zfdY1hR4Vegy34ZDTmTFkJpbb7gr88rz/d&#10;cuaDsKUwYFXBT8rzu8XHD/PW5WoKNZhSIaMi1uetK3gdgsuzzMtaNcKPwClLwQqwEYF+cZ+VKFqq&#10;3phsOh7fZC1g6RCk8p68932QL1L9qlIyPFaVV4GZgtPbQjoxnbt4Zou5yPcoXK3l+RniH17RCG2p&#10;6aXUvQiCHVD/UarREsFDFUYSmgyqSkuVZqBpJuN302xr4VSahcDx7gKT/39l5cNx656Qhe4rdERg&#10;BKR1PvfkjPN0FTbxSy9lFCcITxfYVBeYJOf09stkMptxJil283kWa2TXqw59+KagYdEoOBInCSpx&#10;3PjQpw4psZMHo8u1Nib+xMDKIDsK4q+tdVDn4r9lGRtzLcRbfcHoya5zRCt0u47p8s2MOyhPNDpC&#10;rwrv5FpTv43w4UkgyYCmJWmHRzoqA23B4WxxVgP+/Js/5hM7FOWsJVkV3P84CFScme+WeIsaHAwc&#10;jN1g2EOzApp0QkvjZDLpAgYzmBVC80qKX8YuFBJWUq+Ch8FchV7ctDFSLZcpiZTmRNjYrZOx9IDr&#10;c/cq0J1ZCUTmAwyCE/k7cvrcRI9bHgIhnZiLuPYonuEmlSbuzxsV1+Dtf8q67v3iFwAAAP//AwBQ&#10;SwMEFAAGAAgAAAAhAKUZlK/gAAAACgEAAA8AAABkcnMvZG93bnJldi54bWxMj7FOwzAQhnck3sE6&#10;JBbUOikhQIhTVRUMdKlIu7C58TUOxOfIdtrw9hgWGO/u03/fXy4n07MTOt9ZEpDOE2BIjVUdtQL2&#10;u5fZAzAfJCnZW0IBX+hhWV1elLJQ9kxveKpDy2II+UIK0CEMBee+0Wikn9sBKd6O1hkZ4uharpw8&#10;x3DT80WS5NzIjuIHLQdca2w+69EI2GbvW30zHp83q+zWve7Hdf7R1kJcX02rJ2ABp/AHw49+VIcq&#10;Oh3sSMqzXsAizSMpIEvuYqcIZPf5I7DD7yYFXpX8f4XqGwAA//8DAFBLAQItABQABgAIAAAAIQC2&#10;gziS/gAAAOEBAAATAAAAAAAAAAAAAAAAAAAAAABbQ29udGVudF9UeXBlc10ueG1sUEsBAi0AFAAG&#10;AAgAAAAhADj9If/WAAAAlAEAAAsAAAAAAAAAAAAAAAAALwEAAF9yZWxzLy5yZWxzUEsBAi0AFAAG&#10;AAgAAAAhAPYknHoZAgAAPwQAAA4AAAAAAAAAAAAAAAAALgIAAGRycy9lMm9Eb2MueG1sUEsBAi0A&#10;FAAGAAgAAAAhAKUZlK/gAAAACgEAAA8AAAAAAAAAAAAAAAAAcwQAAGRycy9kb3ducmV2LnhtbFBL&#10;BQYAAAAABAAEAPMAAACABQAAAAA=&#10;" stroked="f">
                <v:textbox style="mso-fit-shape-to-text:t" inset="0,0,0,0">
                  <w:txbxContent>
                    <w:p w14:paraId="21E981A6" w14:textId="22BEAA8F" w:rsidR="009E2E17" w:rsidRPr="00A87D55" w:rsidRDefault="009E2E17" w:rsidP="009E2E17">
                      <w:pPr>
                        <w:pStyle w:val="Caption"/>
                        <w:rPr>
                          <w:noProof/>
                          <w:color w:val="FF0000"/>
                        </w:rPr>
                      </w:pPr>
                      <w:bookmarkStart w:id="1" w:name="_Toc139033499"/>
                      <w:r>
                        <w:t xml:space="preserve">Figure </w:t>
                      </w:r>
                      <w:r w:rsidR="00794B46">
                        <w:fldChar w:fldCharType="begin"/>
                      </w:r>
                      <w:r w:rsidR="00794B46">
                        <w:instrText xml:space="preserve"> SEQ Figure \* ARABIC </w:instrText>
                      </w:r>
                      <w:r w:rsidR="00794B46">
                        <w:fldChar w:fldCharType="separate"/>
                      </w:r>
                      <w:r w:rsidR="00EA4B47">
                        <w:rPr>
                          <w:noProof/>
                        </w:rPr>
                        <w:t>1</w:t>
                      </w:r>
                      <w:r w:rsidR="00794B46">
                        <w:rPr>
                          <w:noProof/>
                        </w:rPr>
                        <w:fldChar w:fldCharType="end"/>
                      </w:r>
                      <w:r w:rsidR="00CB0740">
                        <w:t xml:space="preserve"> – Remains of a munition’s storage site.</w:t>
                      </w:r>
                      <w:sdt>
                        <w:sdtPr>
                          <w:rPr>
                            <w:vertAlign w:val="superscript"/>
                          </w:rPr>
                          <w:id w:val="948669667"/>
                          <w:citation/>
                        </w:sdtPr>
                        <w:sdtEndPr/>
                        <w:sdtContent>
                          <w:r w:rsidR="006409D3" w:rsidRPr="006409D3">
                            <w:rPr>
                              <w:vertAlign w:val="superscript"/>
                            </w:rPr>
                            <w:fldChar w:fldCharType="begin"/>
                          </w:r>
                          <w:r w:rsidR="006409D3" w:rsidRPr="006409D3">
                            <w:rPr>
                              <w:vertAlign w:val="superscript"/>
                            </w:rPr>
                            <w:instrText xml:space="preserve"> CITATION Edw13 \l 2057 </w:instrText>
                          </w:r>
                          <w:r w:rsidR="006409D3" w:rsidRPr="006409D3">
                            <w:rPr>
                              <w:vertAlign w:val="superscript"/>
                            </w:rPr>
                            <w:fldChar w:fldCharType="separate"/>
                          </w:r>
                          <w:r w:rsidR="001F6D9D">
                            <w:rPr>
                              <w:noProof/>
                              <w:vertAlign w:val="superscript"/>
                            </w:rPr>
                            <w:t xml:space="preserve"> </w:t>
                          </w:r>
                          <w:r w:rsidR="001F6D9D" w:rsidRPr="001F6D9D">
                            <w:rPr>
                              <w:noProof/>
                            </w:rPr>
                            <w:t>[5]</w:t>
                          </w:r>
                          <w:r w:rsidR="006409D3" w:rsidRPr="006409D3">
                            <w:rPr>
                              <w:vertAlign w:val="superscript"/>
                            </w:rPr>
                            <w:fldChar w:fldCharType="end"/>
                          </w:r>
                        </w:sdtContent>
                      </w:sdt>
                      <w:bookmarkEnd w:id="1"/>
                    </w:p>
                  </w:txbxContent>
                </v:textbox>
              </v:shape>
            </w:pict>
          </mc:Fallback>
        </mc:AlternateContent>
      </w:r>
      <w:r w:rsidR="00A36D7B">
        <w:rPr>
          <w:noProof/>
          <w:color w:val="FF0000"/>
        </w:rPr>
        <w:drawing>
          <wp:anchor distT="0" distB="0" distL="114300" distR="114300" simplePos="0" relativeHeight="251662336" behindDoc="1" locked="0" layoutInCell="1" allowOverlap="1" wp14:anchorId="2C27156E" wp14:editId="72A5E314">
            <wp:simplePos x="0" y="0"/>
            <wp:positionH relativeFrom="column">
              <wp:posOffset>137583</wp:posOffset>
            </wp:positionH>
            <wp:positionV relativeFrom="paragraph">
              <wp:posOffset>72178</wp:posOffset>
            </wp:positionV>
            <wp:extent cx="2891662" cy="2442845"/>
            <wp:effectExtent l="19050" t="0" r="23495" b="700405"/>
            <wp:wrapNone/>
            <wp:docPr id="449" name="Picture 4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3776" cy="2444631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3109040" w14:textId="73C7263F" w:rsidR="001B1131" w:rsidRDefault="001B1131" w:rsidP="00D775F6">
      <w:pPr>
        <w:jc w:val="center"/>
        <w:rPr>
          <w:color w:val="FF0000"/>
        </w:rPr>
      </w:pPr>
    </w:p>
    <w:p w14:paraId="4DD7ACDB" w14:textId="1D6E37C9" w:rsidR="001B1131" w:rsidRDefault="001B1131" w:rsidP="00D775F6">
      <w:pPr>
        <w:jc w:val="center"/>
        <w:rPr>
          <w:color w:val="FF0000"/>
        </w:rPr>
      </w:pPr>
    </w:p>
    <w:p w14:paraId="6D16F4DB" w14:textId="13378C5C" w:rsidR="001B1131" w:rsidRDefault="001B1131" w:rsidP="00D775F6">
      <w:pPr>
        <w:jc w:val="center"/>
        <w:rPr>
          <w:color w:val="FF0000"/>
        </w:rPr>
      </w:pPr>
    </w:p>
    <w:p w14:paraId="6A7208DE" w14:textId="77777777" w:rsidR="001B1131" w:rsidRDefault="001B1131" w:rsidP="00D775F6">
      <w:pPr>
        <w:jc w:val="center"/>
        <w:rPr>
          <w:color w:val="FF0000"/>
        </w:rPr>
      </w:pPr>
    </w:p>
    <w:p w14:paraId="10E9C262" w14:textId="77777777" w:rsidR="001B1131" w:rsidRDefault="001B1131" w:rsidP="00D775F6">
      <w:pPr>
        <w:jc w:val="center"/>
        <w:rPr>
          <w:color w:val="FF0000"/>
        </w:rPr>
      </w:pPr>
    </w:p>
    <w:p w14:paraId="212CDAC6" w14:textId="77777777" w:rsidR="001B1131" w:rsidRDefault="001B1131" w:rsidP="00D775F6">
      <w:pPr>
        <w:jc w:val="center"/>
        <w:rPr>
          <w:color w:val="FF0000"/>
        </w:rPr>
      </w:pPr>
    </w:p>
    <w:p w14:paraId="13598DBB" w14:textId="77777777" w:rsidR="001B1131" w:rsidRDefault="001B1131" w:rsidP="00D775F6">
      <w:pPr>
        <w:jc w:val="center"/>
        <w:rPr>
          <w:color w:val="FF0000"/>
        </w:rPr>
      </w:pPr>
    </w:p>
    <w:p w14:paraId="079D896D" w14:textId="77777777" w:rsidR="001B1131" w:rsidRDefault="001B1131" w:rsidP="00D775F6">
      <w:pPr>
        <w:jc w:val="center"/>
        <w:rPr>
          <w:color w:val="FF0000"/>
        </w:rPr>
      </w:pPr>
    </w:p>
    <w:p w14:paraId="422F52F0" w14:textId="3F1E2E0F" w:rsidR="001B1131" w:rsidRPr="00CB0740" w:rsidRDefault="001B1131" w:rsidP="00CB0740">
      <w:pPr>
        <w:tabs>
          <w:tab w:val="left" w:pos="867"/>
        </w:tabs>
        <w:rPr>
          <w:color w:val="FF0000"/>
        </w:rPr>
      </w:pPr>
    </w:p>
    <w:p w14:paraId="50E59D2D" w14:textId="77777777" w:rsidR="001B1131" w:rsidRDefault="001B1131" w:rsidP="00D775F6">
      <w:pPr>
        <w:jc w:val="center"/>
        <w:rPr>
          <w:color w:val="FF0000"/>
        </w:rPr>
      </w:pPr>
    </w:p>
    <w:p w14:paraId="3E056664" w14:textId="77777777" w:rsidR="00163993" w:rsidRDefault="00163993" w:rsidP="00CB0740">
      <w:pPr>
        <w:rPr>
          <w:color w:val="FF0000"/>
        </w:rPr>
      </w:pPr>
    </w:p>
    <w:p w14:paraId="33FB711F" w14:textId="77777777" w:rsidR="00CB0740" w:rsidRPr="004F413D" w:rsidRDefault="00794B46" w:rsidP="00CB0740">
      <w:pPr>
        <w:pStyle w:val="NoSpacing"/>
        <w:spacing w:before="120"/>
        <w:rPr>
          <w:noProof/>
          <w:color w:val="4472C4" w:themeColor="accent1"/>
        </w:rPr>
      </w:pPr>
      <w:sdt>
        <w:sdtPr>
          <w:rPr>
            <w:color w:val="4472C4" w:themeColor="accent1"/>
            <w:sz w:val="36"/>
            <w:szCs w:val="36"/>
          </w:rPr>
          <w:alias w:val="Subtitle"/>
          <w:tag w:val=""/>
          <w:id w:val="2021743002"/>
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<w:text/>
        </w:sdtPr>
        <w:sdtEndPr/>
        <w:sdtContent>
          <w:r w:rsidR="00CB0740" w:rsidRPr="004F413D">
            <w:rPr>
              <w:color w:val="4472C4" w:themeColor="accent1"/>
              <w:sz w:val="36"/>
              <w:szCs w:val="36"/>
            </w:rPr>
            <w:t>Callum Eaton</w:t>
          </w:r>
        </w:sdtContent>
      </w:sdt>
      <w:r w:rsidR="00CB0740" w:rsidRPr="004F413D">
        <w:rPr>
          <w:noProof/>
          <w:color w:val="4472C4" w:themeColor="accent1"/>
        </w:rPr>
        <w:t xml:space="preserve"> </w:t>
      </w:r>
    </w:p>
    <w:p w14:paraId="502F80F9" w14:textId="77777777" w:rsidR="00CB0740" w:rsidRDefault="00CB0740" w:rsidP="00CB0740">
      <w:pPr>
        <w:pStyle w:val="NoSpacing"/>
        <w:spacing w:before="120"/>
        <w:rPr>
          <w:noProof/>
          <w:color w:val="4472C4" w:themeColor="accent1"/>
          <w:sz w:val="28"/>
          <w:szCs w:val="28"/>
        </w:rPr>
      </w:pPr>
      <w:r w:rsidRPr="004F413D">
        <w:rPr>
          <w:noProof/>
          <w:color w:val="4472C4" w:themeColor="accent1"/>
          <w:sz w:val="28"/>
          <w:szCs w:val="28"/>
        </w:rPr>
        <w:t>Student 2026722</w:t>
      </w:r>
    </w:p>
    <w:p w14:paraId="17053EB3" w14:textId="77777777" w:rsidR="00E41525" w:rsidRDefault="00FA12A3" w:rsidP="00CB0740">
      <w:pPr>
        <w:pStyle w:val="NoSpacing"/>
        <w:spacing w:before="120"/>
        <w:rPr>
          <w:noProof/>
          <w:color w:val="4472C4" w:themeColor="accent1"/>
          <w:sz w:val="24"/>
          <w:szCs w:val="24"/>
        </w:rPr>
      </w:pPr>
      <w:r w:rsidRPr="00E41525">
        <w:rPr>
          <w:noProof/>
          <w:color w:val="4472C4" w:themeColor="accent1"/>
          <w:sz w:val="24"/>
          <w:szCs w:val="24"/>
        </w:rPr>
        <w:t xml:space="preserve">Word count </w:t>
      </w:r>
      <w:r w:rsidR="00E41525" w:rsidRPr="00E41525">
        <w:rPr>
          <w:noProof/>
          <w:color w:val="4472C4" w:themeColor="accent1"/>
          <w:sz w:val="24"/>
          <w:szCs w:val="24"/>
        </w:rPr>
        <w:t>–</w:t>
      </w:r>
      <w:r w:rsidRPr="00E41525">
        <w:rPr>
          <w:noProof/>
          <w:color w:val="4472C4" w:themeColor="accent1"/>
          <w:sz w:val="24"/>
          <w:szCs w:val="24"/>
        </w:rPr>
        <w:t xml:space="preserve"> </w:t>
      </w:r>
      <w:r w:rsidR="00C73B9B" w:rsidRPr="00E41525">
        <w:rPr>
          <w:noProof/>
          <w:color w:val="4472C4" w:themeColor="accent1"/>
          <w:sz w:val="24"/>
          <w:szCs w:val="24"/>
        </w:rPr>
        <w:t>2088</w:t>
      </w:r>
      <w:r w:rsidR="00E41525" w:rsidRPr="00E41525">
        <w:rPr>
          <w:noProof/>
          <w:color w:val="4472C4" w:themeColor="accent1"/>
          <w:sz w:val="24"/>
          <w:szCs w:val="24"/>
        </w:rPr>
        <w:t xml:space="preserve"> </w:t>
      </w:r>
    </w:p>
    <w:p w14:paraId="5A2F540E" w14:textId="095F77AD" w:rsidR="00FA12A3" w:rsidRPr="00E41525" w:rsidRDefault="00E41525" w:rsidP="00CB0740">
      <w:pPr>
        <w:pStyle w:val="NoSpacing"/>
        <w:spacing w:before="120"/>
        <w:rPr>
          <w:color w:val="4472C4" w:themeColor="accent1"/>
          <w:sz w:val="40"/>
          <w:szCs w:val="40"/>
        </w:rPr>
      </w:pPr>
      <w:r w:rsidRPr="00E41525">
        <w:rPr>
          <w:noProof/>
          <w:color w:val="4472C4" w:themeColor="accent1"/>
          <w:sz w:val="24"/>
          <w:szCs w:val="24"/>
        </w:rPr>
        <w:t>(</w:t>
      </w:r>
      <w:r w:rsidR="00794B46">
        <w:rPr>
          <w:noProof/>
          <w:color w:val="4472C4" w:themeColor="accent1"/>
          <w:sz w:val="24"/>
          <w:szCs w:val="24"/>
        </w:rPr>
        <w:t>Excluding</w:t>
      </w:r>
      <w:r w:rsidRPr="00E41525">
        <w:rPr>
          <w:noProof/>
          <w:color w:val="4472C4" w:themeColor="accent1"/>
          <w:sz w:val="24"/>
          <w:szCs w:val="24"/>
        </w:rPr>
        <w:t xml:space="preserve"> abstract)</w:t>
      </w:r>
    </w:p>
    <w:p w14:paraId="7F10E77D" w14:textId="77777777" w:rsidR="00163993" w:rsidRDefault="00163993" w:rsidP="00D775F6">
      <w:pPr>
        <w:jc w:val="center"/>
        <w:rPr>
          <w:color w:val="FF0000"/>
        </w:rPr>
      </w:pPr>
    </w:p>
    <w:p w14:paraId="37CD6F9F" w14:textId="77777777" w:rsidR="00E41525" w:rsidRDefault="00E41525" w:rsidP="00D775F6">
      <w:pPr>
        <w:jc w:val="center"/>
        <w:rPr>
          <w:color w:val="FF0000"/>
        </w:rPr>
      </w:pPr>
    </w:p>
    <w:p w14:paraId="693482E5" w14:textId="08CB18DE" w:rsidR="00A36D7B" w:rsidRPr="00EB759C" w:rsidRDefault="00A36D7B" w:rsidP="00A36D7B">
      <w:pPr>
        <w:jc w:val="right"/>
        <w:rPr>
          <w:color w:val="4472C4" w:themeColor="accent1"/>
          <w:sz w:val="24"/>
          <w:szCs w:val="24"/>
        </w:rPr>
      </w:pPr>
      <w:r w:rsidRPr="00EB759C">
        <w:rPr>
          <w:color w:val="4472C4" w:themeColor="accent1"/>
          <w:sz w:val="24"/>
          <w:szCs w:val="24"/>
        </w:rPr>
        <w:t>OME Level 4</w:t>
      </w:r>
    </w:p>
    <w:p w14:paraId="0E46C75A" w14:textId="5D2DB64B" w:rsidR="00A36D7B" w:rsidRPr="00EB759C" w:rsidRDefault="00A36D7B" w:rsidP="00A36D7B">
      <w:pPr>
        <w:jc w:val="right"/>
        <w:rPr>
          <w:color w:val="4472C4" w:themeColor="accent1"/>
          <w:sz w:val="24"/>
          <w:szCs w:val="24"/>
        </w:rPr>
      </w:pPr>
      <w:r w:rsidRPr="00EB759C">
        <w:rPr>
          <w:color w:val="4472C4" w:themeColor="accent1"/>
          <w:sz w:val="24"/>
          <w:szCs w:val="24"/>
        </w:rPr>
        <w:t>Principles of OME</w:t>
      </w:r>
    </w:p>
    <w:p w14:paraId="33E9C93B" w14:textId="7D028AAD" w:rsidR="00A36D7B" w:rsidRPr="00EB759C" w:rsidRDefault="00E41525" w:rsidP="00A36D7B">
      <w:pPr>
        <w:jc w:val="right"/>
        <w:rPr>
          <w:color w:val="4472C4" w:themeColor="accent1"/>
          <w:sz w:val="24"/>
          <w:szCs w:val="24"/>
        </w:rPr>
      </w:pPr>
      <w:r>
        <w:rPr>
          <w:color w:val="4472C4" w:themeColor="accent1"/>
          <w:sz w:val="24"/>
          <w:szCs w:val="24"/>
        </w:rPr>
        <w:t>30/06</w:t>
      </w:r>
      <w:r w:rsidR="00EB759C" w:rsidRPr="00EB759C">
        <w:rPr>
          <w:color w:val="4472C4" w:themeColor="accent1"/>
          <w:sz w:val="24"/>
          <w:szCs w:val="24"/>
        </w:rPr>
        <w:t>/2023</w:t>
      </w:r>
    </w:p>
    <w:p w14:paraId="23978E03" w14:textId="77777777" w:rsidR="001B1131" w:rsidRDefault="001B1131" w:rsidP="00D775F6">
      <w:pPr>
        <w:jc w:val="center"/>
        <w:rPr>
          <w:color w:val="FF0000"/>
        </w:rPr>
      </w:pPr>
    </w:p>
    <w:p w14:paraId="7FAAA1D3" w14:textId="70204FA1" w:rsidR="00743990" w:rsidRDefault="00743990" w:rsidP="00DF6883">
      <w:pPr>
        <w:pStyle w:val="Heading1"/>
      </w:pPr>
      <w:bookmarkStart w:id="2" w:name="_Toc139034344"/>
      <w:r w:rsidRPr="00743990">
        <w:lastRenderedPageBreak/>
        <w:t>ABSTRACT</w:t>
      </w:r>
      <w:bookmarkEnd w:id="2"/>
    </w:p>
    <w:p w14:paraId="59550AAD" w14:textId="4729AE7E" w:rsidR="00032DEA" w:rsidRDefault="00966F0A" w:rsidP="00032DEA">
      <w:r>
        <w:t xml:space="preserve">This report investigates the explosive train, </w:t>
      </w:r>
      <w:r w:rsidR="00570C03">
        <w:t xml:space="preserve">its components, </w:t>
      </w:r>
      <w:r w:rsidR="00E17116">
        <w:t>transportation,</w:t>
      </w:r>
      <w:r w:rsidR="00570C03">
        <w:t xml:space="preserve"> and storage of them. </w:t>
      </w:r>
      <w:r w:rsidR="006111FD">
        <w:t>It remains to be seen what a valid outcome would be moving forward</w:t>
      </w:r>
      <w:r w:rsidR="00E17116">
        <w:t xml:space="preserve"> in the explosive </w:t>
      </w:r>
      <w:r w:rsidR="00D7051B">
        <w:t>world,</w:t>
      </w:r>
      <w:r w:rsidR="006111FD">
        <w:t xml:space="preserve"> but this report concludes various options which would see the decrease in weight, risk </w:t>
      </w:r>
      <w:r w:rsidR="00E17116">
        <w:t xml:space="preserve">of ignition and storage problems. </w:t>
      </w:r>
    </w:p>
    <w:p w14:paraId="40940E91" w14:textId="52A57CDA" w:rsidR="00E17116" w:rsidRDefault="00E17116" w:rsidP="00032DEA">
      <w:r>
        <w:t xml:space="preserve">Many things are to be considered when </w:t>
      </w:r>
      <w:r w:rsidR="00AF5DF1">
        <w:t>trying to solve these factors</w:t>
      </w:r>
      <w:r w:rsidR="00D7051B">
        <w:t>. B</w:t>
      </w:r>
      <w:r w:rsidR="00422E52">
        <w:t>reaking the explosive train apart until the latest moment seems a sensible way to do so</w:t>
      </w:r>
      <w:r w:rsidR="00D7051B">
        <w:t xml:space="preserve"> but by doing this, there are many other issues that arise with various components. Some of these are addressed but </w:t>
      </w:r>
      <w:r w:rsidR="00B42610">
        <w:t>not all due to a limited word count.</w:t>
      </w:r>
      <w:r w:rsidR="00CE5D56">
        <w:t xml:space="preserve"> This report scratches the surface of a very detailed and </w:t>
      </w:r>
      <w:r w:rsidR="00794B46">
        <w:t>in-depth</w:t>
      </w:r>
      <w:r w:rsidR="00CE5D56">
        <w:t xml:space="preserve"> subject</w:t>
      </w:r>
      <w:r w:rsidR="0029251F">
        <w:t>, should the student have had a larger word count, they would have addressed further issues with the individual components</w:t>
      </w:r>
      <w:r w:rsidR="005C1D59">
        <w:t xml:space="preserve"> but this report does give strong indications that there is definitely room for improvement going forward.</w:t>
      </w:r>
    </w:p>
    <w:p w14:paraId="19834A0D" w14:textId="77777777" w:rsidR="00B42610" w:rsidRDefault="00B42610" w:rsidP="00032DEA">
      <w:pPr>
        <w:rPr>
          <w:color w:val="FF0000"/>
        </w:rPr>
      </w:pPr>
    </w:p>
    <w:p w14:paraId="7955A2A4" w14:textId="77777777" w:rsidR="00797B2B" w:rsidRDefault="00797B2B" w:rsidP="00032DEA">
      <w:pPr>
        <w:rPr>
          <w:color w:val="FF0000"/>
        </w:rPr>
      </w:pPr>
    </w:p>
    <w:p w14:paraId="666DE3EB" w14:textId="77777777" w:rsidR="00797B2B" w:rsidRDefault="00797B2B" w:rsidP="00032DEA">
      <w:pPr>
        <w:rPr>
          <w:color w:val="FF0000"/>
        </w:rPr>
      </w:pPr>
    </w:p>
    <w:p w14:paraId="0B61C997" w14:textId="77777777" w:rsidR="00797B2B" w:rsidRDefault="00797B2B" w:rsidP="00032DEA">
      <w:pPr>
        <w:rPr>
          <w:color w:val="FF0000"/>
        </w:rPr>
      </w:pPr>
    </w:p>
    <w:p w14:paraId="4DA142E7" w14:textId="77777777" w:rsidR="00797B2B" w:rsidRDefault="00797B2B" w:rsidP="00032DEA">
      <w:pPr>
        <w:rPr>
          <w:color w:val="FF0000"/>
        </w:rPr>
      </w:pPr>
    </w:p>
    <w:p w14:paraId="4900F346" w14:textId="77777777" w:rsidR="00797B2B" w:rsidRDefault="00797B2B" w:rsidP="00032DEA">
      <w:pPr>
        <w:rPr>
          <w:color w:val="FF0000"/>
        </w:rPr>
      </w:pPr>
    </w:p>
    <w:p w14:paraId="3CA1633B" w14:textId="77777777" w:rsidR="00797B2B" w:rsidRDefault="00797B2B" w:rsidP="00032DEA">
      <w:pPr>
        <w:rPr>
          <w:color w:val="FF0000"/>
        </w:rPr>
      </w:pPr>
    </w:p>
    <w:p w14:paraId="44C21CFE" w14:textId="77777777" w:rsidR="00797B2B" w:rsidRDefault="00797B2B" w:rsidP="00032DEA">
      <w:pPr>
        <w:rPr>
          <w:color w:val="FF0000"/>
        </w:rPr>
      </w:pPr>
    </w:p>
    <w:p w14:paraId="3D09698F" w14:textId="77777777" w:rsidR="00797B2B" w:rsidRDefault="00797B2B" w:rsidP="00032DEA">
      <w:pPr>
        <w:rPr>
          <w:color w:val="FF0000"/>
        </w:rPr>
      </w:pPr>
    </w:p>
    <w:p w14:paraId="405C9239" w14:textId="77777777" w:rsidR="00797B2B" w:rsidRDefault="00797B2B" w:rsidP="00032DEA">
      <w:pPr>
        <w:rPr>
          <w:color w:val="FF0000"/>
        </w:rPr>
      </w:pPr>
    </w:p>
    <w:p w14:paraId="6C82AAAD" w14:textId="77777777" w:rsidR="00797B2B" w:rsidRDefault="00797B2B" w:rsidP="00032DEA">
      <w:pPr>
        <w:rPr>
          <w:color w:val="FF0000"/>
        </w:rPr>
      </w:pPr>
    </w:p>
    <w:p w14:paraId="3E1307B6" w14:textId="77777777" w:rsidR="00797B2B" w:rsidRDefault="00797B2B" w:rsidP="00032DEA">
      <w:pPr>
        <w:rPr>
          <w:color w:val="FF0000"/>
        </w:rPr>
      </w:pPr>
    </w:p>
    <w:p w14:paraId="6E385928" w14:textId="77777777" w:rsidR="00797B2B" w:rsidRDefault="00797B2B" w:rsidP="00032DEA">
      <w:pPr>
        <w:rPr>
          <w:color w:val="FF0000"/>
        </w:rPr>
      </w:pPr>
    </w:p>
    <w:p w14:paraId="4DD8A37E" w14:textId="77777777" w:rsidR="00797B2B" w:rsidRDefault="00797B2B" w:rsidP="00032DEA">
      <w:pPr>
        <w:rPr>
          <w:color w:val="FF0000"/>
        </w:rPr>
      </w:pPr>
    </w:p>
    <w:p w14:paraId="572D0199" w14:textId="77777777" w:rsidR="00797B2B" w:rsidRDefault="00797B2B" w:rsidP="00032DEA">
      <w:pPr>
        <w:rPr>
          <w:color w:val="FF0000"/>
        </w:rPr>
      </w:pPr>
    </w:p>
    <w:p w14:paraId="337980BC" w14:textId="77777777" w:rsidR="00797B2B" w:rsidRDefault="00797B2B" w:rsidP="00032DEA">
      <w:pPr>
        <w:rPr>
          <w:color w:val="FF0000"/>
        </w:rPr>
      </w:pPr>
    </w:p>
    <w:p w14:paraId="295BF116" w14:textId="77777777" w:rsidR="00797B2B" w:rsidRDefault="00797B2B" w:rsidP="00032DEA">
      <w:pPr>
        <w:rPr>
          <w:color w:val="FF0000"/>
        </w:rPr>
      </w:pPr>
    </w:p>
    <w:p w14:paraId="797562CC" w14:textId="77777777" w:rsidR="00797B2B" w:rsidRDefault="00797B2B" w:rsidP="00032DEA">
      <w:pPr>
        <w:rPr>
          <w:color w:val="FF0000"/>
        </w:rPr>
      </w:pPr>
    </w:p>
    <w:p w14:paraId="13E96429" w14:textId="77777777" w:rsidR="00797B2B" w:rsidRDefault="00797B2B" w:rsidP="00032DEA">
      <w:pPr>
        <w:rPr>
          <w:color w:val="FF0000"/>
        </w:rPr>
      </w:pPr>
    </w:p>
    <w:p w14:paraId="4B619B50" w14:textId="77777777" w:rsidR="00797B2B" w:rsidRDefault="00797B2B" w:rsidP="00032DEA">
      <w:pPr>
        <w:rPr>
          <w:color w:val="FF0000"/>
        </w:rPr>
      </w:pPr>
    </w:p>
    <w:p w14:paraId="04F438A6" w14:textId="77777777" w:rsidR="00797B2B" w:rsidRDefault="00797B2B" w:rsidP="00032DEA">
      <w:pPr>
        <w:rPr>
          <w:color w:val="FF0000"/>
        </w:rPr>
      </w:pPr>
    </w:p>
    <w:p w14:paraId="5BA458E7" w14:textId="77777777" w:rsidR="00797B2B" w:rsidRPr="00032DEA" w:rsidRDefault="00797B2B" w:rsidP="00032DEA">
      <w:pPr>
        <w:rPr>
          <w:color w:val="FF0000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74969237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512CC77" w14:textId="1C423CDB" w:rsidR="00EB759C" w:rsidRDefault="00EB759C">
          <w:pPr>
            <w:pStyle w:val="TOCHeading"/>
          </w:pPr>
          <w:r>
            <w:t>Contents</w:t>
          </w:r>
        </w:p>
        <w:p w14:paraId="3970E551" w14:textId="4C5DDDEC" w:rsidR="005C1D59" w:rsidRDefault="00EB759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9034344" w:history="1">
            <w:r w:rsidR="005C1D59" w:rsidRPr="00EA4B98">
              <w:rPr>
                <w:rStyle w:val="Hyperlink"/>
                <w:noProof/>
              </w:rPr>
              <w:t>ABSTRACT</w:t>
            </w:r>
            <w:r w:rsidR="005C1D59">
              <w:rPr>
                <w:noProof/>
                <w:webHidden/>
              </w:rPr>
              <w:tab/>
            </w:r>
            <w:r w:rsidR="005C1D59">
              <w:rPr>
                <w:noProof/>
                <w:webHidden/>
              </w:rPr>
              <w:fldChar w:fldCharType="begin"/>
            </w:r>
            <w:r w:rsidR="005C1D59">
              <w:rPr>
                <w:noProof/>
                <w:webHidden/>
              </w:rPr>
              <w:instrText xml:space="preserve"> PAGEREF _Toc139034344 \h </w:instrText>
            </w:r>
            <w:r w:rsidR="005C1D59">
              <w:rPr>
                <w:noProof/>
                <w:webHidden/>
              </w:rPr>
            </w:r>
            <w:r w:rsidR="005C1D59">
              <w:rPr>
                <w:noProof/>
                <w:webHidden/>
              </w:rPr>
              <w:fldChar w:fldCharType="separate"/>
            </w:r>
            <w:r w:rsidR="005C1D59">
              <w:rPr>
                <w:noProof/>
                <w:webHidden/>
              </w:rPr>
              <w:t>1</w:t>
            </w:r>
            <w:r w:rsidR="005C1D59">
              <w:rPr>
                <w:noProof/>
                <w:webHidden/>
              </w:rPr>
              <w:fldChar w:fldCharType="end"/>
            </w:r>
          </w:hyperlink>
        </w:p>
        <w:p w14:paraId="3B1A1B9C" w14:textId="6BE99417" w:rsidR="005C1D59" w:rsidRDefault="005C1D5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9034345" w:history="1">
            <w:r w:rsidRPr="00EA4B98">
              <w:rPr>
                <w:rStyle w:val="Hyperlink"/>
                <w:noProof/>
              </w:rPr>
              <w:t>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EA4B98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_Toc139034345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A1F893" w14:textId="036F3033" w:rsidR="005C1D59" w:rsidRDefault="005C1D5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9034346" w:history="1">
            <w:r w:rsidRPr="00EA4B98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EA4B98">
              <w:rPr>
                <w:rStyle w:val="Hyperlink"/>
                <w:noProof/>
              </w:rPr>
              <w:t>Explosive Trains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_Toc139034346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CA157E" w14:textId="23BAB081" w:rsidR="005C1D59" w:rsidRDefault="005C1D5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9034347" w:history="1">
            <w:r w:rsidRPr="00EA4B98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EA4B98">
              <w:rPr>
                <w:rStyle w:val="Hyperlink"/>
                <w:noProof/>
              </w:rPr>
              <w:t>TNT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_Toc139034347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A74071" w14:textId="15650B3C" w:rsidR="005C1D59" w:rsidRDefault="005C1D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9034348" w:history="1">
            <w:r w:rsidRPr="00EA4B98">
              <w:rPr>
                <w:rStyle w:val="Hyperlink"/>
                <w:noProof/>
              </w:rPr>
              <w:t>3.1. Background and Information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_Toc139034348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5FF555" w14:textId="19D41018" w:rsidR="005C1D59" w:rsidRDefault="005C1D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9034349" w:history="1">
            <w:r w:rsidRPr="00EA4B98">
              <w:rPr>
                <w:rStyle w:val="Hyperlink"/>
                <w:noProof/>
              </w:rPr>
              <w:t>3.2. Melt cast TNT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_Toc139034349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53A642" w14:textId="392B55CC" w:rsidR="005C1D59" w:rsidRDefault="005C1D5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9034350" w:history="1">
            <w:r w:rsidRPr="00EA4B98">
              <w:rPr>
                <w:rStyle w:val="Hyperlink"/>
                <w:noProof/>
              </w:rPr>
              <w:t>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EA4B98">
              <w:rPr>
                <w:rStyle w:val="Hyperlink"/>
                <w:noProof/>
              </w:rPr>
              <w:t>Propellants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_Toc139034350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1DE66D" w14:textId="08CCB47E" w:rsidR="005C1D59" w:rsidRDefault="005C1D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9034351" w:history="1">
            <w:r w:rsidRPr="00EA4B98">
              <w:rPr>
                <w:rStyle w:val="Hyperlink"/>
                <w:noProof/>
              </w:rPr>
              <w:t>4.1. Propellant definitions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_Toc139034351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1DC322" w14:textId="25B1EE03" w:rsidR="005C1D59" w:rsidRDefault="005C1D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9034352" w:history="1">
            <w:r w:rsidRPr="00EA4B98">
              <w:rPr>
                <w:rStyle w:val="Hyperlink"/>
                <w:noProof/>
              </w:rPr>
              <w:t>4.2. Stabilisers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_Toc139034352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D3B988" w14:textId="6A189E72" w:rsidR="005C1D59" w:rsidRDefault="005C1D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9034353" w:history="1">
            <w:r w:rsidRPr="00EA4B98">
              <w:rPr>
                <w:rStyle w:val="Hyperlink"/>
                <w:noProof/>
              </w:rPr>
              <w:t>4.3. Cartridge cases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_Toc139034353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816981" w14:textId="06677DB2" w:rsidR="005C1D59" w:rsidRDefault="005C1D5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9034354" w:history="1">
            <w:r w:rsidRPr="00EA4B98">
              <w:rPr>
                <w:rStyle w:val="Hyperlink"/>
                <w:noProof/>
              </w:rPr>
              <w:t>4.3.1 Cartridge case use with propellants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_Toc139034354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B93E32" w14:textId="2C66941D" w:rsidR="005C1D59" w:rsidRDefault="005C1D5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9034355" w:history="1">
            <w:r w:rsidRPr="00EA4B98">
              <w:rPr>
                <w:rStyle w:val="Hyperlink"/>
                <w:noProof/>
              </w:rPr>
              <w:t>4.3.2 Potential elimination of cartridge cases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_Toc139034355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93F72E" w14:textId="2188268F" w:rsidR="005C1D59" w:rsidRDefault="005C1D5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9034356" w:history="1">
            <w:r w:rsidRPr="00EA4B98">
              <w:rPr>
                <w:rStyle w:val="Hyperlink"/>
                <w:noProof/>
              </w:rPr>
              <w:t>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EA4B98">
              <w:rPr>
                <w:rStyle w:val="Hyperlink"/>
                <w:noProof/>
              </w:rPr>
              <w:t>Transport, Storage, and life of the components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_Toc139034356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7E7294" w14:textId="7106C67A" w:rsidR="005C1D59" w:rsidRDefault="005C1D5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9034357" w:history="1">
            <w:r w:rsidRPr="00EA4B98">
              <w:rPr>
                <w:rStyle w:val="Hyperlink"/>
                <w:noProof/>
              </w:rPr>
              <w:t>5.1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EA4B98">
              <w:rPr>
                <w:rStyle w:val="Hyperlink"/>
                <w:noProof/>
              </w:rPr>
              <w:t>.Transport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_Toc139034357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FE93EC" w14:textId="21D37BAD" w:rsidR="005C1D59" w:rsidRDefault="005C1D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9034358" w:history="1">
            <w:r w:rsidRPr="00EA4B98">
              <w:rPr>
                <w:rStyle w:val="Hyperlink"/>
                <w:noProof/>
              </w:rPr>
              <w:t>5.2. Storage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_Toc139034358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7D9DD4" w14:textId="1E61F197" w:rsidR="005C1D59" w:rsidRDefault="005C1D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9034359" w:history="1">
            <w:r w:rsidRPr="00EA4B98">
              <w:rPr>
                <w:rStyle w:val="Hyperlink"/>
                <w:noProof/>
              </w:rPr>
              <w:t>5.3. Life of propellants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_Toc139034359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1C805D" w14:textId="555C8C88" w:rsidR="005C1D59" w:rsidRDefault="005C1D5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9034360" w:history="1">
            <w:r w:rsidRPr="00EA4B98">
              <w:rPr>
                <w:rStyle w:val="Hyperlink"/>
                <w:noProof/>
              </w:rPr>
              <w:t>5.3.1 Chemical safe life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_Toc139034360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757263" w14:textId="126495EC" w:rsidR="005C1D59" w:rsidRDefault="005C1D5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9034361" w:history="1">
            <w:r w:rsidRPr="00EA4B98">
              <w:rPr>
                <w:rStyle w:val="Hyperlink"/>
                <w:noProof/>
              </w:rPr>
              <w:t>5.3.1 Ballistic life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_Toc139034361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B20A85" w14:textId="55D102D3" w:rsidR="005C1D59" w:rsidRDefault="005C1D5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9034362" w:history="1">
            <w:r w:rsidRPr="00EA4B98">
              <w:rPr>
                <w:rStyle w:val="Hyperlink"/>
                <w:noProof/>
              </w:rPr>
              <w:t>5.3.3 Physico-mechanical life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_Toc139034362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4A5FE4" w14:textId="544BBFEB" w:rsidR="005C1D59" w:rsidRDefault="005C1D5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9034363" w:history="1">
            <w:r w:rsidRPr="00EA4B98">
              <w:rPr>
                <w:rStyle w:val="Hyperlink"/>
                <w:noProof/>
              </w:rPr>
              <w:t>6.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EA4B98">
              <w:rPr>
                <w:rStyle w:val="Hyperlink"/>
                <w:noProof/>
              </w:rPr>
              <w:t>TNT alternatives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_Toc139034363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4D83EB" w14:textId="68DAED77" w:rsidR="005C1D59" w:rsidRDefault="005C1D5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9034364" w:history="1">
            <w:r w:rsidRPr="00EA4B98">
              <w:rPr>
                <w:rStyle w:val="Hyperlink"/>
                <w:noProof/>
              </w:rPr>
              <w:t>7.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EA4B98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_Toc139034364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CAC342" w14:textId="6D574A14" w:rsidR="005C1D59" w:rsidRDefault="005C1D5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9034365" w:history="1">
            <w:r w:rsidRPr="00EA4B98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_Toc139034365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BAC8AC" w14:textId="49B1A29A" w:rsidR="00981E0F" w:rsidRPr="005C1D59" w:rsidRDefault="00EB759C" w:rsidP="00EC6E7F">
          <w:r>
            <w:rPr>
              <w:b/>
              <w:bCs/>
              <w:noProof/>
            </w:rPr>
            <w:fldChar w:fldCharType="end"/>
          </w:r>
        </w:p>
      </w:sdtContent>
    </w:sdt>
    <w:p w14:paraId="3D683989" w14:textId="3DEAF36F" w:rsidR="00E41525" w:rsidRDefault="00981E0F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rPr>
          <w:color w:val="FF0000"/>
        </w:rPr>
        <w:fldChar w:fldCharType="begin"/>
      </w:r>
      <w:r>
        <w:rPr>
          <w:color w:val="FF0000"/>
        </w:rPr>
        <w:instrText xml:space="preserve"> TOC \h \z \c "Figure" </w:instrText>
      </w:r>
      <w:r>
        <w:rPr>
          <w:color w:val="FF0000"/>
        </w:rPr>
        <w:fldChar w:fldCharType="separate"/>
      </w:r>
      <w:hyperlink r:id="rId8" w:anchor="_Toc139033499" w:history="1">
        <w:r w:rsidR="00E41525" w:rsidRPr="00282607">
          <w:rPr>
            <w:rStyle w:val="Hyperlink"/>
            <w:noProof/>
          </w:rPr>
          <w:t>Figure 1 – Remains of a munition’s storage site.</w:t>
        </w:r>
        <w:r w:rsidR="00E41525" w:rsidRPr="00282607">
          <w:rPr>
            <w:rStyle w:val="Hyperlink"/>
            <w:noProof/>
            <w:vertAlign w:val="superscript"/>
          </w:rPr>
          <w:t xml:space="preserve"> </w:t>
        </w:r>
        <w:r w:rsidR="00E41525" w:rsidRPr="00282607">
          <w:rPr>
            <w:rStyle w:val="Hyperlink"/>
            <w:noProof/>
          </w:rPr>
          <w:t>[5]</w:t>
        </w:r>
        <w:r w:rsidR="00E41525">
          <w:rPr>
            <w:noProof/>
            <w:webHidden/>
          </w:rPr>
          <w:tab/>
        </w:r>
        <w:r w:rsidR="00E41525">
          <w:rPr>
            <w:noProof/>
            <w:webHidden/>
          </w:rPr>
          <w:fldChar w:fldCharType="begin"/>
        </w:r>
        <w:r w:rsidR="00E41525">
          <w:rPr>
            <w:noProof/>
            <w:webHidden/>
          </w:rPr>
          <w:instrText xml:space="preserve"> PAGEREF _Toc139033499 \h </w:instrText>
        </w:r>
        <w:r w:rsidR="00E41525">
          <w:rPr>
            <w:noProof/>
            <w:webHidden/>
          </w:rPr>
        </w:r>
        <w:r w:rsidR="00E41525">
          <w:rPr>
            <w:noProof/>
            <w:webHidden/>
          </w:rPr>
          <w:fldChar w:fldCharType="separate"/>
        </w:r>
        <w:r w:rsidR="00E41525">
          <w:rPr>
            <w:noProof/>
            <w:webHidden/>
          </w:rPr>
          <w:t>0</w:t>
        </w:r>
        <w:r w:rsidR="00E41525">
          <w:rPr>
            <w:noProof/>
            <w:webHidden/>
          </w:rPr>
          <w:fldChar w:fldCharType="end"/>
        </w:r>
      </w:hyperlink>
    </w:p>
    <w:p w14:paraId="6274169B" w14:textId="09CD7DC7" w:rsidR="00E41525" w:rsidRDefault="00E41525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9033500" w:history="1">
        <w:r w:rsidRPr="00282607">
          <w:rPr>
            <w:rStyle w:val="Hyperlink"/>
            <w:noProof/>
          </w:rPr>
          <w:t>Figure 2 - Fixed round and Separate loading round components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_Toc139033500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1A943059" w14:textId="17708513" w:rsidR="00E41525" w:rsidRDefault="00E41525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9033501" w:history="1">
        <w:r w:rsidRPr="00282607">
          <w:rPr>
            <w:rStyle w:val="Hyperlink"/>
            <w:noProof/>
          </w:rPr>
          <w:t>Figure 3 - A view of 3 systems broken down by part [1].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_Toc139033501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420F795C" w14:textId="7DED3C07" w:rsidR="00E41525" w:rsidRDefault="00E41525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9033502" w:history="1">
        <w:r w:rsidRPr="00282607">
          <w:rPr>
            <w:rStyle w:val="Hyperlink"/>
            <w:noProof/>
          </w:rPr>
          <w:t>Figure 4 - Basic high explosive train [1]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_Toc139033502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66AF8CA5" w14:textId="3EEF5D9E" w:rsidR="00E41525" w:rsidRDefault="00E41525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9033503" w:history="1">
        <w:r w:rsidRPr="00282607">
          <w:rPr>
            <w:rStyle w:val="Hyperlink"/>
            <w:noProof/>
          </w:rPr>
          <w:t>Figure 5 - Projectile with bagged propellant. [5]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_Toc139033503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77B3880E" w14:textId="167E7B5E" w:rsidR="00E41525" w:rsidRDefault="00E41525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9033504" w:history="1">
        <w:r w:rsidRPr="00282607">
          <w:rPr>
            <w:rStyle w:val="Hyperlink"/>
            <w:noProof/>
          </w:rPr>
          <w:t>Figure 6 - Complete round showing cutaway cartridge. [5]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_Toc139033504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3D77736D" w14:textId="75F4B07D" w:rsidR="00E41525" w:rsidRDefault="00E41525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9033505" w:history="1">
        <w:r w:rsidRPr="00282607">
          <w:rPr>
            <w:rStyle w:val="Hyperlink"/>
            <w:noProof/>
          </w:rPr>
          <w:t>Figure 7 - Examples of cartridge cases.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_Toc139033505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2A93FDA2" w14:textId="2B5ACB58" w:rsidR="00E41525" w:rsidRDefault="00E41525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9033506" w:history="1">
        <w:r w:rsidRPr="00282607">
          <w:rPr>
            <w:rStyle w:val="Hyperlink"/>
            <w:noProof/>
          </w:rPr>
          <w:t>Figure 8 - Travelling charge injection system [9]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_Toc139033506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0A75EBF3" w14:textId="19F9D53B" w:rsidR="00E41525" w:rsidRDefault="00E41525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9033507" w:history="1">
        <w:r w:rsidRPr="00282607">
          <w:rPr>
            <w:rStyle w:val="Hyperlink"/>
            <w:noProof/>
          </w:rPr>
          <w:t>Figure 9 - Shelf life of explosives [9]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_Toc139033507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68E97050" w14:textId="250DE7FB" w:rsidR="00E41525" w:rsidRDefault="00E41525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9033508" w:history="1">
        <w:r w:rsidRPr="00282607">
          <w:rPr>
            <w:rStyle w:val="Hyperlink"/>
            <w:noProof/>
          </w:rPr>
          <w:t>Figure 10 - Chemical ageing of propellants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_Toc139033508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5E869F40" w14:textId="08F9A6AE" w:rsidR="00E41525" w:rsidRDefault="00E41525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9033509" w:history="1">
        <w:r w:rsidRPr="00282607">
          <w:rPr>
            <w:rStyle w:val="Hyperlink"/>
            <w:noProof/>
          </w:rPr>
          <w:t>Figure 11 - Melt cast explosives molecular structure [5].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_Toc139033509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6D98538E" w14:textId="4AF5D1C3" w:rsidR="00E41525" w:rsidRDefault="00E41525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9033510" w:history="1">
        <w:r w:rsidRPr="00282607">
          <w:rPr>
            <w:rStyle w:val="Hyperlink"/>
            <w:noProof/>
          </w:rPr>
          <w:t>Figure 12 - Ageing process based on stabiliser depletion [9]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_Toc139033510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04354231" w14:textId="07CA71B7" w:rsidR="00EB759C" w:rsidRPr="00EC6E7F" w:rsidRDefault="00981E0F" w:rsidP="0050055A">
      <w:pPr>
        <w:rPr>
          <w:color w:val="FF0000"/>
        </w:rPr>
      </w:pPr>
      <w:r>
        <w:rPr>
          <w:color w:val="FF0000"/>
        </w:rPr>
        <w:fldChar w:fldCharType="end"/>
      </w:r>
    </w:p>
    <w:p w14:paraId="309D8FE4" w14:textId="4BA8C719" w:rsidR="00EB759C" w:rsidRDefault="005763B8" w:rsidP="00FB06AA">
      <w:pPr>
        <w:pStyle w:val="Heading1"/>
        <w:numPr>
          <w:ilvl w:val="0"/>
          <w:numId w:val="6"/>
        </w:numPr>
      </w:pPr>
      <w:bookmarkStart w:id="3" w:name="_Toc139034345"/>
      <w:r>
        <w:lastRenderedPageBreak/>
        <w:t>Introduction</w:t>
      </w:r>
      <w:bookmarkEnd w:id="3"/>
    </w:p>
    <w:p w14:paraId="3AAFDAAB" w14:textId="5AD0EFDA" w:rsidR="00644DF1" w:rsidRDefault="0099652D" w:rsidP="00644DF1">
      <w:r>
        <w:t xml:space="preserve">In this </w:t>
      </w:r>
      <w:r w:rsidR="008D7C00">
        <w:t>report</w:t>
      </w:r>
      <w:r w:rsidR="001479B3">
        <w:t xml:space="preserve"> the student will consider what is necessary to achieve safe storage and transportation of </w:t>
      </w:r>
      <w:r w:rsidR="00F92DFD">
        <w:t xml:space="preserve">a large </w:t>
      </w:r>
      <w:r w:rsidR="00904D55">
        <w:t>calibre</w:t>
      </w:r>
      <w:r w:rsidR="00F92DFD">
        <w:t xml:space="preserve"> artillery round. </w:t>
      </w:r>
      <w:r w:rsidR="00904D55">
        <w:t xml:space="preserve">To </w:t>
      </w:r>
      <w:r w:rsidR="00A20491">
        <w:t>investigate</w:t>
      </w:r>
      <w:r w:rsidR="00904D55">
        <w:t xml:space="preserve"> this, firstly the student must understand the weapon system including the components and materials used.</w:t>
      </w:r>
    </w:p>
    <w:p w14:paraId="7BC0D9AF" w14:textId="1734E1DB" w:rsidR="00A20491" w:rsidRDefault="00A20491" w:rsidP="00644DF1">
      <w:r>
        <w:t xml:space="preserve">The student will </w:t>
      </w:r>
      <w:r w:rsidR="00DA625B">
        <w:t>be assessing the components, explosive trains</w:t>
      </w:r>
      <w:r w:rsidR="007B16B2">
        <w:t>, storage and transportation of fixed rounds and</w:t>
      </w:r>
      <w:r>
        <w:t xml:space="preserve"> separate loading round</w:t>
      </w:r>
      <w:r w:rsidR="007B16B2">
        <w:t>s</w:t>
      </w:r>
      <w:r w:rsidR="00E03083">
        <w:t xml:space="preserve">. The separate loading round will use stick propellants and the high explosive will be </w:t>
      </w:r>
      <w:r w:rsidR="00EA3F89">
        <w:t>melt cast TNT.</w:t>
      </w:r>
    </w:p>
    <w:p w14:paraId="398AEC0B" w14:textId="4634CA09" w:rsidR="00644DF1" w:rsidRDefault="00414DBD" w:rsidP="00644DF1">
      <w:r>
        <w:t>Upon the findings from the above, the student will determine whether the current set up is satisfactory and suggest ways in which the system could be improved.</w:t>
      </w:r>
    </w:p>
    <w:p w14:paraId="14284E2D" w14:textId="782969A9" w:rsidR="001C5548" w:rsidRDefault="001C5548" w:rsidP="001C5548">
      <w:pPr>
        <w:pStyle w:val="Heading1"/>
        <w:numPr>
          <w:ilvl w:val="0"/>
          <w:numId w:val="6"/>
        </w:numPr>
      </w:pPr>
      <w:bookmarkStart w:id="4" w:name="_Ref139032868"/>
      <w:bookmarkStart w:id="5" w:name="_Toc139034346"/>
      <w:r>
        <w:t>Explosive Trains</w:t>
      </w:r>
      <w:bookmarkEnd w:id="4"/>
      <w:bookmarkEnd w:id="5"/>
    </w:p>
    <w:p w14:paraId="10B11FC7" w14:textId="77777777" w:rsidR="00A40AC9" w:rsidRDefault="00132FEF" w:rsidP="00A40AC9">
      <w:pPr>
        <w:keepNext/>
      </w:pPr>
      <w:r w:rsidRPr="00A170D4">
        <w:rPr>
          <w:b/>
          <w:bCs/>
          <w:noProof/>
          <w:u w:val="single"/>
        </w:rPr>
        <w:drawing>
          <wp:inline distT="0" distB="0" distL="0" distR="0" wp14:anchorId="1660CDDB" wp14:editId="3A87AE55">
            <wp:extent cx="2658533" cy="1929541"/>
            <wp:effectExtent l="0" t="0" r="889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675078" cy="1941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1CBD74" w14:textId="77A993EA" w:rsidR="00A40AC9" w:rsidRDefault="00A40AC9" w:rsidP="00A40AC9">
      <w:pPr>
        <w:pStyle w:val="Caption"/>
      </w:pPr>
      <w:bookmarkStart w:id="6" w:name="_Ref139029491"/>
      <w:bookmarkStart w:id="7" w:name="_Ref139029495"/>
      <w:bookmarkStart w:id="8" w:name="_Ref139029523"/>
      <w:bookmarkStart w:id="9" w:name="_Toc139033500"/>
      <w:r>
        <w:t xml:space="preserve">Figure </w:t>
      </w:r>
      <w:r w:rsidR="00794B46">
        <w:fldChar w:fldCharType="begin"/>
      </w:r>
      <w:r w:rsidR="00794B46">
        <w:instrText xml:space="preserve"> SEQ Figure \* ARABIC </w:instrText>
      </w:r>
      <w:r w:rsidR="00794B46">
        <w:fldChar w:fldCharType="separate"/>
      </w:r>
      <w:r w:rsidR="00EA4B47">
        <w:rPr>
          <w:noProof/>
        </w:rPr>
        <w:t>2</w:t>
      </w:r>
      <w:r w:rsidR="00794B46">
        <w:rPr>
          <w:noProof/>
        </w:rPr>
        <w:fldChar w:fldCharType="end"/>
      </w:r>
      <w:bookmarkEnd w:id="6"/>
      <w:r>
        <w:t xml:space="preserve"> - Fixed round and </w:t>
      </w:r>
      <w:r w:rsidR="002857A1">
        <w:t>Separate</w:t>
      </w:r>
      <w:r>
        <w:t xml:space="preserve"> loading round components</w:t>
      </w:r>
      <w:bookmarkEnd w:id="7"/>
      <w:bookmarkEnd w:id="8"/>
      <w:bookmarkEnd w:id="9"/>
    </w:p>
    <w:p w14:paraId="18765E7E" w14:textId="77777777" w:rsidR="005F686F" w:rsidRDefault="00E47AFC" w:rsidP="005F686F">
      <w:pPr>
        <w:keepNext/>
      </w:pPr>
      <w:r>
        <w:rPr>
          <w:noProof/>
        </w:rPr>
        <w:drawing>
          <wp:inline distT="0" distB="0" distL="0" distR="0" wp14:anchorId="1638B792" wp14:editId="2A947740">
            <wp:extent cx="2658110" cy="2048933"/>
            <wp:effectExtent l="0" t="0" r="8890" b="8890"/>
            <wp:docPr id="2" name="Picture 2" descr="Ammunition | Britannic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mmunition | Britannica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473" b="4310"/>
                    <a:stretch/>
                  </pic:blipFill>
                  <pic:spPr bwMode="auto">
                    <a:xfrm>
                      <a:off x="0" y="0"/>
                      <a:ext cx="2678150" cy="2064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094FEA4" w14:textId="5CEE2EB2" w:rsidR="00E47AFC" w:rsidRDefault="005F686F" w:rsidP="005F686F">
      <w:pPr>
        <w:pStyle w:val="Caption"/>
      </w:pPr>
      <w:bookmarkStart w:id="10" w:name="_Toc139033501"/>
      <w:r>
        <w:t xml:space="preserve">Figure </w:t>
      </w:r>
      <w:r w:rsidR="00794B46">
        <w:fldChar w:fldCharType="begin"/>
      </w:r>
      <w:r w:rsidR="00794B46">
        <w:instrText xml:space="preserve"> SEQ Figure \* ARABIC </w:instrText>
      </w:r>
      <w:r w:rsidR="00794B46">
        <w:fldChar w:fldCharType="separate"/>
      </w:r>
      <w:r w:rsidR="00EA4B47">
        <w:rPr>
          <w:noProof/>
        </w:rPr>
        <w:t>3</w:t>
      </w:r>
      <w:r w:rsidR="00794B46">
        <w:rPr>
          <w:noProof/>
        </w:rPr>
        <w:fldChar w:fldCharType="end"/>
      </w:r>
      <w:r>
        <w:t xml:space="preserve"> - A view of 3 systems broken down by part</w:t>
      </w:r>
      <w:sdt>
        <w:sdtPr>
          <w:id w:val="-972592652"/>
          <w:citation/>
        </w:sdtPr>
        <w:sdtEndPr/>
        <w:sdtContent>
          <w:r w:rsidR="00816EB1">
            <w:fldChar w:fldCharType="begin"/>
          </w:r>
          <w:r w:rsidR="00816EB1">
            <w:instrText xml:space="preserve"> CITATION Mic231 \l 2057 </w:instrText>
          </w:r>
          <w:r w:rsidR="00816EB1">
            <w:fldChar w:fldCharType="separate"/>
          </w:r>
          <w:r w:rsidR="00816EB1">
            <w:rPr>
              <w:noProof/>
            </w:rPr>
            <w:t xml:space="preserve"> </w:t>
          </w:r>
          <w:r w:rsidR="00816EB1" w:rsidRPr="00816EB1">
            <w:rPr>
              <w:noProof/>
            </w:rPr>
            <w:t>[1]</w:t>
          </w:r>
          <w:r w:rsidR="00816EB1">
            <w:fldChar w:fldCharType="end"/>
          </w:r>
        </w:sdtContent>
      </w:sdt>
      <w:r>
        <w:t>.</w:t>
      </w:r>
      <w:bookmarkEnd w:id="10"/>
    </w:p>
    <w:p w14:paraId="75312689" w14:textId="77777777" w:rsidR="00372627" w:rsidRDefault="001F0D94" w:rsidP="006C28EF">
      <w:r>
        <w:t>Generally,</w:t>
      </w:r>
      <w:r w:rsidR="0041734A">
        <w:t xml:space="preserve"> an explosive train </w:t>
      </w:r>
      <w:r w:rsidR="00A47800">
        <w:t xml:space="preserve">is a sequence of events which lead to detonation and </w:t>
      </w:r>
      <w:r w:rsidR="0041734A">
        <w:t xml:space="preserve">will consist of </w:t>
      </w:r>
      <w:r w:rsidR="001E4DA7">
        <w:t>a detonator leading into a booster</w:t>
      </w:r>
      <w:r w:rsidR="00B834C9">
        <w:t>,</w:t>
      </w:r>
      <w:r w:rsidR="001E4DA7">
        <w:t xml:space="preserve"> then a main charge. As an example, this could be a primary explosive leading into a secondary and then a tertiary.</w:t>
      </w:r>
    </w:p>
    <w:p w14:paraId="4F181BC9" w14:textId="26458888" w:rsidR="006C28EF" w:rsidRDefault="00372627" w:rsidP="006C28EF">
      <w:r>
        <w:fldChar w:fldCharType="begin"/>
      </w:r>
      <w:r>
        <w:instrText xml:space="preserve"> REF _Ref139029523 \h </w:instrText>
      </w:r>
      <w:r>
        <w:fldChar w:fldCharType="separate"/>
      </w:r>
      <w:r>
        <w:t xml:space="preserve">Figure </w:t>
      </w:r>
      <w:r>
        <w:rPr>
          <w:noProof/>
        </w:rPr>
        <w:t>2</w:t>
      </w:r>
      <w:r>
        <w:t xml:space="preserve"> - Fixed round and Separate loading round components</w:t>
      </w:r>
      <w:r>
        <w:fldChar w:fldCharType="end"/>
      </w:r>
      <w:r>
        <w:t xml:space="preserve">, </w:t>
      </w:r>
      <w:r w:rsidR="006C28EF">
        <w:t xml:space="preserve">shows two different rounds and their makeup. The student is taking a closer focus on the Separate loading round. </w:t>
      </w:r>
    </w:p>
    <w:p w14:paraId="695C87CD" w14:textId="6232C39D" w:rsidR="003D2BA8" w:rsidRDefault="00F036B7" w:rsidP="001C5548">
      <w:r>
        <w:t xml:space="preserve">In this case the primer will contact the igniter pad </w:t>
      </w:r>
      <w:r w:rsidR="00E17AE1">
        <w:t>which is used to facilitate the ignition of the propelling charge.</w:t>
      </w:r>
      <w:r w:rsidR="004A65F4">
        <w:t xml:space="preserve"> The </w:t>
      </w:r>
      <w:r w:rsidR="00EB6F1A">
        <w:t>igniter pad will usually contain a primary explosive such as mercury fulminate.</w:t>
      </w:r>
      <w:r w:rsidR="007F42C4">
        <w:t xml:space="preserve"> This will start the </w:t>
      </w:r>
      <w:r w:rsidR="00943A2F">
        <w:t>explosive</w:t>
      </w:r>
      <w:r w:rsidR="007F42C4">
        <w:t xml:space="preserve"> train.</w:t>
      </w:r>
      <w:r w:rsidR="00943A2F">
        <w:t xml:space="preserve"> A primer is used to start </w:t>
      </w:r>
      <w:r w:rsidR="0024337E">
        <w:t xml:space="preserve">the ignition train for burning/deflagration </w:t>
      </w:r>
      <w:r w:rsidR="0024337E">
        <w:lastRenderedPageBreak/>
        <w:t>whereas a detonator would be</w:t>
      </w:r>
      <w:r w:rsidR="00CD64AE">
        <w:t xml:space="preserve"> used for detonation.</w:t>
      </w:r>
      <w:r w:rsidR="00E10485">
        <w:t xml:space="preserve"> </w:t>
      </w:r>
      <w:r w:rsidR="00865E91">
        <w:t xml:space="preserve">The </w:t>
      </w:r>
      <w:r w:rsidR="00E10485" w:rsidRPr="003B1E6D">
        <w:t>Propellant will burn and cause a release of gas</w:t>
      </w:r>
      <w:r w:rsidR="00F632C5" w:rsidRPr="003B1E6D">
        <w:t>, this will create build-up</w:t>
      </w:r>
      <w:r w:rsidR="00E10485" w:rsidRPr="003B1E6D">
        <w:t xml:space="preserve"> of pressure</w:t>
      </w:r>
      <w:r w:rsidR="002F7765" w:rsidRPr="003B1E6D">
        <w:t xml:space="preserve"> which will propel the </w:t>
      </w:r>
      <w:r w:rsidR="00F632C5" w:rsidRPr="003B1E6D">
        <w:t xml:space="preserve">projectile towards the target. The projectile </w:t>
      </w:r>
      <w:r w:rsidR="00D1475D" w:rsidRPr="003B1E6D">
        <w:t xml:space="preserve">follows the detonation train and will consist of a detonator </w:t>
      </w:r>
      <w:r w:rsidR="007C70BF" w:rsidRPr="003B1E6D">
        <w:t xml:space="preserve">which tends to be a primary explosive. That will in turn initiate the booster that tends to be a secondary explosive </w:t>
      </w:r>
      <w:r w:rsidR="00F568AB" w:rsidRPr="003B1E6D">
        <w:t xml:space="preserve">and the booster will initiate the main charge which </w:t>
      </w:r>
      <w:r w:rsidR="003B1E6D" w:rsidRPr="003B1E6D">
        <w:t>would generally be a secondary explosive too.</w:t>
      </w:r>
      <w:r w:rsidR="00283E88" w:rsidRPr="003B1E6D">
        <w:t xml:space="preserve"> </w:t>
      </w:r>
    </w:p>
    <w:p w14:paraId="4D327E53" w14:textId="77777777" w:rsidR="0079639B" w:rsidRDefault="0079639B" w:rsidP="0079639B">
      <w:pPr>
        <w:keepNext/>
      </w:pPr>
      <w:r>
        <w:rPr>
          <w:noProof/>
        </w:rPr>
        <w:drawing>
          <wp:inline distT="0" distB="0" distL="0" distR="0" wp14:anchorId="33EAFB99" wp14:editId="34F29C55">
            <wp:extent cx="2048933" cy="1250562"/>
            <wp:effectExtent l="0" t="0" r="8890" b="6985"/>
            <wp:docPr id="9" name="Picture 9" descr="Example of a 3-step high explosive trai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Example of a 3-step high explosive train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64082" cy="12598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19A5C1" w14:textId="243522BB" w:rsidR="0079639B" w:rsidRDefault="0079639B" w:rsidP="0079639B">
      <w:pPr>
        <w:pStyle w:val="Caption"/>
      </w:pPr>
      <w:bookmarkStart w:id="11" w:name="_Ref139029364"/>
      <w:bookmarkStart w:id="12" w:name="_Toc139033502"/>
      <w:r>
        <w:t xml:space="preserve">Figure </w:t>
      </w:r>
      <w:r w:rsidR="00794B46">
        <w:fldChar w:fldCharType="begin"/>
      </w:r>
      <w:r w:rsidR="00794B46">
        <w:instrText xml:space="preserve"> SEQ Figure \* ARABIC </w:instrText>
      </w:r>
      <w:r w:rsidR="00794B46">
        <w:fldChar w:fldCharType="separate"/>
      </w:r>
      <w:r w:rsidR="00EA4B47">
        <w:rPr>
          <w:noProof/>
        </w:rPr>
        <w:t>4</w:t>
      </w:r>
      <w:r w:rsidR="00794B46">
        <w:rPr>
          <w:noProof/>
        </w:rPr>
        <w:fldChar w:fldCharType="end"/>
      </w:r>
      <w:r>
        <w:t xml:space="preserve"> - Basic </w:t>
      </w:r>
      <w:r w:rsidR="002C05C9">
        <w:t xml:space="preserve">high </w:t>
      </w:r>
      <w:r>
        <w:t>explosive train</w:t>
      </w:r>
      <w:sdt>
        <w:sdtPr>
          <w:id w:val="1556046079"/>
          <w:citation/>
        </w:sdtPr>
        <w:sdtEndPr/>
        <w:sdtContent>
          <w:r w:rsidR="002C05C9">
            <w:fldChar w:fldCharType="begin"/>
          </w:r>
          <w:r w:rsidR="002C05C9">
            <w:instrText xml:space="preserve"> CITATION Mic23 \l 2057 </w:instrText>
          </w:r>
          <w:r w:rsidR="002C05C9">
            <w:fldChar w:fldCharType="separate"/>
          </w:r>
          <w:r w:rsidR="001F6D9D">
            <w:rPr>
              <w:noProof/>
            </w:rPr>
            <w:t xml:space="preserve"> </w:t>
          </w:r>
          <w:r w:rsidR="001F6D9D" w:rsidRPr="001F6D9D">
            <w:rPr>
              <w:noProof/>
            </w:rPr>
            <w:t>[1]</w:t>
          </w:r>
          <w:r w:rsidR="002C05C9">
            <w:fldChar w:fldCharType="end"/>
          </w:r>
        </w:sdtContent>
      </w:sdt>
      <w:bookmarkEnd w:id="11"/>
      <w:bookmarkEnd w:id="12"/>
    </w:p>
    <w:p w14:paraId="6816185C" w14:textId="43ADC44D" w:rsidR="00644DF1" w:rsidRDefault="008C5B8E" w:rsidP="00FB06AA">
      <w:pPr>
        <w:pStyle w:val="Heading1"/>
        <w:numPr>
          <w:ilvl w:val="0"/>
          <w:numId w:val="6"/>
        </w:numPr>
      </w:pPr>
      <w:bookmarkStart w:id="13" w:name="_Toc139034347"/>
      <w:r>
        <w:t>TNT</w:t>
      </w:r>
      <w:bookmarkEnd w:id="13"/>
    </w:p>
    <w:p w14:paraId="1969353E" w14:textId="173DF73F" w:rsidR="008C5B8E" w:rsidRDefault="00AA57E8" w:rsidP="008C5B8E">
      <w:pPr>
        <w:pStyle w:val="Heading2"/>
      </w:pPr>
      <w:bookmarkStart w:id="14" w:name="_Toc139034348"/>
      <w:r>
        <w:t>3</w:t>
      </w:r>
      <w:r w:rsidR="00FB06AA">
        <w:t>.1</w:t>
      </w:r>
      <w:r w:rsidR="0050055A">
        <w:t>.</w:t>
      </w:r>
      <w:r w:rsidR="00FB06AA">
        <w:t xml:space="preserve"> </w:t>
      </w:r>
      <w:r w:rsidR="008C5B8E">
        <w:t>Background and Information</w:t>
      </w:r>
      <w:bookmarkEnd w:id="14"/>
      <w:r w:rsidR="008C5B8E">
        <w:t xml:space="preserve"> </w:t>
      </w:r>
    </w:p>
    <w:p w14:paraId="03A2F8E5" w14:textId="285A273D" w:rsidR="000A3418" w:rsidRDefault="002E7077" w:rsidP="000A3418">
      <w:pPr>
        <w:pStyle w:val="NoSpacing"/>
      </w:pPr>
      <w:r>
        <w:t xml:space="preserve">TNT also known as Trinitrotoluene </w:t>
      </w:r>
      <w:r w:rsidR="004030B9">
        <w:t xml:space="preserve">is a compound used in explosive work with the formula of </w:t>
      </w:r>
      <w:r w:rsidR="004030B9">
        <w:rPr>
          <w:rFonts w:ascii="Arial" w:hAnsi="Arial" w:cs="Arial"/>
          <w:color w:val="000000"/>
          <w:sz w:val="20"/>
          <w:szCs w:val="20"/>
          <w:shd w:val="clear" w:color="auto" w:fill="FFFFFF"/>
        </w:rPr>
        <w:t>C</w:t>
      </w:r>
      <w:r w:rsidR="004030B9">
        <w:rPr>
          <w:rFonts w:ascii="Arial" w:hAnsi="Arial" w:cs="Arial"/>
          <w:color w:val="000000"/>
          <w:sz w:val="15"/>
          <w:szCs w:val="15"/>
          <w:shd w:val="clear" w:color="auto" w:fill="FFFFFF"/>
          <w:vertAlign w:val="subscript"/>
        </w:rPr>
        <w:t>6</w:t>
      </w:r>
      <w:r w:rsidR="004030B9">
        <w:rPr>
          <w:rFonts w:ascii="Arial" w:hAnsi="Arial" w:cs="Arial"/>
          <w:color w:val="000000"/>
          <w:sz w:val="20"/>
          <w:szCs w:val="20"/>
          <w:shd w:val="clear" w:color="auto" w:fill="FFFFFF"/>
        </w:rPr>
        <w:t>H</w:t>
      </w:r>
      <w:r w:rsidR="004030B9">
        <w:rPr>
          <w:rFonts w:ascii="Arial" w:hAnsi="Arial" w:cs="Arial"/>
          <w:color w:val="000000"/>
          <w:sz w:val="15"/>
          <w:szCs w:val="15"/>
          <w:shd w:val="clear" w:color="auto" w:fill="FFFFFF"/>
          <w:vertAlign w:val="subscript"/>
        </w:rPr>
        <w:t>2</w:t>
      </w:r>
      <w:r w:rsidR="004030B9">
        <w:rPr>
          <w:rFonts w:ascii="Arial" w:hAnsi="Arial" w:cs="Arial"/>
          <w:color w:val="000000"/>
          <w:sz w:val="20"/>
          <w:szCs w:val="20"/>
          <w:shd w:val="clear" w:color="auto" w:fill="FFFFFF"/>
        </w:rPr>
        <w:t>(NO</w:t>
      </w:r>
      <w:r w:rsidR="004030B9">
        <w:rPr>
          <w:rFonts w:ascii="Arial" w:hAnsi="Arial" w:cs="Arial"/>
          <w:color w:val="000000"/>
          <w:sz w:val="15"/>
          <w:szCs w:val="15"/>
          <w:shd w:val="clear" w:color="auto" w:fill="FFFFFF"/>
          <w:vertAlign w:val="subscript"/>
        </w:rPr>
        <w:t>2</w:t>
      </w:r>
      <w:r w:rsidR="004030B9">
        <w:rPr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  <w:r w:rsidR="004030B9">
        <w:rPr>
          <w:rFonts w:ascii="Arial" w:hAnsi="Arial" w:cs="Arial"/>
          <w:color w:val="000000"/>
          <w:sz w:val="15"/>
          <w:szCs w:val="15"/>
          <w:shd w:val="clear" w:color="auto" w:fill="FFFFFF"/>
          <w:vertAlign w:val="subscript"/>
        </w:rPr>
        <w:t>3</w:t>
      </w:r>
      <w:r w:rsidR="004030B9">
        <w:rPr>
          <w:rFonts w:ascii="Arial" w:hAnsi="Arial" w:cs="Arial"/>
          <w:color w:val="000000"/>
          <w:sz w:val="20"/>
          <w:szCs w:val="20"/>
          <w:shd w:val="clear" w:color="auto" w:fill="FFFFFF"/>
        </w:rPr>
        <w:t>CH</w:t>
      </w:r>
      <w:r w:rsidR="004030B9">
        <w:rPr>
          <w:rFonts w:ascii="Arial" w:hAnsi="Arial" w:cs="Arial"/>
          <w:color w:val="000000"/>
          <w:sz w:val="15"/>
          <w:szCs w:val="15"/>
          <w:shd w:val="clear" w:color="auto" w:fill="FFFFFF"/>
          <w:vertAlign w:val="subscript"/>
        </w:rPr>
        <w:t xml:space="preserve">3 </w:t>
      </w:r>
      <w:r w:rsidR="004030B9">
        <w:t>and has a melting</w:t>
      </w:r>
      <w:r w:rsidR="009A2A9D">
        <w:t xml:space="preserve"> temp</w:t>
      </w:r>
      <w:r w:rsidR="004030B9">
        <w:t>erature of around</w:t>
      </w:r>
      <w:r w:rsidR="009A2A9D">
        <w:t xml:space="preserve"> 80</w:t>
      </w:r>
      <w:r w:rsidR="00E51F61" w:rsidRPr="00E51F61">
        <w:t>°C</w:t>
      </w:r>
      <w:r w:rsidR="000A7347">
        <w:t xml:space="preserve"> at which point it will spontaneously detonate.</w:t>
      </w:r>
      <w:sdt>
        <w:sdtPr>
          <w:rPr>
            <w:vertAlign w:val="superscript"/>
          </w:rPr>
          <w:id w:val="-1083843980"/>
          <w:citation/>
        </w:sdtPr>
        <w:sdtEndPr/>
        <w:sdtContent>
          <w:r w:rsidR="006409D3" w:rsidRPr="007B5532">
            <w:rPr>
              <w:vertAlign w:val="superscript"/>
            </w:rPr>
            <w:fldChar w:fldCharType="begin"/>
          </w:r>
          <w:r w:rsidR="006409D3" w:rsidRPr="007B5532">
            <w:rPr>
              <w:vertAlign w:val="superscript"/>
            </w:rPr>
            <w:instrText xml:space="preserve"> CITATION Oxf20 \l 2057 </w:instrText>
          </w:r>
          <w:r w:rsidR="006409D3" w:rsidRPr="007B5532">
            <w:rPr>
              <w:vertAlign w:val="superscript"/>
            </w:rPr>
            <w:fldChar w:fldCharType="separate"/>
          </w:r>
          <w:r w:rsidR="001F6D9D">
            <w:rPr>
              <w:noProof/>
              <w:vertAlign w:val="superscript"/>
            </w:rPr>
            <w:t xml:space="preserve"> </w:t>
          </w:r>
          <w:r w:rsidR="001F6D9D" w:rsidRPr="001F6D9D">
            <w:rPr>
              <w:noProof/>
            </w:rPr>
            <w:t>[2]</w:t>
          </w:r>
          <w:r w:rsidR="006409D3" w:rsidRPr="007B5532">
            <w:rPr>
              <w:vertAlign w:val="superscript"/>
            </w:rPr>
            <w:fldChar w:fldCharType="end"/>
          </w:r>
        </w:sdtContent>
      </w:sdt>
      <w:r w:rsidR="00022862">
        <w:t xml:space="preserve"> </w:t>
      </w:r>
      <w:r w:rsidR="00923B6E">
        <w:t xml:space="preserve">on the other end of the scale, the boiling point is around </w:t>
      </w:r>
      <w:r w:rsidR="003A2D5D">
        <w:t>240</w:t>
      </w:r>
      <w:r w:rsidR="003A2D5D" w:rsidRPr="00E51F61">
        <w:t>°C</w:t>
      </w:r>
      <w:r w:rsidR="000A3418">
        <w:t>.</w:t>
      </w:r>
    </w:p>
    <w:p w14:paraId="13252654" w14:textId="4BAF7482" w:rsidR="00022862" w:rsidRDefault="00564EDB" w:rsidP="000A3418">
      <w:pPr>
        <w:pStyle w:val="NoSpacing"/>
      </w:pPr>
      <w:r>
        <w:t xml:space="preserve">The </w:t>
      </w:r>
      <w:r w:rsidR="00CF1409">
        <w:t>molecular weight of TNT is 227.15</w:t>
      </w:r>
      <w:sdt>
        <w:sdtPr>
          <w:id w:val="-1203790445"/>
          <w:citation/>
        </w:sdtPr>
        <w:sdtEndPr/>
        <w:sdtContent>
          <w:r w:rsidR="00AE2E16">
            <w:fldChar w:fldCharType="begin"/>
          </w:r>
          <w:r w:rsidR="00AE2E16">
            <w:rPr>
              <w:lang w:val="en-GB"/>
            </w:rPr>
            <w:instrText xml:space="preserve"> CITATION Uni20 \l 2057 </w:instrText>
          </w:r>
          <w:r w:rsidR="00AE2E16">
            <w:fldChar w:fldCharType="separate"/>
          </w:r>
          <w:r w:rsidR="001F6D9D">
            <w:rPr>
              <w:noProof/>
              <w:lang w:val="en-GB"/>
            </w:rPr>
            <w:t xml:space="preserve"> </w:t>
          </w:r>
          <w:r w:rsidR="001F6D9D" w:rsidRPr="001F6D9D">
            <w:rPr>
              <w:noProof/>
              <w:lang w:val="en-GB"/>
            </w:rPr>
            <w:t>[3]</w:t>
          </w:r>
          <w:r w:rsidR="00AE2E16">
            <w:fldChar w:fldCharType="end"/>
          </w:r>
        </w:sdtContent>
      </w:sdt>
      <w:r w:rsidR="00923B6E">
        <w:t>.</w:t>
      </w:r>
    </w:p>
    <w:p w14:paraId="015C61CB" w14:textId="77777777" w:rsidR="000A3418" w:rsidRPr="00022862" w:rsidRDefault="000A3418" w:rsidP="000A3418">
      <w:pPr>
        <w:pStyle w:val="NoSpacing"/>
      </w:pPr>
    </w:p>
    <w:p w14:paraId="100903D7" w14:textId="6F5B28ED" w:rsidR="008C5B8E" w:rsidRPr="008C5B8E" w:rsidRDefault="00AA57E8" w:rsidP="008C5B8E">
      <w:pPr>
        <w:pStyle w:val="Heading2"/>
      </w:pPr>
      <w:bookmarkStart w:id="15" w:name="_Toc139034349"/>
      <w:r>
        <w:t>3</w:t>
      </w:r>
      <w:r w:rsidR="00FB06AA">
        <w:t>.</w:t>
      </w:r>
      <w:r w:rsidR="00022862">
        <w:t>2</w:t>
      </w:r>
      <w:r w:rsidR="0050055A">
        <w:t>.</w:t>
      </w:r>
      <w:r w:rsidR="00FB06AA">
        <w:t xml:space="preserve"> Melt cast</w:t>
      </w:r>
      <w:r w:rsidR="00A12EF3">
        <w:t xml:space="preserve"> </w:t>
      </w:r>
      <w:r w:rsidR="00FB06AA">
        <w:t>TNT</w:t>
      </w:r>
      <w:bookmarkEnd w:id="15"/>
    </w:p>
    <w:p w14:paraId="2D179136" w14:textId="539A5921" w:rsidR="00E872DD" w:rsidRDefault="007608D7" w:rsidP="008C5B8E">
      <w:r>
        <w:t xml:space="preserve">In general, melt cast </w:t>
      </w:r>
      <w:r w:rsidR="00564EA5">
        <w:t>explosives</w:t>
      </w:r>
      <w:r>
        <w:t xml:space="preserve"> are</w:t>
      </w:r>
      <w:r w:rsidR="009E4599">
        <w:t xml:space="preserve"> composed of granular explosive components</w:t>
      </w:r>
      <w:r w:rsidR="00D77E30">
        <w:t xml:space="preserve">. In this case the student is looking at TNT, an insensitive </w:t>
      </w:r>
      <w:r w:rsidR="00166C9C">
        <w:t xml:space="preserve">secondary explosive. Melt cast explosives are widely used in </w:t>
      </w:r>
      <w:r w:rsidR="00564EA5">
        <w:t>munitions as they have the bonus of being relatively low cost and very easy to mould/shape</w:t>
      </w:r>
      <w:sdt>
        <w:sdtPr>
          <w:rPr>
            <w:vertAlign w:val="superscript"/>
          </w:rPr>
          <w:id w:val="-958640218"/>
          <w:citation/>
        </w:sdtPr>
        <w:sdtEndPr/>
        <w:sdtContent>
          <w:r w:rsidR="00564EA5" w:rsidRPr="00564EA5">
            <w:rPr>
              <w:vertAlign w:val="superscript"/>
            </w:rPr>
            <w:fldChar w:fldCharType="begin"/>
          </w:r>
          <w:r w:rsidR="00564EA5" w:rsidRPr="00564EA5">
            <w:rPr>
              <w:vertAlign w:val="superscript"/>
            </w:rPr>
            <w:instrText xml:space="preserve"> CITATION Shu21 \l 2057 </w:instrText>
          </w:r>
          <w:r w:rsidR="00564EA5" w:rsidRPr="00564EA5">
            <w:rPr>
              <w:vertAlign w:val="superscript"/>
            </w:rPr>
            <w:fldChar w:fldCharType="separate"/>
          </w:r>
          <w:r w:rsidR="001F6D9D">
            <w:rPr>
              <w:noProof/>
              <w:vertAlign w:val="superscript"/>
            </w:rPr>
            <w:t xml:space="preserve"> </w:t>
          </w:r>
          <w:r w:rsidR="001F6D9D" w:rsidRPr="001F6D9D">
            <w:rPr>
              <w:noProof/>
            </w:rPr>
            <w:t>[4]</w:t>
          </w:r>
          <w:r w:rsidR="00564EA5" w:rsidRPr="00564EA5">
            <w:rPr>
              <w:vertAlign w:val="superscript"/>
            </w:rPr>
            <w:fldChar w:fldCharType="end"/>
          </w:r>
        </w:sdtContent>
      </w:sdt>
      <w:r w:rsidR="00564EA5">
        <w:t>.</w:t>
      </w:r>
      <w:r w:rsidR="00E0438B">
        <w:t xml:space="preserve"> But as stated in the new journal of chemistry there are efforts in changing melt cast TNT and substituting in another material </w:t>
      </w:r>
      <w:r w:rsidR="0016607D">
        <w:t xml:space="preserve">as the melt cast matrix in the explosive charges. This is due to its low performance </w:t>
      </w:r>
      <w:r w:rsidR="00775C2B">
        <w:rPr>
          <w:rFonts w:ascii="Source Sans Pro" w:hAnsi="Source Sans Pro"/>
          <w:shd w:val="clear" w:color="auto" w:fill="FFFFFF"/>
        </w:rPr>
        <w:t>(</w:t>
      </w:r>
      <w:proofErr w:type="spellStart"/>
      <w:r w:rsidR="00775C2B">
        <w:rPr>
          <w:rStyle w:val="Emphasis"/>
          <w:rFonts w:ascii="Source Sans Pro" w:hAnsi="Source Sans Pro"/>
          <w:shd w:val="clear" w:color="auto" w:fill="FFFFFF"/>
        </w:rPr>
        <w:t>V</w:t>
      </w:r>
      <w:r w:rsidR="00775C2B">
        <w:rPr>
          <w:rFonts w:ascii="Source Sans Pro" w:hAnsi="Source Sans Pro"/>
          <w:shd w:val="clear" w:color="auto" w:fill="FFFFFF"/>
          <w:vertAlign w:val="subscript"/>
        </w:rPr>
        <w:t>det</w:t>
      </w:r>
      <w:proofErr w:type="spellEnd"/>
      <w:r w:rsidR="00775C2B">
        <w:rPr>
          <w:rFonts w:ascii="Source Sans Pro" w:hAnsi="Source Sans Pro"/>
          <w:shd w:val="clear" w:color="auto" w:fill="FFFFFF"/>
        </w:rPr>
        <w:t> = 7300 m s</w:t>
      </w:r>
      <w:r w:rsidR="00775C2B">
        <w:rPr>
          <w:rFonts w:ascii="Source Sans Pro" w:hAnsi="Source Sans Pro"/>
          <w:shd w:val="clear" w:color="auto" w:fill="FFFFFF"/>
          <w:vertAlign w:val="superscript"/>
        </w:rPr>
        <w:t>−1</w:t>
      </w:r>
      <w:r w:rsidR="00775C2B">
        <w:rPr>
          <w:rFonts w:ascii="Source Sans Pro" w:hAnsi="Source Sans Pro"/>
          <w:shd w:val="clear" w:color="auto" w:fill="FFFFFF"/>
        </w:rPr>
        <w:t xml:space="preserve">) </w:t>
      </w:r>
      <w:r w:rsidR="0016607D">
        <w:t>and security issues</w:t>
      </w:r>
      <w:r w:rsidR="00775C2B">
        <w:t>.</w:t>
      </w:r>
      <w:r w:rsidR="0074654B">
        <w:t xml:space="preserve"> Melt cast TNT is brittle and prone to cracking which leads to instabilities within the material</w:t>
      </w:r>
      <w:sdt>
        <w:sdtPr>
          <w:id w:val="-1650817550"/>
          <w:citation/>
        </w:sdtPr>
        <w:sdtEndPr/>
        <w:sdtContent>
          <w:r w:rsidR="0016607D">
            <w:fldChar w:fldCharType="begin"/>
          </w:r>
          <w:r w:rsidR="0016607D">
            <w:instrText xml:space="preserve"> CITATION Tho16 \l 2057 </w:instrText>
          </w:r>
          <w:r w:rsidR="0016607D">
            <w:fldChar w:fldCharType="separate"/>
          </w:r>
          <w:r w:rsidR="0016607D">
            <w:rPr>
              <w:noProof/>
            </w:rPr>
            <w:t xml:space="preserve"> </w:t>
          </w:r>
          <w:r w:rsidR="0016607D" w:rsidRPr="0016607D">
            <w:rPr>
              <w:noProof/>
            </w:rPr>
            <w:t>[5]</w:t>
          </w:r>
          <w:r w:rsidR="0016607D">
            <w:fldChar w:fldCharType="end"/>
          </w:r>
        </w:sdtContent>
      </w:sdt>
      <w:r w:rsidR="0016607D">
        <w:t>.</w:t>
      </w:r>
    </w:p>
    <w:p w14:paraId="10669CC2" w14:textId="2E19BA5D" w:rsidR="001C5548" w:rsidRDefault="001C5548" w:rsidP="001C5548">
      <w:pPr>
        <w:pStyle w:val="Heading1"/>
        <w:numPr>
          <w:ilvl w:val="0"/>
          <w:numId w:val="6"/>
        </w:numPr>
      </w:pPr>
      <w:bookmarkStart w:id="16" w:name="_Toc139034350"/>
      <w:r>
        <w:t>Propellants</w:t>
      </w:r>
      <w:bookmarkEnd w:id="16"/>
    </w:p>
    <w:p w14:paraId="329FAF81" w14:textId="2141AB73" w:rsidR="00A20693" w:rsidRPr="00A20693" w:rsidRDefault="00FD01CD" w:rsidP="00FD01CD">
      <w:pPr>
        <w:pStyle w:val="Heading2"/>
      </w:pPr>
      <w:bookmarkStart w:id="17" w:name="_Toc139034351"/>
      <w:r>
        <w:t>4.1</w:t>
      </w:r>
      <w:r w:rsidR="0050055A">
        <w:t>.</w:t>
      </w:r>
      <w:r>
        <w:t xml:space="preserve"> Propellant definitions</w:t>
      </w:r>
      <w:bookmarkEnd w:id="17"/>
    </w:p>
    <w:p w14:paraId="188B0F14" w14:textId="795C4DB2" w:rsidR="004F75C7" w:rsidRDefault="007E4ECC" w:rsidP="001C5548">
      <w:r>
        <w:t xml:space="preserve">A propellant </w:t>
      </w:r>
      <w:r w:rsidR="008E7043">
        <w:t>is used within a weapon system to do exactly what it says on the tin, to propel something. In the case of the separate loading round</w:t>
      </w:r>
      <w:r w:rsidR="004B168D">
        <w:t xml:space="preserve">, stick propellant is used and will caused a build up of gas and pressure to </w:t>
      </w:r>
      <w:r w:rsidR="00701ED4">
        <w:t>then force the projectile to shoot towards the target.</w:t>
      </w:r>
    </w:p>
    <w:p w14:paraId="3B3DA0BE" w14:textId="3B8D9B06" w:rsidR="00701ED4" w:rsidRDefault="00D50732" w:rsidP="001C5548">
      <w:r>
        <w:t xml:space="preserve">There are </w:t>
      </w:r>
      <w:r w:rsidR="00354467">
        <w:t>four</w:t>
      </w:r>
      <w:r>
        <w:t xml:space="preserve"> types of </w:t>
      </w:r>
      <w:r w:rsidR="007F6714">
        <w:t>propellant.</w:t>
      </w:r>
    </w:p>
    <w:p w14:paraId="15773F2F" w14:textId="3D22104D" w:rsidR="001C5548" w:rsidRDefault="00C73358" w:rsidP="001C5548">
      <w:r w:rsidRPr="007F6714">
        <w:rPr>
          <w:b/>
          <w:bCs/>
        </w:rPr>
        <w:t>Single</w:t>
      </w:r>
      <w:r w:rsidR="00D50732" w:rsidRPr="007F6714">
        <w:rPr>
          <w:b/>
          <w:bCs/>
        </w:rPr>
        <w:t xml:space="preserve"> based propellants:</w:t>
      </w:r>
      <w:r w:rsidR="005B7C02">
        <w:t xml:space="preserve"> A propellant in which </w:t>
      </w:r>
      <w:r w:rsidR="004C327A">
        <w:t>Nitrocellulose</w:t>
      </w:r>
      <w:r w:rsidR="00FD52E4">
        <w:t xml:space="preserve"> is the only explosive ingredient. This would usually be used in small arms ammunition. </w:t>
      </w:r>
    </w:p>
    <w:p w14:paraId="0B1D7995" w14:textId="7CE6986D" w:rsidR="00C73358" w:rsidRDefault="00C73358" w:rsidP="001C5548">
      <w:r w:rsidRPr="007F6714">
        <w:rPr>
          <w:b/>
          <w:bCs/>
        </w:rPr>
        <w:t xml:space="preserve">Double </w:t>
      </w:r>
      <w:r w:rsidR="00D50732" w:rsidRPr="007F6714">
        <w:rPr>
          <w:b/>
          <w:bCs/>
        </w:rPr>
        <w:t>based propellants:</w:t>
      </w:r>
      <w:r w:rsidR="004C327A">
        <w:t xml:space="preserve"> These propellants contain Nitro-glycerine in addition to Nitrocellulose</w:t>
      </w:r>
      <w:r w:rsidR="00E862CD">
        <w:t>. They are more energetic than single based propellants and likely use a stabiliser such as carb</w:t>
      </w:r>
      <w:r w:rsidR="00DD73C4">
        <w:t>a</w:t>
      </w:r>
      <w:r w:rsidR="00E862CD">
        <w:t>mite.</w:t>
      </w:r>
    </w:p>
    <w:p w14:paraId="61263673" w14:textId="42E9A02E" w:rsidR="00C73358" w:rsidRDefault="00C73358" w:rsidP="001C5548">
      <w:r w:rsidRPr="007F6714">
        <w:rPr>
          <w:b/>
          <w:bCs/>
        </w:rPr>
        <w:t>Triple</w:t>
      </w:r>
      <w:r w:rsidR="00D50732" w:rsidRPr="007F6714">
        <w:rPr>
          <w:b/>
          <w:bCs/>
        </w:rPr>
        <w:t xml:space="preserve"> based propellants:</w:t>
      </w:r>
      <w:r w:rsidR="00637D7E">
        <w:t xml:space="preserve"> Triple based contain </w:t>
      </w:r>
      <w:r w:rsidR="0053667B">
        <w:t>Nitrocellulose</w:t>
      </w:r>
      <w:r w:rsidR="00637D7E">
        <w:t xml:space="preserve">, </w:t>
      </w:r>
      <w:r w:rsidR="0053667B">
        <w:t>Nitro-glycerine</w:t>
      </w:r>
      <w:r w:rsidR="00637D7E">
        <w:t xml:space="preserve"> and up to 55% nitroguanidine</w:t>
      </w:r>
      <w:r w:rsidR="0053667B">
        <w:t>. Again, a stabiliser is likely to be used.</w:t>
      </w:r>
    </w:p>
    <w:p w14:paraId="269FB37E" w14:textId="4E7E9A88" w:rsidR="00537A9C" w:rsidRDefault="00537A9C" w:rsidP="001C5548">
      <w:r w:rsidRPr="007F6714">
        <w:rPr>
          <w:b/>
          <w:bCs/>
        </w:rPr>
        <w:t>High energy gun propellants:</w:t>
      </w:r>
      <w:r w:rsidR="002E1445">
        <w:t xml:space="preserve"> This is as simple as adding RDX to simple or double based propellants.</w:t>
      </w:r>
    </w:p>
    <w:p w14:paraId="190F5369" w14:textId="7DFE2265" w:rsidR="006325F0" w:rsidRDefault="00F01569" w:rsidP="00186421">
      <w:pPr>
        <w:keepNext/>
        <w:rPr>
          <w:noProof/>
        </w:rPr>
      </w:pPr>
      <w:r>
        <w:rPr>
          <w:noProof/>
        </w:rPr>
        <w:lastRenderedPageBreak/>
        <w:drawing>
          <wp:inline distT="0" distB="0" distL="0" distR="0" wp14:anchorId="1140B201" wp14:editId="14F5C326">
            <wp:extent cx="3379092" cy="999067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" b="30540"/>
                    <a:stretch/>
                  </pic:blipFill>
                  <pic:spPr bwMode="auto">
                    <a:xfrm>
                      <a:off x="0" y="0"/>
                      <a:ext cx="3390460" cy="10024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3C87B99" w14:textId="77F9F9C1" w:rsidR="00C73358" w:rsidRDefault="00186421" w:rsidP="00186421">
      <w:pPr>
        <w:pStyle w:val="Caption"/>
      </w:pPr>
      <w:bookmarkStart w:id="18" w:name="_Ref139029353"/>
      <w:bookmarkStart w:id="19" w:name="_Toc139033503"/>
      <w:r>
        <w:t xml:space="preserve">Figure </w:t>
      </w:r>
      <w:r w:rsidR="00794B46">
        <w:fldChar w:fldCharType="begin"/>
      </w:r>
      <w:r w:rsidR="00794B46">
        <w:instrText xml:space="preserve"> SEQ Figure \* ARABIC </w:instrText>
      </w:r>
      <w:r w:rsidR="00794B46">
        <w:fldChar w:fldCharType="separate"/>
      </w:r>
      <w:r w:rsidR="00EA4B47">
        <w:rPr>
          <w:noProof/>
        </w:rPr>
        <w:t>5</w:t>
      </w:r>
      <w:r w:rsidR="00794B46">
        <w:rPr>
          <w:noProof/>
        </w:rPr>
        <w:fldChar w:fldCharType="end"/>
      </w:r>
      <w:r>
        <w:t xml:space="preserve"> - Projectile with bagged propellant.</w:t>
      </w:r>
      <w:sdt>
        <w:sdtPr>
          <w:id w:val="1452277518"/>
          <w:citation/>
        </w:sdtPr>
        <w:sdtEndPr/>
        <w:sdtContent>
          <w:r w:rsidR="004978BA">
            <w:fldChar w:fldCharType="begin"/>
          </w:r>
          <w:r w:rsidR="004978BA">
            <w:instrText xml:space="preserve"> CITATION Nig14 \l 2057 </w:instrText>
          </w:r>
          <w:r w:rsidR="004978BA">
            <w:fldChar w:fldCharType="separate"/>
          </w:r>
          <w:r w:rsidR="004978BA">
            <w:rPr>
              <w:noProof/>
            </w:rPr>
            <w:t xml:space="preserve"> </w:t>
          </w:r>
          <w:r w:rsidR="004978BA" w:rsidRPr="004978BA">
            <w:rPr>
              <w:noProof/>
            </w:rPr>
            <w:t>[5]</w:t>
          </w:r>
          <w:r w:rsidR="004978BA">
            <w:fldChar w:fldCharType="end"/>
          </w:r>
        </w:sdtContent>
      </w:sdt>
      <w:bookmarkEnd w:id="18"/>
      <w:bookmarkEnd w:id="19"/>
    </w:p>
    <w:p w14:paraId="282D9197" w14:textId="77777777" w:rsidR="00474E1A" w:rsidRPr="00474E1A" w:rsidRDefault="00474E1A" w:rsidP="00474E1A"/>
    <w:p w14:paraId="719703D3" w14:textId="77777777" w:rsidR="000B2AAE" w:rsidRDefault="006325F0" w:rsidP="000B2AAE">
      <w:pPr>
        <w:keepNext/>
      </w:pPr>
      <w:r>
        <w:rPr>
          <w:noProof/>
        </w:rPr>
        <w:drawing>
          <wp:inline distT="0" distB="0" distL="0" distR="0" wp14:anchorId="31ABC2FA" wp14:editId="5CEC757F">
            <wp:extent cx="3285067" cy="1052402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05501" cy="105894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7E2300A" w14:textId="1BDA9CBB" w:rsidR="006325F0" w:rsidRDefault="000B2AAE" w:rsidP="000B2AAE">
      <w:pPr>
        <w:pStyle w:val="Caption"/>
      </w:pPr>
      <w:bookmarkStart w:id="20" w:name="_Ref139029432"/>
      <w:bookmarkStart w:id="21" w:name="_Toc139033504"/>
      <w:r>
        <w:t xml:space="preserve">Figure </w:t>
      </w:r>
      <w:r w:rsidR="00794B46">
        <w:fldChar w:fldCharType="begin"/>
      </w:r>
      <w:r w:rsidR="00794B46">
        <w:instrText xml:space="preserve"> SEQ Figure \* ARABIC </w:instrText>
      </w:r>
      <w:r w:rsidR="00794B46">
        <w:fldChar w:fldCharType="separate"/>
      </w:r>
      <w:r w:rsidR="00EA4B47">
        <w:rPr>
          <w:noProof/>
        </w:rPr>
        <w:t>6</w:t>
      </w:r>
      <w:r w:rsidR="00794B46">
        <w:rPr>
          <w:noProof/>
        </w:rPr>
        <w:fldChar w:fldCharType="end"/>
      </w:r>
      <w:r>
        <w:t xml:space="preserve"> - Complete round showing cutaway </w:t>
      </w:r>
      <w:r w:rsidR="005B25C7">
        <w:t>cartridge</w:t>
      </w:r>
      <w:r>
        <w:t>.</w:t>
      </w:r>
      <w:sdt>
        <w:sdtPr>
          <w:id w:val="-1614585266"/>
          <w:citation/>
        </w:sdtPr>
        <w:sdtEndPr/>
        <w:sdtContent>
          <w:r w:rsidR="004978BA">
            <w:fldChar w:fldCharType="begin"/>
          </w:r>
          <w:r w:rsidR="004978BA">
            <w:instrText xml:space="preserve"> CITATION Nig14 \l 2057 </w:instrText>
          </w:r>
          <w:r w:rsidR="004978BA">
            <w:fldChar w:fldCharType="separate"/>
          </w:r>
          <w:r w:rsidR="004978BA">
            <w:rPr>
              <w:noProof/>
            </w:rPr>
            <w:t xml:space="preserve"> </w:t>
          </w:r>
          <w:r w:rsidR="004978BA" w:rsidRPr="004978BA">
            <w:rPr>
              <w:noProof/>
            </w:rPr>
            <w:t>[5]</w:t>
          </w:r>
          <w:r w:rsidR="004978BA">
            <w:fldChar w:fldCharType="end"/>
          </w:r>
        </w:sdtContent>
      </w:sdt>
      <w:bookmarkEnd w:id="20"/>
      <w:bookmarkEnd w:id="21"/>
    </w:p>
    <w:p w14:paraId="3B29CA6F" w14:textId="21317367" w:rsidR="00BD6A5D" w:rsidRDefault="005B25C7" w:rsidP="000B2AAE">
      <w:r>
        <w:t xml:space="preserve">In </w:t>
      </w:r>
      <w:r w:rsidR="002033B1">
        <w:fldChar w:fldCharType="begin"/>
      </w:r>
      <w:r w:rsidR="002033B1">
        <w:instrText xml:space="preserve"> REF _Ref139029353 \h </w:instrText>
      </w:r>
      <w:r w:rsidR="002033B1">
        <w:fldChar w:fldCharType="separate"/>
      </w:r>
      <w:r w:rsidR="002033B1">
        <w:t xml:space="preserve">Figure </w:t>
      </w:r>
      <w:r w:rsidR="002033B1">
        <w:rPr>
          <w:noProof/>
        </w:rPr>
        <w:t>5</w:t>
      </w:r>
      <w:r w:rsidR="002033B1">
        <w:t xml:space="preserve"> - Projectile with bagged propellant.</w:t>
      </w:r>
      <w:sdt>
        <w:sdtPr>
          <w:id w:val="1930537152"/>
          <w:citation/>
        </w:sdtPr>
        <w:sdtContent>
          <w:r w:rsidR="002033B1">
            <w:fldChar w:fldCharType="begin"/>
          </w:r>
          <w:r w:rsidR="002033B1">
            <w:instrText xml:space="preserve"> CITATION Nig14 \l 2057 </w:instrText>
          </w:r>
          <w:r w:rsidR="002033B1">
            <w:fldChar w:fldCharType="separate"/>
          </w:r>
          <w:r w:rsidR="002033B1">
            <w:rPr>
              <w:noProof/>
            </w:rPr>
            <w:t xml:space="preserve"> </w:t>
          </w:r>
          <w:r w:rsidR="002033B1" w:rsidRPr="004978BA">
            <w:rPr>
              <w:noProof/>
            </w:rPr>
            <w:t>[5]</w:t>
          </w:r>
          <w:r w:rsidR="002033B1">
            <w:fldChar w:fldCharType="end"/>
          </w:r>
        </w:sdtContent>
      </w:sdt>
      <w:r w:rsidR="002033B1">
        <w:fldChar w:fldCharType="end"/>
      </w:r>
      <w:r w:rsidR="00956537">
        <w:t xml:space="preserve"> And </w:t>
      </w:r>
      <w:r w:rsidR="00956537">
        <w:fldChar w:fldCharType="begin"/>
      </w:r>
      <w:r w:rsidR="00956537">
        <w:instrText xml:space="preserve"> REF _Ref139029432 \h </w:instrText>
      </w:r>
      <w:r w:rsidR="00956537">
        <w:fldChar w:fldCharType="separate"/>
      </w:r>
      <w:r w:rsidR="00956537">
        <w:t xml:space="preserve">Figure </w:t>
      </w:r>
      <w:r w:rsidR="00956537">
        <w:rPr>
          <w:noProof/>
        </w:rPr>
        <w:t>6</w:t>
      </w:r>
      <w:r w:rsidR="00956537">
        <w:t xml:space="preserve"> - Complete round showing cutaway cartridge.</w:t>
      </w:r>
      <w:sdt>
        <w:sdtPr>
          <w:id w:val="-1410079921"/>
          <w:citation/>
        </w:sdtPr>
        <w:sdtContent>
          <w:r w:rsidR="00956537">
            <w:fldChar w:fldCharType="begin"/>
          </w:r>
          <w:r w:rsidR="00956537">
            <w:instrText xml:space="preserve"> CITATION Nig14 \l 2057 </w:instrText>
          </w:r>
          <w:r w:rsidR="00956537">
            <w:fldChar w:fldCharType="separate"/>
          </w:r>
          <w:r w:rsidR="00956537">
            <w:rPr>
              <w:noProof/>
            </w:rPr>
            <w:t xml:space="preserve"> </w:t>
          </w:r>
          <w:r w:rsidR="00956537" w:rsidRPr="004978BA">
            <w:rPr>
              <w:noProof/>
            </w:rPr>
            <w:t>[5]</w:t>
          </w:r>
          <w:r w:rsidR="00956537">
            <w:fldChar w:fldCharType="end"/>
          </w:r>
        </w:sdtContent>
      </w:sdt>
      <w:r w:rsidR="00956537">
        <w:fldChar w:fldCharType="end"/>
      </w:r>
      <w:r>
        <w:t xml:space="preserve"> it can be seen how </w:t>
      </w:r>
      <w:r w:rsidR="00047BFE">
        <w:t xml:space="preserve">rounds </w:t>
      </w:r>
      <w:r>
        <w:t>would look with the propellant charge bags included at the back of the system</w:t>
      </w:r>
      <w:r w:rsidR="001E0DB1">
        <w:t>.</w:t>
      </w:r>
      <w:r w:rsidR="008F4B23">
        <w:t xml:space="preserve"> </w:t>
      </w:r>
      <w:r w:rsidR="003D79DC">
        <w:t xml:space="preserve">For figure 4, a </w:t>
      </w:r>
      <w:r w:rsidR="00216175">
        <w:t>BL</w:t>
      </w:r>
      <w:r w:rsidR="009B18D4">
        <w:t xml:space="preserve"> (Breech loading)</w:t>
      </w:r>
      <w:r w:rsidR="00216175">
        <w:t xml:space="preserve"> round is shown and </w:t>
      </w:r>
      <w:r w:rsidR="008F4B23">
        <w:t>It was a QF</w:t>
      </w:r>
      <w:r w:rsidR="00467C22">
        <w:t xml:space="preserve"> (</w:t>
      </w:r>
      <w:r w:rsidR="004978BA">
        <w:t>Quick firing</w:t>
      </w:r>
      <w:r w:rsidR="00467C22">
        <w:t>)</w:t>
      </w:r>
      <w:r w:rsidR="008F4B23">
        <w:t xml:space="preserve"> round used for</w:t>
      </w:r>
      <w:r w:rsidR="003D79DC">
        <w:t xml:space="preserve"> figure 5</w:t>
      </w:r>
      <w:r w:rsidR="00467C22">
        <w:t>.</w:t>
      </w:r>
    </w:p>
    <w:p w14:paraId="34F0F31B" w14:textId="62E90A6C" w:rsidR="00FD01CD" w:rsidRDefault="00FD01CD" w:rsidP="00FD01CD">
      <w:pPr>
        <w:pStyle w:val="Heading2"/>
      </w:pPr>
      <w:bookmarkStart w:id="22" w:name="_Toc139034352"/>
      <w:r>
        <w:t>4.2</w:t>
      </w:r>
      <w:r w:rsidR="0050055A">
        <w:t>.</w:t>
      </w:r>
      <w:r>
        <w:t xml:space="preserve"> Stabilisers</w:t>
      </w:r>
      <w:bookmarkEnd w:id="22"/>
    </w:p>
    <w:p w14:paraId="73505D51" w14:textId="36601E04" w:rsidR="00FD01CD" w:rsidRDefault="00FD01CD" w:rsidP="00FD01CD">
      <w:r w:rsidRPr="007F6714">
        <w:t>Stabilisers were mentioned in the above definitions of the propellants. A stabiliser absorbs oxides of nitrogen and have the ability to dissolve in the propellant matrix. They are inert to Nitrocellulose and Nitro-glycerine.</w:t>
      </w:r>
      <w:r>
        <w:t xml:space="preserve"> They are used due to Nitrocellulose and Nitro-glycerine decomposing slowly at normal temperatures forming Nitrogen, mainly Nitrogen dioxide. If these oxides are not removed, then it could lead to things such as auto ignition or a shortened storage life of the propellant. They play a key part in the lifecycle.</w:t>
      </w:r>
      <w:r w:rsidR="005E6252">
        <w:t xml:space="preserve"> </w:t>
      </w:r>
    </w:p>
    <w:p w14:paraId="762EF4FC" w14:textId="026A43D7" w:rsidR="005E6252" w:rsidRPr="00657DE7" w:rsidRDefault="005E6252" w:rsidP="00FD01CD">
      <w:pPr>
        <w:rPr>
          <w:sz w:val="23"/>
          <w:szCs w:val="23"/>
        </w:rPr>
      </w:pPr>
      <w:r>
        <w:rPr>
          <w:sz w:val="23"/>
          <w:szCs w:val="23"/>
        </w:rPr>
        <w:t xml:space="preserve">The shelf life is usually determined not by stabiliser depletion but by the deterioration of </w:t>
      </w:r>
      <w:r w:rsidRPr="00657DE7">
        <w:rPr>
          <w:sz w:val="23"/>
          <w:szCs w:val="23"/>
        </w:rPr>
        <w:t>physico-mechanical properties or ballistic performance which can render the propellant unsafe to handle or unreliable in use</w:t>
      </w:r>
      <w:sdt>
        <w:sdtPr>
          <w:rPr>
            <w:sz w:val="23"/>
            <w:szCs w:val="23"/>
          </w:rPr>
          <w:id w:val="-370378491"/>
          <w:citation/>
        </w:sdtPr>
        <w:sdtContent>
          <w:r w:rsidR="00ED7CF9" w:rsidRPr="00657DE7">
            <w:rPr>
              <w:sz w:val="23"/>
              <w:szCs w:val="23"/>
            </w:rPr>
            <w:fldChar w:fldCharType="begin"/>
          </w:r>
          <w:r w:rsidR="00ED7CF9" w:rsidRPr="00657DE7">
            <w:rPr>
              <w:sz w:val="23"/>
              <w:szCs w:val="23"/>
            </w:rPr>
            <w:instrText xml:space="preserve"> CITATION Min20 \l 2057 </w:instrText>
          </w:r>
          <w:r w:rsidR="00ED7CF9" w:rsidRPr="00657DE7">
            <w:rPr>
              <w:sz w:val="23"/>
              <w:szCs w:val="23"/>
            </w:rPr>
            <w:fldChar w:fldCharType="separate"/>
          </w:r>
          <w:r w:rsidR="00ED7CF9" w:rsidRPr="00657DE7">
            <w:rPr>
              <w:noProof/>
              <w:sz w:val="23"/>
              <w:szCs w:val="23"/>
            </w:rPr>
            <w:t xml:space="preserve"> [8]</w:t>
          </w:r>
          <w:r w:rsidR="00ED7CF9" w:rsidRPr="00657DE7">
            <w:rPr>
              <w:sz w:val="23"/>
              <w:szCs w:val="23"/>
            </w:rPr>
            <w:fldChar w:fldCharType="end"/>
          </w:r>
        </w:sdtContent>
      </w:sdt>
      <w:r w:rsidRPr="00657DE7">
        <w:rPr>
          <w:sz w:val="23"/>
          <w:szCs w:val="23"/>
        </w:rPr>
        <w:t>.</w:t>
      </w:r>
    </w:p>
    <w:p w14:paraId="2B3B11BC" w14:textId="5DE6AE35" w:rsidR="00657DE7" w:rsidRDefault="00657DE7" w:rsidP="00BD2C99">
      <w:proofErr w:type="spellStart"/>
      <w:r w:rsidRPr="00657DE7">
        <w:t>Sherif</w:t>
      </w:r>
      <w:proofErr w:type="spellEnd"/>
      <w:r w:rsidRPr="00657DE7">
        <w:t xml:space="preserve"> </w:t>
      </w:r>
      <w:proofErr w:type="spellStart"/>
      <w:r w:rsidRPr="00657DE7">
        <w:t>Elbasuney</w:t>
      </w:r>
      <w:proofErr w:type="spellEnd"/>
      <w:r w:rsidRPr="00657DE7">
        <w:t xml:space="preserve"> points out that c</w:t>
      </w:r>
      <w:r w:rsidR="003A147F" w:rsidRPr="00657DE7">
        <w:t>onventional double-base propellants, with proper percentage of stabili</w:t>
      </w:r>
      <w:r w:rsidR="006F1327">
        <w:t>s</w:t>
      </w:r>
      <w:r w:rsidR="003A147F" w:rsidRPr="00657DE7">
        <w:t>er, can offer a safe chemical life of at least 20 years</w:t>
      </w:r>
      <w:r w:rsidR="003A147F" w:rsidRPr="00657DE7">
        <w:t xml:space="preserve"> </w:t>
      </w:r>
      <w:sdt>
        <w:sdtPr>
          <w:id w:val="-1118827943"/>
          <w:citation/>
        </w:sdtPr>
        <w:sdtContent>
          <w:r w:rsidR="003A147F" w:rsidRPr="00657DE7">
            <w:fldChar w:fldCharType="begin"/>
          </w:r>
          <w:r w:rsidR="003A147F" w:rsidRPr="00657DE7">
            <w:instrText xml:space="preserve"> CITATION She18 \l 2057 </w:instrText>
          </w:r>
          <w:r w:rsidR="003A147F" w:rsidRPr="00657DE7">
            <w:fldChar w:fldCharType="separate"/>
          </w:r>
          <w:r w:rsidR="003A147F" w:rsidRPr="00657DE7">
            <w:rPr>
              <w:noProof/>
            </w:rPr>
            <w:t>[9]</w:t>
          </w:r>
          <w:r w:rsidR="003A147F" w:rsidRPr="00657DE7">
            <w:fldChar w:fldCharType="end"/>
          </w:r>
        </w:sdtContent>
      </w:sdt>
      <w:r w:rsidR="006F1327">
        <w:t xml:space="preserve"> which indicates that measurements of the materials involved would be very important to the process</w:t>
      </w:r>
      <w:r w:rsidR="00665437">
        <w:t>.</w:t>
      </w:r>
    </w:p>
    <w:p w14:paraId="2909BF69" w14:textId="77777777" w:rsidR="005C1D59" w:rsidRDefault="005C1D59" w:rsidP="00BD2C99"/>
    <w:p w14:paraId="7E794A07" w14:textId="77777777" w:rsidR="005C1D59" w:rsidRDefault="005C1D59" w:rsidP="00BD2C99"/>
    <w:p w14:paraId="53F74B50" w14:textId="77777777" w:rsidR="005C1D59" w:rsidRDefault="005C1D59" w:rsidP="00BD2C99"/>
    <w:p w14:paraId="2538B08B" w14:textId="77777777" w:rsidR="005C1D59" w:rsidRPr="00657DE7" w:rsidRDefault="005C1D59" w:rsidP="00BD2C99"/>
    <w:p w14:paraId="04E76E2F" w14:textId="7BFC0786" w:rsidR="00A20693" w:rsidRDefault="00A20693" w:rsidP="00A20693">
      <w:pPr>
        <w:pStyle w:val="Heading2"/>
      </w:pPr>
      <w:bookmarkStart w:id="23" w:name="_Toc139034353"/>
      <w:r>
        <w:lastRenderedPageBreak/>
        <w:t>4.</w:t>
      </w:r>
      <w:r w:rsidR="00FD01CD">
        <w:t>3</w:t>
      </w:r>
      <w:r w:rsidR="0050055A">
        <w:t>.</w:t>
      </w:r>
      <w:r>
        <w:t xml:space="preserve"> Cartridge cases</w:t>
      </w:r>
      <w:bookmarkEnd w:id="23"/>
    </w:p>
    <w:p w14:paraId="41423F3F" w14:textId="2B7AC9DC" w:rsidR="00794226" w:rsidRPr="00794226" w:rsidRDefault="00794226" w:rsidP="00794226">
      <w:pPr>
        <w:pStyle w:val="Heading3"/>
      </w:pPr>
      <w:bookmarkStart w:id="24" w:name="_Toc139034354"/>
      <w:r>
        <w:t>4.3.1 Cartridge case use with propellants</w:t>
      </w:r>
      <w:bookmarkEnd w:id="24"/>
    </w:p>
    <w:p w14:paraId="56BDEDC1" w14:textId="77777777" w:rsidR="004D1422" w:rsidRDefault="00A21660" w:rsidP="004D1422">
      <w:pPr>
        <w:keepNext/>
      </w:pPr>
      <w:r>
        <w:t xml:space="preserve">The case is integral to the functionality and </w:t>
      </w:r>
      <w:r w:rsidR="00EC563D">
        <w:t>make-up</w:t>
      </w:r>
      <w:r>
        <w:t xml:space="preserve"> of the </w:t>
      </w:r>
      <w:r w:rsidR="0000098B">
        <w:t>system,</w:t>
      </w:r>
      <w:r>
        <w:t xml:space="preserve"> and this is due to it essen</w:t>
      </w:r>
      <w:r w:rsidR="00EC563D">
        <w:t>tially being the housing for the functional components</w:t>
      </w:r>
      <w:r w:rsidR="0000098B">
        <w:t xml:space="preserve"> and the protection </w:t>
      </w:r>
      <w:r w:rsidR="00E95682">
        <w:t xml:space="preserve">from external </w:t>
      </w:r>
      <w:r w:rsidR="00030144">
        <w:t>elements.</w:t>
      </w:r>
      <w:r w:rsidR="0000098B">
        <w:t xml:space="preserve"> </w:t>
      </w:r>
    </w:p>
    <w:p w14:paraId="4F56D6B6" w14:textId="7989EA8A" w:rsidR="004D1422" w:rsidRDefault="004D1422" w:rsidP="004D1422">
      <w:r>
        <w:t xml:space="preserve">Examples of cartridge cases can be seen below in </w:t>
      </w:r>
      <w:r w:rsidR="002033B1">
        <w:fldChar w:fldCharType="begin"/>
      </w:r>
      <w:r w:rsidR="002033B1">
        <w:instrText xml:space="preserve"> REF _Ref139029340 \h </w:instrText>
      </w:r>
      <w:r w:rsidR="002033B1">
        <w:fldChar w:fldCharType="separate"/>
      </w:r>
      <w:r w:rsidR="002033B1">
        <w:t xml:space="preserve">Figure </w:t>
      </w:r>
      <w:r w:rsidR="002033B1">
        <w:rPr>
          <w:noProof/>
        </w:rPr>
        <w:t>7</w:t>
      </w:r>
      <w:r w:rsidR="002033B1">
        <w:t xml:space="preserve"> -</w:t>
      </w:r>
      <w:r w:rsidR="002033B1" w:rsidRPr="00210810">
        <w:t xml:space="preserve"> Examples of cartridge cases.</w:t>
      </w:r>
      <w:r w:rsidR="002033B1">
        <w:fldChar w:fldCharType="end"/>
      </w:r>
    </w:p>
    <w:p w14:paraId="4DA647FE" w14:textId="3A292003" w:rsidR="004D1422" w:rsidRDefault="004D1422" w:rsidP="004D1422">
      <w:pPr>
        <w:keepNext/>
      </w:pPr>
      <w:r w:rsidRPr="00372210">
        <w:rPr>
          <w:noProof/>
        </w:rPr>
        <w:drawing>
          <wp:inline distT="0" distB="0" distL="0" distR="0" wp14:anchorId="2AF8A25B" wp14:editId="1F793A6D">
            <wp:extent cx="2875097" cy="1693333"/>
            <wp:effectExtent l="0" t="0" r="1905" b="254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890373" cy="1702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996659" w14:textId="1F103DE6" w:rsidR="00EC563D" w:rsidRDefault="004D1422" w:rsidP="004D1422">
      <w:pPr>
        <w:pStyle w:val="Caption"/>
      </w:pPr>
      <w:bookmarkStart w:id="25" w:name="_Ref139029340"/>
      <w:bookmarkStart w:id="26" w:name="_Toc13903350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A4B47">
        <w:rPr>
          <w:noProof/>
        </w:rPr>
        <w:t>7</w:t>
      </w:r>
      <w:r>
        <w:fldChar w:fldCharType="end"/>
      </w:r>
      <w:r>
        <w:t xml:space="preserve"> -</w:t>
      </w:r>
      <w:r w:rsidRPr="00210810">
        <w:t xml:space="preserve"> Examples of cartridge cases.</w:t>
      </w:r>
      <w:bookmarkEnd w:id="25"/>
      <w:bookmarkEnd w:id="26"/>
    </w:p>
    <w:p w14:paraId="07D31E22" w14:textId="717AC30B" w:rsidR="00C9315D" w:rsidRDefault="00C9315D" w:rsidP="00C9315D">
      <w:r>
        <w:t>Cartridge cases are used for the following.</w:t>
      </w:r>
    </w:p>
    <w:p w14:paraId="28DDD794" w14:textId="4A17A816" w:rsidR="00FD01CD" w:rsidRPr="00C9315D" w:rsidRDefault="00FD01CD" w:rsidP="00C9315D">
      <w:pPr>
        <w:pStyle w:val="ListParagraph"/>
        <w:numPr>
          <w:ilvl w:val="0"/>
          <w:numId w:val="9"/>
        </w:numPr>
      </w:pPr>
      <w:r w:rsidRPr="00C9315D">
        <w:t>To contain the propellant</w:t>
      </w:r>
    </w:p>
    <w:p w14:paraId="61A41604" w14:textId="68075909" w:rsidR="00FD01CD" w:rsidRPr="00C9315D" w:rsidRDefault="00FD01CD" w:rsidP="00C9315D">
      <w:pPr>
        <w:pStyle w:val="ListParagraph"/>
        <w:numPr>
          <w:ilvl w:val="0"/>
          <w:numId w:val="9"/>
        </w:numPr>
      </w:pPr>
      <w:r w:rsidRPr="00C9315D">
        <w:t>To provide environmental protection to the propellant and primer</w:t>
      </w:r>
    </w:p>
    <w:p w14:paraId="157C1013" w14:textId="67E1B2C1" w:rsidR="00FD01CD" w:rsidRDefault="00FD01CD" w:rsidP="00C9315D">
      <w:pPr>
        <w:pStyle w:val="ListParagraph"/>
        <w:numPr>
          <w:ilvl w:val="0"/>
          <w:numId w:val="9"/>
        </w:numPr>
      </w:pPr>
      <w:r w:rsidRPr="00C9315D">
        <w:t>The composition can be varied to aid wear reduction and extend barrel life.</w:t>
      </w:r>
    </w:p>
    <w:p w14:paraId="7BFAAEFD" w14:textId="7DF2EB59" w:rsidR="00886502" w:rsidRPr="00886502" w:rsidRDefault="00886502" w:rsidP="00886502">
      <w:pPr>
        <w:rPr>
          <w:rFonts w:cstheme="minorHAnsi"/>
          <w:color w:val="000000"/>
        </w:rPr>
      </w:pPr>
      <w:r w:rsidRPr="00886502">
        <w:rPr>
          <w:rFonts w:cstheme="minorHAnsi"/>
          <w:color w:val="000000"/>
        </w:rPr>
        <w:t>Cartridge cases must be flexible enough to expand under pressure and seal the rear of the barrel, yet strong enough to remain intact at peak operating pressure.</w:t>
      </w:r>
      <w:r w:rsidR="00544228">
        <w:rPr>
          <w:rFonts w:cstheme="minorHAnsi"/>
          <w:color w:val="000000"/>
        </w:rPr>
        <w:t xml:space="preserve"> Commonly, brass is used as the material due to it</w:t>
      </w:r>
      <w:r w:rsidR="009B6F0A">
        <w:rPr>
          <w:rFonts w:cstheme="minorHAnsi"/>
          <w:color w:val="000000"/>
        </w:rPr>
        <w:t>s good corrosion resistance.</w:t>
      </w:r>
    </w:p>
    <w:p w14:paraId="7E73532C" w14:textId="59CA736F" w:rsidR="001975B9" w:rsidRDefault="001975B9" w:rsidP="001975B9">
      <w:r>
        <w:t>There are downsides to using cartridge cases such as</w:t>
      </w:r>
      <w:r w:rsidR="006E00FF">
        <w:t>.</w:t>
      </w:r>
    </w:p>
    <w:p w14:paraId="1865C6E6" w14:textId="7ADBEE71" w:rsidR="006E00FF" w:rsidRDefault="006E00FF" w:rsidP="006E00FF">
      <w:pPr>
        <w:pStyle w:val="ListParagraph"/>
        <w:numPr>
          <w:ilvl w:val="0"/>
          <w:numId w:val="9"/>
        </w:numPr>
      </w:pPr>
      <w:r>
        <w:t>An added mass to the system</w:t>
      </w:r>
    </w:p>
    <w:p w14:paraId="4B89DABE" w14:textId="2BC43438" w:rsidR="006E00FF" w:rsidRDefault="006E00FF" w:rsidP="006E00FF">
      <w:pPr>
        <w:pStyle w:val="ListParagraph"/>
        <w:numPr>
          <w:ilvl w:val="0"/>
          <w:numId w:val="9"/>
        </w:numPr>
      </w:pPr>
      <w:r>
        <w:t>The hot components ejected from the gun are potentially hazardous</w:t>
      </w:r>
    </w:p>
    <w:p w14:paraId="03C1DCA5" w14:textId="5C19575B" w:rsidR="008316C5" w:rsidRDefault="008316C5" w:rsidP="008316C5">
      <w:pPr>
        <w:pStyle w:val="Heading3"/>
      </w:pPr>
      <w:bookmarkStart w:id="27" w:name="_Ref139031680"/>
      <w:bookmarkStart w:id="28" w:name="_Ref139031692"/>
      <w:bookmarkStart w:id="29" w:name="_Ref139031696"/>
      <w:bookmarkStart w:id="30" w:name="_Ref139031700"/>
      <w:bookmarkStart w:id="31" w:name="_Ref139031717"/>
      <w:bookmarkStart w:id="32" w:name="_Ref139031725"/>
      <w:bookmarkStart w:id="33" w:name="_Toc139034355"/>
      <w:r>
        <w:t>4.3.2 Potential elimination of cartridge cases</w:t>
      </w:r>
      <w:bookmarkEnd w:id="27"/>
      <w:bookmarkEnd w:id="28"/>
      <w:bookmarkEnd w:id="29"/>
      <w:bookmarkEnd w:id="30"/>
      <w:bookmarkEnd w:id="31"/>
      <w:bookmarkEnd w:id="32"/>
      <w:bookmarkEnd w:id="33"/>
    </w:p>
    <w:p w14:paraId="236D18F5" w14:textId="20F4D96D" w:rsidR="00E41525" w:rsidRDefault="006B7582" w:rsidP="006B7582">
      <w:r>
        <w:t>As mentioned in JSP 333</w:t>
      </w:r>
      <w:sdt>
        <w:sdtPr>
          <w:id w:val="-834758065"/>
          <w:citation/>
        </w:sdtPr>
        <w:sdtContent>
          <w:r w:rsidR="008316C5">
            <w:fldChar w:fldCharType="begin"/>
          </w:r>
          <w:r w:rsidR="008316C5">
            <w:instrText xml:space="preserve"> CITATION Min20 \l 2057 </w:instrText>
          </w:r>
          <w:r w:rsidR="008316C5">
            <w:fldChar w:fldCharType="separate"/>
          </w:r>
          <w:r w:rsidR="008316C5">
            <w:rPr>
              <w:noProof/>
            </w:rPr>
            <w:t xml:space="preserve"> </w:t>
          </w:r>
          <w:r w:rsidR="008316C5" w:rsidRPr="008316C5">
            <w:rPr>
              <w:noProof/>
            </w:rPr>
            <w:t>[8]</w:t>
          </w:r>
          <w:r w:rsidR="008316C5">
            <w:fldChar w:fldCharType="end"/>
          </w:r>
        </w:sdtContent>
      </w:sdt>
      <w:r>
        <w:t xml:space="preserve">, although Brass cartridge cases have been used for over a decade, there has been many investigations </w:t>
      </w:r>
      <w:r w:rsidR="00D10433">
        <w:t>into eliminating the use of them. One of the reasons for this is the rising cost of the material</w:t>
      </w:r>
      <w:r w:rsidR="001B01D7">
        <w:t xml:space="preserve"> due to mineral reserves becoming depleted. Suggestions and then </w:t>
      </w:r>
      <w:r w:rsidR="007242C5">
        <w:t>attempts</w:t>
      </w:r>
      <w:r w:rsidR="001B01D7">
        <w:t xml:space="preserve"> were made to salvage some of the already used cartridge cases to recycle them but this </w:t>
      </w:r>
      <w:r w:rsidR="00D16F6F">
        <w:t>became</w:t>
      </w:r>
      <w:r w:rsidR="001B01D7">
        <w:t xml:space="preserve"> an expensive mission.</w:t>
      </w:r>
      <w:r w:rsidR="00D16F6F">
        <w:t xml:space="preserve"> A second reason would be the weight, Brass is a very </w:t>
      </w:r>
      <w:r w:rsidR="007242C5">
        <w:t>dense</w:t>
      </w:r>
      <w:r w:rsidR="00D16F6F">
        <w:t xml:space="preserve"> material and </w:t>
      </w:r>
      <w:r w:rsidR="007242C5">
        <w:t>increases the overall weight of the case hugely. This is not an ideal scenario for transportation and use when being handled by the user.</w:t>
      </w:r>
    </w:p>
    <w:p w14:paraId="6BA28B19" w14:textId="2E44AFE4" w:rsidR="00CC580F" w:rsidRDefault="00CC580F" w:rsidP="006B7582">
      <w:r>
        <w:t>JSP 333</w:t>
      </w:r>
      <w:sdt>
        <w:sdtPr>
          <w:id w:val="2107381494"/>
          <w:citation/>
        </w:sdtPr>
        <w:sdtContent>
          <w:r w:rsidR="0044691C">
            <w:fldChar w:fldCharType="begin"/>
          </w:r>
          <w:r w:rsidR="0044691C">
            <w:instrText xml:space="preserve"> CITATION Min20 \l 2057 </w:instrText>
          </w:r>
          <w:r w:rsidR="0044691C">
            <w:fldChar w:fldCharType="separate"/>
          </w:r>
          <w:r w:rsidR="0044691C">
            <w:rPr>
              <w:noProof/>
            </w:rPr>
            <w:t xml:space="preserve"> </w:t>
          </w:r>
          <w:r w:rsidR="0044691C" w:rsidRPr="0044691C">
            <w:rPr>
              <w:noProof/>
            </w:rPr>
            <w:t>[8]</w:t>
          </w:r>
          <w:r w:rsidR="0044691C">
            <w:fldChar w:fldCharType="end"/>
          </w:r>
        </w:sdtContent>
      </w:sdt>
      <w:r>
        <w:t xml:space="preserve"> goes on to mention three potential solutions to the </w:t>
      </w:r>
      <w:r w:rsidR="000E3C23">
        <w:t>changing/</w:t>
      </w:r>
      <w:r w:rsidR="0044691C">
        <w:t>removal</w:t>
      </w:r>
      <w:r w:rsidR="000E3C23">
        <w:t xml:space="preserve"> of the cartridge case. </w:t>
      </w:r>
    </w:p>
    <w:p w14:paraId="305DEE5D" w14:textId="519C6CED" w:rsidR="000E3C23" w:rsidRDefault="000E3C23" w:rsidP="000E3C23">
      <w:pPr>
        <w:pStyle w:val="ListParagraph"/>
        <w:numPr>
          <w:ilvl w:val="0"/>
          <w:numId w:val="9"/>
        </w:numPr>
      </w:pPr>
      <w:r>
        <w:t>Scale down the size of the c</w:t>
      </w:r>
      <w:r w:rsidR="00F3720D">
        <w:t>artridge (this would have effects on the range and barrel life).</w:t>
      </w:r>
    </w:p>
    <w:p w14:paraId="3551B467" w14:textId="31B6EC85" w:rsidR="00F3720D" w:rsidRDefault="00F3720D" w:rsidP="000E3C23">
      <w:pPr>
        <w:pStyle w:val="ListParagraph"/>
        <w:numPr>
          <w:ilvl w:val="0"/>
          <w:numId w:val="9"/>
        </w:numPr>
      </w:pPr>
      <w:r>
        <w:t>Complete removal of the metal case.</w:t>
      </w:r>
    </w:p>
    <w:p w14:paraId="2A5FCB00" w14:textId="4D090603" w:rsidR="0044691C" w:rsidRDefault="0044691C" w:rsidP="000E3C23">
      <w:pPr>
        <w:pStyle w:val="ListParagraph"/>
        <w:numPr>
          <w:ilvl w:val="0"/>
          <w:numId w:val="9"/>
        </w:numPr>
      </w:pPr>
      <w:r>
        <w:t>Replace the metal case with a combustible one.</w:t>
      </w:r>
    </w:p>
    <w:p w14:paraId="2E5447E7" w14:textId="40F1FF51" w:rsidR="009A53E2" w:rsidRPr="00EA4B47" w:rsidRDefault="009A53E2" w:rsidP="009A53E2">
      <w:r>
        <w:lastRenderedPageBreak/>
        <w:t xml:space="preserve">The final suggestion of a combustible case </w:t>
      </w:r>
      <w:r w:rsidR="00D71E6C">
        <w:t>was</w:t>
      </w:r>
      <w:r>
        <w:t xml:space="preserve"> the approach taken when designing the separate loading road. The case is fully combustible.</w:t>
      </w:r>
      <w:r w:rsidR="00D71E6C">
        <w:t xml:space="preserve"> It remains to be seen which approach will lead the way in futu</w:t>
      </w:r>
      <w:r w:rsidR="00D71E6C" w:rsidRPr="00EA4B47">
        <w:t xml:space="preserve">re designs for </w:t>
      </w:r>
      <w:r w:rsidR="00EC6E7F" w:rsidRPr="00EA4B47">
        <w:t>weapon systems.</w:t>
      </w:r>
    </w:p>
    <w:p w14:paraId="1C8F670E" w14:textId="329DEE34" w:rsidR="00C90B59" w:rsidRDefault="009B4F77" w:rsidP="00B30AEA">
      <w:r w:rsidRPr="00EA4B47">
        <w:t>One theory was tried and tested by various companies including NASA</w:t>
      </w:r>
      <w:r w:rsidR="00985A37" w:rsidRPr="00EA4B47">
        <w:t>. This is the introduction of liquid gun propellant.</w:t>
      </w:r>
      <w:r w:rsidR="00C402F4" w:rsidRPr="00EA4B47">
        <w:t xml:space="preserve"> This could be used via the </w:t>
      </w:r>
      <w:r w:rsidR="00EA4B47" w:rsidRPr="00EA4B47">
        <w:fldChar w:fldCharType="begin"/>
      </w:r>
      <w:r w:rsidR="00EA4B47" w:rsidRPr="00EA4B47">
        <w:instrText xml:space="preserve"> REF _Ref139031082 \h </w:instrText>
      </w:r>
      <w:r w:rsidR="00EA4B47" w:rsidRPr="00EA4B47">
        <w:fldChar w:fldCharType="separate"/>
      </w:r>
      <w:r w:rsidR="00EA4B47" w:rsidRPr="00EA4B47">
        <w:t xml:space="preserve">Figure </w:t>
      </w:r>
      <w:r w:rsidR="00EA4B47" w:rsidRPr="00EA4B47">
        <w:rPr>
          <w:noProof/>
        </w:rPr>
        <w:t>8</w:t>
      </w:r>
      <w:r w:rsidR="00EA4B47" w:rsidRPr="00EA4B47">
        <w:t xml:space="preserve"> - Travelling charge injection system</w:t>
      </w:r>
      <w:r w:rsidR="00EA4B47" w:rsidRPr="00EA4B47">
        <w:fldChar w:fldCharType="end"/>
      </w:r>
      <w:r w:rsidR="00901C26">
        <w:t>.</w:t>
      </w:r>
      <w:r w:rsidR="00970E36">
        <w:t xml:space="preserve"> </w:t>
      </w:r>
      <w:r w:rsidR="003F123E">
        <w:t>The propellant is loaded behind the projectile and is backed by a perforated piston as can be seen in the figure.</w:t>
      </w:r>
    </w:p>
    <w:p w14:paraId="6ED496A4" w14:textId="31BBA687" w:rsidR="0090672E" w:rsidRDefault="00D42E57" w:rsidP="00D42E57">
      <w:r>
        <w:t xml:space="preserve">As written </w:t>
      </w:r>
      <w:r w:rsidR="0090672E">
        <w:t>by Alan Bailey and S.G. Murray</w:t>
      </w:r>
      <w:sdt>
        <w:sdtPr>
          <w:id w:val="489455947"/>
          <w:citation/>
        </w:sdtPr>
        <w:sdtContent>
          <w:r w:rsidR="0090672E">
            <w:fldChar w:fldCharType="begin"/>
          </w:r>
          <w:r w:rsidR="0090672E">
            <w:instrText xml:space="preserve"> CITATION Ala00 \l 2057 </w:instrText>
          </w:r>
          <w:r w:rsidR="0090672E">
            <w:fldChar w:fldCharType="separate"/>
          </w:r>
          <w:r w:rsidR="0090672E">
            <w:rPr>
              <w:noProof/>
            </w:rPr>
            <w:t xml:space="preserve"> </w:t>
          </w:r>
          <w:r w:rsidR="0090672E" w:rsidRPr="0090672E">
            <w:rPr>
              <w:noProof/>
            </w:rPr>
            <w:t>[9]</w:t>
          </w:r>
          <w:r w:rsidR="0090672E">
            <w:fldChar w:fldCharType="end"/>
          </w:r>
        </w:sdtContent>
      </w:sdt>
      <w:r w:rsidR="0090672E">
        <w:t xml:space="preserve">, </w:t>
      </w:r>
      <w:r w:rsidR="00F51BAC">
        <w:t>There are advantages to using a liquid propellant including.</w:t>
      </w:r>
    </w:p>
    <w:p w14:paraId="4F0B69E7" w14:textId="1039513A" w:rsidR="00F51BAC" w:rsidRDefault="00F51BAC" w:rsidP="00F51BAC">
      <w:pPr>
        <w:pStyle w:val="ListParagraph"/>
        <w:numPr>
          <w:ilvl w:val="0"/>
          <w:numId w:val="9"/>
        </w:numPr>
      </w:pPr>
      <w:r>
        <w:t>The elimination of cartridge cases</w:t>
      </w:r>
    </w:p>
    <w:p w14:paraId="1C5BB039" w14:textId="755D4726" w:rsidR="00F51BAC" w:rsidRDefault="00F51BAC" w:rsidP="00F51BAC">
      <w:pPr>
        <w:pStyle w:val="ListParagraph"/>
        <w:numPr>
          <w:ilvl w:val="0"/>
          <w:numId w:val="9"/>
        </w:numPr>
      </w:pPr>
      <w:r>
        <w:t>The ease of manufacture</w:t>
      </w:r>
      <w:r w:rsidR="005B5CDD">
        <w:t xml:space="preserve">, </w:t>
      </w:r>
      <w:r w:rsidR="00B90DFC">
        <w:t>storage,</w:t>
      </w:r>
      <w:r w:rsidR="005B5CDD">
        <w:t xml:space="preserve"> and transportation.</w:t>
      </w:r>
    </w:p>
    <w:p w14:paraId="5BB6E609" w14:textId="632918F6" w:rsidR="005B5CDD" w:rsidRDefault="005B5CDD" w:rsidP="00F51BAC">
      <w:pPr>
        <w:pStyle w:val="ListParagraph"/>
        <w:numPr>
          <w:ilvl w:val="0"/>
          <w:numId w:val="9"/>
        </w:numPr>
      </w:pPr>
      <w:r>
        <w:t>Low vulnerability of ignition by enemy fire</w:t>
      </w:r>
    </w:p>
    <w:p w14:paraId="7B074ADB" w14:textId="5F5AA99B" w:rsidR="005B5CDD" w:rsidRDefault="005B5CDD" w:rsidP="00F51BAC">
      <w:pPr>
        <w:pStyle w:val="ListParagraph"/>
        <w:numPr>
          <w:ilvl w:val="0"/>
          <w:numId w:val="9"/>
        </w:numPr>
      </w:pPr>
      <w:r>
        <w:t xml:space="preserve">Easier use </w:t>
      </w:r>
      <w:r w:rsidR="00B90DFC">
        <w:t>in armoured vehicles</w:t>
      </w:r>
    </w:p>
    <w:p w14:paraId="37F3C323" w14:textId="35F20A3F" w:rsidR="00B90DFC" w:rsidRDefault="00B90DFC" w:rsidP="00F51BAC">
      <w:pPr>
        <w:pStyle w:val="ListParagraph"/>
        <w:numPr>
          <w:ilvl w:val="0"/>
          <w:numId w:val="9"/>
        </w:numPr>
      </w:pPr>
      <w:r>
        <w:t>Reduction of smoke, flash and bore erosion</w:t>
      </w:r>
    </w:p>
    <w:p w14:paraId="510F4003" w14:textId="77777777" w:rsidR="00EA4B47" w:rsidRDefault="00EA4B47" w:rsidP="00EA4B47">
      <w:pPr>
        <w:keepNext/>
      </w:pPr>
      <w:r w:rsidRPr="00EA4B47">
        <w:rPr>
          <w:color w:val="FF0000"/>
        </w:rPr>
        <w:drawing>
          <wp:inline distT="0" distB="0" distL="0" distR="0" wp14:anchorId="69E5E31A" wp14:editId="33464A84">
            <wp:extent cx="4239217" cy="2667372"/>
            <wp:effectExtent l="0" t="0" r="9525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239217" cy="26673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3E86E0" w14:textId="08C7EC60" w:rsidR="00E41525" w:rsidRPr="00E41525" w:rsidRDefault="00EA4B47" w:rsidP="005C1D59">
      <w:pPr>
        <w:pStyle w:val="Caption"/>
      </w:pPr>
      <w:bookmarkStart w:id="34" w:name="_Ref139031082"/>
      <w:bookmarkStart w:id="35" w:name="_Toc13903350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8</w:t>
      </w:r>
      <w:r>
        <w:fldChar w:fldCharType="end"/>
      </w:r>
      <w:r>
        <w:t xml:space="preserve"> - Travelling charge injection system</w:t>
      </w:r>
      <w:bookmarkEnd w:id="34"/>
      <w:sdt>
        <w:sdtPr>
          <w:id w:val="-1609577080"/>
          <w:citation/>
        </w:sdtPr>
        <w:sdtContent>
          <w:r w:rsidR="00970E36">
            <w:fldChar w:fldCharType="begin"/>
          </w:r>
          <w:r w:rsidR="00970E36">
            <w:instrText xml:space="preserve"> CITATION Ala00 \l 2057 </w:instrText>
          </w:r>
          <w:r w:rsidR="00970E36">
            <w:fldChar w:fldCharType="separate"/>
          </w:r>
          <w:r w:rsidR="00970E36">
            <w:rPr>
              <w:noProof/>
            </w:rPr>
            <w:t xml:space="preserve"> </w:t>
          </w:r>
          <w:r w:rsidR="00970E36" w:rsidRPr="00970E36">
            <w:rPr>
              <w:noProof/>
            </w:rPr>
            <w:t>[9]</w:t>
          </w:r>
          <w:r w:rsidR="00970E36">
            <w:fldChar w:fldCharType="end"/>
          </w:r>
        </w:sdtContent>
      </w:sdt>
      <w:bookmarkEnd w:id="35"/>
    </w:p>
    <w:p w14:paraId="7C03378E" w14:textId="36867E94" w:rsidR="00A7160C" w:rsidRDefault="00140B93" w:rsidP="00874131">
      <w:pPr>
        <w:pStyle w:val="Heading1"/>
        <w:numPr>
          <w:ilvl w:val="0"/>
          <w:numId w:val="6"/>
        </w:numPr>
      </w:pPr>
      <w:bookmarkStart w:id="36" w:name="_Toc139034356"/>
      <w:r>
        <w:t xml:space="preserve">Transport, </w:t>
      </w:r>
      <w:r w:rsidR="00D50E0C">
        <w:t>Storage,</w:t>
      </w:r>
      <w:r w:rsidR="00D57406">
        <w:t xml:space="preserve"> and</w:t>
      </w:r>
      <w:r w:rsidR="00474E1A">
        <w:t xml:space="preserve"> life of the components</w:t>
      </w:r>
      <w:bookmarkEnd w:id="36"/>
    </w:p>
    <w:p w14:paraId="55B06DE8" w14:textId="3F2CCBB7" w:rsidR="00874131" w:rsidRDefault="004E4C0D" w:rsidP="00570CAA">
      <w:pPr>
        <w:pStyle w:val="Heading2"/>
        <w:numPr>
          <w:ilvl w:val="1"/>
          <w:numId w:val="7"/>
        </w:numPr>
      </w:pPr>
      <w:bookmarkStart w:id="37" w:name="_Toc139034357"/>
      <w:r>
        <w:t>.</w:t>
      </w:r>
      <w:r w:rsidR="00874131">
        <w:t>Transport</w:t>
      </w:r>
      <w:bookmarkEnd w:id="37"/>
    </w:p>
    <w:p w14:paraId="26499425" w14:textId="7DC4F607" w:rsidR="00570CAA" w:rsidRDefault="000A04AB" w:rsidP="00570CAA">
      <w:r w:rsidRPr="00912EBF">
        <w:t xml:space="preserve">Transportation will be involved within every munition due to parts being made in different locations. They get build and travel to their destination. </w:t>
      </w:r>
      <w:r w:rsidR="00817FF8" w:rsidRPr="00912EBF">
        <w:t>A safer and more beneficial way to ensure there is no chance of accidental ignition would be</w:t>
      </w:r>
      <w:r w:rsidR="00912EBF" w:rsidRPr="00912EBF">
        <w:t>t to t</w:t>
      </w:r>
      <w:r w:rsidR="00570CAA" w:rsidRPr="00912EBF">
        <w:t>ransport all parts of explosive train separate to minimise risk</w:t>
      </w:r>
      <w:r w:rsidR="00912EBF" w:rsidRPr="00912EBF">
        <w:t>.</w:t>
      </w:r>
      <w:r w:rsidR="00D344E3">
        <w:t xml:space="preserve"> When not being transported, all explosives will usually be stored in magazines.</w:t>
      </w:r>
    </w:p>
    <w:p w14:paraId="758B6500" w14:textId="277385D2" w:rsidR="00DF224A" w:rsidRDefault="00DF224A" w:rsidP="00570CAA">
      <w:r>
        <w:t xml:space="preserve">Breaking the explosive train would </w:t>
      </w:r>
      <w:r w:rsidR="009A5805">
        <w:t xml:space="preserve">include keeping primary explosives away from secondary due to their difference in sensitivity as mentioned in section 2, </w:t>
      </w:r>
      <w:r w:rsidR="009A5805">
        <w:fldChar w:fldCharType="begin"/>
      </w:r>
      <w:r w:rsidR="009A5805">
        <w:instrText xml:space="preserve"> REF _Ref139032868 \h </w:instrText>
      </w:r>
      <w:r w:rsidR="009A5805">
        <w:fldChar w:fldCharType="separate"/>
      </w:r>
      <w:r w:rsidR="009A5805">
        <w:t>Explosive Trains</w:t>
      </w:r>
      <w:r w:rsidR="009A5805">
        <w:fldChar w:fldCharType="end"/>
      </w:r>
      <w:r w:rsidR="009A5805">
        <w:t>.</w:t>
      </w:r>
    </w:p>
    <w:p w14:paraId="156F7ACD" w14:textId="77777777" w:rsidR="00E41525" w:rsidRDefault="00E41525" w:rsidP="00570CAA"/>
    <w:p w14:paraId="5ECC6343" w14:textId="77777777" w:rsidR="00E41525" w:rsidRDefault="00E41525" w:rsidP="00570CAA"/>
    <w:p w14:paraId="0B5B3904" w14:textId="77777777" w:rsidR="005C1D59" w:rsidRPr="00912EBF" w:rsidRDefault="005C1D59" w:rsidP="00570CAA"/>
    <w:p w14:paraId="1A715AF0" w14:textId="3A974D00" w:rsidR="00874131" w:rsidRDefault="00570CAA" w:rsidP="00570CAA">
      <w:pPr>
        <w:pStyle w:val="Heading2"/>
      </w:pPr>
      <w:bookmarkStart w:id="38" w:name="_Toc139034358"/>
      <w:r>
        <w:lastRenderedPageBreak/>
        <w:t>5.2</w:t>
      </w:r>
      <w:r w:rsidR="004E4C0D">
        <w:t>.</w:t>
      </w:r>
      <w:r>
        <w:t xml:space="preserve"> </w:t>
      </w:r>
      <w:r w:rsidR="00874131">
        <w:t>Storag</w:t>
      </w:r>
      <w:r>
        <w:t>e</w:t>
      </w:r>
      <w:bookmarkEnd w:id="38"/>
    </w:p>
    <w:p w14:paraId="5DBA3CF5" w14:textId="77777777" w:rsidR="00570CAA" w:rsidRPr="00570CAA" w:rsidRDefault="00570CAA" w:rsidP="00570CAA">
      <w:r w:rsidRPr="00570CAA">
        <w:t>An OME has requirements upon storage which are not limited by but include:</w:t>
      </w:r>
    </w:p>
    <w:p w14:paraId="4CC1742E" w14:textId="0007B93A" w:rsidR="00570CAA" w:rsidRPr="00570CAA" w:rsidRDefault="00570CAA" w:rsidP="00C9315D">
      <w:pPr>
        <w:pStyle w:val="NoSpacing"/>
        <w:numPr>
          <w:ilvl w:val="0"/>
          <w:numId w:val="8"/>
        </w:numPr>
      </w:pPr>
      <w:r w:rsidRPr="00570CAA">
        <w:t>Ensuring the performance of the munition remains constant under defined storage conditions for</w:t>
      </w:r>
      <w:r w:rsidR="00C9315D">
        <w:t xml:space="preserve"> </w:t>
      </w:r>
      <w:r w:rsidRPr="00570CAA">
        <w:t>the defined lifetime in years.</w:t>
      </w:r>
    </w:p>
    <w:p w14:paraId="3492ECE4" w14:textId="755E0672" w:rsidR="00570CAA" w:rsidRPr="00570CAA" w:rsidRDefault="00570CAA" w:rsidP="00C9315D">
      <w:pPr>
        <w:pStyle w:val="NoSpacing"/>
        <w:numPr>
          <w:ilvl w:val="0"/>
          <w:numId w:val="8"/>
        </w:numPr>
      </w:pPr>
      <w:r w:rsidRPr="00570CAA">
        <w:t>It must remain safe against accidental functioning due to impact or hot storage conditions.</w:t>
      </w:r>
    </w:p>
    <w:p w14:paraId="0396BB0D" w14:textId="338CCE65" w:rsidR="00570CAA" w:rsidRDefault="00570CAA" w:rsidP="00C9315D">
      <w:pPr>
        <w:pStyle w:val="NoSpacing"/>
        <w:numPr>
          <w:ilvl w:val="0"/>
          <w:numId w:val="8"/>
        </w:numPr>
      </w:pPr>
      <w:r w:rsidRPr="00570CAA">
        <w:t>It must not emit harmful gases upon storage.</w:t>
      </w:r>
    </w:p>
    <w:p w14:paraId="797744B4" w14:textId="699CC213" w:rsidR="00570CAA" w:rsidRPr="00D344E3" w:rsidRDefault="002A3C2F" w:rsidP="00570CAA">
      <w:pPr>
        <w:rPr>
          <w:color w:val="FF0000"/>
        </w:rPr>
      </w:pPr>
      <w:r w:rsidRPr="00C66114">
        <w:t>When propellant is in storage</w:t>
      </w:r>
      <w:r w:rsidR="008940BF">
        <w:t xml:space="preserve"> over time, it</w:t>
      </w:r>
      <w:r w:rsidRPr="00C66114">
        <w:t xml:space="preserve"> produces nitric acid</w:t>
      </w:r>
      <w:r w:rsidR="00C66114" w:rsidRPr="00C66114">
        <w:t xml:space="preserve">, so to combat this, a stabiliser is added to mop up the nitric acid produced. The issue with this, is that it can deplete over time. </w:t>
      </w:r>
    </w:p>
    <w:p w14:paraId="64521FC9" w14:textId="4A9B030C" w:rsidR="00570CAA" w:rsidRDefault="00570CAA" w:rsidP="00570CAA">
      <w:pPr>
        <w:pStyle w:val="Heading2"/>
      </w:pPr>
      <w:bookmarkStart w:id="39" w:name="_Toc139034359"/>
      <w:r>
        <w:t>5.3</w:t>
      </w:r>
      <w:r w:rsidR="004E4C0D">
        <w:t>.</w:t>
      </w:r>
      <w:r>
        <w:t xml:space="preserve"> </w:t>
      </w:r>
      <w:r w:rsidR="00642915">
        <w:t>L</w:t>
      </w:r>
      <w:r>
        <w:t>ife of propellants</w:t>
      </w:r>
      <w:bookmarkEnd w:id="39"/>
    </w:p>
    <w:p w14:paraId="65FFFE8E" w14:textId="77777777" w:rsidR="00642915" w:rsidRDefault="00642915" w:rsidP="00642915">
      <w:pPr>
        <w:pStyle w:val="Heading3"/>
      </w:pPr>
      <w:bookmarkStart w:id="40" w:name="_Toc139034360"/>
      <w:r>
        <w:t>5.3.1 Chemical safe life</w:t>
      </w:r>
      <w:bookmarkEnd w:id="40"/>
    </w:p>
    <w:p w14:paraId="4A70845E" w14:textId="3FCFA4E8" w:rsidR="000871E2" w:rsidRDefault="00D9001F" w:rsidP="00D9001F">
      <w:r>
        <w:t xml:space="preserve">The chemical safe life </w:t>
      </w:r>
      <w:r w:rsidRPr="00D34530">
        <w:t>of a propellant is the period of which the propellant is stored without the risk of it undergoing auto-</w:t>
      </w:r>
      <w:r w:rsidR="00585E14" w:rsidRPr="00D34530">
        <w:t>catalytic</w:t>
      </w:r>
      <w:r w:rsidRPr="00D34530">
        <w:t xml:space="preserve"> decomposition.</w:t>
      </w:r>
      <w:r w:rsidR="00D8399C" w:rsidRPr="00D34530">
        <w:t xml:space="preserve"> </w:t>
      </w:r>
      <w:r w:rsidR="00E14956" w:rsidRPr="00D34530">
        <w:t xml:space="preserve">The chemical safe life is limited by </w:t>
      </w:r>
      <w:r w:rsidR="005E3953" w:rsidRPr="00D34530">
        <w:t>the extent of chemical ageing reactions</w:t>
      </w:r>
      <w:sdt>
        <w:sdtPr>
          <w:id w:val="-2024921617"/>
          <w:citation/>
        </w:sdtPr>
        <w:sdtContent>
          <w:r w:rsidR="00D34530" w:rsidRPr="00D34530">
            <w:fldChar w:fldCharType="begin"/>
          </w:r>
          <w:r w:rsidR="00D34530" w:rsidRPr="00D34530">
            <w:instrText xml:space="preserve"> CITATION Bea04 \l 2057 </w:instrText>
          </w:r>
          <w:r w:rsidR="00D34530" w:rsidRPr="00D34530">
            <w:fldChar w:fldCharType="separate"/>
          </w:r>
          <w:r w:rsidR="00D34530" w:rsidRPr="00D34530">
            <w:rPr>
              <w:noProof/>
            </w:rPr>
            <w:t xml:space="preserve"> [9]</w:t>
          </w:r>
          <w:r w:rsidR="00D34530" w:rsidRPr="00D34530">
            <w:fldChar w:fldCharType="end"/>
          </w:r>
        </w:sdtContent>
      </w:sdt>
      <w:r w:rsidR="005E3953" w:rsidRPr="00D34530">
        <w:t xml:space="preserve">. </w:t>
      </w:r>
      <w:r w:rsidR="00E30A69">
        <w:t xml:space="preserve">A simple breakdown of the chemical ageing of propellants can be seen in </w:t>
      </w:r>
      <w:r w:rsidR="00E30A69">
        <w:fldChar w:fldCharType="begin"/>
      </w:r>
      <w:r w:rsidR="00E30A69">
        <w:instrText xml:space="preserve"> REF _Ref139029795 \h </w:instrText>
      </w:r>
      <w:r w:rsidR="00E30A69">
        <w:fldChar w:fldCharType="separate"/>
      </w:r>
      <w:r w:rsidR="00E30A69">
        <w:t xml:space="preserve">Figure </w:t>
      </w:r>
      <w:r w:rsidR="00E30A69">
        <w:rPr>
          <w:noProof/>
        </w:rPr>
        <w:t>9</w:t>
      </w:r>
      <w:r w:rsidR="00E30A69">
        <w:t xml:space="preserve"> - Chemical ageing of propellants</w:t>
      </w:r>
      <w:r w:rsidR="00E30A69">
        <w:fldChar w:fldCharType="end"/>
      </w:r>
      <w:r w:rsidR="00E30A69">
        <w:t>.</w:t>
      </w:r>
    </w:p>
    <w:p w14:paraId="6E40D280" w14:textId="0D7A6F4A" w:rsidR="006A6356" w:rsidRPr="001E7E04" w:rsidRDefault="002033B1" w:rsidP="00D9001F">
      <w:pPr>
        <w:rPr>
          <w:rStyle w:val="Hyperlink"/>
          <w:color w:val="auto"/>
          <w:u w:val="none"/>
        </w:rPr>
      </w:pPr>
      <w:r>
        <w:t xml:space="preserve">The general shelf life of an explosive can be seen below in </w:t>
      </w:r>
      <w:r>
        <w:fldChar w:fldCharType="begin"/>
      </w:r>
      <w:r>
        <w:instrText xml:space="preserve"> REF _Ref139029303 \h </w:instrText>
      </w:r>
      <w:r>
        <w:fldChar w:fldCharType="separate"/>
      </w:r>
      <w:r>
        <w:t xml:space="preserve">Figure </w:t>
      </w:r>
      <w:r>
        <w:rPr>
          <w:noProof/>
        </w:rPr>
        <w:t>8</w:t>
      </w:r>
      <w:r>
        <w:t xml:space="preserve"> - Shelf life of explosives.</w:t>
      </w:r>
      <w:r>
        <w:fldChar w:fldCharType="end"/>
      </w:r>
      <w:r w:rsidR="001E7E04">
        <w:rPr>
          <w:rStyle w:val="Hyperlink"/>
        </w:rPr>
        <w:t xml:space="preserve"> </w:t>
      </w:r>
    </w:p>
    <w:p w14:paraId="48960A16" w14:textId="77777777" w:rsidR="002033B1" w:rsidRDefault="00D34530" w:rsidP="002033B1">
      <w:pPr>
        <w:keepNext/>
      </w:pPr>
      <w:r w:rsidRPr="00D34530">
        <w:drawing>
          <wp:inline distT="0" distB="0" distL="0" distR="0" wp14:anchorId="2EBBE9F9" wp14:editId="4B699266">
            <wp:extent cx="3166533" cy="1839865"/>
            <wp:effectExtent l="0" t="0" r="0" b="825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177830" cy="18464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D168E4" w14:textId="076BF974" w:rsidR="00D34530" w:rsidRDefault="002033B1" w:rsidP="002033B1">
      <w:pPr>
        <w:pStyle w:val="Caption"/>
      </w:pPr>
      <w:bookmarkStart w:id="41" w:name="_Ref139029303"/>
      <w:bookmarkStart w:id="42" w:name="_Toc13903350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A4B47">
        <w:rPr>
          <w:noProof/>
        </w:rPr>
        <w:t>9</w:t>
      </w:r>
      <w:r>
        <w:fldChar w:fldCharType="end"/>
      </w:r>
      <w:r>
        <w:t xml:space="preserve"> - Shelf life of explosives</w:t>
      </w:r>
      <w:bookmarkEnd w:id="41"/>
      <w:sdt>
        <w:sdtPr>
          <w:id w:val="1007089971"/>
          <w:citation/>
        </w:sdtPr>
        <w:sdtContent>
          <w:r w:rsidR="00FF3A22">
            <w:fldChar w:fldCharType="begin"/>
          </w:r>
          <w:r w:rsidR="00FF3A22">
            <w:instrText xml:space="preserve"> CITATION Bea04 \l 2057 </w:instrText>
          </w:r>
          <w:r w:rsidR="00FF3A22">
            <w:fldChar w:fldCharType="separate"/>
          </w:r>
          <w:r w:rsidR="00FF3A22">
            <w:rPr>
              <w:noProof/>
            </w:rPr>
            <w:t xml:space="preserve"> </w:t>
          </w:r>
          <w:r w:rsidR="00FF3A22" w:rsidRPr="00FF3A22">
            <w:rPr>
              <w:noProof/>
            </w:rPr>
            <w:t>[9]</w:t>
          </w:r>
          <w:r w:rsidR="00FF3A22">
            <w:fldChar w:fldCharType="end"/>
          </w:r>
        </w:sdtContent>
      </w:sdt>
      <w:bookmarkEnd w:id="42"/>
    </w:p>
    <w:p w14:paraId="2420DCB4" w14:textId="77777777" w:rsidR="0056788B" w:rsidRDefault="0056788B" w:rsidP="0056788B">
      <w:pPr>
        <w:keepNext/>
      </w:pPr>
      <w:r w:rsidRPr="0056788B">
        <w:drawing>
          <wp:inline distT="0" distB="0" distL="0" distR="0" wp14:anchorId="3E14C95D" wp14:editId="61728C01">
            <wp:extent cx="3158067" cy="2112455"/>
            <wp:effectExtent l="0" t="0" r="4445" b="254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166364" cy="2118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65B587" w14:textId="0552052B" w:rsidR="0056788B" w:rsidRDefault="0056788B" w:rsidP="0056788B">
      <w:pPr>
        <w:pStyle w:val="Caption"/>
      </w:pPr>
      <w:bookmarkStart w:id="43" w:name="_Ref139029795"/>
      <w:bookmarkStart w:id="44" w:name="_Toc13903350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A4B47">
        <w:rPr>
          <w:noProof/>
        </w:rPr>
        <w:t>10</w:t>
      </w:r>
      <w:r>
        <w:fldChar w:fldCharType="end"/>
      </w:r>
      <w:r>
        <w:t xml:space="preserve"> - Chemical ageing of propellants</w:t>
      </w:r>
      <w:bookmarkEnd w:id="43"/>
      <w:bookmarkEnd w:id="44"/>
    </w:p>
    <w:p w14:paraId="6598CBFE" w14:textId="77777777" w:rsidR="005C1D59" w:rsidRPr="005C1D59" w:rsidRDefault="005C1D59" w:rsidP="005C1D59"/>
    <w:p w14:paraId="0951AD8A" w14:textId="1F03339D" w:rsidR="00642915" w:rsidRDefault="00642915" w:rsidP="00642915">
      <w:pPr>
        <w:pStyle w:val="Heading3"/>
      </w:pPr>
      <w:bookmarkStart w:id="45" w:name="_Toc139034361"/>
      <w:r>
        <w:lastRenderedPageBreak/>
        <w:t>5.3.1 Ballistic life</w:t>
      </w:r>
      <w:bookmarkEnd w:id="45"/>
    </w:p>
    <w:p w14:paraId="036ECCE4" w14:textId="4A6B16AC" w:rsidR="006A6356" w:rsidRDefault="00570CAA" w:rsidP="00F27C5A">
      <w:r>
        <w:t>The ballistic life of a propellant is</w:t>
      </w:r>
      <w:r w:rsidR="00EE68C0">
        <w:t xml:space="preserve"> </w:t>
      </w:r>
      <w:r w:rsidR="003D10F2">
        <w:t xml:space="preserve"> the period during which the ballistic specification of the propellant </w:t>
      </w:r>
      <w:r w:rsidR="0016026B">
        <w:t xml:space="preserve">is maintained within its original limits. This may be </w:t>
      </w:r>
      <w:r w:rsidR="00EE68C0">
        <w:t xml:space="preserve">when you may </w:t>
      </w:r>
      <w:r w:rsidR="006A6356">
        <w:t>send the propellant for training rather than in service. This is affected by three main factors:</w:t>
      </w:r>
    </w:p>
    <w:p w14:paraId="77577D3A" w14:textId="2A234CFF" w:rsidR="00D9001F" w:rsidRPr="006A6356" w:rsidRDefault="00D9001F" w:rsidP="006A6356">
      <w:pPr>
        <w:pStyle w:val="ListParagraph"/>
        <w:numPr>
          <w:ilvl w:val="0"/>
          <w:numId w:val="1"/>
        </w:numPr>
      </w:pPr>
      <w:r w:rsidRPr="006A6356">
        <w:t>Rate of degradation of N</w:t>
      </w:r>
      <w:r w:rsidR="00D31473" w:rsidRPr="006A6356">
        <w:t>itrocellulose</w:t>
      </w:r>
      <w:r w:rsidRPr="006A6356">
        <w:t xml:space="preserve"> (The weight of nitrogen per kg, </w:t>
      </w:r>
      <w:r w:rsidR="006A6356">
        <w:t xml:space="preserve">essentially </w:t>
      </w:r>
      <w:r w:rsidRPr="006A6356">
        <w:t xml:space="preserve">what </w:t>
      </w:r>
      <w:r w:rsidR="006A6356">
        <w:t>will be lost</w:t>
      </w:r>
      <w:r w:rsidRPr="006A6356">
        <w:t xml:space="preserve"> in nitrogen)</w:t>
      </w:r>
    </w:p>
    <w:p w14:paraId="726C0C09" w14:textId="34A0FBA7" w:rsidR="00D9001F" w:rsidRPr="006A6356" w:rsidRDefault="00D9001F" w:rsidP="00D9001F">
      <w:pPr>
        <w:pStyle w:val="ListParagraph"/>
        <w:numPr>
          <w:ilvl w:val="0"/>
          <w:numId w:val="1"/>
        </w:numPr>
      </w:pPr>
      <w:r w:rsidRPr="006A6356">
        <w:t>Extent of surface migration (</w:t>
      </w:r>
      <w:r w:rsidR="00D31473" w:rsidRPr="006A6356">
        <w:t>e.g.,</w:t>
      </w:r>
      <w:r w:rsidRPr="006A6356">
        <w:t xml:space="preserve"> surface moderant)</w:t>
      </w:r>
    </w:p>
    <w:p w14:paraId="361699C0" w14:textId="42D31DD6" w:rsidR="00D9001F" w:rsidRPr="006A6356" w:rsidRDefault="00D9001F" w:rsidP="00D9001F">
      <w:pPr>
        <w:pStyle w:val="ListParagraph"/>
        <w:numPr>
          <w:ilvl w:val="0"/>
          <w:numId w:val="1"/>
        </w:numPr>
      </w:pPr>
      <w:r w:rsidRPr="006A6356">
        <w:t>Changes in composition (</w:t>
      </w:r>
      <w:r w:rsidR="00D31473" w:rsidRPr="006A6356">
        <w:t>e.g.,</w:t>
      </w:r>
      <w:r w:rsidRPr="006A6356">
        <w:t xml:space="preserve"> water absorption, solvent loss)</w:t>
      </w:r>
    </w:p>
    <w:p w14:paraId="1A584AF7" w14:textId="23E1021D" w:rsidR="009206B9" w:rsidRDefault="006A6356" w:rsidP="00D9001F">
      <w:r w:rsidRPr="006A6356">
        <w:t>The ballistic changes are asse</w:t>
      </w:r>
      <w:r w:rsidR="00585E14">
        <w:t>sse</w:t>
      </w:r>
      <w:r w:rsidRPr="006A6356">
        <w:t>d by closed vessel testing.</w:t>
      </w:r>
      <w:r w:rsidR="00EF5CC9">
        <w:t xml:space="preserve"> As stated by Anique Mukhtar</w:t>
      </w:r>
      <w:sdt>
        <w:sdtPr>
          <w:id w:val="-402677912"/>
          <w:citation/>
        </w:sdtPr>
        <w:sdtEndPr/>
        <w:sdtContent>
          <w:r w:rsidR="009E667A">
            <w:fldChar w:fldCharType="begin"/>
          </w:r>
          <w:r w:rsidR="009E667A">
            <w:instrText xml:space="preserve"> CITATION AMu18 \l 2057 </w:instrText>
          </w:r>
          <w:r w:rsidR="009E667A">
            <w:fldChar w:fldCharType="separate"/>
          </w:r>
          <w:r w:rsidR="009E667A">
            <w:rPr>
              <w:noProof/>
            </w:rPr>
            <w:t xml:space="preserve"> </w:t>
          </w:r>
          <w:r w:rsidR="009E667A" w:rsidRPr="009E667A">
            <w:rPr>
              <w:noProof/>
            </w:rPr>
            <w:t>[8]</w:t>
          </w:r>
          <w:r w:rsidR="009E667A">
            <w:fldChar w:fldCharType="end"/>
          </w:r>
        </w:sdtContent>
      </w:sdt>
      <w:r w:rsidR="009206B9">
        <w:t>, closed vessel testing is used for the measurement and comparison of ballistic and energetic properties of propellants by the ignition of a specific sample mass.</w:t>
      </w:r>
    </w:p>
    <w:p w14:paraId="2E6513BD" w14:textId="77777777" w:rsidR="00642915" w:rsidRDefault="00642915" w:rsidP="00642915">
      <w:pPr>
        <w:pStyle w:val="Heading3"/>
      </w:pPr>
      <w:bookmarkStart w:id="46" w:name="_Toc139034362"/>
      <w:r>
        <w:t>5.3.3 Physico-mechanical life</w:t>
      </w:r>
      <w:bookmarkEnd w:id="46"/>
    </w:p>
    <w:p w14:paraId="6F9C47A7" w14:textId="0922ED89" w:rsidR="00354166" w:rsidRDefault="00D01094" w:rsidP="00354166">
      <w:r>
        <w:t xml:space="preserve">The physico-mechanical life of a propellant is the period over which </w:t>
      </w:r>
      <w:r w:rsidR="0026282D">
        <w:t xml:space="preserve">it may be used without presenting an additional hazard to the user. This could be due to an increase in </w:t>
      </w:r>
      <w:r w:rsidR="00D624C4">
        <w:t>brittleness.</w:t>
      </w:r>
    </w:p>
    <w:p w14:paraId="15B46CB5" w14:textId="00013658" w:rsidR="00D624C4" w:rsidRDefault="00D624C4" w:rsidP="00354166">
      <w:r>
        <w:t xml:space="preserve">The degradation of Nitrocellulose is a main cause of </w:t>
      </w:r>
      <w:r w:rsidR="00967C65">
        <w:t>this,</w:t>
      </w:r>
      <w:r>
        <w:t xml:space="preserve"> but it can be down to the evolution of insoluble gases</w:t>
      </w:r>
      <w:r w:rsidR="00967C65">
        <w:t xml:space="preserve"> like nitrogen,</w:t>
      </w:r>
      <w:r>
        <w:t xml:space="preserve"> inside the larger grains also.</w:t>
      </w:r>
    </w:p>
    <w:p w14:paraId="5BF49659" w14:textId="06A45568" w:rsidR="00642915" w:rsidRDefault="009A70D6" w:rsidP="005A194A">
      <w:r>
        <w:t>To determine changes in the mechanical properties, tensile tests are performed.</w:t>
      </w:r>
      <w:r w:rsidR="00353C22">
        <w:t xml:space="preserve"> These tests give you the </w:t>
      </w:r>
      <w:r w:rsidR="00353C22" w:rsidRPr="00353C22">
        <w:t xml:space="preserve">tensile strength, yield strength, and ductility of the </w:t>
      </w:r>
      <w:r w:rsidR="00353C22">
        <w:t>material.</w:t>
      </w:r>
    </w:p>
    <w:p w14:paraId="0350AA6C" w14:textId="71165998" w:rsidR="00547945" w:rsidRDefault="004E4C0D" w:rsidP="00D9001F">
      <w:pPr>
        <w:pStyle w:val="Heading1"/>
        <w:numPr>
          <w:ilvl w:val="0"/>
          <w:numId w:val="6"/>
        </w:numPr>
      </w:pPr>
      <w:bookmarkStart w:id="47" w:name="_Toc139034363"/>
      <w:r>
        <w:t>TNT alternatives</w:t>
      </w:r>
      <w:bookmarkEnd w:id="47"/>
    </w:p>
    <w:p w14:paraId="1EC13217" w14:textId="45BBDFB8" w:rsidR="00547945" w:rsidRDefault="00C46469" w:rsidP="00D9001F">
      <w:r>
        <w:t xml:space="preserve">To try and improve upon using TNT as a melt case explosive, one study looked at using </w:t>
      </w:r>
      <w:r w:rsidR="00547945">
        <w:t>Polynitrated azoles</w:t>
      </w:r>
      <w:r>
        <w:t xml:space="preserve">. Within their testing, they </w:t>
      </w:r>
      <w:r w:rsidR="00723C98">
        <w:t>tried</w:t>
      </w:r>
      <w:r w:rsidR="00C669B3">
        <w:t xml:space="preserve"> to improve the </w:t>
      </w:r>
      <w:r w:rsidR="002C7581">
        <w:t>stability and energetic properties of the product</w:t>
      </w:r>
      <w:sdt>
        <w:sdtPr>
          <w:id w:val="-404838173"/>
          <w:citation/>
        </w:sdtPr>
        <w:sdtEndPr/>
        <w:sdtContent>
          <w:r w:rsidR="002C7581">
            <w:fldChar w:fldCharType="begin"/>
          </w:r>
          <w:r w:rsidR="002C7581">
            <w:instrText xml:space="preserve"> CITATION Tho16 \l 2057 </w:instrText>
          </w:r>
          <w:r w:rsidR="002C7581">
            <w:fldChar w:fldCharType="separate"/>
          </w:r>
          <w:r w:rsidR="002C7581">
            <w:rPr>
              <w:noProof/>
            </w:rPr>
            <w:t xml:space="preserve"> </w:t>
          </w:r>
          <w:r w:rsidR="002C7581" w:rsidRPr="002C7581">
            <w:rPr>
              <w:noProof/>
            </w:rPr>
            <w:t>[5]</w:t>
          </w:r>
          <w:r w:rsidR="002C7581">
            <w:fldChar w:fldCharType="end"/>
          </w:r>
        </w:sdtContent>
      </w:sdt>
      <w:r w:rsidR="00723C98">
        <w:t>.</w:t>
      </w:r>
    </w:p>
    <w:p w14:paraId="5514F550" w14:textId="0F6CB70E" w:rsidR="00547945" w:rsidRDefault="00547945" w:rsidP="00D9001F">
      <w:pPr>
        <w:rPr>
          <w:rFonts w:ascii="Source Sans Pro" w:hAnsi="Source Sans Pro"/>
          <w:shd w:val="clear" w:color="auto" w:fill="FFFFFF"/>
        </w:rPr>
      </w:pPr>
      <w:r>
        <w:t>Examples</w:t>
      </w:r>
      <w:r w:rsidR="00683D2E">
        <w:t xml:space="preserve"> of </w:t>
      </w:r>
      <w:r w:rsidR="006A3341">
        <w:t>a poly nitrate are,</w:t>
      </w:r>
      <w:r>
        <w:t xml:space="preserve"> </w:t>
      </w:r>
      <w:r w:rsidR="00C15813">
        <w:rPr>
          <w:rFonts w:ascii="Source Sans Pro" w:hAnsi="Source Sans Pro"/>
          <w:shd w:val="clear" w:color="auto" w:fill="FFFFFF"/>
        </w:rPr>
        <w:t>1-methyl-2,4,5-trinitroimidazole (MeTNI)</w:t>
      </w:r>
      <w:hyperlink r:id="rId18" w:anchor="cit3" w:history="1">
        <w:r w:rsidR="00C15813">
          <w:rPr>
            <w:rStyle w:val="Hyperlink"/>
            <w:rFonts w:ascii="Source Sans Pro" w:hAnsi="Source Sans Pro"/>
            <w:color w:val="007AAF"/>
            <w:shd w:val="clear" w:color="auto" w:fill="FFFFFF"/>
            <w:vertAlign w:val="superscript"/>
          </w:rPr>
          <w:t>3</w:t>
        </w:r>
      </w:hyperlink>
      <w:r w:rsidR="00C15813">
        <w:rPr>
          <w:rFonts w:ascii="Source Sans Pro" w:hAnsi="Source Sans Pro"/>
          <w:shd w:val="clear" w:color="auto" w:fill="FFFFFF"/>
        </w:rPr>
        <w:t> and 1-methyl-3,4,5-trinitropyrazole (MeTNP)</w:t>
      </w:r>
      <w:hyperlink r:id="rId19" w:anchor="cit4" w:history="1">
        <w:r w:rsidR="00C15813">
          <w:rPr>
            <w:rStyle w:val="Hyperlink"/>
            <w:rFonts w:ascii="Source Sans Pro" w:hAnsi="Source Sans Pro"/>
            <w:color w:val="007AAF"/>
            <w:shd w:val="clear" w:color="auto" w:fill="FFFFFF"/>
            <w:vertAlign w:val="superscript"/>
          </w:rPr>
          <w:t>4</w:t>
        </w:r>
      </w:hyperlink>
      <w:r w:rsidR="00C15813">
        <w:rPr>
          <w:rFonts w:ascii="Source Sans Pro" w:hAnsi="Source Sans Pro"/>
          <w:shd w:val="clear" w:color="auto" w:fill="FFFFFF"/>
        </w:rPr>
        <w:t> as well as 3,4-dinitropyrazole (DNP</w:t>
      </w:r>
      <w:r w:rsidR="005F0A75">
        <w:rPr>
          <w:rFonts w:ascii="Source Sans Pro" w:hAnsi="Source Sans Pro"/>
          <w:shd w:val="clear" w:color="auto" w:fill="FFFFFF"/>
        </w:rPr>
        <w:t>)</w:t>
      </w:r>
    </w:p>
    <w:p w14:paraId="1C2DD653" w14:textId="77777777" w:rsidR="00683D2E" w:rsidRDefault="005F0A75" w:rsidP="00683D2E">
      <w:pPr>
        <w:keepNext/>
      </w:pPr>
      <w:r>
        <w:rPr>
          <w:noProof/>
        </w:rPr>
        <w:drawing>
          <wp:inline distT="0" distB="0" distL="0" distR="0" wp14:anchorId="26823449" wp14:editId="4381DD9F">
            <wp:extent cx="2641600" cy="2087291"/>
            <wp:effectExtent l="0" t="0" r="6350" b="825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9619" cy="20936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781A98" w14:textId="6C428799" w:rsidR="003227E9" w:rsidRDefault="00683D2E" w:rsidP="00B30AEA">
      <w:pPr>
        <w:pStyle w:val="Caption"/>
      </w:pPr>
      <w:bookmarkStart w:id="48" w:name="_Toc139033509"/>
      <w:r>
        <w:t xml:space="preserve">Figure </w:t>
      </w:r>
      <w:r w:rsidR="00794B46">
        <w:fldChar w:fldCharType="begin"/>
      </w:r>
      <w:r w:rsidR="00794B46">
        <w:instrText xml:space="preserve"> SEQ Figure \* ARABIC </w:instrText>
      </w:r>
      <w:r w:rsidR="00794B46">
        <w:fldChar w:fldCharType="separate"/>
      </w:r>
      <w:r w:rsidR="00EA4B47">
        <w:rPr>
          <w:noProof/>
        </w:rPr>
        <w:t>11</w:t>
      </w:r>
      <w:r w:rsidR="00794B46">
        <w:rPr>
          <w:noProof/>
        </w:rPr>
        <w:fldChar w:fldCharType="end"/>
      </w:r>
      <w:r>
        <w:t xml:space="preserve"> - Melt cast explosives molecular structure</w:t>
      </w:r>
      <w:sdt>
        <w:sdtPr>
          <w:id w:val="-1656225982"/>
          <w:citation/>
        </w:sdtPr>
        <w:sdtEndPr/>
        <w:sdtContent>
          <w:r>
            <w:fldChar w:fldCharType="begin"/>
          </w:r>
          <w:r>
            <w:instrText xml:space="preserve"> CITATION Tho16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683D2E">
            <w:rPr>
              <w:noProof/>
            </w:rPr>
            <w:t>[5]</w:t>
          </w:r>
          <w:r>
            <w:fldChar w:fldCharType="end"/>
          </w:r>
        </w:sdtContent>
      </w:sdt>
      <w:r>
        <w:t>.</w:t>
      </w:r>
      <w:bookmarkEnd w:id="48"/>
    </w:p>
    <w:p w14:paraId="7563F8AA" w14:textId="77777777" w:rsidR="000753D5" w:rsidRDefault="000753D5" w:rsidP="000753D5"/>
    <w:p w14:paraId="2B7E8CBE" w14:textId="77777777" w:rsidR="000753D5" w:rsidRPr="000753D5" w:rsidRDefault="000753D5" w:rsidP="000753D5"/>
    <w:p w14:paraId="5E6B846F" w14:textId="185C2DCF" w:rsidR="003227E9" w:rsidRDefault="003227E9" w:rsidP="004E4C0D">
      <w:pPr>
        <w:pStyle w:val="Heading1"/>
        <w:numPr>
          <w:ilvl w:val="0"/>
          <w:numId w:val="6"/>
        </w:numPr>
      </w:pPr>
      <w:bookmarkStart w:id="49" w:name="_Toc139034364"/>
      <w:r>
        <w:lastRenderedPageBreak/>
        <w:t>Conclusion</w:t>
      </w:r>
      <w:bookmarkEnd w:id="49"/>
    </w:p>
    <w:p w14:paraId="70A30760" w14:textId="14229D59" w:rsidR="003227E9" w:rsidRDefault="003227E9" w:rsidP="00EF2D2F">
      <w:pPr>
        <w:rPr>
          <w:rFonts w:ascii="Source Sans Pro" w:hAnsi="Source Sans Pro"/>
          <w:shd w:val="clear" w:color="auto" w:fill="FFFFFF"/>
        </w:rPr>
      </w:pPr>
      <w:r>
        <w:t>Seemingly a replacement for trinitrotoluene would</w:t>
      </w:r>
      <w:r w:rsidR="00F96591">
        <w:t xml:space="preserve"> have </w:t>
      </w:r>
      <w:r w:rsidR="00723C98">
        <w:t>its</w:t>
      </w:r>
      <w:r w:rsidR="00F96591">
        <w:t xml:space="preserve"> pros and cons. It may be possible to find </w:t>
      </w:r>
      <w:r w:rsidR="00F13167">
        <w:t>some polynitra</w:t>
      </w:r>
      <w:r w:rsidR="007677B5">
        <w:t xml:space="preserve">ted azoles which have high </w:t>
      </w:r>
      <w:r w:rsidR="00723C98">
        <w:t>positive</w:t>
      </w:r>
      <w:r w:rsidR="007677B5">
        <w:t xml:space="preserve"> heats of formation  due to their Carbon and Nitrogen </w:t>
      </w:r>
      <w:r w:rsidR="002C7581">
        <w:t>bonds,</w:t>
      </w:r>
      <w:r w:rsidR="007677B5">
        <w:t xml:space="preserve"> but this would ultimately come at a cost</w:t>
      </w:r>
      <w:r w:rsidR="0078564D">
        <w:t xml:space="preserve"> due to </w:t>
      </w:r>
      <w:r w:rsidR="007677B5">
        <w:t xml:space="preserve">TNT </w:t>
      </w:r>
      <w:r w:rsidR="0078564D">
        <w:t>being</w:t>
      </w:r>
      <w:r w:rsidR="007677B5">
        <w:t xml:space="preserve"> very cheap</w:t>
      </w:r>
      <w:r w:rsidR="0078564D">
        <w:t xml:space="preserve">. </w:t>
      </w:r>
      <w:r w:rsidR="00763E0F">
        <w:t xml:space="preserve">And as stated </w:t>
      </w:r>
      <w:r w:rsidR="001E44D2">
        <w:t>in the new journal of chemistry study</w:t>
      </w:r>
      <w:sdt>
        <w:sdtPr>
          <w:id w:val="1052886528"/>
          <w:citation/>
        </w:sdtPr>
        <w:sdtEndPr/>
        <w:sdtContent>
          <w:r w:rsidR="002C7581">
            <w:fldChar w:fldCharType="begin"/>
          </w:r>
          <w:r w:rsidR="002C7581">
            <w:instrText xml:space="preserve"> CITATION Tho16 \l 2057 </w:instrText>
          </w:r>
          <w:r w:rsidR="002C7581">
            <w:fldChar w:fldCharType="separate"/>
          </w:r>
          <w:r w:rsidR="002C7581">
            <w:rPr>
              <w:noProof/>
            </w:rPr>
            <w:t xml:space="preserve"> </w:t>
          </w:r>
          <w:r w:rsidR="002C7581" w:rsidRPr="002C7581">
            <w:rPr>
              <w:noProof/>
            </w:rPr>
            <w:t>[5]</w:t>
          </w:r>
          <w:r w:rsidR="002C7581">
            <w:fldChar w:fldCharType="end"/>
          </w:r>
        </w:sdtContent>
      </w:sdt>
      <w:r w:rsidR="001E44D2">
        <w:t>, t</w:t>
      </w:r>
      <w:r w:rsidR="0078564D">
        <w:t>he other issue with the polynitrated azoles is that the</w:t>
      </w:r>
      <w:r w:rsidR="00367C22">
        <w:t xml:space="preserve"> nitro groups </w:t>
      </w:r>
      <w:r w:rsidR="001E44D2">
        <w:t xml:space="preserve">lead to increased acidity of the </w:t>
      </w:r>
      <w:r w:rsidR="00723C98">
        <w:t>heterocyclic</w:t>
      </w:r>
      <w:r w:rsidR="001E44D2">
        <w:t xml:space="preserve"> proton and this can result in problems for storage, one of the factors addressed earlier.</w:t>
      </w:r>
      <w:r w:rsidR="00877E5A">
        <w:t xml:space="preserve"> </w:t>
      </w:r>
      <w:r w:rsidR="001067FD">
        <w:t xml:space="preserve">A potential solution for this would be to perform </w:t>
      </w:r>
      <w:r w:rsidR="00877E5A">
        <w:rPr>
          <w:rFonts w:ascii="Source Sans Pro" w:hAnsi="Source Sans Pro"/>
          <w:shd w:val="clear" w:color="auto" w:fill="FFFFFF"/>
        </w:rPr>
        <w:t xml:space="preserve">Alkylation to increase </w:t>
      </w:r>
      <w:r w:rsidR="001067FD">
        <w:rPr>
          <w:rFonts w:ascii="Source Sans Pro" w:hAnsi="Source Sans Pro"/>
          <w:shd w:val="clear" w:color="auto" w:fill="FFFFFF"/>
        </w:rPr>
        <w:t>stability</w:t>
      </w:r>
      <w:r w:rsidR="00260BA9">
        <w:rPr>
          <w:rFonts w:ascii="Source Sans Pro" w:hAnsi="Source Sans Pro"/>
          <w:shd w:val="clear" w:color="auto" w:fill="FFFFFF"/>
        </w:rPr>
        <w:t xml:space="preserve"> bu</w:t>
      </w:r>
      <w:r w:rsidR="00822B9B">
        <w:rPr>
          <w:rFonts w:ascii="Source Sans Pro" w:hAnsi="Source Sans Pro"/>
          <w:shd w:val="clear" w:color="auto" w:fill="FFFFFF"/>
        </w:rPr>
        <w:t xml:space="preserve">t as from the above texts mentioned when this was put into practice, </w:t>
      </w:r>
      <w:r w:rsidR="00962189">
        <w:rPr>
          <w:rFonts w:ascii="Source Sans Pro" w:hAnsi="Source Sans Pro"/>
          <w:shd w:val="clear" w:color="auto" w:fill="FFFFFF"/>
        </w:rPr>
        <w:t>they did not melt before decomposition.</w:t>
      </w:r>
    </w:p>
    <w:p w14:paraId="5D49B734" w14:textId="272D2C54" w:rsidR="00D7325D" w:rsidRDefault="00E72594" w:rsidP="00EF2D2F">
      <w:pPr>
        <w:rPr>
          <w:rFonts w:ascii="Source Sans Pro" w:hAnsi="Source Sans Pro"/>
          <w:shd w:val="clear" w:color="auto" w:fill="FFFFFF"/>
        </w:rPr>
      </w:pPr>
      <w:r>
        <w:rPr>
          <w:rFonts w:ascii="Source Sans Pro" w:hAnsi="Source Sans Pro"/>
          <w:shd w:val="clear" w:color="auto" w:fill="FFFFFF"/>
        </w:rPr>
        <w:t>A study was performed at Chimia</w:t>
      </w:r>
      <w:r w:rsidR="00D0601B">
        <w:rPr>
          <w:rFonts w:ascii="Source Sans Pro" w:hAnsi="Source Sans Pro"/>
          <w:shd w:val="clear" w:color="auto" w:fill="FFFFFF"/>
        </w:rPr>
        <w:t xml:space="preserve"> on the </w:t>
      </w:r>
      <w:r w:rsidR="00D0601B">
        <w:t xml:space="preserve">chemical stability, </w:t>
      </w:r>
      <w:r w:rsidR="00B57353">
        <w:t xml:space="preserve">compatibility and shelf life of explosives and it can be seen in the </w:t>
      </w:r>
      <w:r w:rsidR="00B57353">
        <w:fldChar w:fldCharType="begin"/>
      </w:r>
      <w:r w:rsidR="00B57353">
        <w:instrText xml:space="preserve"> REF _Ref139030611 \h </w:instrText>
      </w:r>
      <w:r w:rsidR="00B57353">
        <w:fldChar w:fldCharType="separate"/>
      </w:r>
      <w:r w:rsidR="00B57353">
        <w:t xml:space="preserve">Figure </w:t>
      </w:r>
      <w:r w:rsidR="00B57353">
        <w:rPr>
          <w:noProof/>
        </w:rPr>
        <w:t>11</w:t>
      </w:r>
      <w:r w:rsidR="00B57353">
        <w:t xml:space="preserve"> - Ageing process based on stabiliser depletion</w:t>
      </w:r>
      <w:sdt>
        <w:sdtPr>
          <w:id w:val="-210037554"/>
          <w:citation/>
        </w:sdtPr>
        <w:sdtContent>
          <w:r w:rsidR="00B57353">
            <w:fldChar w:fldCharType="begin"/>
          </w:r>
          <w:r w:rsidR="00B57353">
            <w:instrText xml:space="preserve"> CITATION Bea04 \l 2057 </w:instrText>
          </w:r>
          <w:r w:rsidR="00B57353">
            <w:fldChar w:fldCharType="separate"/>
          </w:r>
          <w:r w:rsidR="00B57353">
            <w:rPr>
              <w:noProof/>
            </w:rPr>
            <w:t xml:space="preserve"> </w:t>
          </w:r>
          <w:r w:rsidR="00B57353" w:rsidRPr="00254941">
            <w:rPr>
              <w:noProof/>
            </w:rPr>
            <w:t>[9]</w:t>
          </w:r>
          <w:r w:rsidR="00B57353">
            <w:fldChar w:fldCharType="end"/>
          </w:r>
        </w:sdtContent>
      </w:sdt>
      <w:r w:rsidR="00B57353">
        <w:fldChar w:fldCharType="end"/>
      </w:r>
      <w:r w:rsidR="00B57353">
        <w:t>, that the use</w:t>
      </w:r>
      <w:r w:rsidR="0090282A">
        <w:t xml:space="preserve"> of a stabiliser would prolong if it were to be stored at a lower temperature. </w:t>
      </w:r>
      <w:r w:rsidR="00B90DFC">
        <w:t>Therefore,</w:t>
      </w:r>
      <w:r w:rsidR="0090282A">
        <w:t xml:space="preserve"> to </w:t>
      </w:r>
      <w:r w:rsidR="006437AB">
        <w:t xml:space="preserve">buy more shelf life on the product and keep the detonation train in a better condition, </w:t>
      </w:r>
      <w:r w:rsidR="000603FB">
        <w:t>lower storage temperatures may be beneficial.</w:t>
      </w:r>
      <w:r w:rsidR="00B57353">
        <w:t xml:space="preserve"> </w:t>
      </w:r>
    </w:p>
    <w:p w14:paraId="1F38FFDC" w14:textId="77777777" w:rsidR="00D7325D" w:rsidRDefault="00D7325D" w:rsidP="00D7325D">
      <w:pPr>
        <w:keepNext/>
      </w:pPr>
      <w:r w:rsidRPr="00D7325D">
        <w:rPr>
          <w:rFonts w:ascii="Source Sans Pro" w:hAnsi="Source Sans Pro"/>
          <w:shd w:val="clear" w:color="auto" w:fill="FFFFFF"/>
        </w:rPr>
        <w:drawing>
          <wp:inline distT="0" distB="0" distL="0" distR="0" wp14:anchorId="701BEE03" wp14:editId="36983843">
            <wp:extent cx="3259667" cy="2319487"/>
            <wp:effectExtent l="0" t="0" r="0" b="508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266040" cy="23240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C10083" w14:textId="10960B3C" w:rsidR="00D7325D" w:rsidRDefault="00D7325D" w:rsidP="00D7325D">
      <w:pPr>
        <w:pStyle w:val="Caption"/>
        <w:rPr>
          <w:rFonts w:ascii="Source Sans Pro" w:hAnsi="Source Sans Pro"/>
          <w:shd w:val="clear" w:color="auto" w:fill="FFFFFF"/>
        </w:rPr>
      </w:pPr>
      <w:bookmarkStart w:id="50" w:name="_Ref139030611"/>
      <w:bookmarkStart w:id="51" w:name="_Toc13903351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A4B47">
        <w:rPr>
          <w:noProof/>
        </w:rPr>
        <w:t>12</w:t>
      </w:r>
      <w:r>
        <w:fldChar w:fldCharType="end"/>
      </w:r>
      <w:r>
        <w:t xml:space="preserve"> - Ageing process based on stabiliser depletion</w:t>
      </w:r>
      <w:sdt>
        <w:sdtPr>
          <w:id w:val="1175765939"/>
          <w:citation/>
        </w:sdtPr>
        <w:sdtContent>
          <w:r w:rsidR="00254941">
            <w:fldChar w:fldCharType="begin"/>
          </w:r>
          <w:r w:rsidR="00254941">
            <w:instrText xml:space="preserve"> CITATION Bea04 \l 2057 </w:instrText>
          </w:r>
          <w:r w:rsidR="00254941">
            <w:fldChar w:fldCharType="separate"/>
          </w:r>
          <w:r w:rsidR="00254941">
            <w:rPr>
              <w:noProof/>
            </w:rPr>
            <w:t xml:space="preserve"> </w:t>
          </w:r>
          <w:r w:rsidR="00254941" w:rsidRPr="00254941">
            <w:rPr>
              <w:noProof/>
            </w:rPr>
            <w:t>[9]</w:t>
          </w:r>
          <w:r w:rsidR="00254941">
            <w:fldChar w:fldCharType="end"/>
          </w:r>
        </w:sdtContent>
      </w:sdt>
      <w:bookmarkEnd w:id="50"/>
      <w:bookmarkEnd w:id="51"/>
    </w:p>
    <w:p w14:paraId="7A7CF9C6" w14:textId="1C8199A8" w:rsidR="00007E12" w:rsidRDefault="00B90DFC" w:rsidP="00EF2D2F">
      <w:r w:rsidRPr="00B90DFC">
        <w:t xml:space="preserve">Liquid propellant was mentioned in section </w:t>
      </w:r>
      <w:r w:rsidRPr="00B90DFC">
        <w:fldChar w:fldCharType="begin"/>
      </w:r>
      <w:r w:rsidRPr="00B90DFC">
        <w:instrText xml:space="preserve"> REF _Ref139031725 \h </w:instrText>
      </w:r>
      <w:r w:rsidRPr="00B90DFC">
        <w:fldChar w:fldCharType="separate"/>
      </w:r>
      <w:r w:rsidRPr="00B90DFC">
        <w:t>4.3.2 Potential elimination of cartridge cases</w:t>
      </w:r>
      <w:r w:rsidRPr="00B90DFC">
        <w:fldChar w:fldCharType="end"/>
      </w:r>
      <w:r w:rsidRPr="00B90DFC">
        <w:t>. This is also another potential risk reducer and an answer to storage and transportation issues.</w:t>
      </w:r>
      <w:r w:rsidR="00082B60">
        <w:t xml:space="preserve"> When it comes to</w:t>
      </w:r>
      <w:r w:rsidR="00007E12">
        <w:t xml:space="preserve"> minimising </w:t>
      </w:r>
      <w:r w:rsidR="00082B60">
        <w:t>risk when transporting the munition</w:t>
      </w:r>
      <w:r w:rsidR="00007E12">
        <w:t xml:space="preserve">, </w:t>
      </w:r>
      <w:r w:rsidR="007E364E">
        <w:t xml:space="preserve">breaking apart the </w:t>
      </w:r>
      <w:r w:rsidR="0004481B">
        <w:t>explosive</w:t>
      </w:r>
      <w:r w:rsidR="007E364E">
        <w:t xml:space="preserve"> train appears to be a likely way to stop any danger of accidental </w:t>
      </w:r>
      <w:r w:rsidR="0004481B">
        <w:t>ignition. From the explanation of the explosive train</w:t>
      </w:r>
      <w:r w:rsidR="00A977CA">
        <w:t xml:space="preserve">, </w:t>
      </w:r>
      <w:r w:rsidR="0004481B">
        <w:t>how it functions</w:t>
      </w:r>
      <w:r w:rsidR="00A977CA">
        <w:t xml:space="preserve"> and the reliance on each component to set the next off</w:t>
      </w:r>
      <w:r w:rsidR="003E30FE">
        <w:t>, the delivery of each separately would limit the risk.</w:t>
      </w:r>
    </w:p>
    <w:p w14:paraId="249848F6" w14:textId="77777777" w:rsidR="000A521D" w:rsidRPr="003227E9" w:rsidRDefault="000A521D" w:rsidP="003227E9">
      <w:pPr>
        <w:ind w:left="360"/>
      </w:pPr>
    </w:p>
    <w:p w14:paraId="446FA596" w14:textId="77777777" w:rsidR="005763B8" w:rsidRDefault="005763B8" w:rsidP="005763B8"/>
    <w:p w14:paraId="20D2D9EC" w14:textId="77777777" w:rsidR="003E30FE" w:rsidRDefault="003E30FE" w:rsidP="005763B8"/>
    <w:p w14:paraId="75DAEB63" w14:textId="77777777" w:rsidR="003E30FE" w:rsidRDefault="003E30FE" w:rsidP="005763B8"/>
    <w:p w14:paraId="50906E9A" w14:textId="77777777" w:rsidR="00082B60" w:rsidRDefault="00082B60" w:rsidP="005763B8"/>
    <w:p w14:paraId="6545E581" w14:textId="77777777" w:rsidR="00665437" w:rsidRDefault="00665437" w:rsidP="005763B8"/>
    <w:p w14:paraId="3814E1CF" w14:textId="77777777" w:rsidR="005763B8" w:rsidRDefault="005763B8" w:rsidP="00643E9B">
      <w:pPr>
        <w:rPr>
          <w:color w:val="FF0000"/>
        </w:rPr>
      </w:pPr>
    </w:p>
    <w:bookmarkStart w:id="52" w:name="_Toc139034365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145195239"/>
        <w:docPartObj>
          <w:docPartGallery w:val="Bibliographies"/>
          <w:docPartUnique/>
        </w:docPartObj>
      </w:sdtPr>
      <w:sdtEndPr/>
      <w:sdtContent>
        <w:p w14:paraId="10BB3814" w14:textId="173B6D5D" w:rsidR="000A7347" w:rsidRDefault="000A7347">
          <w:pPr>
            <w:pStyle w:val="Heading1"/>
          </w:pPr>
          <w:r>
            <w:t>References</w:t>
          </w:r>
          <w:bookmarkEnd w:id="52"/>
        </w:p>
        <w:sdt>
          <w:sdtPr>
            <w:id w:val="-573587230"/>
            <w:bibliography/>
          </w:sdtPr>
          <w:sdtEndPr/>
          <w:sdtContent>
            <w:p w14:paraId="4DEC1D52" w14:textId="77777777" w:rsidR="00B97A77" w:rsidRDefault="000A7347" w:rsidP="00D938A9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B97A77" w14:paraId="071F3970" w14:textId="77777777">
                <w:trPr>
                  <w:divId w:val="111124471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873D02E" w14:textId="20EA0C71" w:rsidR="00B97A77" w:rsidRDefault="00B97A77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E066A0C" w14:textId="77777777" w:rsidR="00B97A77" w:rsidRDefault="00B97A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E. B. Michael Levy, “Ammunition,” Encyclopedia Britannica, 13 06 2023. [Online]. Available: https://www.britannica.com/technology/ammunition. [Accessed 28 06 2023].</w:t>
                    </w:r>
                  </w:p>
                </w:tc>
              </w:tr>
              <w:tr w:rsidR="00B97A77" w14:paraId="3C105520" w14:textId="77777777">
                <w:trPr>
                  <w:divId w:val="111124471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3EB2087" w14:textId="77777777" w:rsidR="00B97A77" w:rsidRDefault="00B97A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4BC6A3" w14:textId="77777777" w:rsidR="00B97A77" w:rsidRDefault="00B97A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S. Macias, “Explosive Train,” Research Gate, [Online]. Available: https://www.researchgate.net/figure/Example-of-a-3-step-high-explosive-train_fig2_48189468. [Accessed 27 06 2023].</w:t>
                    </w:r>
                  </w:p>
                </w:tc>
              </w:tr>
              <w:tr w:rsidR="00B97A77" w14:paraId="0057B58D" w14:textId="77777777">
                <w:trPr>
                  <w:divId w:val="111124471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99E747B" w14:textId="77777777" w:rsidR="00B97A77" w:rsidRDefault="00B97A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EE773F1" w14:textId="77777777" w:rsidR="00B97A77" w:rsidRDefault="00B97A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O. U. Press, TNT, Oxford: In A Dictionary of Construction, Surveying, and Civil Engineering (2nd ed.), 2020. </w:t>
                    </w:r>
                  </w:p>
                </w:tc>
              </w:tr>
              <w:tr w:rsidR="00B97A77" w14:paraId="7BE12A02" w14:textId="77777777">
                <w:trPr>
                  <w:divId w:val="111124471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FDCA343" w14:textId="77777777" w:rsidR="00B97A77" w:rsidRDefault="00B97A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E700E4C" w14:textId="77777777" w:rsidR="00B97A77" w:rsidRDefault="00B97A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U. s. d. o. labor, “OSHA Occupational Chemical Database 2,4,6-TRINITROTOLUENE,” United states department of labor, 15 12 2020. [Online]. Available: https://www.osha.gov/chemicaldata/147. [Accessed 26 06 2023].</w:t>
                    </w:r>
                  </w:p>
                </w:tc>
              </w:tr>
              <w:tr w:rsidR="00B97A77" w14:paraId="56B85496" w14:textId="77777777">
                <w:trPr>
                  <w:divId w:val="111124471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8159BF8" w14:textId="77777777" w:rsidR="00B97A77" w:rsidRDefault="00B97A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00D3BB5" w14:textId="77777777" w:rsidR="00B97A77" w:rsidRDefault="00B97A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Z.-p. D. L.-s. Z. Z.-c. O. F.-l. H. Shu-rui Li, “A melt-cast Duan-Zhang-Kim mesoscopic reaction rate model and experiment for shock initiation of melt-cast explosives,” </w:t>
                    </w:r>
                    <w:r>
                      <w:rPr>
                        <w:i/>
                        <w:iCs/>
                        <w:noProof/>
                      </w:rPr>
                      <w:t xml:space="preserve">Defence Technology, </w:t>
                    </w:r>
                    <w:r>
                      <w:rPr>
                        <w:noProof/>
                      </w:rPr>
                      <w:t xml:space="preserve">vol. 17, no. 5, pp. 1753-1763, 2021. </w:t>
                    </w:r>
                  </w:p>
                </w:tc>
              </w:tr>
              <w:tr w:rsidR="00B97A77" w14:paraId="7E2E6094" w14:textId="77777777">
                <w:trPr>
                  <w:divId w:val="111124471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891E36B" w14:textId="77777777" w:rsidR="00B97A77" w:rsidRDefault="00B97A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FCE736A" w14:textId="77777777" w:rsidR="00B97A77" w:rsidRDefault="00B97A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P. C. P. J. S. Thomas M. Klapötke, “New Journal of chemistry,” </w:t>
                    </w:r>
                    <w:r>
                      <w:rPr>
                        <w:i/>
                        <w:iCs/>
                        <w:noProof/>
                      </w:rPr>
                      <w:t xml:space="preserve">Melt-cast materials: combining the advantages of highly nitrated azoles and open-chain nitramines, </w:t>
                    </w:r>
                    <w:r>
                      <w:rPr>
                        <w:noProof/>
                      </w:rPr>
                      <w:t xml:space="preserve">no. 7, 2016. </w:t>
                    </w:r>
                  </w:p>
                </w:tc>
              </w:tr>
              <w:tr w:rsidR="00B97A77" w14:paraId="17C2B600" w14:textId="77777777">
                <w:trPr>
                  <w:divId w:val="111124471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43BFB03" w14:textId="77777777" w:rsidR="00B97A77" w:rsidRDefault="00B97A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C1975A3" w14:textId="77777777" w:rsidR="00B97A77" w:rsidRDefault="00B97A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N. F. Evans, “BRITISH ARTILLERY IN WORLD WAR 2,” 06 06 2014. [Online]. Available: https://nigelef.tripod.com/ammo.htm. [Accessed 28 06 2023].</w:t>
                    </w:r>
                  </w:p>
                </w:tc>
              </w:tr>
              <w:tr w:rsidR="00B97A77" w14:paraId="69F89301" w14:textId="77777777">
                <w:trPr>
                  <w:divId w:val="111124471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3CCD1ED" w14:textId="77777777" w:rsidR="00B97A77" w:rsidRDefault="00B97A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39E4638" w14:textId="77777777" w:rsidR="00B97A77" w:rsidRDefault="00B97A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Ministry of defence, “Service textbook of explosive, JSP 333,” 08 2020. [Online]. Available: https://moodle.uwtsd.ac.uk/pluginfile.php/674711/mod_resource/content/0/JSP%20333%20Service%20Textbook%20of%20Explosives.pdf. [Accessed 30 06 2023].</w:t>
                    </w:r>
                  </w:p>
                </w:tc>
              </w:tr>
              <w:tr w:rsidR="00B97A77" w14:paraId="79210C63" w14:textId="77777777">
                <w:trPr>
                  <w:divId w:val="111124471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02C8434" w14:textId="77777777" w:rsidR="00B97A77" w:rsidRDefault="00B97A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6D87583" w14:textId="77777777" w:rsidR="00B97A77" w:rsidRDefault="00B97A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G. M. Alan Bailey, Explosives, Propellants and Pyrotechnics, Brassey's, 2000. </w:t>
                    </w:r>
                  </w:p>
                </w:tc>
              </w:tr>
              <w:tr w:rsidR="00B97A77" w14:paraId="23031FD1" w14:textId="77777777">
                <w:trPr>
                  <w:divId w:val="111124471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3E52C7A" w14:textId="77777777" w:rsidR="00B97A77" w:rsidRDefault="00B97A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9E7F733" w14:textId="77777777" w:rsidR="00B97A77" w:rsidRDefault="00B97A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B. Vogelsanger*, “Chemical Stability, Compatibility and shelf life of explosives,” 30 03 2004. [Online]. Available: file:///C:/Users/callum.eaton/OneDrive%20-%20AWE%20PLC/Downloads/chimiaadmin,+2004_0401.pdf. [Accessed 30 06 2023].</w:t>
                    </w:r>
                  </w:p>
                </w:tc>
              </w:tr>
              <w:tr w:rsidR="00B97A77" w14:paraId="55E1F54B" w14:textId="77777777">
                <w:trPr>
                  <w:divId w:val="111124471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9E868EC" w14:textId="77777777" w:rsidR="00B97A77" w:rsidRDefault="00B97A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40DF0F6" w14:textId="77777777" w:rsidR="00B97A77" w:rsidRDefault="00B97A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M. a. H. Nasir, “Comparative Closed Vessel Firing-Ballistic Parameters Evaluation for Development of Base Bleed Composite Solid Propellant,” </w:t>
                    </w:r>
                    <w:r>
                      <w:rPr>
                        <w:i/>
                        <w:iCs/>
                        <w:noProof/>
                      </w:rPr>
                      <w:t xml:space="preserve">Engineering, Technolology and Applied Science Research, </w:t>
                    </w:r>
                    <w:r>
                      <w:rPr>
                        <w:noProof/>
                      </w:rPr>
                      <w:t xml:space="preserve">Vols. vol. 8,, no. 6, p. pp. 3545–3549, Dec 2018. </w:t>
                    </w:r>
                  </w:p>
                </w:tc>
              </w:tr>
              <w:tr w:rsidR="00B97A77" w14:paraId="673877A5" w14:textId="77777777">
                <w:trPr>
                  <w:divId w:val="111124471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88C15B0" w14:textId="77777777" w:rsidR="00B97A77" w:rsidRDefault="00B97A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128D9CE" w14:textId="77777777" w:rsidR="00B97A77" w:rsidRDefault="00B97A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E. Salo, “There Is More Ammunition In Iraq Than Any Place I've Ever Been In My Life, And It Is Not All Securable,” 2013. </w:t>
                    </w:r>
                  </w:p>
                </w:tc>
              </w:tr>
            </w:tbl>
            <w:p w14:paraId="7C52DD8A" w14:textId="77777777" w:rsidR="00B97A77" w:rsidRDefault="00B97A77">
              <w:pPr>
                <w:divId w:val="1111244710"/>
                <w:rPr>
                  <w:rFonts w:eastAsia="Times New Roman"/>
                  <w:noProof/>
                </w:rPr>
              </w:pPr>
            </w:p>
            <w:p w14:paraId="0855E105" w14:textId="07136469" w:rsidR="00D775F6" w:rsidRPr="00B51C91" w:rsidRDefault="000A7347" w:rsidP="00B51C9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07CE996" w14:textId="2FB06BC3" w:rsidR="00F33E43" w:rsidRPr="00D938A9" w:rsidRDefault="00F33E43" w:rsidP="00F33E43">
      <w:pPr>
        <w:pStyle w:val="ListParagraph"/>
        <w:numPr>
          <w:ilvl w:val="0"/>
          <w:numId w:val="2"/>
        </w:numPr>
        <w:rPr>
          <w:color w:val="FF0000"/>
        </w:rPr>
      </w:pPr>
    </w:p>
    <w:sectPr w:rsidR="00F33E43" w:rsidRPr="00D938A9" w:rsidSect="001B113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haroni">
    <w:altName w:val="Aharoni"/>
    <w:charset w:val="B1"/>
    <w:family w:val="auto"/>
    <w:pitch w:val="variable"/>
    <w:sig w:usb0="00000803" w:usb1="00000000" w:usb2="00000000" w:usb3="00000000" w:csb0="00000021" w:csb1="00000000"/>
  </w:font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737C2A"/>
    <w:multiLevelType w:val="hybridMultilevel"/>
    <w:tmpl w:val="221E25EE"/>
    <w:lvl w:ilvl="0" w:tplc="57EC749C">
      <w:start w:val="4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BE3853"/>
    <w:multiLevelType w:val="hybridMultilevel"/>
    <w:tmpl w:val="972AAB9C"/>
    <w:lvl w:ilvl="0" w:tplc="992A6DE0">
      <w:start w:val="19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BA07AE9"/>
    <w:multiLevelType w:val="multilevel"/>
    <w:tmpl w:val="01DCD50A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" w15:restartNumberingAfterBreak="0">
    <w:nsid w:val="26F25399"/>
    <w:multiLevelType w:val="hybridMultilevel"/>
    <w:tmpl w:val="1BC23D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04A3219"/>
    <w:multiLevelType w:val="hybridMultilevel"/>
    <w:tmpl w:val="1E04BF56"/>
    <w:lvl w:ilvl="0" w:tplc="4516EDFA">
      <w:start w:val="5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53441E8"/>
    <w:multiLevelType w:val="multilevel"/>
    <w:tmpl w:val="DE96C42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744" w:hanging="384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6" w15:restartNumberingAfterBreak="0">
    <w:nsid w:val="44B635F3"/>
    <w:multiLevelType w:val="hybridMultilevel"/>
    <w:tmpl w:val="B41C085C"/>
    <w:lvl w:ilvl="0" w:tplc="0F14CB38">
      <w:start w:val="1"/>
      <w:numFmt w:val="bullet"/>
      <w:lvlText w:val="-"/>
      <w:lvlJc w:val="left"/>
      <w:pPr>
        <w:ind w:left="1224" w:hanging="360"/>
      </w:pPr>
      <w:rPr>
        <w:rFonts w:ascii="Calibri" w:eastAsiaTheme="minorHAnsi" w:hAnsi="Calibri" w:cs="Calibri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94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6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8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0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2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4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6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84" w:hanging="360"/>
      </w:pPr>
      <w:rPr>
        <w:rFonts w:ascii="Wingdings" w:hAnsi="Wingdings" w:hint="default"/>
      </w:rPr>
    </w:lvl>
  </w:abstractNum>
  <w:abstractNum w:abstractNumId="7" w15:restartNumberingAfterBreak="0">
    <w:nsid w:val="6B737893"/>
    <w:multiLevelType w:val="hybridMultilevel"/>
    <w:tmpl w:val="32AE886C"/>
    <w:lvl w:ilvl="0" w:tplc="5434E914">
      <w:start w:val="19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64201FA"/>
    <w:multiLevelType w:val="hybridMultilevel"/>
    <w:tmpl w:val="5378AB08"/>
    <w:lvl w:ilvl="0" w:tplc="B406D6CE">
      <w:start w:val="1"/>
      <w:numFmt w:val="bullet"/>
      <w:lvlText w:val="-"/>
      <w:lvlJc w:val="left"/>
      <w:pPr>
        <w:ind w:left="1224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94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6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8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0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2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4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6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84" w:hanging="360"/>
      </w:pPr>
      <w:rPr>
        <w:rFonts w:ascii="Wingdings" w:hAnsi="Wingdings" w:hint="default"/>
      </w:rPr>
    </w:lvl>
  </w:abstractNum>
  <w:num w:numId="1" w16cid:durableId="935409675">
    <w:abstractNumId w:val="1"/>
  </w:num>
  <w:num w:numId="2" w16cid:durableId="683942451">
    <w:abstractNumId w:val="7"/>
  </w:num>
  <w:num w:numId="3" w16cid:durableId="1444615292">
    <w:abstractNumId w:val="3"/>
  </w:num>
  <w:num w:numId="4" w16cid:durableId="912858809">
    <w:abstractNumId w:val="8"/>
  </w:num>
  <w:num w:numId="5" w16cid:durableId="703291044">
    <w:abstractNumId w:val="6"/>
  </w:num>
  <w:num w:numId="6" w16cid:durableId="801002486">
    <w:abstractNumId w:val="5"/>
  </w:num>
  <w:num w:numId="7" w16cid:durableId="1134639352">
    <w:abstractNumId w:val="2"/>
  </w:num>
  <w:num w:numId="8" w16cid:durableId="1851873113">
    <w:abstractNumId w:val="0"/>
  </w:num>
  <w:num w:numId="9" w16cid:durableId="91412086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0EF5"/>
    <w:rsid w:val="0000098B"/>
    <w:rsid w:val="00002EB5"/>
    <w:rsid w:val="00007E12"/>
    <w:rsid w:val="00022862"/>
    <w:rsid w:val="00030144"/>
    <w:rsid w:val="00032DEA"/>
    <w:rsid w:val="0004481B"/>
    <w:rsid w:val="00047BFE"/>
    <w:rsid w:val="00055800"/>
    <w:rsid w:val="000603FB"/>
    <w:rsid w:val="00065ABF"/>
    <w:rsid w:val="0007247F"/>
    <w:rsid w:val="000753D5"/>
    <w:rsid w:val="00082B60"/>
    <w:rsid w:val="000871E2"/>
    <w:rsid w:val="000A04AB"/>
    <w:rsid w:val="000A3418"/>
    <w:rsid w:val="000A521D"/>
    <w:rsid w:val="000A7347"/>
    <w:rsid w:val="000B2AAE"/>
    <w:rsid w:val="000B65A3"/>
    <w:rsid w:val="000D306F"/>
    <w:rsid w:val="000D640A"/>
    <w:rsid w:val="000D65C5"/>
    <w:rsid w:val="000E3C23"/>
    <w:rsid w:val="000E69AA"/>
    <w:rsid w:val="001067FD"/>
    <w:rsid w:val="001127FD"/>
    <w:rsid w:val="00132FEF"/>
    <w:rsid w:val="00140B93"/>
    <w:rsid w:val="0014237E"/>
    <w:rsid w:val="001434EE"/>
    <w:rsid w:val="001479B3"/>
    <w:rsid w:val="00150E34"/>
    <w:rsid w:val="0016026B"/>
    <w:rsid w:val="00163993"/>
    <w:rsid w:val="0016607D"/>
    <w:rsid w:val="00166C9C"/>
    <w:rsid w:val="00186421"/>
    <w:rsid w:val="00191989"/>
    <w:rsid w:val="001953D4"/>
    <w:rsid w:val="001975B9"/>
    <w:rsid w:val="001A0D0D"/>
    <w:rsid w:val="001A2FDF"/>
    <w:rsid w:val="001A32EE"/>
    <w:rsid w:val="001A5A0D"/>
    <w:rsid w:val="001B01D7"/>
    <w:rsid w:val="001B1131"/>
    <w:rsid w:val="001B4877"/>
    <w:rsid w:val="001C5548"/>
    <w:rsid w:val="001E0DB1"/>
    <w:rsid w:val="001E44D2"/>
    <w:rsid w:val="001E4DA7"/>
    <w:rsid w:val="001E7E04"/>
    <w:rsid w:val="001F0D94"/>
    <w:rsid w:val="001F6D9D"/>
    <w:rsid w:val="002033B1"/>
    <w:rsid w:val="00213008"/>
    <w:rsid w:val="00216175"/>
    <w:rsid w:val="00221451"/>
    <w:rsid w:val="0023043F"/>
    <w:rsid w:val="0024141D"/>
    <w:rsid w:val="0024337E"/>
    <w:rsid w:val="002523D0"/>
    <w:rsid w:val="00254941"/>
    <w:rsid w:val="00260BA9"/>
    <w:rsid w:val="0026282D"/>
    <w:rsid w:val="00265671"/>
    <w:rsid w:val="00271D4B"/>
    <w:rsid w:val="00283E88"/>
    <w:rsid w:val="002857A1"/>
    <w:rsid w:val="0029251F"/>
    <w:rsid w:val="00292755"/>
    <w:rsid w:val="002A09F6"/>
    <w:rsid w:val="002A3C2F"/>
    <w:rsid w:val="002C05C9"/>
    <w:rsid w:val="002C7581"/>
    <w:rsid w:val="002E0031"/>
    <w:rsid w:val="002E1445"/>
    <w:rsid w:val="002E7077"/>
    <w:rsid w:val="002F2964"/>
    <w:rsid w:val="002F5370"/>
    <w:rsid w:val="002F7765"/>
    <w:rsid w:val="00304510"/>
    <w:rsid w:val="003156F2"/>
    <w:rsid w:val="003227E9"/>
    <w:rsid w:val="00330976"/>
    <w:rsid w:val="00334C05"/>
    <w:rsid w:val="00346838"/>
    <w:rsid w:val="00353C22"/>
    <w:rsid w:val="00354166"/>
    <w:rsid w:val="00354467"/>
    <w:rsid w:val="00367C22"/>
    <w:rsid w:val="00372210"/>
    <w:rsid w:val="00372259"/>
    <w:rsid w:val="00372627"/>
    <w:rsid w:val="003A147F"/>
    <w:rsid w:val="003A2D5D"/>
    <w:rsid w:val="003B1E6D"/>
    <w:rsid w:val="003D10F2"/>
    <w:rsid w:val="003D2BA8"/>
    <w:rsid w:val="003D77AF"/>
    <w:rsid w:val="003D79DC"/>
    <w:rsid w:val="003E30FE"/>
    <w:rsid w:val="003F123E"/>
    <w:rsid w:val="004030B9"/>
    <w:rsid w:val="00414DBD"/>
    <w:rsid w:val="0041734A"/>
    <w:rsid w:val="00422E52"/>
    <w:rsid w:val="0044691C"/>
    <w:rsid w:val="004674BE"/>
    <w:rsid w:val="00467C22"/>
    <w:rsid w:val="00474E1A"/>
    <w:rsid w:val="004978BA"/>
    <w:rsid w:val="004A65F4"/>
    <w:rsid w:val="004B168D"/>
    <w:rsid w:val="004B2DE1"/>
    <w:rsid w:val="004C327A"/>
    <w:rsid w:val="004D1422"/>
    <w:rsid w:val="004D5965"/>
    <w:rsid w:val="004D7B13"/>
    <w:rsid w:val="004E0FD3"/>
    <w:rsid w:val="004E3C24"/>
    <w:rsid w:val="004E4C0D"/>
    <w:rsid w:val="004E6D1D"/>
    <w:rsid w:val="004F0754"/>
    <w:rsid w:val="004F413D"/>
    <w:rsid w:val="004F75C7"/>
    <w:rsid w:val="0050046A"/>
    <w:rsid w:val="0050055A"/>
    <w:rsid w:val="0053667B"/>
    <w:rsid w:val="00537A9C"/>
    <w:rsid w:val="00544228"/>
    <w:rsid w:val="005471AB"/>
    <w:rsid w:val="00547945"/>
    <w:rsid w:val="00557A27"/>
    <w:rsid w:val="00564273"/>
    <w:rsid w:val="00564EA5"/>
    <w:rsid w:val="00564EDB"/>
    <w:rsid w:val="0056788B"/>
    <w:rsid w:val="00567E9E"/>
    <w:rsid w:val="00570C03"/>
    <w:rsid w:val="00570CAA"/>
    <w:rsid w:val="00575C43"/>
    <w:rsid w:val="005763B8"/>
    <w:rsid w:val="00585E14"/>
    <w:rsid w:val="0058730C"/>
    <w:rsid w:val="005A194A"/>
    <w:rsid w:val="005A370B"/>
    <w:rsid w:val="005B25C7"/>
    <w:rsid w:val="005B5CDD"/>
    <w:rsid w:val="005B7C02"/>
    <w:rsid w:val="005C1D59"/>
    <w:rsid w:val="005C2BE3"/>
    <w:rsid w:val="005C51BF"/>
    <w:rsid w:val="005E3953"/>
    <w:rsid w:val="005E6252"/>
    <w:rsid w:val="005F0A75"/>
    <w:rsid w:val="005F686F"/>
    <w:rsid w:val="006111FD"/>
    <w:rsid w:val="0061212A"/>
    <w:rsid w:val="00617A58"/>
    <w:rsid w:val="006325F0"/>
    <w:rsid w:val="00634AD8"/>
    <w:rsid w:val="00637D7E"/>
    <w:rsid w:val="006409D3"/>
    <w:rsid w:val="00642915"/>
    <w:rsid w:val="006437AB"/>
    <w:rsid w:val="00643E9B"/>
    <w:rsid w:val="00644DF1"/>
    <w:rsid w:val="00646E33"/>
    <w:rsid w:val="00657DE7"/>
    <w:rsid w:val="00665437"/>
    <w:rsid w:val="006815FF"/>
    <w:rsid w:val="00683D2E"/>
    <w:rsid w:val="0068628C"/>
    <w:rsid w:val="006A081D"/>
    <w:rsid w:val="006A3341"/>
    <w:rsid w:val="006A6356"/>
    <w:rsid w:val="006B16A7"/>
    <w:rsid w:val="006B1E42"/>
    <w:rsid w:val="006B7582"/>
    <w:rsid w:val="006C28EF"/>
    <w:rsid w:val="006D7448"/>
    <w:rsid w:val="006E00FF"/>
    <w:rsid w:val="006F1327"/>
    <w:rsid w:val="00701ED4"/>
    <w:rsid w:val="00722EBF"/>
    <w:rsid w:val="00723C98"/>
    <w:rsid w:val="007242C5"/>
    <w:rsid w:val="00741BF3"/>
    <w:rsid w:val="00743990"/>
    <w:rsid w:val="0074654B"/>
    <w:rsid w:val="007608D7"/>
    <w:rsid w:val="00763E0F"/>
    <w:rsid w:val="007677B5"/>
    <w:rsid w:val="00775C2B"/>
    <w:rsid w:val="00777C93"/>
    <w:rsid w:val="0078157C"/>
    <w:rsid w:val="0078564D"/>
    <w:rsid w:val="00794226"/>
    <w:rsid w:val="00794B46"/>
    <w:rsid w:val="0079639B"/>
    <w:rsid w:val="00797B2B"/>
    <w:rsid w:val="007B16B2"/>
    <w:rsid w:val="007B5532"/>
    <w:rsid w:val="007C70BF"/>
    <w:rsid w:val="007E364E"/>
    <w:rsid w:val="007E4ECC"/>
    <w:rsid w:val="007F38C5"/>
    <w:rsid w:val="007F42C4"/>
    <w:rsid w:val="007F6714"/>
    <w:rsid w:val="008024CE"/>
    <w:rsid w:val="00816EB1"/>
    <w:rsid w:val="00817FF8"/>
    <w:rsid w:val="00822B9B"/>
    <w:rsid w:val="008316C5"/>
    <w:rsid w:val="00865E91"/>
    <w:rsid w:val="00871872"/>
    <w:rsid w:val="00874131"/>
    <w:rsid w:val="00877E5A"/>
    <w:rsid w:val="008841F3"/>
    <w:rsid w:val="00886502"/>
    <w:rsid w:val="00890E03"/>
    <w:rsid w:val="008940BF"/>
    <w:rsid w:val="008C5B8E"/>
    <w:rsid w:val="008D7C00"/>
    <w:rsid w:val="008E7043"/>
    <w:rsid w:val="008F4B23"/>
    <w:rsid w:val="00901C26"/>
    <w:rsid w:val="0090282A"/>
    <w:rsid w:val="00904D55"/>
    <w:rsid w:val="0090672E"/>
    <w:rsid w:val="00912EBF"/>
    <w:rsid w:val="009133A3"/>
    <w:rsid w:val="009206B9"/>
    <w:rsid w:val="00923B6E"/>
    <w:rsid w:val="009323D9"/>
    <w:rsid w:val="00943A2F"/>
    <w:rsid w:val="00956537"/>
    <w:rsid w:val="00957781"/>
    <w:rsid w:val="00962189"/>
    <w:rsid w:val="00966C39"/>
    <w:rsid w:val="00966F0A"/>
    <w:rsid w:val="00967C65"/>
    <w:rsid w:val="00970E36"/>
    <w:rsid w:val="00981E0F"/>
    <w:rsid w:val="00985A37"/>
    <w:rsid w:val="00992247"/>
    <w:rsid w:val="0099246C"/>
    <w:rsid w:val="0099652D"/>
    <w:rsid w:val="009A2A9D"/>
    <w:rsid w:val="009A2E03"/>
    <w:rsid w:val="009A3435"/>
    <w:rsid w:val="009A53E2"/>
    <w:rsid w:val="009A5805"/>
    <w:rsid w:val="009A6BDA"/>
    <w:rsid w:val="009A70D6"/>
    <w:rsid w:val="009B18D4"/>
    <w:rsid w:val="009B4F77"/>
    <w:rsid w:val="009B6F0A"/>
    <w:rsid w:val="009E2E17"/>
    <w:rsid w:val="009E4599"/>
    <w:rsid w:val="009E667A"/>
    <w:rsid w:val="00A103A5"/>
    <w:rsid w:val="00A114C8"/>
    <w:rsid w:val="00A11E46"/>
    <w:rsid w:val="00A12EF3"/>
    <w:rsid w:val="00A20491"/>
    <w:rsid w:val="00A20693"/>
    <w:rsid w:val="00A21660"/>
    <w:rsid w:val="00A36D7B"/>
    <w:rsid w:val="00A40AC9"/>
    <w:rsid w:val="00A47800"/>
    <w:rsid w:val="00A7160C"/>
    <w:rsid w:val="00A771D4"/>
    <w:rsid w:val="00A875C5"/>
    <w:rsid w:val="00A977CA"/>
    <w:rsid w:val="00AA57E8"/>
    <w:rsid w:val="00AB3B91"/>
    <w:rsid w:val="00AE2E16"/>
    <w:rsid w:val="00AE3F97"/>
    <w:rsid w:val="00AF3116"/>
    <w:rsid w:val="00AF5DF1"/>
    <w:rsid w:val="00B12661"/>
    <w:rsid w:val="00B27D93"/>
    <w:rsid w:val="00B30AEA"/>
    <w:rsid w:val="00B42610"/>
    <w:rsid w:val="00B51C91"/>
    <w:rsid w:val="00B52DE3"/>
    <w:rsid w:val="00B57353"/>
    <w:rsid w:val="00B75F90"/>
    <w:rsid w:val="00B834C9"/>
    <w:rsid w:val="00B8541E"/>
    <w:rsid w:val="00B90DFC"/>
    <w:rsid w:val="00B95660"/>
    <w:rsid w:val="00B97A77"/>
    <w:rsid w:val="00BA1803"/>
    <w:rsid w:val="00BC3E2E"/>
    <w:rsid w:val="00BD2C99"/>
    <w:rsid w:val="00BD6A5D"/>
    <w:rsid w:val="00BD7740"/>
    <w:rsid w:val="00BE6856"/>
    <w:rsid w:val="00C15813"/>
    <w:rsid w:val="00C402F4"/>
    <w:rsid w:val="00C46469"/>
    <w:rsid w:val="00C63D03"/>
    <w:rsid w:val="00C66114"/>
    <w:rsid w:val="00C669B3"/>
    <w:rsid w:val="00C72F69"/>
    <w:rsid w:val="00C73358"/>
    <w:rsid w:val="00C73B9B"/>
    <w:rsid w:val="00C83E27"/>
    <w:rsid w:val="00C843F3"/>
    <w:rsid w:val="00C90738"/>
    <w:rsid w:val="00C90B59"/>
    <w:rsid w:val="00C9315D"/>
    <w:rsid w:val="00C941E8"/>
    <w:rsid w:val="00CB0740"/>
    <w:rsid w:val="00CC580F"/>
    <w:rsid w:val="00CD0A31"/>
    <w:rsid w:val="00CD1C6E"/>
    <w:rsid w:val="00CD64AE"/>
    <w:rsid w:val="00CE53DF"/>
    <w:rsid w:val="00CE5D56"/>
    <w:rsid w:val="00CF1409"/>
    <w:rsid w:val="00D01094"/>
    <w:rsid w:val="00D033CA"/>
    <w:rsid w:val="00D0601B"/>
    <w:rsid w:val="00D0604B"/>
    <w:rsid w:val="00D10433"/>
    <w:rsid w:val="00D11DA6"/>
    <w:rsid w:val="00D1475D"/>
    <w:rsid w:val="00D16F6F"/>
    <w:rsid w:val="00D17059"/>
    <w:rsid w:val="00D31473"/>
    <w:rsid w:val="00D3166A"/>
    <w:rsid w:val="00D344E3"/>
    <w:rsid w:val="00D34530"/>
    <w:rsid w:val="00D42E57"/>
    <w:rsid w:val="00D50732"/>
    <w:rsid w:val="00D50E0C"/>
    <w:rsid w:val="00D57406"/>
    <w:rsid w:val="00D624C4"/>
    <w:rsid w:val="00D7051B"/>
    <w:rsid w:val="00D71E6C"/>
    <w:rsid w:val="00D7325D"/>
    <w:rsid w:val="00D775F6"/>
    <w:rsid w:val="00D77E30"/>
    <w:rsid w:val="00D8399C"/>
    <w:rsid w:val="00D8599C"/>
    <w:rsid w:val="00D9001F"/>
    <w:rsid w:val="00D90947"/>
    <w:rsid w:val="00D938A9"/>
    <w:rsid w:val="00DA0EF5"/>
    <w:rsid w:val="00DA625B"/>
    <w:rsid w:val="00DC74D1"/>
    <w:rsid w:val="00DD73C4"/>
    <w:rsid w:val="00DE171B"/>
    <w:rsid w:val="00DF224A"/>
    <w:rsid w:val="00DF6883"/>
    <w:rsid w:val="00E03083"/>
    <w:rsid w:val="00E0438B"/>
    <w:rsid w:val="00E10485"/>
    <w:rsid w:val="00E14956"/>
    <w:rsid w:val="00E17116"/>
    <w:rsid w:val="00E17AE1"/>
    <w:rsid w:val="00E25FFF"/>
    <w:rsid w:val="00E27D5D"/>
    <w:rsid w:val="00E30A69"/>
    <w:rsid w:val="00E3673B"/>
    <w:rsid w:val="00E41525"/>
    <w:rsid w:val="00E47AFC"/>
    <w:rsid w:val="00E51F61"/>
    <w:rsid w:val="00E72594"/>
    <w:rsid w:val="00E808F5"/>
    <w:rsid w:val="00E862CD"/>
    <w:rsid w:val="00E872DD"/>
    <w:rsid w:val="00E87DC9"/>
    <w:rsid w:val="00E9328C"/>
    <w:rsid w:val="00E95330"/>
    <w:rsid w:val="00E95682"/>
    <w:rsid w:val="00EA3F89"/>
    <w:rsid w:val="00EA4B47"/>
    <w:rsid w:val="00EA7C75"/>
    <w:rsid w:val="00EB6F1A"/>
    <w:rsid w:val="00EB759C"/>
    <w:rsid w:val="00EC563D"/>
    <w:rsid w:val="00EC6E7F"/>
    <w:rsid w:val="00ED3E60"/>
    <w:rsid w:val="00ED6A63"/>
    <w:rsid w:val="00ED7CF9"/>
    <w:rsid w:val="00EE68C0"/>
    <w:rsid w:val="00EF0D31"/>
    <w:rsid w:val="00EF2D2F"/>
    <w:rsid w:val="00EF5CC9"/>
    <w:rsid w:val="00F01569"/>
    <w:rsid w:val="00F0246A"/>
    <w:rsid w:val="00F036B7"/>
    <w:rsid w:val="00F13167"/>
    <w:rsid w:val="00F20946"/>
    <w:rsid w:val="00F27C5A"/>
    <w:rsid w:val="00F33E43"/>
    <w:rsid w:val="00F3720D"/>
    <w:rsid w:val="00F51BAC"/>
    <w:rsid w:val="00F568AB"/>
    <w:rsid w:val="00F632C5"/>
    <w:rsid w:val="00F7139A"/>
    <w:rsid w:val="00F71C9B"/>
    <w:rsid w:val="00F92DFD"/>
    <w:rsid w:val="00F96591"/>
    <w:rsid w:val="00FA12A3"/>
    <w:rsid w:val="00FA17FE"/>
    <w:rsid w:val="00FA31A8"/>
    <w:rsid w:val="00FB06AA"/>
    <w:rsid w:val="00FB0794"/>
    <w:rsid w:val="00FB110E"/>
    <w:rsid w:val="00FD01CD"/>
    <w:rsid w:val="00FD0321"/>
    <w:rsid w:val="00FD52E4"/>
    <w:rsid w:val="00FE3506"/>
    <w:rsid w:val="00FF3A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35B1EB"/>
  <w15:chartTrackingRefBased/>
  <w15:docId w15:val="{6F0792A8-D6E1-40A8-9573-0D2D49FE72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B759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C5B8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42915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A0EF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F5370"/>
    <w:rPr>
      <w:color w:val="0000FF"/>
      <w:u w:val="single"/>
    </w:rPr>
  </w:style>
  <w:style w:type="paragraph" w:styleId="NoSpacing">
    <w:name w:val="No Spacing"/>
    <w:link w:val="NoSpacingChar"/>
    <w:uiPriority w:val="1"/>
    <w:qFormat/>
    <w:rsid w:val="001B113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B1131"/>
    <w:rPr>
      <w:rFonts w:eastAsiaTheme="minorEastAsia"/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D17059"/>
    <w:pPr>
      <w:spacing w:after="0" w:line="216" w:lineRule="auto"/>
      <w:contextualSpacing/>
    </w:pPr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D17059"/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D17059"/>
    <w:pPr>
      <w:numPr>
        <w:ilvl w:val="1"/>
      </w:numPr>
    </w:pPr>
    <w:rPr>
      <w:rFonts w:eastAsiaTheme="minorEastAsia" w:cs="Times New Roman"/>
      <w:color w:val="5A5A5A" w:themeColor="text1" w:themeTint="A5"/>
      <w:spacing w:val="15"/>
      <w:lang w:val="en-US"/>
    </w:rPr>
  </w:style>
  <w:style w:type="character" w:customStyle="1" w:styleId="SubtitleChar">
    <w:name w:val="Subtitle Char"/>
    <w:basedOn w:val="DefaultParagraphFont"/>
    <w:link w:val="Subtitle"/>
    <w:uiPriority w:val="11"/>
    <w:rsid w:val="00D17059"/>
    <w:rPr>
      <w:rFonts w:eastAsiaTheme="minorEastAsia" w:cs="Times New Roman"/>
      <w:color w:val="5A5A5A" w:themeColor="text1" w:themeTint="A5"/>
      <w:spacing w:val="15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EB759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EB759C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763B8"/>
    <w:pPr>
      <w:spacing w:after="100"/>
    </w:pPr>
  </w:style>
  <w:style w:type="paragraph" w:styleId="Caption">
    <w:name w:val="caption"/>
    <w:basedOn w:val="Normal"/>
    <w:next w:val="Normal"/>
    <w:uiPriority w:val="35"/>
    <w:unhideWhenUsed/>
    <w:qFormat/>
    <w:rsid w:val="009E2E17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981E0F"/>
    <w:pPr>
      <w:spacing w:after="0"/>
    </w:pPr>
  </w:style>
  <w:style w:type="character" w:styleId="FollowedHyperlink">
    <w:name w:val="FollowedHyperlink"/>
    <w:basedOn w:val="DefaultParagraphFont"/>
    <w:uiPriority w:val="99"/>
    <w:semiHidden/>
    <w:unhideWhenUsed/>
    <w:rsid w:val="00644DF1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8C5B8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FB06AA"/>
    <w:pPr>
      <w:spacing w:after="100"/>
      <w:ind w:left="220"/>
    </w:pPr>
  </w:style>
  <w:style w:type="paragraph" w:styleId="Bibliography">
    <w:name w:val="Bibliography"/>
    <w:basedOn w:val="Normal"/>
    <w:next w:val="Normal"/>
    <w:uiPriority w:val="37"/>
    <w:unhideWhenUsed/>
    <w:rsid w:val="000A7347"/>
  </w:style>
  <w:style w:type="character" w:styleId="Emphasis">
    <w:name w:val="Emphasis"/>
    <w:basedOn w:val="DefaultParagraphFont"/>
    <w:uiPriority w:val="20"/>
    <w:qFormat/>
    <w:rsid w:val="00775C2B"/>
    <w:rPr>
      <w:i/>
      <w:iCs/>
    </w:rPr>
  </w:style>
  <w:style w:type="character" w:customStyle="1" w:styleId="Heading3Char">
    <w:name w:val="Heading 3 Char"/>
    <w:basedOn w:val="DefaultParagraphFont"/>
    <w:link w:val="Heading3"/>
    <w:uiPriority w:val="9"/>
    <w:rsid w:val="00642915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EC6E7F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6947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77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30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15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50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50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386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50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538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652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195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472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231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346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473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09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089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875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52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893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173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199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868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187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997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929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646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647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783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159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47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415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001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654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24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898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579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854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16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284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842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088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079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317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512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389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360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541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289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47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947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383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998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798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055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836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663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583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674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225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617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075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193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601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189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576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674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462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961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100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209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692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weuk-my.sharepoint.com/personal/callum_eaton_awe_co_uk/Documents/Documents/Uni%20Work/OME%20Report.docx" TargetMode="External"/><Relationship Id="rId13" Type="http://schemas.openxmlformats.org/officeDocument/2006/relationships/image" Target="media/image6.png"/><Relationship Id="rId18" Type="http://schemas.openxmlformats.org/officeDocument/2006/relationships/hyperlink" Target="https://pubs.rsc.org/en/content/articlelanding/2016/nj/c6nj00202a" TargetMode="External"/><Relationship Id="rId3" Type="http://schemas.openxmlformats.org/officeDocument/2006/relationships/numbering" Target="numbering.xml"/><Relationship Id="rId21" Type="http://schemas.openxmlformats.org/officeDocument/2006/relationships/image" Target="media/image12.png"/><Relationship Id="rId7" Type="http://schemas.openxmlformats.org/officeDocument/2006/relationships/image" Target="media/image1.png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0" Type="http://schemas.openxmlformats.org/officeDocument/2006/relationships/image" Target="media/image11.gif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4.png"/><Relationship Id="rId5" Type="http://schemas.openxmlformats.org/officeDocument/2006/relationships/settings" Target="settings.xml"/><Relationship Id="rId15" Type="http://schemas.openxmlformats.org/officeDocument/2006/relationships/image" Target="media/image8.png"/><Relationship Id="rId23" Type="http://schemas.openxmlformats.org/officeDocument/2006/relationships/theme" Target="theme/theme1.xml"/><Relationship Id="rId10" Type="http://schemas.openxmlformats.org/officeDocument/2006/relationships/image" Target="media/image3.jpeg"/><Relationship Id="rId19" Type="http://schemas.openxmlformats.org/officeDocument/2006/relationships/hyperlink" Target="https://pubs.rsc.org/en/content/articlelanding/2016/nj/c6nj00202a" TargetMode="External"/><Relationship Id="rId4" Type="http://schemas.openxmlformats.org/officeDocument/2006/relationships/styles" Target="style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2023-07-14T00:00:00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Edw13</b:Tag>
    <b:SourceType>JournalArticle</b:SourceType>
    <b:Guid>{8FFED353-2710-4BB2-9B73-1E3D600B71DC}</b:Guid>
    <b:Title>There Is More Ammunition In Iraq Than Any Place I've Ever Been In My Life, And It Is Not All Securable</b:Title>
    <b:Year>2013</b:Year>
    <b:Author>
      <b:Author>
        <b:NameList>
          <b:Person>
            <b:Last>Salo</b:Last>
            <b:First>Edward</b:First>
          </b:Person>
        </b:NameList>
      </b:Author>
    </b:Author>
    <b:RefOrder>13</b:RefOrder>
  </b:Source>
  <b:Source>
    <b:Tag>Oxf20</b:Tag>
    <b:SourceType>Book</b:SourceType>
    <b:Guid>{ADFCE44E-5B3F-456E-9D64-0AF12C5BDC7D}</b:Guid>
    <b:Title>TNT</b:Title>
    <b:Year>2020</b:Year>
    <b:Author>
      <b:Author>
        <b:NameList>
          <b:Person>
            <b:Last>Press</b:Last>
            <b:First>Oxford</b:First>
            <b:Middle>University</b:Middle>
          </b:Person>
        </b:NameList>
      </b:Author>
    </b:Author>
    <b:City>Oxford</b:City>
    <b:Publisher>In A Dictionary of Construction, Surveying, and Civil Engineering (2nd ed.)</b:Publisher>
    <b:RefOrder>3</b:RefOrder>
  </b:Source>
  <b:Source>
    <b:Tag>Shu21</b:Tag>
    <b:SourceType>JournalArticle</b:SourceType>
    <b:Guid>{7F43495C-DC2D-4333-AAF3-1750F0E8B301}</b:Guid>
    <b:Author>
      <b:Author>
        <b:NameList>
          <b:Person>
            <b:Last>Shu-rui Li</b:Last>
            <b:First>Zhuo-ping</b:First>
            <b:Middle>Duan, Lian-sheng Zhang, Zhuo-cheng Ou, Feng-lei Huang</b:Middle>
          </b:Person>
        </b:NameList>
      </b:Author>
    </b:Author>
    <b:Title>A melt-cast Duan-Zhang-Kim mesoscopic reaction rate model and experiment for shock initiation of melt-cast explosives</b:Title>
    <b:JournalName>Defence Technology</b:JournalName>
    <b:Year>2021</b:Year>
    <b:Pages>1753-1763</b:Pages>
    <b:Volume>17</b:Volume>
    <b:Issue>5</b:Issue>
    <b:RefOrder>5</b:RefOrder>
  </b:Source>
  <b:Source>
    <b:Tag>Uni20</b:Tag>
    <b:SourceType>InternetSite</b:SourceType>
    <b:Guid>{96FF3EF5-4807-443B-AB72-374FBE66FC67}</b:Guid>
    <b:Title>OSHA Occupational Chemical Database 2,4,6-TRINITROTOLUENE</b:Title>
    <b:Year>2020</b:Year>
    <b:Author>
      <b:Author>
        <b:NameList>
          <b:Person>
            <b:Last>labor</b:Last>
            <b:First>United</b:First>
            <b:Middle>states department of</b:Middle>
          </b:Person>
        </b:NameList>
      </b:Author>
    </b:Author>
    <b:ProductionCompany>United states department of labor</b:ProductionCompany>
    <b:Month>12</b:Month>
    <b:Day>15</b:Day>
    <b:YearAccessed>2023</b:YearAccessed>
    <b:MonthAccessed>06</b:MonthAccessed>
    <b:DayAccessed>26</b:DayAccessed>
    <b:URL>https://www.osha.gov/chemicaldata/147</b:URL>
    <b:RefOrder>4</b:RefOrder>
  </b:Source>
  <b:Source>
    <b:Tag>Mic23</b:Tag>
    <b:SourceType>InternetSite</b:SourceType>
    <b:Guid>{4981C749-8260-436B-84E6-3CF5960D8E2C}</b:Guid>
    <b:Author>
      <b:Author>
        <b:NameList>
          <b:Person>
            <b:Last>Macias</b:Last>
            <b:First>Michael</b:First>
            <b:Middle>S</b:Middle>
          </b:Person>
        </b:NameList>
      </b:Author>
    </b:Author>
    <b:Title>Explosive Train</b:Title>
    <b:ProductionCompany>Research Gate</b:ProductionCompany>
    <b:YearAccessed>2023</b:YearAccessed>
    <b:MonthAccessed>06</b:MonthAccessed>
    <b:DayAccessed>27</b:DayAccessed>
    <b:URL>https://www.researchgate.net/figure/Example-of-a-3-step-high-explosive-train_fig2_48189468</b:URL>
    <b:RefOrder>2</b:RefOrder>
  </b:Source>
  <b:Source>
    <b:Tag>Nig14</b:Tag>
    <b:SourceType>InternetSite</b:SourceType>
    <b:Guid>{8B197FFB-43A4-4576-9518-15AC0F7093F6}</b:Guid>
    <b:Author>
      <b:Author>
        <b:NameList>
          <b:Person>
            <b:Last>Evans</b:Last>
            <b:First>Nigel</b:First>
            <b:Middle>F</b:Middle>
          </b:Person>
        </b:NameList>
      </b:Author>
    </b:Author>
    <b:Title>BRITISH ARTILLERY IN WORLD WAR 2</b:Title>
    <b:Year>2014</b:Year>
    <b:Month>06</b:Month>
    <b:Day>06</b:Day>
    <b:YearAccessed>2023</b:YearAccessed>
    <b:MonthAccessed>06</b:MonthAccessed>
    <b:DayAccessed>28</b:DayAccessed>
    <b:URL>https://nigelef.tripod.com/ammo.htm</b:URL>
    <b:RefOrder>7</b:RefOrder>
  </b:Source>
  <b:Source>
    <b:Tag>Tho16</b:Tag>
    <b:SourceType>JournalArticle</b:SourceType>
    <b:Guid>{000E0C78-B2BB-41E8-BB75-3EC42DDF2719}</b:Guid>
    <b:Title>New Journal of chemistry</b:Title>
    <b:Year>2016</b:Year>
    <b:Author>
      <b:Author>
        <b:NameList>
          <b:Person>
            <b:Last>Thomas M. Klapötke</b:Last>
            <b:First>Alexander</b:First>
            <b:Middle>Penger, Carolin Pflügera, Jörg Stierstorfera</b:Middle>
          </b:Person>
        </b:NameList>
      </b:Author>
    </b:Author>
    <b:JournalName>Melt-cast materials: combining the advantages of highly nitrated azoles and open-chain nitramines</b:JournalName>
    <b:Issue>7</b:Issue>
    <b:RefOrder>6</b:RefOrder>
  </b:Source>
  <b:Source>
    <b:Tag>Mic231</b:Tag>
    <b:SourceType>InternetSite</b:SourceType>
    <b:Guid>{60FFF24A-B1A5-422D-9A34-97DD1A3D6FA2}</b:Guid>
    <b:Title>Ammunition</b:Title>
    <b:Year>2023</b:Year>
    <b:Month>06</b:Month>
    <b:Day>13</b:Day>
    <b:Author>
      <b:Author>
        <b:NameList>
          <b:Person>
            <b:Last>Michael Levy</b:Last>
            <b:First>Encyclopedia</b:First>
            <b:Middle>Britannica</b:Middle>
          </b:Person>
        </b:NameList>
      </b:Author>
    </b:Author>
    <b:ProductionCompany>Encyclopedia Britannica</b:ProductionCompany>
    <b:YearAccessed>2023</b:YearAccessed>
    <b:MonthAccessed>06</b:MonthAccessed>
    <b:DayAccessed>28</b:DayAccessed>
    <b:URL>https://www.britannica.com/technology/ammunition</b:URL>
    <b:RefOrder>1</b:RefOrder>
  </b:Source>
  <b:Source>
    <b:Tag>AMu18</b:Tag>
    <b:SourceType>JournalArticle</b:SourceType>
    <b:Guid>{4B753D83-56D1-4D80-896C-7766FF41B3F6}</b:Guid>
    <b:Title>Comparative Closed Vessel Firing-Ballistic Parameters Evaluation for Development of Base Bleed Composite Solid Propellant</b:Title>
    <b:Year>Dec 2018</b:Year>
    <b:Author>
      <b:Author>
        <b:NameList>
          <b:Person>
            <b:Last>Nasir</b:Last>
            <b:First>A.</b:First>
            <b:Middle>Mukhtar and H.</b:Middle>
          </b:Person>
        </b:NameList>
      </b:Author>
    </b:Author>
    <b:JournalName>Engineering, Technolology and Applied Science Research</b:JournalName>
    <b:Pages>pp. 3545–3549</b:Pages>
    <b:Volume>vol. 8,</b:Volume>
    <b:Issue>6</b:Issue>
    <b:RefOrder>12</b:RefOrder>
  </b:Source>
  <b:Source>
    <b:Tag>Min20</b:Tag>
    <b:SourceType>DocumentFromInternetSite</b:SourceType>
    <b:Guid>{D716D19E-02E4-4CB5-B7AA-022B8E1E05A5}</b:Guid>
    <b:Title>Service textbook of explosive, JSP 333</b:Title>
    <b:Year>2020</b:Year>
    <b:Author>
      <b:Author>
        <b:Corporate>Ministry of defence</b:Corporate>
      </b:Author>
    </b:Author>
    <b:Month>08</b:Month>
    <b:YearAccessed>2023</b:YearAccessed>
    <b:MonthAccessed>06</b:MonthAccessed>
    <b:DayAccessed>30</b:DayAccessed>
    <b:URL>https://moodle.uwtsd.ac.uk/pluginfile.php/674711/mod_resource/content/0/JSP%20333%20Service%20Textbook%20of%20Explosives.pdf</b:URL>
    <b:RefOrder>8</b:RefOrder>
  </b:Source>
  <b:Source>
    <b:Tag>Bea04</b:Tag>
    <b:SourceType>DocumentFromInternetSite</b:SourceType>
    <b:Guid>{D978561F-308A-4D62-BC16-85E9BA73DE7E}</b:Guid>
    <b:Author>
      <b:Author>
        <b:NameList>
          <b:Person>
            <b:Last>Vogelsanger*</b:Last>
            <b:First>Beat</b:First>
          </b:Person>
        </b:NameList>
      </b:Author>
    </b:Author>
    <b:Title>Chemical Stability, Compatibility and shelf life of explosives</b:Title>
    <b:Year>2004</b:Year>
    <b:Month>03</b:Month>
    <b:Day>30</b:Day>
    <b:YearAccessed>2023</b:YearAccessed>
    <b:MonthAccessed>06</b:MonthAccessed>
    <b:DayAccessed>30</b:DayAccessed>
    <b:URL>file:///C:/Users/callum.eaton/OneDrive%20-%20AWE%20PLC/Downloads/chimiaadmin,+2004_0401.pdf</b:URL>
    <b:RefOrder>11</b:RefOrder>
  </b:Source>
  <b:Source>
    <b:Tag>Ala00</b:Tag>
    <b:SourceType>Book</b:SourceType>
    <b:Guid>{E6F29F34-7547-43E6-B2E8-CCCCAF5329D9}</b:Guid>
    <b:Title>Explosives, Propellants and Pyrotechnics</b:Title>
    <b:Year>2000</b:Year>
    <b:Author>
      <b:Author>
        <b:NameList>
          <b:Person>
            <b:Last>Alan Bailey</b:Last>
            <b:First>S.</b:First>
            <b:Middle>G. Murray</b:Middle>
          </b:Person>
        </b:NameList>
      </b:Author>
    </b:Author>
    <b:Publisher>Brassey's</b:Publisher>
    <b:RefOrder>10</b:RefOrder>
  </b:Source>
  <b:Source>
    <b:Tag>She18</b:Tag>
    <b:SourceType>JournalArticle</b:SourceType>
    <b:Guid>{C8B7A228-3B20-4BCF-A696-60491765323F}</b:Guid>
    <b:Title>Chemical stability, thermal behavior, and shelf life assessment of extruded modified double-base propellants</b:Title>
    <b:Year>2018</b:Year>
    <b:Author>
      <b:Author>
        <b:NameList>
          <b:Person>
            <b:Last>Sherif Elbasuney</b:Last>
            <b:First>Ahmed</b:First>
            <b:Middle>Fahd, Hosam E. Mostafa, Sherif F. Mostafa, Ramy Sadek</b:Middle>
          </b:Person>
        </b:NameList>
      </b:Author>
    </b:Author>
    <b:JournalName>Defence Technology</b:JournalName>
    <b:Pages>70-76</b:Pages>
    <b:Volume>14</b:Volume>
    <b:Issue>1</b:Issue>
    <b:RefOrder>9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062DF1F-EF12-4943-A68C-E932E02EDF2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2818</TotalTime>
  <Pages>12</Pages>
  <Words>3282</Words>
  <Characters>18709</Characters>
  <Application>Microsoft Office Word</Application>
  <DocSecurity>0</DocSecurity>
  <Lines>155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Considerations of explosive trains in artillery rounds during service life and use</vt:lpstr>
    </vt:vector>
  </TitlesOfParts>
  <Company>OME Level 4</Company>
  <LinksUpToDate>false</LinksUpToDate>
  <CharactersWithSpaces>21948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Considerations of explosive trains in artillery rounds during service life and use</dc:title>
  <dc:subject>Callum Eaton</dc:subject>
  <dc:creator>Eaton Callum</dc:creator>
  <cp:keywords/>
  <dc:description/>
  <cp:lastModifiedBy>Eaton Callum AWE</cp:lastModifiedBy>
  <cp:revision>427</cp:revision>
  <dcterms:created xsi:type="dcterms:W3CDTF">2023-05-30T18:36:00Z</dcterms:created>
  <dcterms:modified xsi:type="dcterms:W3CDTF">2023-06-30T14:21:00Z</dcterms:modified>
  <cp:category>Principles of OME</cp:category>
</cp:coreProperties>
</file>