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46832" w:rsidRDefault="00D46832">
      <w:pPr>
        <w:spacing w:line="360" w:lineRule="auto"/>
        <w:jc w:val="center"/>
        <w:rPr>
          <w:rFonts w:ascii="Times New Roman" w:eastAsia="Times New Roman" w:hAnsi="Times New Roman" w:cs="Times New Roman"/>
          <w:b/>
          <w:sz w:val="32"/>
          <w:szCs w:val="32"/>
          <w:lang w:val="en-GB"/>
        </w:rPr>
      </w:pPr>
    </w:p>
    <w:p w:rsidR="00D46832" w:rsidRDefault="00D46832">
      <w:pPr>
        <w:spacing w:line="360" w:lineRule="auto"/>
        <w:jc w:val="center"/>
        <w:rPr>
          <w:rFonts w:ascii="Times New Roman" w:eastAsia="Times New Roman" w:hAnsi="Times New Roman" w:cs="Times New Roman"/>
          <w:b/>
          <w:sz w:val="32"/>
          <w:szCs w:val="32"/>
          <w:lang w:val="en-GB"/>
        </w:rPr>
      </w:pPr>
    </w:p>
    <w:p w:rsidR="008B519B" w:rsidRDefault="00D46832">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THE GLOBAL BUSINESS ENVIRONMENT A2</w:t>
      </w:r>
    </w:p>
    <w:p w:rsidR="00070AAB" w:rsidRDefault="00070AAB" w:rsidP="00D46832">
      <w:pPr>
        <w:spacing w:line="360" w:lineRule="auto"/>
        <w:rPr>
          <w:rFonts w:ascii="Times New Roman" w:eastAsia="Times New Roman" w:hAnsi="Times New Roman" w:cs="Times New Roman"/>
          <w:b/>
          <w:sz w:val="32"/>
          <w:szCs w:val="32"/>
          <w:lang w:val="en-GB"/>
        </w:rPr>
      </w:pPr>
    </w:p>
    <w:p w:rsidR="00930A8C" w:rsidRDefault="00D720C9">
      <w:pPr>
        <w:spacing w:line="360" w:lineRule="auto"/>
        <w:jc w:val="center"/>
        <w:rPr>
          <w:rFonts w:ascii="Times New Roman" w:eastAsia="Times New Roman" w:hAnsi="Times New Roman" w:cs="Times New Roman"/>
          <w:b/>
          <w:sz w:val="32"/>
          <w:szCs w:val="32"/>
          <w:lang w:val="en-GB"/>
        </w:rPr>
      </w:pPr>
      <w:r w:rsidRPr="00BB638D">
        <w:rPr>
          <w:rFonts w:ascii="Times New Roman" w:eastAsia="Times New Roman" w:hAnsi="Times New Roman" w:cs="Times New Roman"/>
          <w:b/>
          <w:sz w:val="32"/>
          <w:szCs w:val="32"/>
          <w:lang w:val="en-GB"/>
        </w:rPr>
        <w:t xml:space="preserve">NEW BUSINESS OPPORTUNITIES AND PRODUCT LIFE </w:t>
      </w:r>
    </w:p>
    <w:p w:rsidR="00930A8C" w:rsidRDefault="00D720C9">
      <w:pPr>
        <w:spacing w:line="360" w:lineRule="auto"/>
        <w:jc w:val="center"/>
        <w:rPr>
          <w:rFonts w:ascii="Times New Roman" w:eastAsia="Times New Roman" w:hAnsi="Times New Roman" w:cs="Times New Roman"/>
          <w:b/>
          <w:sz w:val="32"/>
          <w:szCs w:val="32"/>
          <w:lang w:val="en-GB"/>
        </w:rPr>
      </w:pPr>
      <w:r w:rsidRPr="00BB638D">
        <w:rPr>
          <w:rFonts w:ascii="Times New Roman" w:eastAsia="Times New Roman" w:hAnsi="Times New Roman" w:cs="Times New Roman"/>
          <w:b/>
          <w:sz w:val="32"/>
          <w:szCs w:val="32"/>
          <w:lang w:val="en-GB"/>
        </w:rPr>
        <w:t xml:space="preserve">CYCLE - ASSESSMENT 2 </w:t>
      </w:r>
    </w:p>
    <w:p w:rsidR="00930A8C" w:rsidRDefault="00930A8C" w:rsidP="00930A8C">
      <w:pPr>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name : Dragan Natsevski</w:t>
      </w:r>
    </w:p>
    <w:p w:rsidR="00930A8C" w:rsidRDefault="00930A8C" w:rsidP="00930A8C">
      <w:pPr>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ID : 1817167</w:t>
      </w:r>
    </w:p>
    <w:p w:rsidR="00930A8C" w:rsidRPr="00930A8C" w:rsidRDefault="00930A8C" w:rsidP="00930A8C">
      <w:pPr>
        <w:spacing w:line="360" w:lineRule="auto"/>
        <w:rPr>
          <w:rFonts w:ascii="Times New Roman" w:eastAsia="Times New Roman" w:hAnsi="Times New Roman" w:cs="Times New Roman"/>
          <w:b/>
          <w:sz w:val="36"/>
          <w:szCs w:val="36"/>
          <w:lang w:val="en-GB"/>
        </w:rPr>
      </w:pPr>
    </w:p>
    <w:p w:rsidR="008B519B" w:rsidRPr="00BB638D" w:rsidRDefault="00D720C9" w:rsidP="00930A8C">
      <w:pPr>
        <w:spacing w:line="360" w:lineRule="auto"/>
        <w:rPr>
          <w:rFonts w:ascii="Times New Roman" w:eastAsia="Times New Roman" w:hAnsi="Times New Roman" w:cs="Times New Roman"/>
          <w:b/>
          <w:sz w:val="32"/>
          <w:szCs w:val="32"/>
          <w:lang w:val="en-GB"/>
        </w:rPr>
      </w:pPr>
      <w:r w:rsidRPr="00BB638D">
        <w:rPr>
          <w:lang w:val="en-GB"/>
        </w:rPr>
        <w:br w:type="page"/>
      </w:r>
    </w:p>
    <w:p w:rsidR="00C91238" w:rsidRDefault="00FA0584" w:rsidP="00C91238">
      <w:pPr>
        <w:spacing w:line="360" w:lineRule="auto"/>
        <w:jc w:val="center"/>
        <w:rPr>
          <w:noProof/>
        </w:rPr>
      </w:pPr>
      <w:r>
        <w:rPr>
          <w:rFonts w:ascii="Times New Roman" w:eastAsia="Times New Roman" w:hAnsi="Times New Roman" w:cs="Times New Roman"/>
          <w:b/>
          <w:sz w:val="24"/>
          <w:szCs w:val="24"/>
          <w:lang w:val="en-GB"/>
        </w:rPr>
        <w:lastRenderedPageBreak/>
        <w:t>Table of Contents</w:t>
      </w:r>
      <w:r w:rsidR="00B01F2F">
        <w:rPr>
          <w:rFonts w:ascii="Times New Roman" w:eastAsia="Times New Roman" w:hAnsi="Times New Roman" w:cs="Times New Roman"/>
          <w:b/>
          <w:sz w:val="24"/>
          <w:szCs w:val="24"/>
          <w:lang w:val="en-GB"/>
        </w:rPr>
        <w:fldChar w:fldCharType="begin"/>
      </w:r>
      <w:r w:rsidR="00702848">
        <w:rPr>
          <w:rFonts w:ascii="Times New Roman" w:eastAsia="Times New Roman" w:hAnsi="Times New Roman" w:cs="Times New Roman"/>
          <w:b/>
          <w:sz w:val="24"/>
          <w:szCs w:val="24"/>
          <w:lang w:val="en-GB"/>
        </w:rPr>
        <w:instrText xml:space="preserve"> TOC \h \z \t "Heading 1" \c </w:instrText>
      </w:r>
      <w:r w:rsidR="00B01F2F">
        <w:rPr>
          <w:rFonts w:ascii="Times New Roman" w:eastAsia="Times New Roman" w:hAnsi="Times New Roman" w:cs="Times New Roman"/>
          <w:b/>
          <w:sz w:val="24"/>
          <w:szCs w:val="24"/>
          <w:lang w:val="en-GB"/>
        </w:rPr>
        <w:fldChar w:fldCharType="separate"/>
      </w:r>
    </w:p>
    <w:p w:rsidR="00C91238" w:rsidRDefault="00B01F2F" w:rsidP="00C91238">
      <w:pPr>
        <w:pStyle w:val="TableofFigures"/>
        <w:tabs>
          <w:tab w:val="right" w:leader="dot" w:pos="9019"/>
        </w:tabs>
        <w:rPr>
          <w:rFonts w:asciiTheme="minorHAnsi" w:eastAsiaTheme="minorEastAsia" w:hAnsiTheme="minorHAnsi" w:cstheme="minorBidi"/>
          <w:noProof/>
          <w:color w:val="auto"/>
          <w:sz w:val="22"/>
          <w:lang w:val="en-US" w:eastAsia="en-US"/>
        </w:rPr>
      </w:pPr>
      <w:hyperlink w:anchor="_Toc38381860" w:history="1">
        <w:r w:rsidR="00C91238" w:rsidRPr="00F62205">
          <w:rPr>
            <w:rStyle w:val="Hyperlink"/>
            <w:noProof/>
            <w:lang w:val="en-GB"/>
          </w:rPr>
          <w:t>Introduction</w:t>
        </w:r>
        <w:r w:rsidR="00C91238">
          <w:rPr>
            <w:noProof/>
            <w:webHidden/>
          </w:rPr>
          <w:tab/>
        </w:r>
        <w:r>
          <w:rPr>
            <w:noProof/>
            <w:webHidden/>
          </w:rPr>
          <w:fldChar w:fldCharType="begin"/>
        </w:r>
        <w:r w:rsidR="00C91238">
          <w:rPr>
            <w:noProof/>
            <w:webHidden/>
          </w:rPr>
          <w:instrText xml:space="preserve"> PAGEREF _Toc38381860 \h </w:instrText>
        </w:r>
        <w:r>
          <w:rPr>
            <w:noProof/>
            <w:webHidden/>
          </w:rPr>
        </w:r>
        <w:r>
          <w:rPr>
            <w:noProof/>
            <w:webHidden/>
          </w:rPr>
          <w:fldChar w:fldCharType="separate"/>
        </w:r>
        <w:r w:rsidR="00DB687E">
          <w:rPr>
            <w:noProof/>
            <w:webHidden/>
          </w:rPr>
          <w:t>2</w:t>
        </w:r>
        <w:r>
          <w:rPr>
            <w:noProof/>
            <w:webHidden/>
          </w:rPr>
          <w:fldChar w:fldCharType="end"/>
        </w:r>
      </w:hyperlink>
    </w:p>
    <w:p w:rsidR="00C91238" w:rsidRDefault="00B01F2F" w:rsidP="00C91238">
      <w:pPr>
        <w:pStyle w:val="TableofFigures"/>
        <w:tabs>
          <w:tab w:val="right" w:leader="dot" w:pos="9019"/>
        </w:tabs>
        <w:rPr>
          <w:rFonts w:asciiTheme="minorHAnsi" w:eastAsiaTheme="minorEastAsia" w:hAnsiTheme="minorHAnsi" w:cstheme="minorBidi"/>
          <w:noProof/>
          <w:color w:val="auto"/>
          <w:sz w:val="22"/>
          <w:lang w:val="en-US" w:eastAsia="en-US"/>
        </w:rPr>
      </w:pPr>
      <w:hyperlink w:anchor="_Toc38381861" w:history="1">
        <w:r w:rsidR="00C91238" w:rsidRPr="00F62205">
          <w:rPr>
            <w:rStyle w:val="Hyperlink"/>
            <w:noProof/>
            <w:lang w:val="en-GB"/>
          </w:rPr>
          <w:t>Identification of new and emerging business opportunities</w:t>
        </w:r>
        <w:r w:rsidR="00C91238">
          <w:rPr>
            <w:noProof/>
            <w:webHidden/>
          </w:rPr>
          <w:tab/>
        </w:r>
        <w:r>
          <w:rPr>
            <w:noProof/>
            <w:webHidden/>
          </w:rPr>
          <w:fldChar w:fldCharType="begin"/>
        </w:r>
        <w:r w:rsidR="00C91238">
          <w:rPr>
            <w:noProof/>
            <w:webHidden/>
          </w:rPr>
          <w:instrText xml:space="preserve"> PAGEREF _Toc38381861 \h </w:instrText>
        </w:r>
        <w:r>
          <w:rPr>
            <w:noProof/>
            <w:webHidden/>
          </w:rPr>
        </w:r>
        <w:r>
          <w:rPr>
            <w:noProof/>
            <w:webHidden/>
          </w:rPr>
          <w:fldChar w:fldCharType="separate"/>
        </w:r>
        <w:r w:rsidR="00DB687E">
          <w:rPr>
            <w:noProof/>
            <w:webHidden/>
          </w:rPr>
          <w:t>2</w:t>
        </w:r>
        <w:r>
          <w:rPr>
            <w:noProof/>
            <w:webHidden/>
          </w:rPr>
          <w:fldChar w:fldCharType="end"/>
        </w:r>
      </w:hyperlink>
    </w:p>
    <w:p w:rsidR="00C91238" w:rsidRDefault="00B01F2F" w:rsidP="00C91238">
      <w:pPr>
        <w:pStyle w:val="TableofFigures"/>
        <w:tabs>
          <w:tab w:val="right" w:leader="dot" w:pos="9019"/>
        </w:tabs>
        <w:rPr>
          <w:rFonts w:asciiTheme="minorHAnsi" w:eastAsiaTheme="minorEastAsia" w:hAnsiTheme="minorHAnsi" w:cstheme="minorBidi"/>
          <w:noProof/>
          <w:color w:val="auto"/>
          <w:sz w:val="22"/>
          <w:lang w:val="en-US" w:eastAsia="en-US"/>
        </w:rPr>
      </w:pPr>
      <w:hyperlink w:anchor="_Toc38381862" w:history="1">
        <w:r w:rsidR="00C91238" w:rsidRPr="00F62205">
          <w:rPr>
            <w:rStyle w:val="Hyperlink"/>
            <w:noProof/>
            <w:lang w:val="en-GB"/>
          </w:rPr>
          <w:t>Product Life Cycle</w:t>
        </w:r>
        <w:r w:rsidR="00C91238">
          <w:rPr>
            <w:noProof/>
            <w:webHidden/>
          </w:rPr>
          <w:tab/>
        </w:r>
        <w:r>
          <w:rPr>
            <w:noProof/>
            <w:webHidden/>
          </w:rPr>
          <w:fldChar w:fldCharType="begin"/>
        </w:r>
        <w:r w:rsidR="00C91238">
          <w:rPr>
            <w:noProof/>
            <w:webHidden/>
          </w:rPr>
          <w:instrText xml:space="preserve"> PAGEREF _Toc38381862 \h </w:instrText>
        </w:r>
        <w:r>
          <w:rPr>
            <w:noProof/>
            <w:webHidden/>
          </w:rPr>
        </w:r>
        <w:r>
          <w:rPr>
            <w:noProof/>
            <w:webHidden/>
          </w:rPr>
          <w:fldChar w:fldCharType="separate"/>
        </w:r>
        <w:r w:rsidR="00DB687E">
          <w:rPr>
            <w:noProof/>
            <w:webHidden/>
          </w:rPr>
          <w:t>3</w:t>
        </w:r>
        <w:r>
          <w:rPr>
            <w:noProof/>
            <w:webHidden/>
          </w:rPr>
          <w:fldChar w:fldCharType="end"/>
        </w:r>
      </w:hyperlink>
    </w:p>
    <w:p w:rsidR="00C91238" w:rsidRDefault="00B01F2F" w:rsidP="00C91238">
      <w:pPr>
        <w:pStyle w:val="TableofFigures"/>
        <w:tabs>
          <w:tab w:val="right" w:leader="dot" w:pos="9019"/>
        </w:tabs>
        <w:rPr>
          <w:rFonts w:asciiTheme="minorHAnsi" w:eastAsiaTheme="minorEastAsia" w:hAnsiTheme="minorHAnsi" w:cstheme="minorBidi"/>
          <w:noProof/>
          <w:color w:val="auto"/>
          <w:sz w:val="22"/>
          <w:lang w:val="en-US" w:eastAsia="en-US"/>
        </w:rPr>
      </w:pPr>
      <w:hyperlink w:anchor="_Toc38381863" w:history="1">
        <w:r w:rsidR="00C91238" w:rsidRPr="00F62205">
          <w:rPr>
            <w:rStyle w:val="Hyperlink"/>
            <w:noProof/>
            <w:lang w:val="en-GB"/>
          </w:rPr>
          <w:t>Analysis of external environment</w:t>
        </w:r>
        <w:r w:rsidR="00C91238">
          <w:rPr>
            <w:noProof/>
            <w:webHidden/>
          </w:rPr>
          <w:tab/>
        </w:r>
        <w:r>
          <w:rPr>
            <w:noProof/>
            <w:webHidden/>
          </w:rPr>
          <w:fldChar w:fldCharType="begin"/>
        </w:r>
        <w:r w:rsidR="00C91238">
          <w:rPr>
            <w:noProof/>
            <w:webHidden/>
          </w:rPr>
          <w:instrText xml:space="preserve"> PAGEREF _Toc38381863 \h </w:instrText>
        </w:r>
        <w:r>
          <w:rPr>
            <w:noProof/>
            <w:webHidden/>
          </w:rPr>
        </w:r>
        <w:r>
          <w:rPr>
            <w:noProof/>
            <w:webHidden/>
          </w:rPr>
          <w:fldChar w:fldCharType="separate"/>
        </w:r>
        <w:r w:rsidR="00DB687E">
          <w:rPr>
            <w:noProof/>
            <w:webHidden/>
          </w:rPr>
          <w:t>4</w:t>
        </w:r>
        <w:r>
          <w:rPr>
            <w:noProof/>
            <w:webHidden/>
          </w:rPr>
          <w:fldChar w:fldCharType="end"/>
        </w:r>
      </w:hyperlink>
    </w:p>
    <w:p w:rsidR="00C91238" w:rsidRDefault="00B01F2F" w:rsidP="00C91238">
      <w:pPr>
        <w:pStyle w:val="TableofFigures"/>
        <w:tabs>
          <w:tab w:val="right" w:leader="dot" w:pos="9019"/>
        </w:tabs>
        <w:rPr>
          <w:rFonts w:asciiTheme="minorHAnsi" w:eastAsiaTheme="minorEastAsia" w:hAnsiTheme="minorHAnsi" w:cstheme="minorBidi"/>
          <w:noProof/>
          <w:color w:val="auto"/>
          <w:sz w:val="22"/>
          <w:lang w:val="en-US" w:eastAsia="en-US"/>
        </w:rPr>
      </w:pPr>
      <w:hyperlink w:anchor="_Toc38381864" w:history="1">
        <w:r w:rsidR="00C91238" w:rsidRPr="00F62205">
          <w:rPr>
            <w:rStyle w:val="Hyperlink"/>
            <w:noProof/>
          </w:rPr>
          <w:t>Porter’s Five Force Framework</w:t>
        </w:r>
        <w:r w:rsidR="00C91238">
          <w:rPr>
            <w:noProof/>
            <w:webHidden/>
          </w:rPr>
          <w:tab/>
        </w:r>
        <w:r>
          <w:rPr>
            <w:noProof/>
            <w:webHidden/>
          </w:rPr>
          <w:fldChar w:fldCharType="begin"/>
        </w:r>
        <w:r w:rsidR="00C91238">
          <w:rPr>
            <w:noProof/>
            <w:webHidden/>
          </w:rPr>
          <w:instrText xml:space="preserve"> PAGEREF _Toc38381864 \h </w:instrText>
        </w:r>
        <w:r>
          <w:rPr>
            <w:noProof/>
            <w:webHidden/>
          </w:rPr>
        </w:r>
        <w:r>
          <w:rPr>
            <w:noProof/>
            <w:webHidden/>
          </w:rPr>
          <w:fldChar w:fldCharType="separate"/>
        </w:r>
        <w:r w:rsidR="00DB687E">
          <w:rPr>
            <w:noProof/>
            <w:webHidden/>
          </w:rPr>
          <w:t>6</w:t>
        </w:r>
        <w:r>
          <w:rPr>
            <w:noProof/>
            <w:webHidden/>
          </w:rPr>
          <w:fldChar w:fldCharType="end"/>
        </w:r>
      </w:hyperlink>
    </w:p>
    <w:p w:rsidR="00C91238" w:rsidRDefault="00B01F2F" w:rsidP="00C91238">
      <w:pPr>
        <w:pStyle w:val="TableofFigures"/>
        <w:tabs>
          <w:tab w:val="right" w:leader="dot" w:pos="9019"/>
        </w:tabs>
        <w:rPr>
          <w:rFonts w:asciiTheme="minorHAnsi" w:eastAsiaTheme="minorEastAsia" w:hAnsiTheme="minorHAnsi" w:cstheme="minorBidi"/>
          <w:noProof/>
          <w:color w:val="auto"/>
          <w:sz w:val="22"/>
          <w:lang w:val="en-US" w:eastAsia="en-US"/>
        </w:rPr>
      </w:pPr>
      <w:hyperlink w:anchor="_Toc38381865" w:history="1">
        <w:r w:rsidR="00C91238" w:rsidRPr="00F62205">
          <w:rPr>
            <w:rStyle w:val="Hyperlink"/>
            <w:noProof/>
          </w:rPr>
          <w:t>Porter’s Value Chain Analysis</w:t>
        </w:r>
        <w:r w:rsidR="00C91238">
          <w:rPr>
            <w:noProof/>
            <w:webHidden/>
          </w:rPr>
          <w:tab/>
        </w:r>
        <w:r>
          <w:rPr>
            <w:noProof/>
            <w:webHidden/>
          </w:rPr>
          <w:fldChar w:fldCharType="begin"/>
        </w:r>
        <w:r w:rsidR="00C91238">
          <w:rPr>
            <w:noProof/>
            <w:webHidden/>
          </w:rPr>
          <w:instrText xml:space="preserve"> PAGEREF _Toc38381865 \h </w:instrText>
        </w:r>
        <w:r>
          <w:rPr>
            <w:noProof/>
            <w:webHidden/>
          </w:rPr>
        </w:r>
        <w:r>
          <w:rPr>
            <w:noProof/>
            <w:webHidden/>
          </w:rPr>
          <w:fldChar w:fldCharType="separate"/>
        </w:r>
        <w:r w:rsidR="00DB687E">
          <w:rPr>
            <w:noProof/>
            <w:webHidden/>
          </w:rPr>
          <w:t>7</w:t>
        </w:r>
        <w:r>
          <w:rPr>
            <w:noProof/>
            <w:webHidden/>
          </w:rPr>
          <w:fldChar w:fldCharType="end"/>
        </w:r>
      </w:hyperlink>
    </w:p>
    <w:p w:rsidR="00C91238" w:rsidRDefault="00B01F2F" w:rsidP="00C91238">
      <w:pPr>
        <w:pStyle w:val="TableofFigures"/>
        <w:tabs>
          <w:tab w:val="right" w:leader="dot" w:pos="9019"/>
        </w:tabs>
        <w:rPr>
          <w:rFonts w:asciiTheme="minorHAnsi" w:eastAsiaTheme="minorEastAsia" w:hAnsiTheme="minorHAnsi" w:cstheme="minorBidi"/>
          <w:noProof/>
          <w:color w:val="auto"/>
          <w:sz w:val="22"/>
          <w:lang w:val="en-US" w:eastAsia="en-US"/>
        </w:rPr>
      </w:pPr>
      <w:hyperlink w:anchor="_Toc38381866" w:history="1">
        <w:r w:rsidR="00C91238" w:rsidRPr="00F62205">
          <w:rPr>
            <w:rStyle w:val="Hyperlink"/>
            <w:noProof/>
          </w:rPr>
          <w:t>Critical assessment of other businesses currently linked to the global automotive industry</w:t>
        </w:r>
        <w:r w:rsidR="00C91238">
          <w:rPr>
            <w:noProof/>
            <w:webHidden/>
          </w:rPr>
          <w:tab/>
        </w:r>
        <w:r>
          <w:rPr>
            <w:noProof/>
            <w:webHidden/>
          </w:rPr>
          <w:fldChar w:fldCharType="begin"/>
        </w:r>
        <w:r w:rsidR="00C91238">
          <w:rPr>
            <w:noProof/>
            <w:webHidden/>
          </w:rPr>
          <w:instrText xml:space="preserve"> PAGEREF _Toc38381866 \h </w:instrText>
        </w:r>
        <w:r>
          <w:rPr>
            <w:noProof/>
            <w:webHidden/>
          </w:rPr>
        </w:r>
        <w:r>
          <w:rPr>
            <w:noProof/>
            <w:webHidden/>
          </w:rPr>
          <w:fldChar w:fldCharType="separate"/>
        </w:r>
        <w:r w:rsidR="00DB687E">
          <w:rPr>
            <w:noProof/>
            <w:webHidden/>
          </w:rPr>
          <w:t>8</w:t>
        </w:r>
        <w:r>
          <w:rPr>
            <w:noProof/>
            <w:webHidden/>
          </w:rPr>
          <w:fldChar w:fldCharType="end"/>
        </w:r>
      </w:hyperlink>
    </w:p>
    <w:p w:rsidR="00C91238" w:rsidRDefault="00B01F2F" w:rsidP="00C91238">
      <w:pPr>
        <w:pStyle w:val="TableofFigures"/>
        <w:tabs>
          <w:tab w:val="right" w:leader="dot" w:pos="9019"/>
        </w:tabs>
        <w:rPr>
          <w:rFonts w:asciiTheme="minorHAnsi" w:eastAsiaTheme="minorEastAsia" w:hAnsiTheme="minorHAnsi" w:cstheme="minorBidi"/>
          <w:noProof/>
          <w:color w:val="auto"/>
          <w:sz w:val="22"/>
          <w:lang w:val="en-US" w:eastAsia="en-US"/>
        </w:rPr>
      </w:pPr>
      <w:hyperlink w:anchor="_Toc38381867" w:history="1">
        <w:r w:rsidR="00C91238" w:rsidRPr="00F62205">
          <w:rPr>
            <w:rStyle w:val="Hyperlink"/>
            <w:noProof/>
          </w:rPr>
          <w:t>Conclusion</w:t>
        </w:r>
        <w:r w:rsidR="00C91238">
          <w:rPr>
            <w:noProof/>
            <w:webHidden/>
          </w:rPr>
          <w:tab/>
        </w:r>
        <w:r>
          <w:rPr>
            <w:noProof/>
            <w:webHidden/>
          </w:rPr>
          <w:fldChar w:fldCharType="begin"/>
        </w:r>
        <w:r w:rsidR="00C91238">
          <w:rPr>
            <w:noProof/>
            <w:webHidden/>
          </w:rPr>
          <w:instrText xml:space="preserve"> PAGEREF _Toc38381867 \h </w:instrText>
        </w:r>
        <w:r>
          <w:rPr>
            <w:noProof/>
            <w:webHidden/>
          </w:rPr>
        </w:r>
        <w:r>
          <w:rPr>
            <w:noProof/>
            <w:webHidden/>
          </w:rPr>
          <w:fldChar w:fldCharType="separate"/>
        </w:r>
        <w:r w:rsidR="00DB687E">
          <w:rPr>
            <w:noProof/>
            <w:webHidden/>
          </w:rPr>
          <w:t>9</w:t>
        </w:r>
        <w:r>
          <w:rPr>
            <w:noProof/>
            <w:webHidden/>
          </w:rPr>
          <w:fldChar w:fldCharType="end"/>
        </w:r>
      </w:hyperlink>
    </w:p>
    <w:p w:rsidR="00C91238" w:rsidRDefault="00B01F2F" w:rsidP="00C91238">
      <w:pPr>
        <w:pStyle w:val="TableofFigures"/>
        <w:tabs>
          <w:tab w:val="right" w:leader="dot" w:pos="9019"/>
        </w:tabs>
        <w:rPr>
          <w:rFonts w:asciiTheme="minorHAnsi" w:eastAsiaTheme="minorEastAsia" w:hAnsiTheme="minorHAnsi" w:cstheme="minorBidi"/>
          <w:noProof/>
          <w:color w:val="auto"/>
          <w:sz w:val="22"/>
          <w:lang w:val="en-US" w:eastAsia="en-US"/>
        </w:rPr>
      </w:pPr>
      <w:hyperlink w:anchor="_Toc38381868" w:history="1">
        <w:r w:rsidR="00C91238" w:rsidRPr="00F62205">
          <w:rPr>
            <w:rStyle w:val="Hyperlink"/>
            <w:noProof/>
          </w:rPr>
          <w:t>Reference</w:t>
        </w:r>
        <w:r w:rsidR="00C91238" w:rsidRPr="00F62205">
          <w:rPr>
            <w:rStyle w:val="Hyperlink"/>
            <w:noProof/>
            <w:lang w:val="en-GB"/>
          </w:rPr>
          <w:t xml:space="preserve"> List</w:t>
        </w:r>
        <w:r w:rsidR="00C91238">
          <w:rPr>
            <w:noProof/>
            <w:webHidden/>
          </w:rPr>
          <w:tab/>
        </w:r>
        <w:r>
          <w:rPr>
            <w:noProof/>
            <w:webHidden/>
          </w:rPr>
          <w:fldChar w:fldCharType="begin"/>
        </w:r>
        <w:r w:rsidR="00C91238">
          <w:rPr>
            <w:noProof/>
            <w:webHidden/>
          </w:rPr>
          <w:instrText xml:space="preserve"> PAGEREF _Toc38381868 \h </w:instrText>
        </w:r>
        <w:r>
          <w:rPr>
            <w:noProof/>
            <w:webHidden/>
          </w:rPr>
        </w:r>
        <w:r>
          <w:rPr>
            <w:noProof/>
            <w:webHidden/>
          </w:rPr>
          <w:fldChar w:fldCharType="separate"/>
        </w:r>
        <w:r w:rsidR="00DB687E">
          <w:rPr>
            <w:noProof/>
            <w:webHidden/>
          </w:rPr>
          <w:t>10</w:t>
        </w:r>
        <w:r>
          <w:rPr>
            <w:noProof/>
            <w:webHidden/>
          </w:rPr>
          <w:fldChar w:fldCharType="end"/>
        </w:r>
      </w:hyperlink>
    </w:p>
    <w:p w:rsidR="00FA0584" w:rsidRDefault="00B01F2F" w:rsidP="00FA0584">
      <w:pPr>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fldChar w:fldCharType="end"/>
      </w:r>
    </w:p>
    <w:p w:rsidR="00887E5A" w:rsidRDefault="00887E5A">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rsidR="008B519B" w:rsidRPr="00BB638D" w:rsidRDefault="00D720C9" w:rsidP="00887E5A">
      <w:pPr>
        <w:pStyle w:val="Heading1"/>
        <w:rPr>
          <w:lang w:val="en-GB"/>
        </w:rPr>
      </w:pPr>
      <w:bookmarkStart w:id="0" w:name="_Toc38381860"/>
      <w:r w:rsidRPr="00BB638D">
        <w:rPr>
          <w:lang w:val="en-GB"/>
        </w:rPr>
        <w:lastRenderedPageBreak/>
        <w:t>Introduction</w:t>
      </w:r>
      <w:bookmarkEnd w:id="0"/>
    </w:p>
    <w:p w:rsidR="008B519B" w:rsidRPr="00BB638D" w:rsidRDefault="00D720C9">
      <w:pPr>
        <w:spacing w:line="360" w:lineRule="auto"/>
        <w:jc w:val="both"/>
        <w:rPr>
          <w:rFonts w:ascii="Times New Roman" w:eastAsia="Times New Roman" w:hAnsi="Times New Roman" w:cs="Times New Roman"/>
          <w:b/>
          <w:sz w:val="24"/>
          <w:szCs w:val="24"/>
          <w:lang w:val="en-GB"/>
        </w:rPr>
      </w:pPr>
      <w:r w:rsidRPr="00BB638D">
        <w:rPr>
          <w:rFonts w:ascii="Times New Roman" w:eastAsia="Times New Roman" w:hAnsi="Times New Roman" w:cs="Times New Roman"/>
          <w:sz w:val="24"/>
          <w:szCs w:val="24"/>
          <w:lang w:val="en-GB"/>
        </w:rPr>
        <w:t xml:space="preserve">Ascertainment of new business opportunities is considered to be an integral aspect of continuous development and innovation within an industry. The concept of incorporation of electric motors is one such business opportunity for companies operating within the automotive industry. The case study titled </w:t>
      </w:r>
      <w:r w:rsidRPr="00BB638D">
        <w:rPr>
          <w:rFonts w:ascii="Times New Roman" w:eastAsia="Times New Roman" w:hAnsi="Times New Roman" w:cs="Times New Roman"/>
          <w:i/>
          <w:sz w:val="24"/>
          <w:szCs w:val="24"/>
          <w:lang w:val="en-GB"/>
        </w:rPr>
        <w:t xml:space="preserve">“Electric vehicles in Europe: gearing up for a new phase?” </w:t>
      </w:r>
      <w:r w:rsidRPr="00BB638D">
        <w:rPr>
          <w:rFonts w:ascii="Times New Roman" w:eastAsia="Times New Roman" w:hAnsi="Times New Roman" w:cs="Times New Roman"/>
          <w:sz w:val="24"/>
          <w:szCs w:val="24"/>
          <w:lang w:val="en-GB"/>
        </w:rPr>
        <w:t xml:space="preserve">provides an insight into key opportunities that would arise from manufacturing electric cars. This study focuses on evaluating the internal and external opportunities at national and international levels for manufacturing electric vehicles. </w:t>
      </w:r>
    </w:p>
    <w:p w:rsidR="008B519B" w:rsidRPr="00BB638D" w:rsidRDefault="00D720C9" w:rsidP="00887E5A">
      <w:pPr>
        <w:pStyle w:val="Heading1"/>
        <w:rPr>
          <w:lang w:val="en-GB"/>
        </w:rPr>
      </w:pPr>
      <w:bookmarkStart w:id="1" w:name="_Toc38381861"/>
      <w:r w:rsidRPr="00BB638D">
        <w:rPr>
          <w:lang w:val="en-GB"/>
        </w:rPr>
        <w:t>Identification of new and emerging business opportunities</w:t>
      </w:r>
      <w:bookmarkEnd w:id="1"/>
    </w:p>
    <w:p w:rsidR="008B519B" w:rsidRPr="00BB638D" w:rsidRDefault="00D720C9">
      <w:pPr>
        <w:spacing w:line="360" w:lineRule="auto"/>
        <w:jc w:val="both"/>
        <w:rPr>
          <w:rFonts w:ascii="Times New Roman" w:eastAsia="Times New Roman" w:hAnsi="Times New Roman" w:cs="Times New Roman"/>
          <w:sz w:val="24"/>
          <w:szCs w:val="24"/>
          <w:lang w:val="en-GB"/>
        </w:rPr>
      </w:pPr>
      <w:r w:rsidRPr="00BB638D">
        <w:rPr>
          <w:rFonts w:ascii="Times New Roman" w:eastAsia="Times New Roman" w:hAnsi="Times New Roman" w:cs="Times New Roman"/>
          <w:sz w:val="24"/>
          <w:szCs w:val="24"/>
          <w:lang w:val="en-GB"/>
        </w:rPr>
        <w:t>The production and marketing of electric cars have led to energy opportunities for entrepreneurs as well as business executives for fostering invasion. As identified from the case study, electric cars have been a revolutionary approach for meeting the increasing demands of customers for energy efficiency electrified cars. Hashmi and Biesebroeck (2016) observed that innovation is an inseparable aspect of development in the automotive industry. Incorporation of innovation and new technology in manufacturing processes have been deemed beneficial for increasing the production along with sales of electrified cars. Similarly, the concept of electrified cars has also opened new opportunities related to the marketing and production of such products that have been highlighted below.</w:t>
      </w:r>
    </w:p>
    <w:p w:rsidR="008B519B" w:rsidRPr="00BB638D" w:rsidRDefault="00D720C9">
      <w:pPr>
        <w:spacing w:line="360" w:lineRule="auto"/>
        <w:jc w:val="both"/>
        <w:rPr>
          <w:rFonts w:ascii="Times New Roman" w:eastAsia="Times New Roman" w:hAnsi="Times New Roman" w:cs="Times New Roman"/>
          <w:b/>
          <w:i/>
          <w:sz w:val="24"/>
          <w:szCs w:val="24"/>
          <w:lang w:val="en-GB"/>
        </w:rPr>
      </w:pPr>
      <w:r w:rsidRPr="00BB638D">
        <w:rPr>
          <w:rFonts w:ascii="Times New Roman" w:eastAsia="Times New Roman" w:hAnsi="Times New Roman" w:cs="Times New Roman"/>
          <w:b/>
          <w:i/>
          <w:sz w:val="24"/>
          <w:szCs w:val="24"/>
          <w:lang w:val="en-GB"/>
        </w:rPr>
        <w:t>Marketing</w:t>
      </w:r>
    </w:p>
    <w:p w:rsidR="008B519B" w:rsidRPr="00BB638D" w:rsidRDefault="00D720C9">
      <w:pPr>
        <w:spacing w:line="360" w:lineRule="auto"/>
        <w:jc w:val="both"/>
        <w:rPr>
          <w:rFonts w:ascii="Times New Roman" w:eastAsia="Times New Roman" w:hAnsi="Times New Roman" w:cs="Times New Roman"/>
          <w:sz w:val="24"/>
          <w:szCs w:val="24"/>
          <w:lang w:val="en-GB"/>
        </w:rPr>
      </w:pPr>
      <w:r w:rsidRPr="00BB638D">
        <w:rPr>
          <w:rFonts w:ascii="Times New Roman" w:eastAsia="Times New Roman" w:hAnsi="Times New Roman" w:cs="Times New Roman"/>
          <w:sz w:val="24"/>
          <w:szCs w:val="24"/>
          <w:lang w:val="en-GB"/>
        </w:rPr>
        <w:t xml:space="preserve">Development of electric vehicles and its introduction in the European market has provided opportunities for reaching a wider customer demographic. It has been ascertained by Reinhardt </w:t>
      </w:r>
      <w:r w:rsidRPr="00BB638D">
        <w:rPr>
          <w:rFonts w:ascii="Times New Roman" w:eastAsia="Times New Roman" w:hAnsi="Times New Roman" w:cs="Times New Roman"/>
          <w:i/>
          <w:sz w:val="24"/>
          <w:szCs w:val="24"/>
          <w:lang w:val="en-GB"/>
        </w:rPr>
        <w:t xml:space="preserve">et al. </w:t>
      </w:r>
      <w:r w:rsidRPr="00BB638D">
        <w:rPr>
          <w:rFonts w:ascii="Times New Roman" w:eastAsia="Times New Roman" w:hAnsi="Times New Roman" w:cs="Times New Roman"/>
          <w:sz w:val="24"/>
          <w:szCs w:val="24"/>
          <w:lang w:val="en-GB"/>
        </w:rPr>
        <w:t xml:space="preserve">(2017) that key marketing opportunities gained by the automobile industry are the growing demand for electric cars. In this context, it has been identified that these cars have the potential to meet the demands of consumer segments which would make it attractive for a larger audience. Entrepreneurs and business executives have immense potential to penetrate the market through the production of electric vehicles by marketing them in an innovative manner. </w:t>
      </w:r>
    </w:p>
    <w:p w:rsidR="008B519B" w:rsidRPr="00BB638D" w:rsidRDefault="00D720C9">
      <w:pPr>
        <w:spacing w:line="360" w:lineRule="auto"/>
        <w:jc w:val="both"/>
        <w:rPr>
          <w:rFonts w:ascii="Times New Roman" w:eastAsia="Times New Roman" w:hAnsi="Times New Roman" w:cs="Times New Roman"/>
          <w:b/>
          <w:i/>
          <w:sz w:val="24"/>
          <w:szCs w:val="24"/>
          <w:lang w:val="en-GB"/>
        </w:rPr>
      </w:pPr>
      <w:r w:rsidRPr="00BB638D">
        <w:rPr>
          <w:rFonts w:ascii="Times New Roman" w:eastAsia="Times New Roman" w:hAnsi="Times New Roman" w:cs="Times New Roman"/>
          <w:b/>
          <w:i/>
          <w:sz w:val="24"/>
          <w:szCs w:val="24"/>
          <w:lang w:val="en-GB"/>
        </w:rPr>
        <w:t>Production</w:t>
      </w:r>
    </w:p>
    <w:p w:rsidR="008B519B" w:rsidRPr="00BB638D" w:rsidRDefault="00D720C9">
      <w:pPr>
        <w:spacing w:line="360" w:lineRule="auto"/>
        <w:jc w:val="both"/>
        <w:rPr>
          <w:rFonts w:ascii="Times New Roman" w:eastAsia="Times New Roman" w:hAnsi="Times New Roman" w:cs="Times New Roman"/>
          <w:b/>
          <w:sz w:val="24"/>
          <w:szCs w:val="24"/>
          <w:lang w:val="en-GB"/>
        </w:rPr>
      </w:pPr>
      <w:r w:rsidRPr="00BB638D">
        <w:rPr>
          <w:rFonts w:ascii="Times New Roman" w:eastAsia="Times New Roman" w:hAnsi="Times New Roman" w:cs="Times New Roman"/>
          <w:sz w:val="24"/>
          <w:szCs w:val="24"/>
          <w:lang w:val="en-GB"/>
        </w:rPr>
        <w:t xml:space="preserve">Production of electric vehicles (EV) The case study has shed light on the ability of electric vehicles to reach large scale market penetration making it a solution for developing smart and sustainable grids. Companies such as Tesla offer access to exclusive supercharger stations across Europe and the US. This is an integral aspect of developing its production beyond </w:t>
      </w:r>
      <w:r w:rsidRPr="00BB638D">
        <w:rPr>
          <w:rFonts w:ascii="Times New Roman" w:eastAsia="Times New Roman" w:hAnsi="Times New Roman" w:cs="Times New Roman"/>
          <w:sz w:val="24"/>
          <w:szCs w:val="24"/>
          <w:lang w:val="en-GB"/>
        </w:rPr>
        <w:lastRenderedPageBreak/>
        <w:t>manufacturing cars. A shift towards the mobility of services such as outsourcing of manufacturing parts to other suppliers has been ascertained to be another opportunity for business executives on entrepreneurs. Similarly, an entrepreneur would have an emerging opportunity to incorporate new business and technological processes for innovating their production infrastructure. This would lead to a focus on EVs by providing supercharger stations for such vehicles and outsourcing manufacturing of parts thereby increasing its profitability and efficiency of operations.</w:t>
      </w:r>
    </w:p>
    <w:p w:rsidR="008B519B" w:rsidRPr="00BB638D" w:rsidRDefault="00D720C9" w:rsidP="00887E5A">
      <w:pPr>
        <w:pStyle w:val="Heading1"/>
        <w:rPr>
          <w:lang w:val="en-GB"/>
        </w:rPr>
      </w:pPr>
      <w:bookmarkStart w:id="2" w:name="_Toc38381862"/>
      <w:r w:rsidRPr="00BB638D">
        <w:rPr>
          <w:lang w:val="en-GB"/>
        </w:rPr>
        <w:t>Product Life Cycle</w:t>
      </w:r>
      <w:bookmarkEnd w:id="2"/>
    </w:p>
    <w:p w:rsidR="008B519B" w:rsidRPr="00BB638D" w:rsidRDefault="00D720C9" w:rsidP="00DB687E">
      <w:pPr>
        <w:spacing w:line="360" w:lineRule="auto"/>
        <w:jc w:val="center"/>
        <w:rPr>
          <w:rFonts w:ascii="Times New Roman" w:eastAsia="Times New Roman" w:hAnsi="Times New Roman" w:cs="Times New Roman"/>
          <w:b/>
          <w:sz w:val="24"/>
          <w:szCs w:val="24"/>
          <w:lang w:val="en-GB"/>
        </w:rPr>
      </w:pPr>
      <w:r w:rsidRPr="00BB638D">
        <w:rPr>
          <w:rFonts w:ascii="Times New Roman" w:eastAsia="Times New Roman" w:hAnsi="Times New Roman" w:cs="Times New Roman"/>
          <w:b/>
          <w:noProof/>
          <w:sz w:val="24"/>
          <w:szCs w:val="24"/>
          <w:lang w:val="en-GB" w:eastAsia="en-GB"/>
        </w:rPr>
        <w:drawing>
          <wp:inline distT="114300" distB="114300" distL="114300" distR="114300">
            <wp:extent cx="4083050" cy="3311525"/>
            <wp:effectExtent l="19050" t="19050" r="12700" b="22225"/>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cstate="print"/>
                    <a:srcRect t="12941" b="8705"/>
                    <a:stretch>
                      <a:fillRect/>
                    </a:stretch>
                  </pic:blipFill>
                  <pic:spPr>
                    <a:xfrm>
                      <a:off x="0" y="0"/>
                      <a:ext cx="4080790" cy="3309692"/>
                    </a:xfrm>
                    <a:prstGeom prst="rect">
                      <a:avLst/>
                    </a:prstGeom>
                    <a:ln w="12700">
                      <a:solidFill>
                        <a:srgbClr val="000000"/>
                      </a:solidFill>
                      <a:prstDash val="solid"/>
                    </a:ln>
                  </pic:spPr>
                </pic:pic>
              </a:graphicData>
            </a:graphic>
          </wp:inline>
        </w:drawing>
      </w:r>
    </w:p>
    <w:p w:rsidR="008B519B" w:rsidRPr="00BB638D" w:rsidRDefault="00C91238">
      <w:pPr>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1</w:t>
      </w:r>
      <w:r w:rsidR="00D720C9" w:rsidRPr="00BB638D">
        <w:rPr>
          <w:rFonts w:ascii="Times New Roman" w:eastAsia="Times New Roman" w:hAnsi="Times New Roman" w:cs="Times New Roman"/>
          <w:b/>
          <w:sz w:val="24"/>
          <w:szCs w:val="24"/>
          <w:lang w:val="en-GB"/>
        </w:rPr>
        <w:t>: Product Life Cycle Model</w:t>
      </w:r>
    </w:p>
    <w:p w:rsidR="008B519B" w:rsidRPr="00BB638D" w:rsidRDefault="00D720C9">
      <w:pPr>
        <w:spacing w:line="360" w:lineRule="auto"/>
        <w:jc w:val="center"/>
        <w:rPr>
          <w:rFonts w:ascii="Times New Roman" w:eastAsia="Times New Roman" w:hAnsi="Times New Roman" w:cs="Times New Roman"/>
          <w:sz w:val="24"/>
          <w:szCs w:val="24"/>
          <w:lang w:val="en-GB"/>
        </w:rPr>
      </w:pPr>
      <w:r w:rsidRPr="00BB638D">
        <w:rPr>
          <w:rFonts w:ascii="Times New Roman" w:eastAsia="Times New Roman" w:hAnsi="Times New Roman" w:cs="Times New Roman"/>
          <w:sz w:val="24"/>
          <w:szCs w:val="24"/>
          <w:lang w:val="en-GB"/>
        </w:rPr>
        <w:t>(Source: Influenced by Onat</w:t>
      </w:r>
      <w:r w:rsidRPr="00BB638D">
        <w:rPr>
          <w:rFonts w:ascii="Times New Roman" w:eastAsia="Times New Roman" w:hAnsi="Times New Roman" w:cs="Times New Roman"/>
          <w:i/>
          <w:sz w:val="24"/>
          <w:szCs w:val="24"/>
          <w:lang w:val="en-GB"/>
        </w:rPr>
        <w:t xml:space="preserve">et al. </w:t>
      </w:r>
      <w:r w:rsidRPr="00BB638D">
        <w:rPr>
          <w:rFonts w:ascii="Times New Roman" w:eastAsia="Times New Roman" w:hAnsi="Times New Roman" w:cs="Times New Roman"/>
          <w:sz w:val="24"/>
          <w:szCs w:val="24"/>
          <w:lang w:val="en-GB"/>
        </w:rPr>
        <w:t>2016)</w:t>
      </w:r>
    </w:p>
    <w:p w:rsidR="008B519B" w:rsidRPr="00C91238" w:rsidRDefault="00D720C9">
      <w:pPr>
        <w:spacing w:line="360" w:lineRule="auto"/>
        <w:jc w:val="both"/>
        <w:rPr>
          <w:rFonts w:ascii="Times New Roman" w:eastAsia="Times New Roman" w:hAnsi="Times New Roman" w:cs="Times New Roman"/>
          <w:sz w:val="24"/>
          <w:szCs w:val="24"/>
          <w:lang w:val="en-GB"/>
        </w:rPr>
      </w:pPr>
      <w:r w:rsidRPr="00BB638D">
        <w:rPr>
          <w:rFonts w:ascii="Times New Roman" w:eastAsia="Times New Roman" w:hAnsi="Times New Roman" w:cs="Times New Roman"/>
          <w:sz w:val="24"/>
          <w:szCs w:val="24"/>
          <w:lang w:val="en-GB"/>
        </w:rPr>
        <w:t>Application of the product life cycle model provides an understanding of the potential growth and stage in which the product presently exists. Onat</w:t>
      </w:r>
      <w:r w:rsidRPr="00BB638D">
        <w:rPr>
          <w:rFonts w:ascii="Times New Roman" w:eastAsia="Times New Roman" w:hAnsi="Times New Roman" w:cs="Times New Roman"/>
          <w:i/>
          <w:sz w:val="24"/>
          <w:szCs w:val="24"/>
          <w:lang w:val="en-GB"/>
        </w:rPr>
        <w:t xml:space="preserve">et al. </w:t>
      </w:r>
      <w:r w:rsidRPr="00BB638D">
        <w:rPr>
          <w:rFonts w:ascii="Times New Roman" w:eastAsia="Times New Roman" w:hAnsi="Times New Roman" w:cs="Times New Roman"/>
          <w:sz w:val="24"/>
          <w:szCs w:val="24"/>
          <w:lang w:val="en-GB"/>
        </w:rPr>
        <w:t>(2016) observed that the market for electric vehicles was considerably slow to take off. Ongoing research and developments in the manu</w:t>
      </w:r>
      <w:r w:rsidR="00887E5A">
        <w:rPr>
          <w:rFonts w:ascii="Times New Roman" w:eastAsia="Times New Roman" w:hAnsi="Times New Roman" w:cs="Times New Roman"/>
          <w:sz w:val="24"/>
          <w:szCs w:val="24"/>
          <w:lang w:val="en-GB"/>
        </w:rPr>
        <w:t xml:space="preserve">facturing process along with a </w:t>
      </w:r>
      <w:r w:rsidRPr="00BB638D">
        <w:rPr>
          <w:rFonts w:ascii="Times New Roman" w:eastAsia="Times New Roman" w:hAnsi="Times New Roman" w:cs="Times New Roman"/>
          <w:sz w:val="24"/>
          <w:szCs w:val="24"/>
          <w:lang w:val="en-GB"/>
        </w:rPr>
        <w:t xml:space="preserve">rise in the demand for a sustainable alternative to internal combustion engines (ICE) have led to the rise in popularity of EVs. As noted from the case study, electrification of cars are paving the way for a new chapter in the history of the automobile industry after 100 years of usage of ICE within all automobiles. In recent years, there has been a rise in the development of EVs with Volvo launching electrified cars since 2019 and Tesla being motivated to revolutionise the scenario of the automobile </w:t>
      </w:r>
      <w:r w:rsidRPr="00BB638D">
        <w:rPr>
          <w:rFonts w:ascii="Times New Roman" w:eastAsia="Times New Roman" w:hAnsi="Times New Roman" w:cs="Times New Roman"/>
          <w:sz w:val="24"/>
          <w:szCs w:val="24"/>
          <w:lang w:val="en-GB"/>
        </w:rPr>
        <w:lastRenderedPageBreak/>
        <w:t xml:space="preserve">industry. The newly developed product is in the second stage of growth at present with emerging business opportunities for individuals aiming to increase their profitability and efficiency of operations. Mi and Masrur (2017) identified that major automobile manufacturers such as Toyota and Volvo have gained a competitive edge in the market through their continued development and research on manufacturing EVs. It has thereby been ascertained that although the introduction of the new product of EVs took a significantly long time, its present stage of growth is substantially high. The product has the ability to enter the stage of maturity in the next 5 years and would be a sustainable alternative to combustible engines used in vehicles. </w:t>
      </w:r>
    </w:p>
    <w:p w:rsidR="008B519B" w:rsidRPr="00BB638D" w:rsidRDefault="00D720C9" w:rsidP="00887E5A">
      <w:pPr>
        <w:pStyle w:val="Heading1"/>
        <w:rPr>
          <w:lang w:val="en-GB"/>
        </w:rPr>
      </w:pPr>
      <w:bookmarkStart w:id="3" w:name="_Toc38381863"/>
      <w:r w:rsidRPr="00BB638D">
        <w:rPr>
          <w:lang w:val="en-GB"/>
        </w:rPr>
        <w:t>Analysis of external environment</w:t>
      </w:r>
      <w:bookmarkEnd w:id="3"/>
    </w:p>
    <w:p w:rsidR="008B519B" w:rsidRPr="00BB638D" w:rsidRDefault="00D720C9">
      <w:pPr>
        <w:spacing w:line="360" w:lineRule="auto"/>
        <w:jc w:val="both"/>
        <w:rPr>
          <w:rFonts w:ascii="Times New Roman" w:eastAsia="Times New Roman" w:hAnsi="Times New Roman" w:cs="Times New Roman"/>
          <w:b/>
          <w:sz w:val="24"/>
          <w:szCs w:val="24"/>
          <w:lang w:val="en-GB"/>
        </w:rPr>
      </w:pPr>
      <w:r w:rsidRPr="00BB638D">
        <w:rPr>
          <w:rFonts w:ascii="Times New Roman" w:eastAsia="Times New Roman" w:hAnsi="Times New Roman" w:cs="Times New Roman"/>
          <w:b/>
          <w:sz w:val="24"/>
          <w:szCs w:val="24"/>
          <w:lang w:val="en-GB"/>
        </w:rPr>
        <w:t>PESTLE Analysis</w:t>
      </w:r>
    </w:p>
    <w:tbl>
      <w:tblPr>
        <w:tblStyle w:val="a"/>
        <w:tblW w:w="90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146"/>
        <w:gridCol w:w="6854"/>
      </w:tblGrid>
      <w:tr w:rsidR="008B519B" w:rsidRPr="00BB638D" w:rsidTr="00DB687E">
        <w:trPr>
          <w:jc w:val="center"/>
        </w:trPr>
        <w:tc>
          <w:tcPr>
            <w:tcW w:w="2146" w:type="dxa"/>
            <w:shd w:val="clear" w:color="auto" w:fill="auto"/>
            <w:tcMar>
              <w:top w:w="100" w:type="dxa"/>
              <w:left w:w="100" w:type="dxa"/>
              <w:bottom w:w="100" w:type="dxa"/>
              <w:right w:w="100" w:type="dxa"/>
            </w:tcMar>
          </w:tcPr>
          <w:p w:rsidR="008B519B" w:rsidRPr="00BB638D" w:rsidRDefault="00D720C9">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B638D">
              <w:rPr>
                <w:rFonts w:ascii="Times New Roman" w:eastAsia="Times New Roman" w:hAnsi="Times New Roman" w:cs="Times New Roman"/>
                <w:b/>
                <w:sz w:val="24"/>
                <w:szCs w:val="24"/>
                <w:lang w:val="en-GB"/>
              </w:rPr>
              <w:t>Factors</w:t>
            </w:r>
          </w:p>
        </w:tc>
        <w:tc>
          <w:tcPr>
            <w:tcW w:w="6854" w:type="dxa"/>
            <w:shd w:val="clear" w:color="auto" w:fill="auto"/>
            <w:tcMar>
              <w:top w:w="100" w:type="dxa"/>
              <w:left w:w="100" w:type="dxa"/>
              <w:bottom w:w="100" w:type="dxa"/>
              <w:right w:w="100" w:type="dxa"/>
            </w:tcMar>
          </w:tcPr>
          <w:p w:rsidR="008B519B" w:rsidRPr="00BB638D" w:rsidRDefault="00D720C9">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BB638D">
              <w:rPr>
                <w:rFonts w:ascii="Times New Roman" w:eastAsia="Times New Roman" w:hAnsi="Times New Roman" w:cs="Times New Roman"/>
                <w:b/>
                <w:sz w:val="24"/>
                <w:szCs w:val="24"/>
                <w:lang w:val="en-GB"/>
              </w:rPr>
              <w:t>Impact</w:t>
            </w:r>
          </w:p>
        </w:tc>
      </w:tr>
      <w:tr w:rsidR="008B519B" w:rsidRPr="00BB638D" w:rsidTr="00DB687E">
        <w:trPr>
          <w:jc w:val="center"/>
        </w:trPr>
        <w:tc>
          <w:tcPr>
            <w:tcW w:w="2146" w:type="dxa"/>
            <w:shd w:val="clear" w:color="auto" w:fill="auto"/>
            <w:tcMar>
              <w:top w:w="100" w:type="dxa"/>
              <w:left w:w="100" w:type="dxa"/>
              <w:bottom w:w="100" w:type="dxa"/>
              <w:right w:w="100" w:type="dxa"/>
            </w:tcMar>
          </w:tcPr>
          <w:p w:rsidR="008B519B" w:rsidRPr="00BB638D" w:rsidRDefault="00D720C9">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B638D">
              <w:rPr>
                <w:rFonts w:ascii="Times New Roman" w:eastAsia="Times New Roman" w:hAnsi="Times New Roman" w:cs="Times New Roman"/>
                <w:b/>
                <w:sz w:val="24"/>
                <w:szCs w:val="24"/>
                <w:lang w:val="en-GB"/>
              </w:rPr>
              <w:t>Political</w:t>
            </w:r>
          </w:p>
        </w:tc>
        <w:tc>
          <w:tcPr>
            <w:tcW w:w="6854" w:type="dxa"/>
            <w:shd w:val="clear" w:color="auto" w:fill="auto"/>
            <w:tcMar>
              <w:top w:w="100" w:type="dxa"/>
              <w:left w:w="100" w:type="dxa"/>
              <w:bottom w:w="100" w:type="dxa"/>
              <w:right w:w="100" w:type="dxa"/>
            </w:tcMar>
          </w:tcPr>
          <w:p w:rsidR="008B519B" w:rsidRPr="00BB638D" w:rsidRDefault="00D720C9">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B638D">
              <w:rPr>
                <w:rFonts w:ascii="Times New Roman" w:eastAsia="Times New Roman" w:hAnsi="Times New Roman" w:cs="Times New Roman"/>
                <w:sz w:val="24"/>
                <w:szCs w:val="24"/>
                <w:lang w:val="en-GB"/>
              </w:rPr>
              <w:t xml:space="preserve">The Brexit referendum has had a direct impact on the UK's relations with other European countries leading to a negative impact on the electric automobile industry (Globenewswire.com, 2019). </w:t>
            </w:r>
          </w:p>
        </w:tc>
      </w:tr>
      <w:tr w:rsidR="008B519B" w:rsidRPr="00BB638D" w:rsidTr="00DB687E">
        <w:trPr>
          <w:jc w:val="center"/>
        </w:trPr>
        <w:tc>
          <w:tcPr>
            <w:tcW w:w="2146" w:type="dxa"/>
            <w:shd w:val="clear" w:color="auto" w:fill="auto"/>
            <w:tcMar>
              <w:top w:w="100" w:type="dxa"/>
              <w:left w:w="100" w:type="dxa"/>
              <w:bottom w:w="100" w:type="dxa"/>
              <w:right w:w="100" w:type="dxa"/>
            </w:tcMar>
          </w:tcPr>
          <w:p w:rsidR="008B519B" w:rsidRPr="00BB638D" w:rsidRDefault="00D720C9">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B638D">
              <w:rPr>
                <w:rFonts w:ascii="Times New Roman" w:eastAsia="Times New Roman" w:hAnsi="Times New Roman" w:cs="Times New Roman"/>
                <w:b/>
                <w:sz w:val="24"/>
                <w:szCs w:val="24"/>
                <w:lang w:val="en-GB"/>
              </w:rPr>
              <w:t>Economical</w:t>
            </w:r>
          </w:p>
        </w:tc>
        <w:tc>
          <w:tcPr>
            <w:tcW w:w="6854" w:type="dxa"/>
            <w:shd w:val="clear" w:color="auto" w:fill="auto"/>
            <w:tcMar>
              <w:top w:w="100" w:type="dxa"/>
              <w:left w:w="100" w:type="dxa"/>
              <w:bottom w:w="100" w:type="dxa"/>
              <w:right w:w="100" w:type="dxa"/>
            </w:tcMar>
          </w:tcPr>
          <w:p w:rsidR="008B519B" w:rsidRPr="00BB638D" w:rsidRDefault="00D720C9">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B638D">
              <w:rPr>
                <w:rFonts w:ascii="Times New Roman" w:eastAsia="Times New Roman" w:hAnsi="Times New Roman" w:cs="Times New Roman"/>
                <w:sz w:val="24"/>
                <w:szCs w:val="24"/>
                <w:lang w:val="en-GB"/>
              </w:rPr>
              <w:t>Increase in annual GDP growth of the UK to 1.4% in 2019 has been a positive development as it indicates a gradual increase in economic stability (Tradingeconomics.com, 2020).</w:t>
            </w:r>
          </w:p>
          <w:p w:rsidR="008B519B" w:rsidRPr="00BB638D" w:rsidRDefault="00D720C9">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B638D">
              <w:rPr>
                <w:rFonts w:ascii="Times New Roman" w:eastAsia="Times New Roman" w:hAnsi="Times New Roman" w:cs="Times New Roman"/>
                <w:sz w:val="24"/>
                <w:szCs w:val="24"/>
                <w:lang w:val="en-GB"/>
              </w:rPr>
              <w:t xml:space="preserve">Rate of inflation in the UK has decreased to 1.8% in 2019 signifying an improvement in the British economy (Statista.com, 2020). </w:t>
            </w:r>
          </w:p>
        </w:tc>
      </w:tr>
      <w:tr w:rsidR="008B519B" w:rsidRPr="00BB638D" w:rsidTr="00DB687E">
        <w:trPr>
          <w:jc w:val="center"/>
        </w:trPr>
        <w:tc>
          <w:tcPr>
            <w:tcW w:w="2146" w:type="dxa"/>
            <w:shd w:val="clear" w:color="auto" w:fill="auto"/>
            <w:tcMar>
              <w:top w:w="100" w:type="dxa"/>
              <w:left w:w="100" w:type="dxa"/>
              <w:bottom w:w="100" w:type="dxa"/>
              <w:right w:w="100" w:type="dxa"/>
            </w:tcMar>
          </w:tcPr>
          <w:p w:rsidR="008B519B" w:rsidRPr="00BB638D" w:rsidRDefault="00D720C9">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B638D">
              <w:rPr>
                <w:rFonts w:ascii="Times New Roman" w:eastAsia="Times New Roman" w:hAnsi="Times New Roman" w:cs="Times New Roman"/>
                <w:b/>
                <w:sz w:val="24"/>
                <w:szCs w:val="24"/>
                <w:lang w:val="en-GB"/>
              </w:rPr>
              <w:t>Social</w:t>
            </w:r>
          </w:p>
        </w:tc>
        <w:tc>
          <w:tcPr>
            <w:tcW w:w="6854" w:type="dxa"/>
            <w:shd w:val="clear" w:color="auto" w:fill="auto"/>
            <w:tcMar>
              <w:top w:w="100" w:type="dxa"/>
              <w:left w:w="100" w:type="dxa"/>
              <w:bottom w:w="100" w:type="dxa"/>
              <w:right w:w="100" w:type="dxa"/>
            </w:tcMar>
          </w:tcPr>
          <w:p w:rsidR="008B519B" w:rsidRPr="00BB638D" w:rsidRDefault="00D720C9">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B638D">
              <w:rPr>
                <w:rFonts w:ascii="Times New Roman" w:eastAsia="Times New Roman" w:hAnsi="Times New Roman" w:cs="Times New Roman"/>
                <w:sz w:val="24"/>
                <w:szCs w:val="24"/>
                <w:lang w:val="en-GB"/>
              </w:rPr>
              <w:t>Changes in consumer demand towards electric cars have a positive impact on the electric car industry in the UK.</w:t>
            </w:r>
          </w:p>
        </w:tc>
      </w:tr>
      <w:tr w:rsidR="008B519B" w:rsidRPr="00BB638D" w:rsidTr="00DB687E">
        <w:trPr>
          <w:jc w:val="center"/>
        </w:trPr>
        <w:tc>
          <w:tcPr>
            <w:tcW w:w="2146" w:type="dxa"/>
            <w:shd w:val="clear" w:color="auto" w:fill="auto"/>
            <w:tcMar>
              <w:top w:w="100" w:type="dxa"/>
              <w:left w:w="100" w:type="dxa"/>
              <w:bottom w:w="100" w:type="dxa"/>
              <w:right w:w="100" w:type="dxa"/>
            </w:tcMar>
          </w:tcPr>
          <w:p w:rsidR="008B519B" w:rsidRPr="00BB638D" w:rsidRDefault="00D720C9">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B638D">
              <w:rPr>
                <w:rFonts w:ascii="Times New Roman" w:eastAsia="Times New Roman" w:hAnsi="Times New Roman" w:cs="Times New Roman"/>
                <w:b/>
                <w:sz w:val="24"/>
                <w:szCs w:val="24"/>
                <w:lang w:val="en-GB"/>
              </w:rPr>
              <w:t>Technological</w:t>
            </w:r>
          </w:p>
        </w:tc>
        <w:tc>
          <w:tcPr>
            <w:tcW w:w="6854" w:type="dxa"/>
            <w:shd w:val="clear" w:color="auto" w:fill="auto"/>
            <w:tcMar>
              <w:top w:w="100" w:type="dxa"/>
              <w:left w:w="100" w:type="dxa"/>
              <w:bottom w:w="100" w:type="dxa"/>
              <w:right w:w="100" w:type="dxa"/>
            </w:tcMar>
          </w:tcPr>
          <w:p w:rsidR="008B519B" w:rsidRPr="00BB638D" w:rsidRDefault="00D720C9">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B638D">
              <w:rPr>
                <w:rFonts w:ascii="Times New Roman" w:eastAsia="Times New Roman" w:hAnsi="Times New Roman" w:cs="Times New Roman"/>
                <w:sz w:val="24"/>
                <w:szCs w:val="24"/>
                <w:lang w:val="en-GB"/>
              </w:rPr>
              <w:t xml:space="preserve">Developments in new business production processes have led to an increase in hybrid and electric vehicles by 21% in 2019 (Globenewswire.com, 2019). </w:t>
            </w:r>
          </w:p>
        </w:tc>
      </w:tr>
      <w:tr w:rsidR="008B519B" w:rsidRPr="00BB638D" w:rsidTr="00DB687E">
        <w:trPr>
          <w:jc w:val="center"/>
        </w:trPr>
        <w:tc>
          <w:tcPr>
            <w:tcW w:w="2146" w:type="dxa"/>
            <w:shd w:val="clear" w:color="auto" w:fill="auto"/>
            <w:tcMar>
              <w:top w:w="100" w:type="dxa"/>
              <w:left w:w="100" w:type="dxa"/>
              <w:bottom w:w="100" w:type="dxa"/>
              <w:right w:w="100" w:type="dxa"/>
            </w:tcMar>
          </w:tcPr>
          <w:p w:rsidR="008B519B" w:rsidRPr="00BB638D" w:rsidRDefault="00D720C9">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B638D">
              <w:rPr>
                <w:rFonts w:ascii="Times New Roman" w:eastAsia="Times New Roman" w:hAnsi="Times New Roman" w:cs="Times New Roman"/>
                <w:b/>
                <w:sz w:val="24"/>
                <w:szCs w:val="24"/>
                <w:lang w:val="en-GB"/>
              </w:rPr>
              <w:t>Legal</w:t>
            </w:r>
          </w:p>
        </w:tc>
        <w:tc>
          <w:tcPr>
            <w:tcW w:w="6854" w:type="dxa"/>
            <w:shd w:val="clear" w:color="auto" w:fill="auto"/>
            <w:tcMar>
              <w:top w:w="100" w:type="dxa"/>
              <w:left w:w="100" w:type="dxa"/>
              <w:bottom w:w="100" w:type="dxa"/>
              <w:right w:w="100" w:type="dxa"/>
            </w:tcMar>
          </w:tcPr>
          <w:p w:rsidR="008B519B" w:rsidRPr="00BB638D" w:rsidRDefault="00D720C9">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B638D">
              <w:rPr>
                <w:rFonts w:ascii="Times New Roman" w:eastAsia="Times New Roman" w:hAnsi="Times New Roman" w:cs="Times New Roman"/>
                <w:sz w:val="24"/>
                <w:szCs w:val="24"/>
                <w:lang w:val="en-GB"/>
              </w:rPr>
              <w:t xml:space="preserve">Automobile manufacturing organisations are required to </w:t>
            </w:r>
            <w:r w:rsidRPr="00BB638D">
              <w:rPr>
                <w:rFonts w:ascii="Times New Roman" w:eastAsia="Times New Roman" w:hAnsi="Times New Roman" w:cs="Times New Roman"/>
                <w:sz w:val="24"/>
                <w:szCs w:val="24"/>
                <w:lang w:val="en-GB"/>
              </w:rPr>
              <w:lastRenderedPageBreak/>
              <w:t xml:space="preserve">comply with the “Automated and Electric Vehicles Act 2018 (c. 18)” for avoiding legal complications. </w:t>
            </w:r>
          </w:p>
        </w:tc>
      </w:tr>
      <w:tr w:rsidR="008B519B" w:rsidRPr="00BB638D" w:rsidTr="00DB687E">
        <w:trPr>
          <w:jc w:val="center"/>
        </w:trPr>
        <w:tc>
          <w:tcPr>
            <w:tcW w:w="2146" w:type="dxa"/>
            <w:shd w:val="clear" w:color="auto" w:fill="auto"/>
            <w:tcMar>
              <w:top w:w="100" w:type="dxa"/>
              <w:left w:w="100" w:type="dxa"/>
              <w:bottom w:w="100" w:type="dxa"/>
              <w:right w:w="100" w:type="dxa"/>
            </w:tcMar>
          </w:tcPr>
          <w:p w:rsidR="008B519B" w:rsidRPr="00BB638D" w:rsidRDefault="00D720C9">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B638D">
              <w:rPr>
                <w:rFonts w:ascii="Times New Roman" w:eastAsia="Times New Roman" w:hAnsi="Times New Roman" w:cs="Times New Roman"/>
                <w:b/>
                <w:sz w:val="24"/>
                <w:szCs w:val="24"/>
                <w:lang w:val="en-GB"/>
              </w:rPr>
              <w:lastRenderedPageBreak/>
              <w:t>Environmental</w:t>
            </w:r>
          </w:p>
        </w:tc>
        <w:tc>
          <w:tcPr>
            <w:tcW w:w="6854" w:type="dxa"/>
            <w:shd w:val="clear" w:color="auto" w:fill="auto"/>
            <w:tcMar>
              <w:top w:w="100" w:type="dxa"/>
              <w:left w:w="100" w:type="dxa"/>
              <w:bottom w:w="100" w:type="dxa"/>
              <w:right w:w="100" w:type="dxa"/>
            </w:tcMar>
          </w:tcPr>
          <w:p w:rsidR="008B519B" w:rsidRPr="00BB638D" w:rsidRDefault="00D720C9">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B638D">
              <w:rPr>
                <w:rFonts w:ascii="Times New Roman" w:eastAsia="Times New Roman" w:hAnsi="Times New Roman" w:cs="Times New Roman"/>
                <w:sz w:val="24"/>
                <w:szCs w:val="24"/>
                <w:lang w:val="en-GB"/>
              </w:rPr>
              <w:t>Implementation of the “World</w:t>
            </w:r>
            <w:r w:rsidR="005E1F47">
              <w:rPr>
                <w:rFonts w:ascii="Times New Roman" w:eastAsia="Times New Roman" w:hAnsi="Times New Roman" w:cs="Times New Roman"/>
                <w:sz w:val="24"/>
                <w:szCs w:val="24"/>
                <w:lang w:val="en-GB"/>
              </w:rPr>
              <w:t>wide harmonised vehicle Testing</w:t>
            </w:r>
            <w:r w:rsidRPr="00BB638D">
              <w:rPr>
                <w:rFonts w:ascii="Times New Roman" w:eastAsia="Times New Roman" w:hAnsi="Times New Roman" w:cs="Times New Roman"/>
                <w:sz w:val="24"/>
                <w:szCs w:val="24"/>
                <w:lang w:val="en-GB"/>
              </w:rPr>
              <w:t xml:space="preserve"> Procedure (WLTP)” would have a direct impact on the automobile industry (vehicle-certification-agency.gov.uk, 2018). </w:t>
            </w:r>
          </w:p>
        </w:tc>
      </w:tr>
    </w:tbl>
    <w:p w:rsidR="008B519B" w:rsidRPr="00BB638D" w:rsidRDefault="00D720C9">
      <w:pPr>
        <w:spacing w:line="360" w:lineRule="auto"/>
        <w:jc w:val="center"/>
        <w:rPr>
          <w:rFonts w:ascii="Times New Roman" w:eastAsia="Times New Roman" w:hAnsi="Times New Roman" w:cs="Times New Roman"/>
          <w:b/>
          <w:sz w:val="24"/>
          <w:szCs w:val="24"/>
          <w:lang w:val="en-GB"/>
        </w:rPr>
      </w:pPr>
      <w:r w:rsidRPr="00BB638D">
        <w:rPr>
          <w:rFonts w:ascii="Times New Roman" w:eastAsia="Times New Roman" w:hAnsi="Times New Roman" w:cs="Times New Roman"/>
          <w:b/>
          <w:sz w:val="24"/>
          <w:szCs w:val="24"/>
          <w:lang w:val="en-GB"/>
        </w:rPr>
        <w:t>Table 1: PESTLE Analysis</w:t>
      </w:r>
    </w:p>
    <w:p w:rsidR="008B519B" w:rsidRPr="00BB638D" w:rsidRDefault="00D720C9">
      <w:pPr>
        <w:spacing w:line="360" w:lineRule="auto"/>
        <w:jc w:val="center"/>
        <w:rPr>
          <w:rFonts w:ascii="Times New Roman" w:eastAsia="Times New Roman" w:hAnsi="Times New Roman" w:cs="Times New Roman"/>
          <w:sz w:val="24"/>
          <w:szCs w:val="24"/>
          <w:lang w:val="en-GB"/>
        </w:rPr>
      </w:pPr>
      <w:r w:rsidRPr="00BB638D">
        <w:rPr>
          <w:rFonts w:ascii="Times New Roman" w:eastAsia="Times New Roman" w:hAnsi="Times New Roman" w:cs="Times New Roman"/>
          <w:sz w:val="24"/>
          <w:szCs w:val="24"/>
          <w:lang w:val="en-GB"/>
        </w:rPr>
        <w:t>(Source: vehicle-certification-agency.gov.uk, 2018)</w:t>
      </w:r>
    </w:p>
    <w:p w:rsidR="008B519B" w:rsidRPr="00BB638D" w:rsidRDefault="00D720C9">
      <w:pPr>
        <w:spacing w:line="360" w:lineRule="auto"/>
        <w:jc w:val="both"/>
        <w:rPr>
          <w:rFonts w:ascii="Times New Roman" w:eastAsia="Times New Roman" w:hAnsi="Times New Roman" w:cs="Times New Roman"/>
          <w:b/>
          <w:sz w:val="24"/>
          <w:szCs w:val="24"/>
          <w:lang w:val="en-GB"/>
        </w:rPr>
      </w:pPr>
      <w:r w:rsidRPr="00BB638D">
        <w:rPr>
          <w:rFonts w:ascii="Times New Roman" w:eastAsia="Times New Roman" w:hAnsi="Times New Roman" w:cs="Times New Roman"/>
          <w:b/>
          <w:sz w:val="24"/>
          <w:szCs w:val="24"/>
          <w:lang w:val="en-GB"/>
        </w:rPr>
        <w:t xml:space="preserve">Analysis </w:t>
      </w:r>
    </w:p>
    <w:p w:rsidR="00287B42" w:rsidRDefault="00D720C9">
      <w:pPr>
        <w:spacing w:line="360" w:lineRule="auto"/>
        <w:jc w:val="both"/>
        <w:rPr>
          <w:rFonts w:ascii="Times New Roman" w:eastAsia="Times New Roman" w:hAnsi="Times New Roman" w:cs="Times New Roman"/>
          <w:sz w:val="24"/>
          <w:szCs w:val="24"/>
          <w:lang w:val="en-GB"/>
        </w:rPr>
      </w:pPr>
      <w:r w:rsidRPr="00BB638D">
        <w:rPr>
          <w:rFonts w:ascii="Times New Roman" w:eastAsia="Times New Roman" w:hAnsi="Times New Roman" w:cs="Times New Roman"/>
          <w:sz w:val="24"/>
          <w:szCs w:val="24"/>
          <w:lang w:val="en-GB"/>
        </w:rPr>
        <w:t>External factors present in the UK indicate that political instability due to the Brexit referendum has the potential of hindering trade relations and affecting the automobile industry. Tsokolis</w:t>
      </w:r>
      <w:r w:rsidRPr="00BB638D">
        <w:rPr>
          <w:rFonts w:ascii="Times New Roman" w:eastAsia="Times New Roman" w:hAnsi="Times New Roman" w:cs="Times New Roman"/>
          <w:i/>
          <w:sz w:val="24"/>
          <w:szCs w:val="24"/>
          <w:lang w:val="en-GB"/>
        </w:rPr>
        <w:t xml:space="preserve">et al. </w:t>
      </w:r>
      <w:r w:rsidRPr="00BB638D">
        <w:rPr>
          <w:rFonts w:ascii="Times New Roman" w:eastAsia="Times New Roman" w:hAnsi="Times New Roman" w:cs="Times New Roman"/>
          <w:sz w:val="24"/>
          <w:szCs w:val="24"/>
          <w:lang w:val="en-GB"/>
        </w:rPr>
        <w:t xml:space="preserve">(2016) observed that it has become mandatory for all vehicles to comply with international environmental regulations. It can thereby be ascertained that social and environmental factors would have a positive impact on EVs due to its energy efficient and sustainable vehicles. It has been observed from the case study that there has been an improvement in cell capacity of EVs by 10% due to the integration of new technology. The manufacturing process has become efficient increasing production from 10-20 packs to 100k packs on a yearly basis. This indicates that there has been a significant improvement in the technological developments in the UK as well as across Europe thereby promoting growth opportunities for EVs in the market. </w:t>
      </w:r>
    </w:p>
    <w:p w:rsidR="00287B42" w:rsidRDefault="00287B42" w:rsidP="00C91238">
      <w:pPr>
        <w:pStyle w:val="Heading1"/>
      </w:pPr>
      <w:bookmarkStart w:id="4" w:name="_Toc38381864"/>
      <w:r>
        <w:lastRenderedPageBreak/>
        <w:t>Porter’s Five Force Framework</w:t>
      </w:r>
      <w:bookmarkEnd w:id="4"/>
    </w:p>
    <w:p w:rsidR="00287B42" w:rsidRDefault="00287B42" w:rsidP="00287B4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GB" w:eastAsia="en-GB"/>
        </w:rPr>
        <w:drawing>
          <wp:inline distT="114300" distB="114300" distL="114300" distR="114300">
            <wp:extent cx="4219575" cy="3362325"/>
            <wp:effectExtent l="19050" t="19050" r="28575" b="28575"/>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219575" cy="3362325"/>
                    </a:xfrm>
                    <a:prstGeom prst="rect">
                      <a:avLst/>
                    </a:prstGeom>
                    <a:ln>
                      <a:solidFill>
                        <a:schemeClr val="tx1"/>
                      </a:solidFill>
                    </a:ln>
                  </pic:spPr>
                </pic:pic>
              </a:graphicData>
            </a:graphic>
          </wp:inline>
        </w:drawing>
      </w:r>
    </w:p>
    <w:p w:rsidR="00C91238" w:rsidRDefault="00C91238" w:rsidP="00C9123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Porter’s Five Forces</w:t>
      </w:r>
    </w:p>
    <w:p w:rsidR="00C91238" w:rsidRPr="00C91238" w:rsidRDefault="00C91238" w:rsidP="00C91238">
      <w:pPr>
        <w:spacing w:line="360" w:lineRule="auto"/>
        <w:jc w:val="center"/>
        <w:rPr>
          <w:rFonts w:ascii="Times New Roman" w:eastAsia="Times New Roman" w:hAnsi="Times New Roman" w:cs="Times New Roman"/>
          <w:sz w:val="24"/>
          <w:szCs w:val="24"/>
        </w:rPr>
      </w:pPr>
      <w:r w:rsidRPr="00C91238">
        <w:rPr>
          <w:rFonts w:ascii="Times New Roman" w:eastAsia="Times New Roman" w:hAnsi="Times New Roman" w:cs="Times New Roman"/>
          <w:sz w:val="24"/>
          <w:szCs w:val="24"/>
        </w:rPr>
        <w:t xml:space="preserve">(Source: Influenced by </w:t>
      </w:r>
      <w:r w:rsidRPr="00C91238">
        <w:rPr>
          <w:rFonts w:ascii="Times New Roman" w:eastAsia="Times New Roman" w:hAnsi="Times New Roman" w:cs="Times New Roman"/>
          <w:color w:val="222222"/>
          <w:sz w:val="24"/>
          <w:szCs w:val="24"/>
          <w:highlight w:val="white"/>
        </w:rPr>
        <w:t>Gerard, 2018</w:t>
      </w:r>
      <w:r w:rsidRPr="00C91238">
        <w:rPr>
          <w:rFonts w:ascii="Times New Roman" w:eastAsia="Times New Roman" w:hAnsi="Times New Roman" w:cs="Times New Roman"/>
          <w:color w:val="222222"/>
          <w:sz w:val="24"/>
          <w:szCs w:val="24"/>
        </w:rPr>
        <w:t>)</w:t>
      </w:r>
    </w:p>
    <w:p w:rsidR="00287B42" w:rsidRDefault="00287B42" w:rsidP="00287B4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 of new entrants</w:t>
      </w:r>
    </w:p>
    <w:p w:rsidR="00287B42" w:rsidRDefault="00287B42" w:rsidP="00287B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automotive industry is a growing sector in the global economy. Volvo cars made a strategy for intervention of engines for placing electrification as a business strategy in the year 2019. Electrification has been bringing a new dimension in the automotive industry (</w:t>
      </w:r>
      <w:r>
        <w:rPr>
          <w:rFonts w:ascii="Times New Roman" w:eastAsia="Times New Roman" w:hAnsi="Times New Roman" w:cs="Times New Roman"/>
          <w:color w:val="222222"/>
          <w:sz w:val="24"/>
          <w:szCs w:val="24"/>
          <w:highlight w:val="white"/>
        </w:rPr>
        <w:t>Gerard, 2018</w:t>
      </w:r>
      <w:r>
        <w:rPr>
          <w:rFonts w:ascii="Times New Roman" w:eastAsia="Times New Roman" w:hAnsi="Times New Roman" w:cs="Times New Roman"/>
          <w:sz w:val="24"/>
          <w:szCs w:val="24"/>
        </w:rPr>
        <w:t>). The entrance of new industries entering the market, would act as a threat to the el</w:t>
      </w:r>
      <w:r w:rsidR="00C91238">
        <w:rPr>
          <w:rFonts w:ascii="Times New Roman" w:eastAsia="Times New Roman" w:hAnsi="Times New Roman" w:cs="Times New Roman"/>
          <w:sz w:val="24"/>
          <w:szCs w:val="24"/>
        </w:rPr>
        <w:t>ec</w:t>
      </w:r>
      <w:r>
        <w:rPr>
          <w:rFonts w:ascii="Times New Roman" w:eastAsia="Times New Roman" w:hAnsi="Times New Roman" w:cs="Times New Roman"/>
          <w:sz w:val="24"/>
          <w:szCs w:val="24"/>
        </w:rPr>
        <w:t>tri</w:t>
      </w:r>
      <w:r w:rsidR="00C91238">
        <w:rPr>
          <w:rFonts w:ascii="Times New Roman" w:eastAsia="Times New Roman" w:hAnsi="Times New Roman" w:cs="Times New Roman"/>
          <w:sz w:val="24"/>
          <w:szCs w:val="24"/>
        </w:rPr>
        <w:t>fi</w:t>
      </w:r>
      <w:r>
        <w:rPr>
          <w:rFonts w:ascii="Times New Roman" w:eastAsia="Times New Roman" w:hAnsi="Times New Roman" w:cs="Times New Roman"/>
          <w:sz w:val="24"/>
          <w:szCs w:val="24"/>
        </w:rPr>
        <w:t>c</w:t>
      </w:r>
      <w:r w:rsidR="00C91238">
        <w:rPr>
          <w:rFonts w:ascii="Times New Roman" w:eastAsia="Times New Roman" w:hAnsi="Times New Roman" w:cs="Times New Roman"/>
          <w:sz w:val="24"/>
          <w:szCs w:val="24"/>
        </w:rPr>
        <w:t>a</w:t>
      </w:r>
      <w:r>
        <w:rPr>
          <w:rFonts w:ascii="Times New Roman" w:eastAsia="Times New Roman" w:hAnsi="Times New Roman" w:cs="Times New Roman"/>
          <w:sz w:val="24"/>
          <w:szCs w:val="24"/>
        </w:rPr>
        <w:t>tion of Volvo cars in the global market.</w:t>
      </w:r>
    </w:p>
    <w:p w:rsidR="00287B42" w:rsidRDefault="00287B42" w:rsidP="00287B4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 of substitutes</w:t>
      </w:r>
    </w:p>
    <w:p w:rsidR="00287B42" w:rsidRDefault="00287B42" w:rsidP="00287B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Many car industries like BMW, Audi, Toyota and Mercedes Benz produce electric motors that produce similar kinds of products. The </w:t>
      </w:r>
      <w:r w:rsidR="00C91238">
        <w:rPr>
          <w:rFonts w:ascii="Times New Roman" w:eastAsia="Times New Roman" w:hAnsi="Times New Roman" w:cs="Times New Roman"/>
          <w:sz w:val="24"/>
          <w:szCs w:val="24"/>
        </w:rPr>
        <w:t>substitute’s</w:t>
      </w:r>
      <w:r>
        <w:rPr>
          <w:rFonts w:ascii="Times New Roman" w:eastAsia="Times New Roman" w:hAnsi="Times New Roman" w:cs="Times New Roman"/>
          <w:sz w:val="24"/>
          <w:szCs w:val="24"/>
        </w:rPr>
        <w:t xml:space="preserve"> products of electrification available for these industries can result in the threat of substitutes in the market. Such industries produce similar types of electrical items and can act as a threat towards similar kinds of substitutes and shift in consumers in the </w:t>
      </w:r>
      <w:r w:rsidR="00F2260D">
        <w:rPr>
          <w:rFonts w:ascii="Times New Roman" w:eastAsia="Times New Roman" w:hAnsi="Times New Roman" w:cs="Times New Roman"/>
          <w:sz w:val="24"/>
          <w:szCs w:val="24"/>
        </w:rPr>
        <w:t>marketplace</w:t>
      </w:r>
      <w:r>
        <w:rPr>
          <w:rFonts w:ascii="Times New Roman" w:eastAsia="Times New Roman" w:hAnsi="Times New Roman" w:cs="Times New Roman"/>
          <w:sz w:val="24"/>
          <w:szCs w:val="24"/>
        </w:rPr>
        <w:t xml:space="preserve">. </w:t>
      </w:r>
    </w:p>
    <w:p w:rsidR="00287B42" w:rsidRDefault="00287B42" w:rsidP="00287B4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Bargaining power of suppliers</w:t>
      </w:r>
    </w:p>
    <w:p w:rsidR="00287B42" w:rsidRDefault="00287B42" w:rsidP="00287B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Considering the power of bargaining for suppliers, it can be stated that Volvo being an automobile industry would limit from weak power of the bargaining from the suppliers. The brands of BMW, Ford and Toyota and Volvo would have a significant influence as raw material is plenty and people generally switch from one customer to another in the market. </w:t>
      </w:r>
    </w:p>
    <w:p w:rsidR="00287B42" w:rsidRDefault="00287B42" w:rsidP="00287B4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Bargaining power of buyers</w:t>
      </w:r>
    </w:p>
    <w:p w:rsidR="00287B42" w:rsidRDefault="00287B42" w:rsidP="00287B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00F2260D">
        <w:rPr>
          <w:rFonts w:ascii="Times New Roman" w:eastAsia="Times New Roman" w:hAnsi="Times New Roman" w:cs="Times New Roman"/>
          <w:sz w:val="24"/>
          <w:szCs w:val="24"/>
        </w:rPr>
        <w:t xml:space="preserve">power of bargaining </w:t>
      </w:r>
      <w:r>
        <w:rPr>
          <w:rFonts w:ascii="Times New Roman" w:eastAsia="Times New Roman" w:hAnsi="Times New Roman" w:cs="Times New Roman"/>
          <w:sz w:val="24"/>
          <w:szCs w:val="24"/>
        </w:rPr>
        <w:t>of buyers acts as a major influence in affecting the Volvo cars industry. In case of electrification, the buyers tend to switch to those brands which are available at lower prices and at a better quality. Buyers in the automobile industry have meagre power of bargaining for lowering the prices (</w:t>
      </w:r>
      <w:r>
        <w:rPr>
          <w:rFonts w:ascii="Times New Roman" w:eastAsia="Times New Roman" w:hAnsi="Times New Roman" w:cs="Times New Roman"/>
          <w:color w:val="222222"/>
          <w:sz w:val="24"/>
          <w:szCs w:val="24"/>
          <w:highlight w:val="white"/>
        </w:rPr>
        <w:t>Sánchez 2017</w:t>
      </w:r>
      <w:r>
        <w:rPr>
          <w:rFonts w:ascii="Times New Roman" w:eastAsia="Times New Roman" w:hAnsi="Times New Roman" w:cs="Times New Roman"/>
          <w:sz w:val="24"/>
          <w:szCs w:val="24"/>
        </w:rPr>
        <w:t>). However, corporations and government agencies have a significant influence in the economy.</w:t>
      </w:r>
    </w:p>
    <w:p w:rsidR="00287B42" w:rsidRDefault="00287B42" w:rsidP="00287B4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Degree of Rivalry</w:t>
      </w:r>
    </w:p>
    <w:p w:rsidR="00287B42" w:rsidRDefault="00287B42" w:rsidP="00287B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possibility for a high degree of rivalry is prevalent as new industries come up into the market. Volvo cars being a major automobile industry faces immense competition from rivals like Audi, BMW, Toyota and Mercedes Benz that increases the scope for rivalry and shifting of customers based on the electrified products that they deliver. </w:t>
      </w:r>
    </w:p>
    <w:p w:rsidR="00287B42" w:rsidRDefault="00287B42" w:rsidP="00287B42">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Analysis </w:t>
      </w:r>
    </w:p>
    <w:p w:rsidR="00287B42" w:rsidRDefault="00287B42" w:rsidP="00287B4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Limitations of applying Porter’s Five Forces </w:t>
      </w:r>
    </w:p>
    <w:p w:rsidR="00287B42" w:rsidRPr="0037743A" w:rsidRDefault="00287B42" w:rsidP="00287B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00C91238">
        <w:rPr>
          <w:rFonts w:ascii="Times New Roman" w:eastAsia="Times New Roman" w:hAnsi="Times New Roman" w:cs="Times New Roman"/>
          <w:sz w:val="24"/>
          <w:szCs w:val="24"/>
        </w:rPr>
        <w:t xml:space="preserve">limitations of </w:t>
      </w:r>
      <w:r w:rsidR="00F2260D">
        <w:rPr>
          <w:rFonts w:ascii="Times New Roman" w:eastAsia="Times New Roman" w:hAnsi="Times New Roman" w:cs="Times New Roman"/>
          <w:sz w:val="24"/>
          <w:szCs w:val="24"/>
        </w:rPr>
        <w:t>“</w:t>
      </w:r>
      <w:r w:rsidR="00C91238">
        <w:rPr>
          <w:rFonts w:ascii="Times New Roman" w:eastAsia="Times New Roman" w:hAnsi="Times New Roman" w:cs="Times New Roman"/>
          <w:sz w:val="24"/>
          <w:szCs w:val="24"/>
        </w:rPr>
        <w:t>Porter’s Five Forces</w:t>
      </w:r>
      <w:r w:rsidR="00F2260D">
        <w:rPr>
          <w:rFonts w:ascii="Times New Roman" w:eastAsia="Times New Roman" w:hAnsi="Times New Roman" w:cs="Times New Roman"/>
          <w:sz w:val="24"/>
          <w:szCs w:val="24"/>
        </w:rPr>
        <w:t>”</w:t>
      </w:r>
      <w:r w:rsidR="00C91238">
        <w:rPr>
          <w:rFonts w:ascii="Times New Roman" w:eastAsia="Times New Roman" w:hAnsi="Times New Roman" w:cs="Times New Roman"/>
          <w:sz w:val="24"/>
          <w:szCs w:val="24"/>
        </w:rPr>
        <w:t xml:space="preserve"> are</w:t>
      </w:r>
      <w:r>
        <w:rPr>
          <w:rFonts w:ascii="Times New Roman" w:eastAsia="Times New Roman" w:hAnsi="Times New Roman" w:cs="Times New Roman"/>
          <w:sz w:val="24"/>
          <w:szCs w:val="24"/>
        </w:rPr>
        <w:t xml:space="preserve"> that this model </w:t>
      </w:r>
      <w:r w:rsidR="00F2260D">
        <w:rPr>
          <w:rFonts w:ascii="Times New Roman" w:eastAsia="Times New Roman" w:hAnsi="Times New Roman" w:cs="Times New Roman"/>
          <w:sz w:val="24"/>
          <w:szCs w:val="24"/>
        </w:rPr>
        <w:t>shoulders</w:t>
      </w:r>
      <w:r>
        <w:rPr>
          <w:rFonts w:ascii="Times New Roman" w:eastAsia="Times New Roman" w:hAnsi="Times New Roman" w:cs="Times New Roman"/>
          <w:sz w:val="24"/>
          <w:szCs w:val="24"/>
        </w:rPr>
        <w:t xml:space="preserve"> a perfect market in the economy. Moreover, application of this type of a model does not take into account the strategic alliances for companies in the value chain business (</w:t>
      </w:r>
      <w:r>
        <w:rPr>
          <w:rFonts w:ascii="Times New Roman" w:eastAsia="Times New Roman" w:hAnsi="Times New Roman" w:cs="Times New Roman"/>
          <w:color w:val="222222"/>
          <w:sz w:val="24"/>
          <w:szCs w:val="24"/>
          <w:highlight w:val="white"/>
        </w:rPr>
        <w:t>Lüttgens and Diener, 2016</w:t>
      </w:r>
      <w:r>
        <w:rPr>
          <w:rFonts w:ascii="Times New Roman" w:eastAsia="Times New Roman" w:hAnsi="Times New Roman" w:cs="Times New Roman"/>
          <w:sz w:val="24"/>
          <w:szCs w:val="24"/>
        </w:rPr>
        <w:t xml:space="preserve">). In consideration of Volvo cars, it can be assumed that a lot of stress is emphasized on the competitive forces and </w:t>
      </w:r>
      <w:r w:rsidR="00C91238">
        <w:rPr>
          <w:rFonts w:ascii="Times New Roman" w:eastAsia="Times New Roman" w:hAnsi="Times New Roman" w:cs="Times New Roman"/>
          <w:sz w:val="24"/>
          <w:szCs w:val="24"/>
        </w:rPr>
        <w:t>how competitors</w:t>
      </w:r>
      <w:r>
        <w:rPr>
          <w:rFonts w:ascii="Times New Roman" w:eastAsia="Times New Roman" w:hAnsi="Times New Roman" w:cs="Times New Roman"/>
          <w:sz w:val="24"/>
          <w:szCs w:val="24"/>
        </w:rPr>
        <w:t xml:space="preserve"> aim to achieve a competitive force in the market over suppliers as well as consumers.</w:t>
      </w:r>
    </w:p>
    <w:p w:rsidR="00287B42" w:rsidRDefault="0037743A" w:rsidP="00C91238">
      <w:pPr>
        <w:pStyle w:val="Heading1"/>
      </w:pPr>
      <w:bookmarkStart w:id="5" w:name="_Toc38381865"/>
      <w:r>
        <w:t>P</w:t>
      </w:r>
      <w:r w:rsidR="00287B42">
        <w:t>orter’s Value Chain Analysis</w:t>
      </w:r>
      <w:bookmarkEnd w:id="5"/>
    </w:p>
    <w:p w:rsidR="00287B42" w:rsidRDefault="00287B42" w:rsidP="00C9123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GB" w:eastAsia="en-GB"/>
        </w:rPr>
        <w:drawing>
          <wp:inline distT="114300" distB="114300" distL="114300" distR="114300">
            <wp:extent cx="4572000" cy="2600325"/>
            <wp:effectExtent l="19050" t="19050" r="19050" b="28575"/>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579571" cy="2604631"/>
                    </a:xfrm>
                    <a:prstGeom prst="rect">
                      <a:avLst/>
                    </a:prstGeom>
                    <a:ln>
                      <a:solidFill>
                        <a:schemeClr val="tx1"/>
                      </a:solidFill>
                    </a:ln>
                  </pic:spPr>
                </pic:pic>
              </a:graphicData>
            </a:graphic>
          </wp:inline>
        </w:drawing>
      </w:r>
    </w:p>
    <w:p w:rsidR="00287B42" w:rsidRDefault="00287B42" w:rsidP="00287B4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w:t>
      </w:r>
      <w:r w:rsidR="00C91238">
        <w:rPr>
          <w:rFonts w:ascii="Times New Roman" w:eastAsia="Times New Roman" w:hAnsi="Times New Roman" w:cs="Times New Roman"/>
          <w:b/>
          <w:sz w:val="24"/>
          <w:szCs w:val="24"/>
        </w:rPr>
        <w:t>3</w:t>
      </w:r>
      <w:r>
        <w:rPr>
          <w:rFonts w:ascii="Times New Roman" w:eastAsia="Times New Roman" w:hAnsi="Times New Roman" w:cs="Times New Roman"/>
          <w:b/>
          <w:sz w:val="24"/>
          <w:szCs w:val="24"/>
        </w:rPr>
        <w:t>: The Value Chain</w:t>
      </w:r>
    </w:p>
    <w:p w:rsidR="00287B42" w:rsidRDefault="00287B42" w:rsidP="00287B4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Influenced by </w:t>
      </w:r>
      <w:r>
        <w:rPr>
          <w:rFonts w:ascii="Times New Roman" w:eastAsia="Times New Roman" w:hAnsi="Times New Roman" w:cs="Times New Roman"/>
          <w:color w:val="222222"/>
          <w:sz w:val="24"/>
          <w:szCs w:val="24"/>
          <w:highlight w:val="white"/>
        </w:rPr>
        <w:t>Lee, 2018</w:t>
      </w:r>
      <w:r>
        <w:rPr>
          <w:rFonts w:ascii="Times New Roman" w:eastAsia="Times New Roman" w:hAnsi="Times New Roman" w:cs="Times New Roman"/>
          <w:sz w:val="24"/>
          <w:szCs w:val="24"/>
        </w:rPr>
        <w:t>)</w:t>
      </w:r>
    </w:p>
    <w:p w:rsidR="00287B42" w:rsidRDefault="00287B42" w:rsidP="00287B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Value chain analysis is an analysis by an organization that makes use of value creation activities. </w:t>
      </w:r>
    </w:p>
    <w:p w:rsidR="00287B42" w:rsidRDefault="00287B42" w:rsidP="00287B42">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Primary Activities</w:t>
      </w:r>
    </w:p>
    <w:p w:rsidR="00287B42" w:rsidRDefault="00287B42" w:rsidP="00287B42">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primary activities are those which make a contribution towards the creation of a product by application of raw materials like electrical engines for production of electrical vehicles.</w:t>
      </w:r>
    </w:p>
    <w:p w:rsidR="00287B42" w:rsidRDefault="00287B42" w:rsidP="00287B42">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perspective of operations, the process of transforming the raw materials into finished products is carried out by the automotive industries in manufacturing engine products.</w:t>
      </w:r>
    </w:p>
    <w:p w:rsidR="00287B42" w:rsidRDefault="00287B42" w:rsidP="00287B42">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manufacturing process involves how the process of outbound logistics is identified through the supply and </w:t>
      </w:r>
      <w:r w:rsidR="00C91238">
        <w:rPr>
          <w:rFonts w:ascii="Times New Roman" w:eastAsia="Times New Roman" w:hAnsi="Times New Roman" w:cs="Times New Roman"/>
          <w:sz w:val="24"/>
          <w:szCs w:val="24"/>
        </w:rPr>
        <w:t>process-ability</w:t>
      </w:r>
      <w:r>
        <w:rPr>
          <w:rFonts w:ascii="Times New Roman" w:eastAsia="Times New Roman" w:hAnsi="Times New Roman" w:cs="Times New Roman"/>
          <w:sz w:val="24"/>
          <w:szCs w:val="24"/>
        </w:rPr>
        <w:t xml:space="preserve"> of inbound logistics. </w:t>
      </w:r>
    </w:p>
    <w:p w:rsidR="00287B42" w:rsidRDefault="00287B42" w:rsidP="00287B42">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the process of completion into end-products, it is finally ready for marketing and sales in the market industry.</w:t>
      </w:r>
    </w:p>
    <w:p w:rsidR="00287B42" w:rsidRDefault="00287B42" w:rsidP="00287B42">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 the engine items are delivered, the need for after sales service is carried out through proper interaction with the customers and identification of the needs of after sales.</w:t>
      </w:r>
    </w:p>
    <w:p w:rsidR="00287B42" w:rsidRDefault="00287B42" w:rsidP="00287B42">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Support Activities</w:t>
      </w:r>
    </w:p>
    <w:p w:rsidR="00287B42" w:rsidRDefault="00287B42" w:rsidP="00287B42">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Activities relating to managing the day to day administration of the electric vehicles sector are included in the administration support system.</w:t>
      </w:r>
    </w:p>
    <w:p w:rsidR="00287B42" w:rsidRDefault="00287B42" w:rsidP="00287B42">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response to recruiting, hiring and training as well as development of professionals the HRM activities are taken into account.</w:t>
      </w:r>
    </w:p>
    <w:p w:rsidR="00287B42" w:rsidRDefault="00287B42" w:rsidP="00287B42">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Activities relating to R&amp;D, adequate professional qualification, maintenance of strong collaborative relationships are identified as technological development (</w:t>
      </w:r>
      <w:r>
        <w:rPr>
          <w:rFonts w:ascii="Times New Roman" w:eastAsia="Times New Roman" w:hAnsi="Times New Roman" w:cs="Times New Roman"/>
          <w:color w:val="222222"/>
          <w:sz w:val="24"/>
          <w:szCs w:val="24"/>
          <w:highlight w:val="white"/>
        </w:rPr>
        <w:t>Simatupang</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2017</w:t>
      </w:r>
      <w:r>
        <w:rPr>
          <w:rFonts w:ascii="Times New Roman" w:eastAsia="Times New Roman" w:hAnsi="Times New Roman" w:cs="Times New Roman"/>
          <w:sz w:val="24"/>
          <w:szCs w:val="24"/>
        </w:rPr>
        <w:t>).</w:t>
      </w:r>
    </w:p>
    <w:p w:rsidR="00287B42" w:rsidRDefault="00287B42" w:rsidP="00287B42">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relation to procurement activities, the final process of manufacturing and transformation of raw materials into finished products are included in the procurement sector.</w:t>
      </w:r>
    </w:p>
    <w:p w:rsidR="00287B42" w:rsidRDefault="00287B42" w:rsidP="00C91238">
      <w:pPr>
        <w:pStyle w:val="Heading1"/>
      </w:pPr>
      <w:bookmarkStart w:id="6" w:name="_Toc38381866"/>
      <w:r>
        <w:t>Critical assessment of other businesses currently linked to the global automotive industry</w:t>
      </w:r>
      <w:bookmarkEnd w:id="6"/>
    </w:p>
    <w:p w:rsidR="00287B42" w:rsidRDefault="00287B42" w:rsidP="00287B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automotive industry </w:t>
      </w:r>
      <w:r w:rsidR="00F2260D">
        <w:rPr>
          <w:rFonts w:ascii="Times New Roman" w:eastAsia="Times New Roman" w:hAnsi="Times New Roman" w:cs="Times New Roman"/>
          <w:sz w:val="24"/>
          <w:szCs w:val="24"/>
        </w:rPr>
        <w:t>entails</w:t>
      </w:r>
      <w:r>
        <w:rPr>
          <w:rFonts w:ascii="Times New Roman" w:eastAsia="Times New Roman" w:hAnsi="Times New Roman" w:cs="Times New Roman"/>
          <w:sz w:val="24"/>
          <w:szCs w:val="24"/>
        </w:rPr>
        <w:t xml:space="preserve"> of a</w:t>
      </w:r>
      <w:r w:rsidR="00F2260D">
        <w:rPr>
          <w:rFonts w:ascii="Times New Roman" w:eastAsia="Times New Roman" w:hAnsi="Times New Roman" w:cs="Times New Roman"/>
          <w:sz w:val="24"/>
          <w:szCs w:val="24"/>
        </w:rPr>
        <w:t>extensivevariety</w:t>
      </w:r>
      <w:r>
        <w:rPr>
          <w:rFonts w:ascii="Times New Roman" w:eastAsia="Times New Roman" w:hAnsi="Times New Roman" w:cs="Times New Roman"/>
          <w:sz w:val="24"/>
          <w:szCs w:val="24"/>
        </w:rPr>
        <w:t xml:space="preserve"> of industries involved in the process of manufacturing, marketing as well as sales of motor vehicles. The automotive industry has been a major pillar towards the EU economy making a total of 7% to the GDP and employing </w:t>
      </w:r>
      <w:r>
        <w:rPr>
          <w:rFonts w:ascii="Times New Roman" w:eastAsia="Times New Roman" w:hAnsi="Times New Roman" w:cs="Times New Roman"/>
          <w:sz w:val="24"/>
          <w:szCs w:val="24"/>
        </w:rPr>
        <w:lastRenderedPageBreak/>
        <w:t xml:space="preserve">a total of 5% to the UK’s labour force. However, the production losses caused a shutdown of factories amounting to 1.23 million vehicles losses and 1.11 million people being affected (europe.auto.news.com, 2020). Therefore, measures have been taken to avoid the damage caused to the sector causing job losses and innovation crises. </w:t>
      </w:r>
    </w:p>
    <w:p w:rsidR="00287B42" w:rsidRDefault="00287B42" w:rsidP="00287B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other sectors linked to the automotive industry that might not be </w:t>
      </w:r>
      <w:r w:rsidR="00F2260D">
        <w:rPr>
          <w:rFonts w:ascii="Times New Roman" w:eastAsia="Times New Roman" w:hAnsi="Times New Roman" w:cs="Times New Roman"/>
          <w:sz w:val="24"/>
          <w:szCs w:val="24"/>
        </w:rPr>
        <w:t>lucrative</w:t>
      </w:r>
      <w:r>
        <w:rPr>
          <w:rFonts w:ascii="Times New Roman" w:eastAsia="Times New Roman" w:hAnsi="Times New Roman" w:cs="Times New Roman"/>
          <w:sz w:val="24"/>
          <w:szCs w:val="24"/>
        </w:rPr>
        <w:t xml:space="preserve"> to make investments in. This relates to the car-manufacturing industry. The manufacturing sector makes a total of 8.5% to the EU manufacturing in the 2.6 million working involved in manufacturing of direct raw materials. </w:t>
      </w:r>
    </w:p>
    <w:p w:rsidR="00287B42" w:rsidRDefault="00287B42" w:rsidP="00287B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steel industries sector not being able to reduce the emissions of carbon dioxide potentially creates a risk to the </w:t>
      </w:r>
      <w:r w:rsidR="00C91238">
        <w:rPr>
          <w:rFonts w:ascii="Times New Roman" w:eastAsia="Times New Roman" w:hAnsi="Times New Roman" w:cs="Times New Roman"/>
          <w:sz w:val="24"/>
          <w:szCs w:val="24"/>
        </w:rPr>
        <w:t>company’s</w:t>
      </w:r>
      <w:r>
        <w:rPr>
          <w:rFonts w:ascii="Times New Roman" w:eastAsia="Times New Roman" w:hAnsi="Times New Roman" w:cs="Times New Roman"/>
          <w:sz w:val="24"/>
          <w:szCs w:val="24"/>
        </w:rPr>
        <w:t xml:space="preserve"> value by a total of 14% on the company’s output (cnbc.com, 2019). The pace at which the steel sector has been making a contribution has been relatively slow for its transition into a low carbon industry.</w:t>
      </w:r>
    </w:p>
    <w:p w:rsidR="00287B42" w:rsidRDefault="00B4121B" w:rsidP="00C91238">
      <w:pPr>
        <w:pStyle w:val="Heading1"/>
      </w:pPr>
      <w:bookmarkStart w:id="7" w:name="_Toc38381867"/>
      <w:r>
        <w:t>Conclusion</w:t>
      </w:r>
      <w:bookmarkEnd w:id="7"/>
    </w:p>
    <w:p w:rsidR="00287B42" w:rsidRDefault="00287B42" w:rsidP="00287B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automotive industry has made a major contribution towards the growth and development of the EU market. In this study, the business opportunities arising new and emerging business opportunities have been identified. The Electrical Vehicle </w:t>
      </w:r>
      <w:r w:rsidR="00D55875">
        <w:rPr>
          <w:rFonts w:ascii="Times New Roman" w:eastAsia="Times New Roman" w:hAnsi="Times New Roman" w:cs="Times New Roman"/>
          <w:sz w:val="24"/>
          <w:szCs w:val="24"/>
        </w:rPr>
        <w:t>Company</w:t>
      </w:r>
      <w:r>
        <w:rPr>
          <w:rFonts w:ascii="Times New Roman" w:eastAsia="Times New Roman" w:hAnsi="Times New Roman" w:cs="Times New Roman"/>
          <w:sz w:val="24"/>
          <w:szCs w:val="24"/>
        </w:rPr>
        <w:t xml:space="preserve"> and its potential effect on the EU as well as the UK </w:t>
      </w:r>
      <w:r w:rsidR="00D55875">
        <w:rPr>
          <w:rFonts w:ascii="Times New Roman" w:eastAsia="Times New Roman" w:hAnsi="Times New Roman" w:cs="Times New Roman"/>
          <w:sz w:val="24"/>
          <w:szCs w:val="24"/>
        </w:rPr>
        <w:t>have</w:t>
      </w:r>
      <w:r>
        <w:rPr>
          <w:rFonts w:ascii="Times New Roman" w:eastAsia="Times New Roman" w:hAnsi="Times New Roman" w:cs="Times New Roman"/>
          <w:sz w:val="24"/>
          <w:szCs w:val="24"/>
        </w:rPr>
        <w:t xml:space="preserve"> been analysed. By using the PESTLE analysis and analysing the competitive forces through the application of Porter’s Five Forces, the effect that engine production and motor vehicles have had on the automotive industry has been made. The assistance of Porter's Value Chain analysis has helped in analysing the primary and support activities present in the economy. Moreover, a critical </w:t>
      </w:r>
      <w:r w:rsidR="00F2260D">
        <w:rPr>
          <w:rFonts w:ascii="Times New Roman" w:eastAsia="Times New Roman" w:hAnsi="Times New Roman" w:cs="Times New Roman"/>
          <w:sz w:val="24"/>
          <w:szCs w:val="24"/>
        </w:rPr>
        <w:t>valuation</w:t>
      </w:r>
      <w:r>
        <w:rPr>
          <w:rFonts w:ascii="Times New Roman" w:eastAsia="Times New Roman" w:hAnsi="Times New Roman" w:cs="Times New Roman"/>
          <w:sz w:val="24"/>
          <w:szCs w:val="24"/>
        </w:rPr>
        <w:t xml:space="preserve"> of the other </w:t>
      </w:r>
      <w:r w:rsidR="00F2260D">
        <w:rPr>
          <w:rFonts w:ascii="Times New Roman" w:eastAsia="Times New Roman" w:hAnsi="Times New Roman" w:cs="Times New Roman"/>
          <w:sz w:val="24"/>
          <w:szCs w:val="24"/>
        </w:rPr>
        <w:t>industriesassociated</w:t>
      </w:r>
      <w:r>
        <w:rPr>
          <w:rFonts w:ascii="Times New Roman" w:eastAsia="Times New Roman" w:hAnsi="Times New Roman" w:cs="Times New Roman"/>
          <w:sz w:val="24"/>
          <w:szCs w:val="24"/>
        </w:rPr>
        <w:t xml:space="preserve"> to global economic industry has been considered. In this respect, the car manufacturing and steel industry has been considered and the reasons for which profitability might not be made for investments </w:t>
      </w:r>
      <w:r w:rsidR="00D55875">
        <w:rPr>
          <w:rFonts w:ascii="Times New Roman" w:eastAsia="Times New Roman" w:hAnsi="Times New Roman" w:cs="Times New Roman"/>
          <w:sz w:val="24"/>
          <w:szCs w:val="24"/>
        </w:rPr>
        <w:t>have</w:t>
      </w:r>
      <w:r>
        <w:rPr>
          <w:rFonts w:ascii="Times New Roman" w:eastAsia="Times New Roman" w:hAnsi="Times New Roman" w:cs="Times New Roman"/>
          <w:sz w:val="24"/>
          <w:szCs w:val="24"/>
        </w:rPr>
        <w:t xml:space="preserve"> been discovered. </w:t>
      </w:r>
    </w:p>
    <w:p w:rsidR="008B519B" w:rsidRPr="00BB638D" w:rsidRDefault="00D720C9">
      <w:pPr>
        <w:spacing w:line="360" w:lineRule="auto"/>
        <w:jc w:val="both"/>
        <w:rPr>
          <w:rFonts w:ascii="Times New Roman" w:eastAsia="Times New Roman" w:hAnsi="Times New Roman" w:cs="Times New Roman"/>
          <w:sz w:val="24"/>
          <w:szCs w:val="24"/>
          <w:lang w:val="en-GB"/>
        </w:rPr>
      </w:pPr>
      <w:r w:rsidRPr="00BB638D">
        <w:rPr>
          <w:lang w:val="en-GB"/>
        </w:rPr>
        <w:br w:type="page"/>
      </w:r>
    </w:p>
    <w:p w:rsidR="00287B42" w:rsidRPr="00287B42" w:rsidRDefault="00D720C9" w:rsidP="00C91238">
      <w:pPr>
        <w:pStyle w:val="Heading1"/>
        <w:rPr>
          <w:lang w:val="en-GB"/>
        </w:rPr>
      </w:pPr>
      <w:bookmarkStart w:id="8" w:name="_Toc38381868"/>
      <w:r w:rsidRPr="00C91238">
        <w:lastRenderedPageBreak/>
        <w:t>Reference</w:t>
      </w:r>
      <w:r w:rsidRPr="00BB638D">
        <w:rPr>
          <w:lang w:val="en-GB"/>
        </w:rPr>
        <w:t xml:space="preserve"> List</w:t>
      </w:r>
      <w:bookmarkEnd w:id="8"/>
    </w:p>
    <w:p w:rsidR="00DB687E" w:rsidRPr="00C91238" w:rsidRDefault="00DB687E" w:rsidP="00287B42">
      <w:pPr>
        <w:pStyle w:val="Heading1"/>
        <w:shd w:val="clear" w:color="auto" w:fill="FFFFFF"/>
        <w:spacing w:before="240" w:after="225"/>
        <w:rPr>
          <w:rFonts w:cs="Times New Roman"/>
          <w:b w:val="0"/>
          <w:szCs w:val="24"/>
        </w:rPr>
      </w:pPr>
      <w:bookmarkStart w:id="9" w:name="_Toc38381869"/>
      <w:r w:rsidRPr="00C91238">
        <w:rPr>
          <w:rFonts w:cs="Times New Roman"/>
          <w:b w:val="0"/>
          <w:szCs w:val="24"/>
        </w:rPr>
        <w:t>cnbc.com, (2019).</w:t>
      </w:r>
      <w:r w:rsidRPr="00C91238">
        <w:rPr>
          <w:rFonts w:cs="Times New Roman"/>
          <w:b w:val="0"/>
          <w:i/>
          <w:szCs w:val="24"/>
        </w:rPr>
        <w:t xml:space="preserve">About </w:t>
      </w:r>
      <w:r w:rsidRPr="00C91238">
        <w:rPr>
          <w:rFonts w:eastAsia="Times New Roman" w:cs="Times New Roman"/>
          <w:b w:val="0"/>
          <w:i/>
          <w:kern w:val="36"/>
          <w:szCs w:val="24"/>
        </w:rPr>
        <w:t xml:space="preserve">Steel industry to suffer major losses from rising carbon prices and climate regulations, report says. </w:t>
      </w:r>
      <w:r w:rsidRPr="00C91238">
        <w:rPr>
          <w:rFonts w:eastAsia="Times New Roman" w:cs="Times New Roman"/>
          <w:b w:val="0"/>
          <w:kern w:val="36"/>
          <w:szCs w:val="24"/>
        </w:rPr>
        <w:t xml:space="preserve">Available at: </w:t>
      </w:r>
      <w:hyperlink r:id="rId11" w:history="1">
        <w:r w:rsidRPr="00C91238">
          <w:rPr>
            <w:rFonts w:cs="Times New Roman"/>
            <w:b w:val="0"/>
            <w:szCs w:val="24"/>
          </w:rPr>
          <w:t>https://www.cnbc.com/2019/07/30/steel-sector-to-suffer-losses-rising-carbon-prices-climate-regulation.html</w:t>
        </w:r>
      </w:hyperlink>
      <w:r w:rsidRPr="00C91238">
        <w:rPr>
          <w:rFonts w:cs="Times New Roman"/>
          <w:b w:val="0"/>
          <w:szCs w:val="24"/>
        </w:rPr>
        <w:t xml:space="preserve"> [Accessed on 2 March 2020]</w:t>
      </w:r>
      <w:bookmarkEnd w:id="9"/>
    </w:p>
    <w:p w:rsidR="00DB687E" w:rsidRPr="00C91238" w:rsidRDefault="00DB687E" w:rsidP="00287B42">
      <w:pPr>
        <w:pStyle w:val="Heading1"/>
        <w:spacing w:before="240" w:after="150"/>
        <w:rPr>
          <w:rFonts w:cs="Times New Roman"/>
          <w:b w:val="0"/>
          <w:szCs w:val="24"/>
        </w:rPr>
      </w:pPr>
      <w:bookmarkStart w:id="10" w:name="_Toc38381870"/>
      <w:r w:rsidRPr="00C91238">
        <w:rPr>
          <w:rFonts w:cs="Times New Roman"/>
          <w:b w:val="0"/>
          <w:szCs w:val="24"/>
        </w:rPr>
        <w:t>europe.auto.news.com, (2020).</w:t>
      </w:r>
      <w:r w:rsidRPr="00C91238">
        <w:rPr>
          <w:rFonts w:cs="Times New Roman"/>
          <w:b w:val="0"/>
          <w:i/>
          <w:szCs w:val="24"/>
        </w:rPr>
        <w:t xml:space="preserve">About </w:t>
      </w:r>
      <w:r w:rsidRPr="00C91238">
        <w:rPr>
          <w:rFonts w:eastAsia="Times New Roman" w:cs="Times New Roman"/>
          <w:b w:val="0"/>
          <w:i/>
          <w:kern w:val="36"/>
          <w:szCs w:val="24"/>
        </w:rPr>
        <w:t xml:space="preserve">Europe's auto industry sees unprecedented crisis following production losses. </w:t>
      </w:r>
      <w:r w:rsidRPr="00C91238">
        <w:rPr>
          <w:rFonts w:eastAsia="Times New Roman" w:cs="Times New Roman"/>
          <w:b w:val="0"/>
          <w:kern w:val="36"/>
          <w:szCs w:val="24"/>
        </w:rPr>
        <w:t>Available at:</w:t>
      </w:r>
      <w:hyperlink r:id="rId12" w:history="1">
        <w:r w:rsidRPr="00C91238">
          <w:rPr>
            <w:rFonts w:cs="Times New Roman"/>
            <w:b w:val="0"/>
            <w:szCs w:val="24"/>
          </w:rPr>
          <w:t>https://europe.autonews.com/automakers/europes-auto-industry-sees-unprecedented-crisis-following-production-losses</w:t>
        </w:r>
      </w:hyperlink>
      <w:r w:rsidRPr="00C91238">
        <w:rPr>
          <w:rFonts w:cs="Times New Roman"/>
          <w:b w:val="0"/>
          <w:szCs w:val="24"/>
        </w:rPr>
        <w:t xml:space="preserve"> [Accessed on 1 March 2020]</w:t>
      </w:r>
      <w:bookmarkEnd w:id="10"/>
    </w:p>
    <w:p w:rsidR="00DB687E" w:rsidRPr="00C91238" w:rsidRDefault="00DB687E" w:rsidP="00287B42">
      <w:pPr>
        <w:spacing w:line="360" w:lineRule="auto"/>
        <w:jc w:val="both"/>
        <w:rPr>
          <w:rFonts w:ascii="Times New Roman" w:hAnsi="Times New Roman" w:cs="Times New Roman"/>
          <w:color w:val="000000" w:themeColor="text1"/>
          <w:sz w:val="24"/>
          <w:szCs w:val="24"/>
          <w:shd w:val="clear" w:color="auto" w:fill="FFFFFF"/>
        </w:rPr>
      </w:pPr>
      <w:r w:rsidRPr="00C91238">
        <w:rPr>
          <w:rFonts w:ascii="Times New Roman" w:hAnsi="Times New Roman" w:cs="Times New Roman"/>
          <w:color w:val="000000" w:themeColor="text1"/>
          <w:sz w:val="24"/>
          <w:szCs w:val="24"/>
          <w:shd w:val="clear" w:color="auto" w:fill="FFFFFF"/>
        </w:rPr>
        <w:t>Gerard, H.T., (2018). The Relevance Of Porter’s Five Forces In Today’s Innovative And Changing Business Environment.</w:t>
      </w:r>
    </w:p>
    <w:p w:rsidR="00DB687E" w:rsidRPr="00C91238" w:rsidRDefault="00DB687E" w:rsidP="005E1F47">
      <w:pPr>
        <w:spacing w:after="240" w:line="360" w:lineRule="auto"/>
        <w:jc w:val="both"/>
        <w:rPr>
          <w:rFonts w:ascii="Times New Roman" w:eastAsia="Times New Roman" w:hAnsi="Times New Roman" w:cs="Times New Roman"/>
          <w:color w:val="000000" w:themeColor="text1"/>
          <w:sz w:val="24"/>
          <w:szCs w:val="24"/>
          <w:lang w:val="en-GB"/>
        </w:rPr>
      </w:pPr>
      <w:r w:rsidRPr="00C91238">
        <w:rPr>
          <w:rFonts w:ascii="Times New Roman" w:eastAsia="Times New Roman" w:hAnsi="Times New Roman" w:cs="Times New Roman"/>
          <w:color w:val="000000" w:themeColor="text1"/>
          <w:sz w:val="24"/>
          <w:szCs w:val="24"/>
          <w:lang w:val="en-GB"/>
        </w:rPr>
        <w:t>Globenewswire.com (2019).</w:t>
      </w:r>
      <w:r w:rsidRPr="00C91238">
        <w:rPr>
          <w:rFonts w:ascii="Times New Roman" w:eastAsia="Times New Roman" w:hAnsi="Times New Roman" w:cs="Times New Roman"/>
          <w:i/>
          <w:color w:val="000000" w:themeColor="text1"/>
          <w:sz w:val="24"/>
          <w:szCs w:val="24"/>
          <w:lang w:val="en-GB"/>
        </w:rPr>
        <w:t>UK Car Industry BeyondBrexit: Hybrid and Electric Vehicles to Grow at 21% CAGR Between 2019 and 2023, Accounting for Approximately 430,000 New Registrations in 2023.</w:t>
      </w:r>
      <w:r w:rsidRPr="00C91238">
        <w:rPr>
          <w:rFonts w:ascii="Times New Roman" w:eastAsia="Times New Roman" w:hAnsi="Times New Roman" w:cs="Times New Roman"/>
          <w:color w:val="000000" w:themeColor="text1"/>
          <w:sz w:val="24"/>
          <w:szCs w:val="24"/>
          <w:lang w:val="en-GB"/>
        </w:rPr>
        <w:t xml:space="preserve"> Available at:https://www.globenewswire.com/news-release/2019/07/18/1884389/0/en/UK-Car-Industry-Beyond-Brexit-Hybrid-and-Electric-Vehicles-to-Grow-at-21-CAGR-Between-2019-and-2023-Accounting-for-Approximately-430-000-New-Registrations-in-2023.html [Accessed on: 12 April 2020]</w:t>
      </w:r>
    </w:p>
    <w:p w:rsidR="00DB687E" w:rsidRPr="00C91238" w:rsidRDefault="00DB687E" w:rsidP="005E1F47">
      <w:pPr>
        <w:spacing w:after="240" w:line="360" w:lineRule="auto"/>
        <w:jc w:val="both"/>
        <w:rPr>
          <w:rFonts w:ascii="Times New Roman" w:eastAsia="Times New Roman" w:hAnsi="Times New Roman" w:cs="Times New Roman"/>
          <w:color w:val="000000" w:themeColor="text1"/>
          <w:sz w:val="24"/>
          <w:szCs w:val="24"/>
          <w:lang w:val="en-GB"/>
        </w:rPr>
      </w:pPr>
      <w:r w:rsidRPr="00C91238">
        <w:rPr>
          <w:rFonts w:ascii="Times New Roman" w:eastAsia="Times New Roman" w:hAnsi="Times New Roman" w:cs="Times New Roman"/>
          <w:color w:val="000000" w:themeColor="text1"/>
          <w:sz w:val="24"/>
          <w:szCs w:val="24"/>
          <w:highlight w:val="white"/>
          <w:lang w:val="en-GB"/>
        </w:rPr>
        <w:t xml:space="preserve">Hashmi, A.R. and Biesebroeck, J.V., (2016). The relationship between market structure and innovation in industry equilibrium: a case study of the global automobile industry. </w:t>
      </w:r>
      <w:r w:rsidRPr="00C91238">
        <w:rPr>
          <w:rFonts w:ascii="Times New Roman" w:eastAsia="Times New Roman" w:hAnsi="Times New Roman" w:cs="Times New Roman"/>
          <w:i/>
          <w:color w:val="000000" w:themeColor="text1"/>
          <w:sz w:val="24"/>
          <w:szCs w:val="24"/>
          <w:highlight w:val="white"/>
          <w:lang w:val="en-GB"/>
        </w:rPr>
        <w:t>Review of Economics and Statistics</w:t>
      </w:r>
      <w:r w:rsidRPr="00C91238">
        <w:rPr>
          <w:rFonts w:ascii="Times New Roman" w:eastAsia="Times New Roman" w:hAnsi="Times New Roman" w:cs="Times New Roman"/>
          <w:color w:val="000000" w:themeColor="text1"/>
          <w:sz w:val="24"/>
          <w:szCs w:val="24"/>
          <w:highlight w:val="white"/>
          <w:lang w:val="en-GB"/>
        </w:rPr>
        <w:t xml:space="preserve">, </w:t>
      </w:r>
      <w:r w:rsidRPr="00C91238">
        <w:rPr>
          <w:rFonts w:ascii="Times New Roman" w:eastAsia="Times New Roman" w:hAnsi="Times New Roman" w:cs="Times New Roman"/>
          <w:i/>
          <w:color w:val="000000" w:themeColor="text1"/>
          <w:sz w:val="24"/>
          <w:szCs w:val="24"/>
          <w:highlight w:val="white"/>
          <w:lang w:val="en-GB"/>
        </w:rPr>
        <w:t>98</w:t>
      </w:r>
      <w:r w:rsidRPr="00C91238">
        <w:rPr>
          <w:rFonts w:ascii="Times New Roman" w:eastAsia="Times New Roman" w:hAnsi="Times New Roman" w:cs="Times New Roman"/>
          <w:color w:val="000000" w:themeColor="text1"/>
          <w:sz w:val="24"/>
          <w:szCs w:val="24"/>
          <w:highlight w:val="white"/>
          <w:lang w:val="en-GB"/>
        </w:rPr>
        <w:t>(1), pp.192-208.</w:t>
      </w:r>
    </w:p>
    <w:p w:rsidR="00DB687E" w:rsidRPr="00C91238" w:rsidRDefault="00DB687E" w:rsidP="00287B42">
      <w:pPr>
        <w:spacing w:before="240" w:after="240" w:line="360" w:lineRule="auto"/>
        <w:jc w:val="both"/>
        <w:rPr>
          <w:rFonts w:ascii="Times New Roman" w:hAnsi="Times New Roman" w:cs="Times New Roman"/>
          <w:color w:val="000000" w:themeColor="text1"/>
          <w:sz w:val="24"/>
          <w:szCs w:val="24"/>
          <w:shd w:val="clear" w:color="auto" w:fill="FFFFFF"/>
        </w:rPr>
      </w:pPr>
      <w:r w:rsidRPr="00C91238">
        <w:rPr>
          <w:rFonts w:ascii="Times New Roman" w:hAnsi="Times New Roman" w:cs="Times New Roman"/>
          <w:color w:val="000000" w:themeColor="text1"/>
          <w:sz w:val="24"/>
          <w:szCs w:val="24"/>
          <w:shd w:val="clear" w:color="auto" w:fill="FFFFFF"/>
        </w:rPr>
        <w:t>Lee, J., (2018). Development of Value Chain Model for Design Consultancies: Focus on Product Design Consultancies. </w:t>
      </w:r>
      <w:r w:rsidRPr="00C91238">
        <w:rPr>
          <w:rFonts w:ascii="Times New Roman" w:hAnsi="Times New Roman" w:cs="Times New Roman"/>
          <w:i/>
          <w:iCs/>
          <w:color w:val="000000" w:themeColor="text1"/>
          <w:sz w:val="24"/>
          <w:szCs w:val="24"/>
          <w:shd w:val="clear" w:color="auto" w:fill="FFFFFF"/>
        </w:rPr>
        <w:t>Archives of Design Research</w:t>
      </w:r>
      <w:r w:rsidRPr="00C91238">
        <w:rPr>
          <w:rFonts w:ascii="Times New Roman" w:hAnsi="Times New Roman" w:cs="Times New Roman"/>
          <w:color w:val="000000" w:themeColor="text1"/>
          <w:sz w:val="24"/>
          <w:szCs w:val="24"/>
          <w:shd w:val="clear" w:color="auto" w:fill="FFFFFF"/>
        </w:rPr>
        <w:t>, </w:t>
      </w:r>
      <w:r w:rsidRPr="00C91238">
        <w:rPr>
          <w:rFonts w:ascii="Times New Roman" w:hAnsi="Times New Roman" w:cs="Times New Roman"/>
          <w:i/>
          <w:iCs/>
          <w:color w:val="000000" w:themeColor="text1"/>
          <w:sz w:val="24"/>
          <w:szCs w:val="24"/>
          <w:shd w:val="clear" w:color="auto" w:fill="FFFFFF"/>
        </w:rPr>
        <w:t>31</w:t>
      </w:r>
      <w:r w:rsidRPr="00C91238">
        <w:rPr>
          <w:rFonts w:ascii="Times New Roman" w:hAnsi="Times New Roman" w:cs="Times New Roman"/>
          <w:color w:val="000000" w:themeColor="text1"/>
          <w:sz w:val="24"/>
          <w:szCs w:val="24"/>
          <w:shd w:val="clear" w:color="auto" w:fill="FFFFFF"/>
        </w:rPr>
        <w:t>(3), pp.33-47.</w:t>
      </w:r>
    </w:p>
    <w:p w:rsidR="00DB687E" w:rsidRPr="00C91238" w:rsidRDefault="00DB687E" w:rsidP="00287B42">
      <w:pPr>
        <w:spacing w:after="240" w:line="360" w:lineRule="auto"/>
        <w:jc w:val="both"/>
        <w:rPr>
          <w:rFonts w:ascii="Times New Roman" w:eastAsia="Times New Roman" w:hAnsi="Times New Roman" w:cs="Times New Roman"/>
          <w:color w:val="000000" w:themeColor="text1"/>
          <w:sz w:val="24"/>
          <w:szCs w:val="24"/>
          <w:lang w:val="en-GB"/>
        </w:rPr>
      </w:pPr>
      <w:r w:rsidRPr="00C91238">
        <w:rPr>
          <w:rFonts w:ascii="Times New Roman" w:eastAsia="Times New Roman" w:hAnsi="Times New Roman" w:cs="Times New Roman"/>
          <w:color w:val="000000" w:themeColor="text1"/>
          <w:sz w:val="24"/>
          <w:szCs w:val="24"/>
          <w:lang w:val="en-GB"/>
        </w:rPr>
        <w:t>Legislation.gov.uk (2018).</w:t>
      </w:r>
      <w:r w:rsidRPr="00C91238">
        <w:rPr>
          <w:rFonts w:ascii="Times New Roman" w:eastAsia="Times New Roman" w:hAnsi="Times New Roman" w:cs="Times New Roman"/>
          <w:i/>
          <w:color w:val="000000" w:themeColor="text1"/>
          <w:sz w:val="24"/>
          <w:szCs w:val="24"/>
          <w:lang w:val="en-GB"/>
        </w:rPr>
        <w:t>Automated and Electric Vehicles Act 2018 (c. 18).</w:t>
      </w:r>
      <w:r w:rsidRPr="00C91238">
        <w:rPr>
          <w:rFonts w:ascii="Times New Roman" w:eastAsia="Times New Roman" w:hAnsi="Times New Roman" w:cs="Times New Roman"/>
          <w:color w:val="000000" w:themeColor="text1"/>
          <w:sz w:val="24"/>
          <w:szCs w:val="24"/>
          <w:lang w:val="en-GB"/>
        </w:rPr>
        <w:t xml:space="preserve"> Available at:http://www.legislation.gov.uk/ukpga/2018/18/contents/enacted [Accessed on: 13 April 2020]</w:t>
      </w:r>
    </w:p>
    <w:p w:rsidR="00DB687E" w:rsidRPr="00C91238" w:rsidRDefault="00DB687E" w:rsidP="00287B42">
      <w:pPr>
        <w:spacing w:before="240" w:line="360" w:lineRule="auto"/>
        <w:jc w:val="both"/>
        <w:rPr>
          <w:rFonts w:ascii="Times New Roman" w:hAnsi="Times New Roman" w:cs="Times New Roman"/>
          <w:color w:val="000000" w:themeColor="text1"/>
          <w:sz w:val="24"/>
          <w:szCs w:val="24"/>
          <w:shd w:val="clear" w:color="auto" w:fill="FFFFFF"/>
        </w:rPr>
      </w:pPr>
      <w:r w:rsidRPr="00C91238">
        <w:rPr>
          <w:rFonts w:ascii="Times New Roman" w:hAnsi="Times New Roman" w:cs="Times New Roman"/>
          <w:color w:val="000000" w:themeColor="text1"/>
          <w:sz w:val="24"/>
          <w:szCs w:val="24"/>
          <w:shd w:val="clear" w:color="auto" w:fill="FFFFFF"/>
        </w:rPr>
        <w:t>Lüttgens, D. and Diener, K., (2016). Business model patterns used as a tool for creating (new) innovative business models. </w:t>
      </w:r>
      <w:r w:rsidRPr="00C91238">
        <w:rPr>
          <w:rFonts w:ascii="Times New Roman" w:hAnsi="Times New Roman" w:cs="Times New Roman"/>
          <w:i/>
          <w:iCs/>
          <w:color w:val="000000" w:themeColor="text1"/>
          <w:sz w:val="24"/>
          <w:szCs w:val="24"/>
          <w:shd w:val="clear" w:color="auto" w:fill="FFFFFF"/>
        </w:rPr>
        <w:t>Journal of Business Models</w:t>
      </w:r>
      <w:r w:rsidRPr="00C91238">
        <w:rPr>
          <w:rFonts w:ascii="Times New Roman" w:hAnsi="Times New Roman" w:cs="Times New Roman"/>
          <w:color w:val="000000" w:themeColor="text1"/>
          <w:sz w:val="24"/>
          <w:szCs w:val="24"/>
          <w:shd w:val="clear" w:color="auto" w:fill="FFFFFF"/>
        </w:rPr>
        <w:t>, </w:t>
      </w:r>
      <w:r w:rsidRPr="00C91238">
        <w:rPr>
          <w:rFonts w:ascii="Times New Roman" w:hAnsi="Times New Roman" w:cs="Times New Roman"/>
          <w:i/>
          <w:iCs/>
          <w:color w:val="000000" w:themeColor="text1"/>
          <w:sz w:val="24"/>
          <w:szCs w:val="24"/>
          <w:shd w:val="clear" w:color="auto" w:fill="FFFFFF"/>
        </w:rPr>
        <w:t>4</w:t>
      </w:r>
      <w:r w:rsidRPr="00C91238">
        <w:rPr>
          <w:rFonts w:ascii="Times New Roman" w:hAnsi="Times New Roman" w:cs="Times New Roman"/>
          <w:color w:val="000000" w:themeColor="text1"/>
          <w:sz w:val="24"/>
          <w:szCs w:val="24"/>
          <w:shd w:val="clear" w:color="auto" w:fill="FFFFFF"/>
        </w:rPr>
        <w:t>(3).</w:t>
      </w:r>
    </w:p>
    <w:p w:rsidR="00DB687E" w:rsidRPr="00C91238" w:rsidRDefault="00DB687E" w:rsidP="005E1F47">
      <w:pPr>
        <w:spacing w:after="240" w:line="360" w:lineRule="auto"/>
        <w:jc w:val="both"/>
        <w:rPr>
          <w:rFonts w:ascii="Times New Roman" w:eastAsia="Times New Roman" w:hAnsi="Times New Roman" w:cs="Times New Roman"/>
          <w:color w:val="000000" w:themeColor="text1"/>
          <w:sz w:val="24"/>
          <w:szCs w:val="24"/>
          <w:highlight w:val="white"/>
          <w:lang w:val="en-GB"/>
        </w:rPr>
      </w:pPr>
      <w:r w:rsidRPr="00C91238">
        <w:rPr>
          <w:rFonts w:ascii="Times New Roman" w:eastAsia="Times New Roman" w:hAnsi="Times New Roman" w:cs="Times New Roman"/>
          <w:color w:val="000000" w:themeColor="text1"/>
          <w:sz w:val="24"/>
          <w:szCs w:val="24"/>
          <w:highlight w:val="white"/>
          <w:lang w:val="en-GB"/>
        </w:rPr>
        <w:t xml:space="preserve">Mi, C. and Masrur, M.A., 2017. </w:t>
      </w:r>
      <w:r w:rsidRPr="00C91238">
        <w:rPr>
          <w:rFonts w:ascii="Times New Roman" w:eastAsia="Times New Roman" w:hAnsi="Times New Roman" w:cs="Times New Roman"/>
          <w:i/>
          <w:color w:val="000000" w:themeColor="text1"/>
          <w:sz w:val="24"/>
          <w:szCs w:val="24"/>
          <w:highlight w:val="white"/>
          <w:lang w:val="en-GB"/>
        </w:rPr>
        <w:t>Hybrid electric vehicles: principles and applications with practical perspectives</w:t>
      </w:r>
      <w:r w:rsidRPr="00C91238">
        <w:rPr>
          <w:rFonts w:ascii="Times New Roman" w:eastAsia="Times New Roman" w:hAnsi="Times New Roman" w:cs="Times New Roman"/>
          <w:color w:val="000000" w:themeColor="text1"/>
          <w:sz w:val="24"/>
          <w:szCs w:val="24"/>
          <w:highlight w:val="white"/>
          <w:lang w:val="en-GB"/>
        </w:rPr>
        <w:t>. Eds. 2. California: John Wiley &amp; Sons.</w:t>
      </w:r>
    </w:p>
    <w:p w:rsidR="00DB687E" w:rsidRPr="00C91238" w:rsidRDefault="00DB687E" w:rsidP="005E1F47">
      <w:pPr>
        <w:spacing w:after="240" w:line="360" w:lineRule="auto"/>
        <w:jc w:val="both"/>
        <w:rPr>
          <w:rFonts w:ascii="Times New Roman" w:eastAsia="Times New Roman" w:hAnsi="Times New Roman" w:cs="Times New Roman"/>
          <w:color w:val="000000" w:themeColor="text1"/>
          <w:sz w:val="24"/>
          <w:szCs w:val="24"/>
          <w:highlight w:val="white"/>
          <w:lang w:val="en-GB"/>
        </w:rPr>
      </w:pPr>
      <w:r w:rsidRPr="00C91238">
        <w:rPr>
          <w:rFonts w:ascii="Times New Roman" w:eastAsia="Times New Roman" w:hAnsi="Times New Roman" w:cs="Times New Roman"/>
          <w:color w:val="000000" w:themeColor="text1"/>
          <w:sz w:val="24"/>
          <w:szCs w:val="24"/>
          <w:highlight w:val="white"/>
          <w:lang w:val="en-GB"/>
        </w:rPr>
        <w:lastRenderedPageBreak/>
        <w:t xml:space="preserve">Onat, N.C., Kucukvar, M., Tatari, O. and Egilmez, G., (2016). Integration of system dynamics approach toward deepening and broadening the life cycle sustainability assessment framework: a case for electric vehicles. </w:t>
      </w:r>
      <w:r w:rsidRPr="00C91238">
        <w:rPr>
          <w:rFonts w:ascii="Times New Roman" w:eastAsia="Times New Roman" w:hAnsi="Times New Roman" w:cs="Times New Roman"/>
          <w:i/>
          <w:color w:val="000000" w:themeColor="text1"/>
          <w:sz w:val="24"/>
          <w:szCs w:val="24"/>
          <w:highlight w:val="white"/>
          <w:lang w:val="en-GB"/>
        </w:rPr>
        <w:t>The International Journal of Life Cycle Assessment</w:t>
      </w:r>
      <w:r w:rsidRPr="00C91238">
        <w:rPr>
          <w:rFonts w:ascii="Times New Roman" w:eastAsia="Times New Roman" w:hAnsi="Times New Roman" w:cs="Times New Roman"/>
          <w:color w:val="000000" w:themeColor="text1"/>
          <w:sz w:val="24"/>
          <w:szCs w:val="24"/>
          <w:highlight w:val="white"/>
          <w:lang w:val="en-GB"/>
        </w:rPr>
        <w:t xml:space="preserve">, </w:t>
      </w:r>
      <w:r w:rsidRPr="00C91238">
        <w:rPr>
          <w:rFonts w:ascii="Times New Roman" w:eastAsia="Times New Roman" w:hAnsi="Times New Roman" w:cs="Times New Roman"/>
          <w:i/>
          <w:color w:val="000000" w:themeColor="text1"/>
          <w:sz w:val="24"/>
          <w:szCs w:val="24"/>
          <w:highlight w:val="white"/>
          <w:lang w:val="en-GB"/>
        </w:rPr>
        <w:t>21</w:t>
      </w:r>
      <w:r w:rsidRPr="00C91238">
        <w:rPr>
          <w:rFonts w:ascii="Times New Roman" w:eastAsia="Times New Roman" w:hAnsi="Times New Roman" w:cs="Times New Roman"/>
          <w:color w:val="000000" w:themeColor="text1"/>
          <w:sz w:val="24"/>
          <w:szCs w:val="24"/>
          <w:highlight w:val="white"/>
          <w:lang w:val="en-GB"/>
        </w:rPr>
        <w:t>(7), pp.1009-1034.</w:t>
      </w:r>
    </w:p>
    <w:p w:rsidR="00DB687E" w:rsidRPr="00C91238" w:rsidRDefault="00DB687E" w:rsidP="005E1F47">
      <w:pPr>
        <w:spacing w:after="240" w:line="360" w:lineRule="auto"/>
        <w:jc w:val="both"/>
        <w:rPr>
          <w:rFonts w:ascii="Times New Roman" w:eastAsia="Times New Roman" w:hAnsi="Times New Roman" w:cs="Times New Roman"/>
          <w:color w:val="000000" w:themeColor="text1"/>
          <w:sz w:val="24"/>
          <w:szCs w:val="24"/>
          <w:highlight w:val="white"/>
          <w:lang w:val="en-GB"/>
        </w:rPr>
      </w:pPr>
      <w:r w:rsidRPr="00C91238">
        <w:rPr>
          <w:rFonts w:ascii="Times New Roman" w:eastAsia="Times New Roman" w:hAnsi="Times New Roman" w:cs="Times New Roman"/>
          <w:color w:val="000000" w:themeColor="text1"/>
          <w:sz w:val="24"/>
          <w:szCs w:val="24"/>
          <w:highlight w:val="white"/>
          <w:lang w:val="en-GB"/>
        </w:rPr>
        <w:t xml:space="preserve">Reinhardt, R., Domingo, S.G., García, B.A. and Christodoulou, I., (2017). Macro environmental analysis of the electric vehicle battery second use market. In </w:t>
      </w:r>
      <w:r w:rsidRPr="00C91238">
        <w:rPr>
          <w:rFonts w:ascii="Times New Roman" w:eastAsia="Times New Roman" w:hAnsi="Times New Roman" w:cs="Times New Roman"/>
          <w:i/>
          <w:color w:val="000000" w:themeColor="text1"/>
          <w:sz w:val="24"/>
          <w:szCs w:val="24"/>
          <w:highlight w:val="white"/>
          <w:lang w:val="en-GB"/>
        </w:rPr>
        <w:t>2017 14th International Conference on the European Energy Market (EEM)</w:t>
      </w:r>
      <w:r w:rsidRPr="00C91238">
        <w:rPr>
          <w:rFonts w:ascii="Times New Roman" w:eastAsia="Times New Roman" w:hAnsi="Times New Roman" w:cs="Times New Roman"/>
          <w:color w:val="000000" w:themeColor="text1"/>
          <w:sz w:val="24"/>
          <w:szCs w:val="24"/>
          <w:highlight w:val="white"/>
          <w:lang w:val="en-GB"/>
        </w:rPr>
        <w:t>. Eds. 3.  New York: IEEE.</w:t>
      </w:r>
    </w:p>
    <w:p w:rsidR="00DB687E" w:rsidRPr="00C91238" w:rsidRDefault="00DB687E" w:rsidP="00287B42">
      <w:pPr>
        <w:spacing w:before="240" w:line="360" w:lineRule="auto"/>
        <w:jc w:val="both"/>
        <w:rPr>
          <w:rFonts w:ascii="Times New Roman" w:hAnsi="Times New Roman" w:cs="Times New Roman"/>
          <w:color w:val="000000" w:themeColor="text1"/>
          <w:sz w:val="24"/>
          <w:szCs w:val="24"/>
          <w:shd w:val="clear" w:color="auto" w:fill="FFFFFF"/>
        </w:rPr>
      </w:pPr>
      <w:r w:rsidRPr="00C91238">
        <w:rPr>
          <w:rFonts w:ascii="Times New Roman" w:hAnsi="Times New Roman" w:cs="Times New Roman"/>
          <w:color w:val="000000" w:themeColor="text1"/>
          <w:sz w:val="24"/>
          <w:szCs w:val="24"/>
          <w:shd w:val="clear" w:color="auto" w:fill="FFFFFF"/>
        </w:rPr>
        <w:t>Sánchez, M.A., (2017). A framework to assess organizational readiness for the digital transformation. </w:t>
      </w:r>
      <w:r w:rsidRPr="00C91238">
        <w:rPr>
          <w:rFonts w:ascii="Times New Roman" w:hAnsi="Times New Roman" w:cs="Times New Roman"/>
          <w:i/>
          <w:iCs/>
          <w:color w:val="000000" w:themeColor="text1"/>
          <w:sz w:val="24"/>
          <w:szCs w:val="24"/>
          <w:shd w:val="clear" w:color="auto" w:fill="FFFFFF"/>
        </w:rPr>
        <w:t>DimensiónEmpresarial</w:t>
      </w:r>
      <w:r w:rsidRPr="00C91238">
        <w:rPr>
          <w:rFonts w:ascii="Times New Roman" w:hAnsi="Times New Roman" w:cs="Times New Roman"/>
          <w:color w:val="000000" w:themeColor="text1"/>
          <w:sz w:val="24"/>
          <w:szCs w:val="24"/>
          <w:shd w:val="clear" w:color="auto" w:fill="FFFFFF"/>
        </w:rPr>
        <w:t>, </w:t>
      </w:r>
      <w:r w:rsidRPr="00C91238">
        <w:rPr>
          <w:rFonts w:ascii="Times New Roman" w:hAnsi="Times New Roman" w:cs="Times New Roman"/>
          <w:i/>
          <w:iCs/>
          <w:color w:val="000000" w:themeColor="text1"/>
          <w:sz w:val="24"/>
          <w:szCs w:val="24"/>
          <w:shd w:val="clear" w:color="auto" w:fill="FFFFFF"/>
        </w:rPr>
        <w:t>15</w:t>
      </w:r>
      <w:r w:rsidRPr="00C91238">
        <w:rPr>
          <w:rFonts w:ascii="Times New Roman" w:hAnsi="Times New Roman" w:cs="Times New Roman"/>
          <w:color w:val="000000" w:themeColor="text1"/>
          <w:sz w:val="24"/>
          <w:szCs w:val="24"/>
          <w:shd w:val="clear" w:color="auto" w:fill="FFFFFF"/>
        </w:rPr>
        <w:t>(2), pp.27-40.</w:t>
      </w:r>
    </w:p>
    <w:p w:rsidR="00DB687E" w:rsidRPr="00C91238" w:rsidRDefault="00DB687E" w:rsidP="00287B42">
      <w:pPr>
        <w:spacing w:before="240" w:line="360" w:lineRule="auto"/>
        <w:jc w:val="both"/>
        <w:rPr>
          <w:rFonts w:ascii="Times New Roman" w:hAnsi="Times New Roman" w:cs="Times New Roman"/>
          <w:color w:val="000000" w:themeColor="text1"/>
          <w:sz w:val="24"/>
          <w:szCs w:val="24"/>
          <w:shd w:val="clear" w:color="auto" w:fill="FFFFFF"/>
        </w:rPr>
      </w:pPr>
      <w:r w:rsidRPr="00C91238">
        <w:rPr>
          <w:rFonts w:ascii="Times New Roman" w:hAnsi="Times New Roman" w:cs="Times New Roman"/>
          <w:color w:val="000000" w:themeColor="text1"/>
          <w:sz w:val="24"/>
          <w:szCs w:val="24"/>
          <w:shd w:val="clear" w:color="auto" w:fill="FFFFFF"/>
        </w:rPr>
        <w:t>Simatupang, T.M., Piboonrungroj, P. and Williams, S.J., (2017).The emergence of value chain thinking. </w:t>
      </w:r>
      <w:r w:rsidRPr="00C91238">
        <w:rPr>
          <w:rFonts w:ascii="Times New Roman" w:hAnsi="Times New Roman" w:cs="Times New Roman"/>
          <w:i/>
          <w:iCs/>
          <w:color w:val="000000" w:themeColor="text1"/>
          <w:sz w:val="24"/>
          <w:szCs w:val="24"/>
          <w:shd w:val="clear" w:color="auto" w:fill="FFFFFF"/>
        </w:rPr>
        <w:t>International Journal of value chain management</w:t>
      </w:r>
      <w:r w:rsidRPr="00C91238">
        <w:rPr>
          <w:rFonts w:ascii="Times New Roman" w:hAnsi="Times New Roman" w:cs="Times New Roman"/>
          <w:color w:val="000000" w:themeColor="text1"/>
          <w:sz w:val="24"/>
          <w:szCs w:val="24"/>
          <w:shd w:val="clear" w:color="auto" w:fill="FFFFFF"/>
        </w:rPr>
        <w:t>, </w:t>
      </w:r>
      <w:r w:rsidRPr="00C91238">
        <w:rPr>
          <w:rFonts w:ascii="Times New Roman" w:hAnsi="Times New Roman" w:cs="Times New Roman"/>
          <w:i/>
          <w:iCs/>
          <w:color w:val="000000" w:themeColor="text1"/>
          <w:sz w:val="24"/>
          <w:szCs w:val="24"/>
          <w:shd w:val="clear" w:color="auto" w:fill="FFFFFF"/>
        </w:rPr>
        <w:t>8</w:t>
      </w:r>
      <w:r w:rsidRPr="00C91238">
        <w:rPr>
          <w:rFonts w:ascii="Times New Roman" w:hAnsi="Times New Roman" w:cs="Times New Roman"/>
          <w:color w:val="000000" w:themeColor="text1"/>
          <w:sz w:val="24"/>
          <w:szCs w:val="24"/>
          <w:shd w:val="clear" w:color="auto" w:fill="FFFFFF"/>
        </w:rPr>
        <w:t>(1), pp.40-57.</w:t>
      </w:r>
    </w:p>
    <w:p w:rsidR="00DB687E" w:rsidRPr="00C91238" w:rsidRDefault="00DB687E" w:rsidP="005E1F47">
      <w:pPr>
        <w:spacing w:after="240" w:line="360" w:lineRule="auto"/>
        <w:jc w:val="both"/>
        <w:rPr>
          <w:rFonts w:ascii="Times New Roman" w:eastAsia="Times New Roman" w:hAnsi="Times New Roman" w:cs="Times New Roman"/>
          <w:color w:val="000000" w:themeColor="text1"/>
          <w:sz w:val="24"/>
          <w:szCs w:val="24"/>
          <w:lang w:val="en-GB"/>
        </w:rPr>
      </w:pPr>
      <w:r w:rsidRPr="00C91238">
        <w:rPr>
          <w:rFonts w:ascii="Times New Roman" w:eastAsia="Times New Roman" w:hAnsi="Times New Roman" w:cs="Times New Roman"/>
          <w:color w:val="000000" w:themeColor="text1"/>
          <w:sz w:val="24"/>
          <w:szCs w:val="24"/>
          <w:lang w:val="en-GB"/>
        </w:rPr>
        <w:t>Statista.com (2020).</w:t>
      </w:r>
      <w:r w:rsidRPr="00C91238">
        <w:rPr>
          <w:rFonts w:ascii="Times New Roman" w:eastAsia="Times New Roman" w:hAnsi="Times New Roman" w:cs="Times New Roman"/>
          <w:i/>
          <w:color w:val="000000" w:themeColor="text1"/>
          <w:sz w:val="24"/>
          <w:szCs w:val="24"/>
          <w:lang w:val="en-GB"/>
        </w:rPr>
        <w:t>Rate of inflation in UK.</w:t>
      </w:r>
      <w:r w:rsidRPr="00C91238">
        <w:rPr>
          <w:rFonts w:ascii="Times New Roman" w:eastAsia="Times New Roman" w:hAnsi="Times New Roman" w:cs="Times New Roman"/>
          <w:color w:val="000000" w:themeColor="text1"/>
          <w:sz w:val="24"/>
          <w:szCs w:val="24"/>
          <w:lang w:val="en-GB"/>
        </w:rPr>
        <w:t xml:space="preserve"> Available at:https://www.statista.com/statistics/270384/inflation-rate-in-the-united-kingdom/ [Accessed on: 14 April 2020]</w:t>
      </w:r>
    </w:p>
    <w:p w:rsidR="00DB687E" w:rsidRPr="00C91238" w:rsidRDefault="00DB687E" w:rsidP="005E1F47">
      <w:pPr>
        <w:spacing w:after="240" w:line="360" w:lineRule="auto"/>
        <w:jc w:val="both"/>
        <w:rPr>
          <w:rFonts w:ascii="Times New Roman" w:eastAsia="Times New Roman" w:hAnsi="Times New Roman" w:cs="Times New Roman"/>
          <w:color w:val="000000" w:themeColor="text1"/>
          <w:sz w:val="24"/>
          <w:szCs w:val="24"/>
          <w:lang w:val="en-GB"/>
        </w:rPr>
      </w:pPr>
      <w:r w:rsidRPr="00C91238">
        <w:rPr>
          <w:rFonts w:ascii="Times New Roman" w:eastAsia="Times New Roman" w:hAnsi="Times New Roman" w:cs="Times New Roman"/>
          <w:color w:val="000000" w:themeColor="text1"/>
          <w:sz w:val="24"/>
          <w:szCs w:val="24"/>
          <w:lang w:val="en-GB"/>
        </w:rPr>
        <w:t>Tradingeconomics.com (2020).</w:t>
      </w:r>
      <w:r w:rsidRPr="00C91238">
        <w:rPr>
          <w:rFonts w:ascii="Times New Roman" w:eastAsia="Times New Roman" w:hAnsi="Times New Roman" w:cs="Times New Roman"/>
          <w:i/>
          <w:color w:val="000000" w:themeColor="text1"/>
          <w:sz w:val="24"/>
          <w:szCs w:val="24"/>
          <w:lang w:val="en-GB"/>
        </w:rPr>
        <w:t>Annual GDP growth of UK.</w:t>
      </w:r>
      <w:r w:rsidRPr="00C91238">
        <w:rPr>
          <w:rFonts w:ascii="Times New Roman" w:eastAsia="Times New Roman" w:hAnsi="Times New Roman" w:cs="Times New Roman"/>
          <w:color w:val="000000" w:themeColor="text1"/>
          <w:sz w:val="24"/>
          <w:szCs w:val="24"/>
          <w:lang w:val="en-GB"/>
        </w:rPr>
        <w:t xml:space="preserve"> Available at:https://tradingeconomics.com/united-kingdom/gdp-growth-annual [Accessed on: 15 April 2020]</w:t>
      </w:r>
    </w:p>
    <w:p w:rsidR="00DB687E" w:rsidRPr="00C91238" w:rsidRDefault="00DB687E" w:rsidP="005E1F47">
      <w:pPr>
        <w:spacing w:after="240" w:line="360" w:lineRule="auto"/>
        <w:jc w:val="both"/>
        <w:rPr>
          <w:rFonts w:ascii="Times New Roman" w:eastAsia="Times New Roman" w:hAnsi="Times New Roman" w:cs="Times New Roman"/>
          <w:color w:val="000000" w:themeColor="text1"/>
          <w:sz w:val="24"/>
          <w:szCs w:val="24"/>
          <w:highlight w:val="white"/>
          <w:lang w:val="en-GB"/>
        </w:rPr>
      </w:pPr>
      <w:r w:rsidRPr="00C91238">
        <w:rPr>
          <w:rFonts w:ascii="Times New Roman" w:eastAsia="Times New Roman" w:hAnsi="Times New Roman" w:cs="Times New Roman"/>
          <w:color w:val="000000" w:themeColor="text1"/>
          <w:sz w:val="24"/>
          <w:szCs w:val="24"/>
          <w:highlight w:val="white"/>
          <w:lang w:val="en-GB"/>
        </w:rPr>
        <w:t xml:space="preserve">Tsokolis, D., Tsiakmakis, S., Dimaratos, A., Fontaras, G., Pistikopoulos, P., Ciuffo, B. and Samaras, Z., (2016). Fuel consumption and CO2 emissions of passenger cars over the New Worldwide Harmonized Test Protocol. </w:t>
      </w:r>
      <w:r w:rsidRPr="00C91238">
        <w:rPr>
          <w:rFonts w:ascii="Times New Roman" w:eastAsia="Times New Roman" w:hAnsi="Times New Roman" w:cs="Times New Roman"/>
          <w:i/>
          <w:color w:val="000000" w:themeColor="text1"/>
          <w:sz w:val="24"/>
          <w:szCs w:val="24"/>
          <w:highlight w:val="white"/>
          <w:lang w:val="en-GB"/>
        </w:rPr>
        <w:t>Applied energy</w:t>
      </w:r>
      <w:r w:rsidRPr="00C91238">
        <w:rPr>
          <w:rFonts w:ascii="Times New Roman" w:eastAsia="Times New Roman" w:hAnsi="Times New Roman" w:cs="Times New Roman"/>
          <w:color w:val="000000" w:themeColor="text1"/>
          <w:sz w:val="24"/>
          <w:szCs w:val="24"/>
          <w:highlight w:val="white"/>
          <w:lang w:val="en-GB"/>
        </w:rPr>
        <w:t xml:space="preserve">, </w:t>
      </w:r>
      <w:r w:rsidRPr="00C91238">
        <w:rPr>
          <w:rFonts w:ascii="Times New Roman" w:eastAsia="Times New Roman" w:hAnsi="Times New Roman" w:cs="Times New Roman"/>
          <w:i/>
          <w:color w:val="000000" w:themeColor="text1"/>
          <w:sz w:val="24"/>
          <w:szCs w:val="24"/>
          <w:highlight w:val="white"/>
          <w:lang w:val="en-GB"/>
        </w:rPr>
        <w:t>179</w:t>
      </w:r>
      <w:r w:rsidRPr="00C91238">
        <w:rPr>
          <w:rFonts w:ascii="Times New Roman" w:eastAsia="Times New Roman" w:hAnsi="Times New Roman" w:cs="Times New Roman"/>
          <w:color w:val="000000" w:themeColor="text1"/>
          <w:sz w:val="24"/>
          <w:szCs w:val="24"/>
          <w:highlight w:val="white"/>
          <w:lang w:val="en-GB"/>
        </w:rPr>
        <w:t>, pp.1152-1165.</w:t>
      </w:r>
    </w:p>
    <w:p w:rsidR="00DB687E" w:rsidRPr="00C91238" w:rsidRDefault="00DB687E">
      <w:pPr>
        <w:spacing w:line="360" w:lineRule="auto"/>
        <w:jc w:val="both"/>
        <w:rPr>
          <w:rFonts w:ascii="Times New Roman" w:eastAsia="Times New Roman" w:hAnsi="Times New Roman" w:cs="Times New Roman"/>
          <w:color w:val="000000" w:themeColor="text1"/>
          <w:sz w:val="24"/>
          <w:szCs w:val="24"/>
          <w:lang w:val="en-GB"/>
        </w:rPr>
      </w:pPr>
      <w:r w:rsidRPr="00C91238">
        <w:rPr>
          <w:rFonts w:ascii="Times New Roman" w:eastAsia="Times New Roman" w:hAnsi="Times New Roman" w:cs="Times New Roman"/>
          <w:color w:val="000000" w:themeColor="text1"/>
          <w:sz w:val="24"/>
          <w:szCs w:val="24"/>
          <w:lang w:val="en-GB"/>
        </w:rPr>
        <w:t>Vehicle-certification-agency.gov.uk (2018).</w:t>
      </w:r>
      <w:r w:rsidRPr="00C91238">
        <w:rPr>
          <w:rFonts w:ascii="Times New Roman" w:eastAsia="Times New Roman" w:hAnsi="Times New Roman" w:cs="Times New Roman"/>
          <w:i/>
          <w:color w:val="000000" w:themeColor="text1"/>
          <w:sz w:val="24"/>
          <w:szCs w:val="24"/>
          <w:lang w:val="en-GB"/>
        </w:rPr>
        <w:t xml:space="preserve">The Worldwide Harmonised Light Vehicle Test Procedure (WLTP). </w:t>
      </w:r>
      <w:r w:rsidRPr="00C91238">
        <w:rPr>
          <w:rFonts w:ascii="Times New Roman" w:eastAsia="Times New Roman" w:hAnsi="Times New Roman" w:cs="Times New Roman"/>
          <w:color w:val="000000" w:themeColor="text1"/>
          <w:sz w:val="24"/>
          <w:szCs w:val="24"/>
          <w:lang w:val="en-GB"/>
        </w:rPr>
        <w:t>Available at:https://www.vehicle-certification-agency.gov.uk/fcb/wltp.asp [Accessed on: 13 April 2020]</w:t>
      </w:r>
    </w:p>
    <w:p w:rsidR="00287B42" w:rsidRPr="00C91238" w:rsidRDefault="00287B42" w:rsidP="00287B42">
      <w:pPr>
        <w:spacing w:before="240" w:line="360" w:lineRule="auto"/>
        <w:jc w:val="both"/>
        <w:rPr>
          <w:rFonts w:ascii="Times New Roman" w:hAnsi="Times New Roman" w:cs="Times New Roman"/>
          <w:color w:val="000000" w:themeColor="text1"/>
          <w:sz w:val="24"/>
          <w:szCs w:val="24"/>
        </w:rPr>
      </w:pPr>
    </w:p>
    <w:p w:rsidR="00287B42" w:rsidRPr="00C91238" w:rsidRDefault="00287B42" w:rsidP="00287B42">
      <w:pPr>
        <w:spacing w:before="240" w:line="360" w:lineRule="auto"/>
        <w:rPr>
          <w:rFonts w:ascii="Times New Roman" w:hAnsi="Times New Roman" w:cs="Times New Roman"/>
          <w:color w:val="000000" w:themeColor="text1"/>
          <w:sz w:val="24"/>
          <w:szCs w:val="24"/>
        </w:rPr>
      </w:pPr>
    </w:p>
    <w:p w:rsidR="00287B42" w:rsidRPr="00C91238" w:rsidRDefault="00287B42" w:rsidP="00287B42">
      <w:pPr>
        <w:spacing w:before="240" w:line="360" w:lineRule="auto"/>
        <w:jc w:val="both"/>
        <w:rPr>
          <w:rFonts w:ascii="Times New Roman" w:eastAsia="Times New Roman" w:hAnsi="Times New Roman" w:cs="Times New Roman"/>
          <w:color w:val="000000" w:themeColor="text1"/>
          <w:sz w:val="24"/>
          <w:szCs w:val="24"/>
          <w:lang w:val="en-GB"/>
        </w:rPr>
      </w:pPr>
    </w:p>
    <w:sectPr w:rsidR="00287B42" w:rsidRPr="00C91238" w:rsidSect="00070AAB">
      <w:footerReference w:type="default" r:id="rId1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866D3" w:rsidRDefault="00A866D3" w:rsidP="00BB638D">
      <w:pPr>
        <w:spacing w:line="240" w:lineRule="auto"/>
      </w:pPr>
      <w:r>
        <w:separator/>
      </w:r>
    </w:p>
  </w:endnote>
  <w:endnote w:type="continuationSeparator" w:id="1">
    <w:p w:rsidR="00A866D3" w:rsidRDefault="00A866D3" w:rsidP="00BB638D">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07102500"/>
      <w:docPartObj>
        <w:docPartGallery w:val="Page Numbers (Bottom of Page)"/>
        <w:docPartUnique/>
      </w:docPartObj>
    </w:sdtPr>
    <w:sdtEndPr>
      <w:rPr>
        <w:noProof/>
      </w:rPr>
    </w:sdtEndPr>
    <w:sdtContent>
      <w:p w:rsidR="00BB638D" w:rsidRDefault="00B01F2F">
        <w:pPr>
          <w:pStyle w:val="Footer"/>
          <w:jc w:val="right"/>
        </w:pPr>
        <w:r>
          <w:fldChar w:fldCharType="begin"/>
        </w:r>
        <w:r w:rsidR="00BB638D">
          <w:instrText xml:space="preserve"> PAGE   \* MERGEFORMAT </w:instrText>
        </w:r>
        <w:r>
          <w:fldChar w:fldCharType="separate"/>
        </w:r>
        <w:r w:rsidR="00930A8C">
          <w:rPr>
            <w:noProof/>
          </w:rPr>
          <w:t>0</w:t>
        </w:r>
        <w:r>
          <w:rPr>
            <w:noProof/>
          </w:rPr>
          <w:fldChar w:fldCharType="end"/>
        </w:r>
      </w:p>
    </w:sdtContent>
  </w:sdt>
  <w:p w:rsidR="00BB638D" w:rsidRDefault="00BB638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866D3" w:rsidRDefault="00A866D3" w:rsidP="00BB638D">
      <w:pPr>
        <w:spacing w:line="240" w:lineRule="auto"/>
      </w:pPr>
      <w:r>
        <w:separator/>
      </w:r>
    </w:p>
  </w:footnote>
  <w:footnote w:type="continuationSeparator" w:id="1">
    <w:p w:rsidR="00A866D3" w:rsidRDefault="00A866D3" w:rsidP="00BB638D">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4F586A"/>
    <w:multiLevelType w:val="multilevel"/>
    <w:tmpl w:val="5C2A19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DCC6B98"/>
    <w:multiLevelType w:val="multilevel"/>
    <w:tmpl w:val="0636B8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43056B29"/>
    <w:multiLevelType w:val="multilevel"/>
    <w:tmpl w:val="9528BD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492421DD"/>
    <w:multiLevelType w:val="multilevel"/>
    <w:tmpl w:val="B55E67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4BDE3D88"/>
    <w:multiLevelType w:val="multilevel"/>
    <w:tmpl w:val="BB7637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68997397"/>
    <w:multiLevelType w:val="multilevel"/>
    <w:tmpl w:val="8CCCF2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6ABF7901"/>
    <w:multiLevelType w:val="multilevel"/>
    <w:tmpl w:val="BA8654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755A5C4C"/>
    <w:multiLevelType w:val="multilevel"/>
    <w:tmpl w:val="48CE93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5"/>
  </w:num>
  <w:num w:numId="3">
    <w:abstractNumId w:val="4"/>
  </w:num>
  <w:num w:numId="4">
    <w:abstractNumId w:val="1"/>
  </w:num>
  <w:num w:numId="5">
    <w:abstractNumId w:val="2"/>
  </w:num>
  <w:num w:numId="6">
    <w:abstractNumId w:val="6"/>
  </w:num>
  <w:num w:numId="7">
    <w:abstractNumId w:val="7"/>
  </w:num>
  <w:num w:numId="8">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8B519B"/>
    <w:rsid w:val="00070AAB"/>
    <w:rsid w:val="00287B42"/>
    <w:rsid w:val="0031003A"/>
    <w:rsid w:val="0037743A"/>
    <w:rsid w:val="003B4CE2"/>
    <w:rsid w:val="00497FA1"/>
    <w:rsid w:val="005E1F47"/>
    <w:rsid w:val="00616A85"/>
    <w:rsid w:val="00685A1F"/>
    <w:rsid w:val="00702848"/>
    <w:rsid w:val="00703070"/>
    <w:rsid w:val="00887E5A"/>
    <w:rsid w:val="008B519B"/>
    <w:rsid w:val="00930A8C"/>
    <w:rsid w:val="00A866D3"/>
    <w:rsid w:val="00AB01A4"/>
    <w:rsid w:val="00B01F2F"/>
    <w:rsid w:val="00B4121B"/>
    <w:rsid w:val="00BB638D"/>
    <w:rsid w:val="00BE7336"/>
    <w:rsid w:val="00C91238"/>
    <w:rsid w:val="00CA16BE"/>
    <w:rsid w:val="00D46832"/>
    <w:rsid w:val="00D55875"/>
    <w:rsid w:val="00D720C9"/>
    <w:rsid w:val="00DB687E"/>
    <w:rsid w:val="00E3361E"/>
    <w:rsid w:val="00EB248E"/>
    <w:rsid w:val="00ED5730"/>
    <w:rsid w:val="00F023D2"/>
    <w:rsid w:val="00F2260D"/>
    <w:rsid w:val="00FA058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E3361E"/>
  </w:style>
  <w:style w:type="paragraph" w:styleId="Heading1">
    <w:name w:val="heading 1"/>
    <w:basedOn w:val="Normal"/>
    <w:next w:val="Normal"/>
    <w:rsid w:val="00887E5A"/>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rsid w:val="00E3361E"/>
    <w:pPr>
      <w:keepNext/>
      <w:keepLines/>
      <w:spacing w:before="360" w:after="120"/>
      <w:outlineLvl w:val="1"/>
    </w:pPr>
    <w:rPr>
      <w:sz w:val="32"/>
      <w:szCs w:val="32"/>
    </w:rPr>
  </w:style>
  <w:style w:type="paragraph" w:styleId="Heading3">
    <w:name w:val="heading 3"/>
    <w:basedOn w:val="Normal"/>
    <w:next w:val="Normal"/>
    <w:rsid w:val="00E3361E"/>
    <w:pPr>
      <w:keepNext/>
      <w:keepLines/>
      <w:spacing w:before="320" w:after="80"/>
      <w:outlineLvl w:val="2"/>
    </w:pPr>
    <w:rPr>
      <w:color w:val="434343"/>
      <w:sz w:val="28"/>
      <w:szCs w:val="28"/>
    </w:rPr>
  </w:style>
  <w:style w:type="paragraph" w:styleId="Heading4">
    <w:name w:val="heading 4"/>
    <w:basedOn w:val="Normal"/>
    <w:next w:val="Normal"/>
    <w:rsid w:val="00E3361E"/>
    <w:pPr>
      <w:keepNext/>
      <w:keepLines/>
      <w:spacing w:before="280" w:after="80"/>
      <w:outlineLvl w:val="3"/>
    </w:pPr>
    <w:rPr>
      <w:color w:val="666666"/>
      <w:sz w:val="24"/>
      <w:szCs w:val="24"/>
    </w:rPr>
  </w:style>
  <w:style w:type="paragraph" w:styleId="Heading5">
    <w:name w:val="heading 5"/>
    <w:basedOn w:val="Normal"/>
    <w:next w:val="Normal"/>
    <w:rsid w:val="00E3361E"/>
    <w:pPr>
      <w:keepNext/>
      <w:keepLines/>
      <w:spacing w:before="240" w:after="80"/>
      <w:outlineLvl w:val="4"/>
    </w:pPr>
    <w:rPr>
      <w:color w:val="666666"/>
    </w:rPr>
  </w:style>
  <w:style w:type="paragraph" w:styleId="Heading6">
    <w:name w:val="heading 6"/>
    <w:basedOn w:val="Normal"/>
    <w:next w:val="Normal"/>
    <w:rsid w:val="00E3361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E3361E"/>
    <w:pPr>
      <w:keepNext/>
      <w:keepLines/>
      <w:spacing w:after="60"/>
    </w:pPr>
    <w:rPr>
      <w:sz w:val="52"/>
      <w:szCs w:val="52"/>
    </w:rPr>
  </w:style>
  <w:style w:type="paragraph" w:styleId="Subtitle">
    <w:name w:val="Subtitle"/>
    <w:basedOn w:val="Normal"/>
    <w:next w:val="Normal"/>
    <w:rsid w:val="00E3361E"/>
    <w:pPr>
      <w:keepNext/>
      <w:keepLines/>
      <w:spacing w:after="320"/>
    </w:pPr>
    <w:rPr>
      <w:color w:val="666666"/>
      <w:sz w:val="30"/>
      <w:szCs w:val="30"/>
    </w:rPr>
  </w:style>
  <w:style w:type="table" w:customStyle="1" w:styleId="a">
    <w:basedOn w:val="TableNormal"/>
    <w:rsid w:val="00E3361E"/>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unhideWhenUsed/>
    <w:rsid w:val="00BB638D"/>
    <w:pPr>
      <w:tabs>
        <w:tab w:val="center" w:pos="4513"/>
        <w:tab w:val="right" w:pos="9026"/>
      </w:tabs>
      <w:spacing w:line="240" w:lineRule="auto"/>
    </w:pPr>
  </w:style>
  <w:style w:type="character" w:customStyle="1" w:styleId="HeaderChar">
    <w:name w:val="Header Char"/>
    <w:basedOn w:val="DefaultParagraphFont"/>
    <w:link w:val="Header"/>
    <w:uiPriority w:val="99"/>
    <w:rsid w:val="00BB638D"/>
  </w:style>
  <w:style w:type="paragraph" w:styleId="Footer">
    <w:name w:val="footer"/>
    <w:basedOn w:val="Normal"/>
    <w:link w:val="FooterChar"/>
    <w:uiPriority w:val="99"/>
    <w:unhideWhenUsed/>
    <w:rsid w:val="00BB638D"/>
    <w:pPr>
      <w:tabs>
        <w:tab w:val="center" w:pos="4513"/>
        <w:tab w:val="right" w:pos="9026"/>
      </w:tabs>
      <w:spacing w:line="240" w:lineRule="auto"/>
    </w:pPr>
  </w:style>
  <w:style w:type="character" w:customStyle="1" w:styleId="FooterChar">
    <w:name w:val="Footer Char"/>
    <w:basedOn w:val="DefaultParagraphFont"/>
    <w:link w:val="Footer"/>
    <w:uiPriority w:val="99"/>
    <w:rsid w:val="00BB638D"/>
  </w:style>
  <w:style w:type="character" w:styleId="Hyperlink">
    <w:name w:val="Hyperlink"/>
    <w:basedOn w:val="DefaultParagraphFont"/>
    <w:uiPriority w:val="99"/>
    <w:unhideWhenUsed/>
    <w:rsid w:val="00702848"/>
    <w:rPr>
      <w:color w:val="0000FF" w:themeColor="hyperlink"/>
      <w:u w:val="single"/>
    </w:rPr>
  </w:style>
  <w:style w:type="paragraph" w:styleId="TableofFigures">
    <w:name w:val="table of figures"/>
    <w:basedOn w:val="Normal"/>
    <w:next w:val="Normal"/>
    <w:uiPriority w:val="99"/>
    <w:unhideWhenUsed/>
    <w:rsid w:val="00702848"/>
    <w:pPr>
      <w:spacing w:line="360" w:lineRule="auto"/>
      <w:jc w:val="both"/>
    </w:pPr>
    <w:rPr>
      <w:rFonts w:ascii="Times New Roman" w:hAnsi="Times New Roman"/>
      <w:color w:val="000000" w:themeColor="text1"/>
      <w:sz w:val="24"/>
    </w:rPr>
  </w:style>
  <w:style w:type="paragraph" w:styleId="BalloonText">
    <w:name w:val="Balloon Text"/>
    <w:basedOn w:val="Normal"/>
    <w:link w:val="BalloonTextChar"/>
    <w:uiPriority w:val="99"/>
    <w:semiHidden/>
    <w:unhideWhenUsed/>
    <w:rsid w:val="00287B4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7B42"/>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urope.autonews.com/automakers/europes-auto-industry-sees-unprecedented-crisis-following-production-losse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nbc.com/2019/07/30/steel-sector-to-suffer-losses-rising-carbon-prices-climate-regulation.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768BFA-3C78-C14D-AB57-AFC148AC03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2786</Words>
  <Characters>15885</Characters>
  <Application>Microsoft Office Word</Application>
  <DocSecurity>0</DocSecurity>
  <Lines>132</Lines>
  <Paragraphs>37</Paragraphs>
  <ScaleCrop>false</ScaleCrop>
  <Company/>
  <LinksUpToDate>false</LinksUpToDate>
  <CharactersWithSpaces>18634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20040498</dc:creator>
  <cp:lastModifiedBy>ADMIN</cp:lastModifiedBy>
  <cp:revision>2</cp:revision>
  <dcterms:created xsi:type="dcterms:W3CDTF">2020-05-10T12:53:00Z</dcterms:created>
  <dcterms:modified xsi:type="dcterms:W3CDTF">2020-05-10T12:53:00Z</dcterms:modified>
</cp:coreProperties>
</file>