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2B866" w14:textId="61FB50D0" w:rsidR="00EF2F7B" w:rsidRPr="00C77B22" w:rsidRDefault="00C77DA6" w:rsidP="00C77B22">
      <w:pPr>
        <w:jc w:val="center"/>
        <w:rPr>
          <w:rFonts w:ascii="Arial" w:hAnsi="Arial" w:cs="Arial"/>
          <w:sz w:val="40"/>
          <w:szCs w:val="40"/>
          <w:lang w:val="en-GB"/>
        </w:rPr>
      </w:pPr>
      <w:r w:rsidRPr="00C77B22">
        <w:rPr>
          <w:rFonts w:ascii="Arial" w:hAnsi="Arial" w:cs="Arial"/>
          <w:sz w:val="40"/>
          <w:szCs w:val="40"/>
          <w:lang w:val="en-GB"/>
        </w:rPr>
        <w:t xml:space="preserve">Assingment 1 </w:t>
      </w:r>
      <w:r w:rsidR="00E028A6" w:rsidRPr="00C77B22">
        <w:rPr>
          <w:rFonts w:ascii="Arial" w:hAnsi="Arial" w:cs="Arial"/>
          <w:sz w:val="40"/>
          <w:szCs w:val="40"/>
        </w:rPr>
        <w:t>International Financial Management</w:t>
      </w:r>
    </w:p>
    <w:p w14:paraId="438DABE4" w14:textId="77777777" w:rsidR="00C77B22" w:rsidRDefault="00C77B22" w:rsidP="00C77B22">
      <w:pPr>
        <w:jc w:val="center"/>
        <w:rPr>
          <w:rFonts w:ascii="Arial" w:hAnsi="Arial" w:cs="Arial"/>
          <w:sz w:val="40"/>
          <w:szCs w:val="40"/>
          <w:lang w:val="en-GB"/>
        </w:rPr>
      </w:pPr>
    </w:p>
    <w:p w14:paraId="743D5EFA" w14:textId="52D4AA14" w:rsidR="00687BCE" w:rsidRPr="00C77B22" w:rsidRDefault="00E028A6" w:rsidP="00C77B22">
      <w:pPr>
        <w:jc w:val="center"/>
        <w:rPr>
          <w:rFonts w:ascii="Arial" w:hAnsi="Arial" w:cs="Arial"/>
          <w:sz w:val="40"/>
          <w:szCs w:val="40"/>
          <w:lang w:val="en-GB"/>
        </w:rPr>
      </w:pPr>
      <w:r w:rsidRPr="00C77B22">
        <w:rPr>
          <w:rFonts w:ascii="Arial" w:hAnsi="Arial" w:cs="Arial"/>
          <w:sz w:val="40"/>
          <w:szCs w:val="40"/>
          <w:lang w:val="en-GB"/>
        </w:rPr>
        <w:t>Title:</w:t>
      </w:r>
      <w:r w:rsidR="00687BCE" w:rsidRPr="00C77B22">
        <w:rPr>
          <w:rFonts w:ascii="Arial" w:hAnsi="Arial" w:cs="Arial"/>
          <w:sz w:val="40"/>
          <w:szCs w:val="40"/>
        </w:rPr>
        <w:t xml:space="preserve"> Written Report</w:t>
      </w:r>
    </w:p>
    <w:p w14:paraId="37F2DCBF" w14:textId="009437F8" w:rsidR="00E028A6" w:rsidRPr="00C77B22" w:rsidRDefault="00C77B22" w:rsidP="00C77B22">
      <w:pPr>
        <w:jc w:val="center"/>
        <w:rPr>
          <w:rFonts w:ascii="Arial" w:hAnsi="Arial" w:cs="Arial"/>
          <w:sz w:val="40"/>
          <w:szCs w:val="40"/>
          <w:lang w:val="en-GB"/>
        </w:rPr>
      </w:pPr>
      <w:r w:rsidRPr="00C77B22">
        <w:rPr>
          <w:rFonts w:ascii="Arial" w:hAnsi="Arial" w:cs="Arial"/>
          <w:sz w:val="40"/>
          <w:szCs w:val="40"/>
          <w:lang w:val="en-GB"/>
        </w:rPr>
        <w:t xml:space="preserve">Module code: </w:t>
      </w:r>
      <w:r w:rsidRPr="00C77B22">
        <w:rPr>
          <w:rFonts w:ascii="Arial" w:hAnsi="Arial" w:cs="Arial"/>
          <w:sz w:val="40"/>
          <w:szCs w:val="40"/>
        </w:rPr>
        <w:t>LCBB6002</w:t>
      </w:r>
    </w:p>
    <w:p w14:paraId="47A30063" w14:textId="77777777" w:rsidR="002104D0" w:rsidRDefault="002104D0">
      <w:pPr>
        <w:rPr>
          <w:lang w:val="en-GB"/>
        </w:rPr>
      </w:pPr>
    </w:p>
    <w:p w14:paraId="276E5528" w14:textId="2EFA3D90" w:rsidR="002104D0" w:rsidRDefault="006908CF">
      <w:pPr>
        <w:rPr>
          <w:lang w:val="en-GB"/>
        </w:rPr>
      </w:pPr>
      <w:r>
        <w:rPr>
          <w:noProof/>
          <w:lang w:val="en-GB"/>
        </w:rPr>
        <w:drawing>
          <wp:inline distT="0" distB="0" distL="0" distR="0" wp14:anchorId="511887F1" wp14:editId="7BD29F6D">
            <wp:extent cx="2765322" cy="2765322"/>
            <wp:effectExtent l="0" t="0" r="0" b="0"/>
            <wp:docPr id="58331745" name="Picture 1" descr="A blue background with a black and yellow shield with yellow flowers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31745" name="Picture 1" descr="A blue background with a black and yellow shield with yellow flowers and leave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71609" cy="2771609"/>
                    </a:xfrm>
                    <a:prstGeom prst="rect">
                      <a:avLst/>
                    </a:prstGeom>
                  </pic:spPr>
                </pic:pic>
              </a:graphicData>
            </a:graphic>
          </wp:inline>
        </w:drawing>
      </w:r>
    </w:p>
    <w:p w14:paraId="0D046122" w14:textId="77777777" w:rsidR="002104D0" w:rsidRDefault="002104D0">
      <w:pPr>
        <w:rPr>
          <w:lang w:val="en-GB"/>
        </w:rPr>
      </w:pPr>
    </w:p>
    <w:p w14:paraId="6A5F0154" w14:textId="77777777" w:rsidR="002104D0" w:rsidRPr="002B1851" w:rsidRDefault="002104D0">
      <w:pPr>
        <w:rPr>
          <w:rFonts w:ascii="Arial" w:hAnsi="Arial" w:cs="Arial"/>
          <w:sz w:val="32"/>
          <w:szCs w:val="32"/>
          <w:lang w:val="en-GB"/>
        </w:rPr>
      </w:pPr>
    </w:p>
    <w:p w14:paraId="55082459" w14:textId="77777777" w:rsidR="00551B1E" w:rsidRDefault="00551B1E">
      <w:pPr>
        <w:rPr>
          <w:rFonts w:ascii="Arial" w:hAnsi="Arial" w:cs="Arial"/>
          <w:sz w:val="32"/>
          <w:szCs w:val="32"/>
          <w:lang w:val="en-GB"/>
        </w:rPr>
      </w:pPr>
    </w:p>
    <w:p w14:paraId="792D97F6" w14:textId="77777777" w:rsidR="00551B1E" w:rsidRDefault="00551B1E">
      <w:pPr>
        <w:rPr>
          <w:rFonts w:ascii="Arial" w:hAnsi="Arial" w:cs="Arial"/>
          <w:sz w:val="32"/>
          <w:szCs w:val="32"/>
          <w:lang w:val="en-GB"/>
        </w:rPr>
      </w:pPr>
    </w:p>
    <w:p w14:paraId="2E7021C4" w14:textId="5705C78A" w:rsidR="001D29CC" w:rsidRPr="002B1851" w:rsidRDefault="002104D0">
      <w:pPr>
        <w:rPr>
          <w:rFonts w:ascii="Arial" w:hAnsi="Arial" w:cs="Arial"/>
          <w:color w:val="1D2125"/>
          <w:sz w:val="32"/>
          <w:szCs w:val="32"/>
          <w:shd w:val="clear" w:color="auto" w:fill="F8F9FA"/>
          <w:lang w:val="en-GB"/>
        </w:rPr>
      </w:pPr>
      <w:r w:rsidRPr="002B1851">
        <w:rPr>
          <w:rFonts w:ascii="Arial" w:hAnsi="Arial" w:cs="Arial"/>
          <w:sz w:val="32"/>
          <w:szCs w:val="32"/>
          <w:lang w:val="en-GB"/>
        </w:rPr>
        <w:t>Lecturers Name:</w:t>
      </w:r>
      <w:r w:rsidR="001D29CC" w:rsidRPr="002B1851">
        <w:rPr>
          <w:rFonts w:ascii="Arial" w:hAnsi="Arial" w:cs="Arial"/>
          <w:sz w:val="32"/>
          <w:szCs w:val="32"/>
          <w:lang w:val="en-GB"/>
        </w:rPr>
        <w:t xml:space="preserve"> </w:t>
      </w:r>
      <w:r w:rsidR="00965696">
        <w:rPr>
          <w:rFonts w:ascii="Arial" w:hAnsi="Arial" w:cs="Arial"/>
          <w:color w:val="1D2125"/>
          <w:sz w:val="32"/>
          <w:szCs w:val="32"/>
          <w:shd w:val="clear" w:color="auto" w:fill="F8F9FA"/>
          <w:lang w:val="en-GB"/>
        </w:rPr>
        <w:t>Dr Andry Rakotovololo</w:t>
      </w:r>
      <w:r w:rsidR="00551B1E">
        <w:rPr>
          <w:rFonts w:ascii="Arial" w:hAnsi="Arial" w:cs="Arial"/>
          <w:color w:val="1D2125"/>
          <w:sz w:val="32"/>
          <w:szCs w:val="32"/>
          <w:shd w:val="clear" w:color="auto" w:fill="F8F9FA"/>
          <w:lang w:val="en-GB"/>
        </w:rPr>
        <w:t>na</w:t>
      </w:r>
    </w:p>
    <w:p w14:paraId="762513AD" w14:textId="77777777" w:rsidR="002104D0" w:rsidRPr="002B1851" w:rsidRDefault="002104D0">
      <w:pPr>
        <w:rPr>
          <w:rFonts w:ascii="Arial" w:hAnsi="Arial" w:cs="Arial"/>
          <w:sz w:val="32"/>
          <w:szCs w:val="32"/>
          <w:lang w:val="en-GB"/>
        </w:rPr>
      </w:pPr>
      <w:r w:rsidRPr="002B1851">
        <w:rPr>
          <w:rFonts w:ascii="Arial" w:hAnsi="Arial" w:cs="Arial"/>
          <w:sz w:val="32"/>
          <w:szCs w:val="32"/>
          <w:lang w:val="en-GB"/>
        </w:rPr>
        <w:t>Student Name: Tsvetelin Brankov</w:t>
      </w:r>
    </w:p>
    <w:p w14:paraId="68B5D607" w14:textId="03353851" w:rsidR="00EF2F7B" w:rsidRPr="00C77DA6" w:rsidRDefault="002104D0">
      <w:pPr>
        <w:rPr>
          <w:rFonts w:asciiTheme="majorHAnsi" w:eastAsiaTheme="majorEastAsia" w:hAnsiTheme="majorHAnsi" w:cstheme="majorBidi"/>
          <w:color w:val="2F5496" w:themeColor="accent1" w:themeShade="BF"/>
          <w:sz w:val="40"/>
          <w:szCs w:val="40"/>
          <w:lang w:val="en-GB"/>
        </w:rPr>
      </w:pPr>
      <w:r w:rsidRPr="002B1851">
        <w:rPr>
          <w:rFonts w:ascii="Arial" w:hAnsi="Arial" w:cs="Arial"/>
          <w:sz w:val="32"/>
          <w:szCs w:val="32"/>
          <w:lang w:val="en-GB"/>
        </w:rPr>
        <w:t>Student ID: 2024471</w:t>
      </w:r>
      <w:r w:rsidR="00EF2F7B">
        <w:br w:type="page"/>
      </w:r>
    </w:p>
    <w:sdt>
      <w:sdtPr>
        <w:rPr>
          <w:rFonts w:asciiTheme="minorHAnsi" w:eastAsiaTheme="minorHAnsi" w:hAnsiTheme="minorHAnsi" w:cstheme="minorBidi"/>
          <w:color w:val="auto"/>
          <w:sz w:val="22"/>
          <w:szCs w:val="22"/>
          <w:lang w:val="bg-BG"/>
        </w:rPr>
        <w:id w:val="-1462192024"/>
        <w:docPartObj>
          <w:docPartGallery w:val="Table of Contents"/>
          <w:docPartUnique/>
        </w:docPartObj>
      </w:sdtPr>
      <w:sdtEndPr>
        <w:rPr>
          <w:b/>
          <w:bCs/>
          <w:noProof/>
        </w:rPr>
      </w:sdtEndPr>
      <w:sdtContent>
        <w:p w14:paraId="1698BC8E" w14:textId="0D2B6272" w:rsidR="00A75445" w:rsidRDefault="00A75445">
          <w:pPr>
            <w:pStyle w:val="TOCHeading"/>
          </w:pPr>
          <w:r>
            <w:t>Contents</w:t>
          </w:r>
        </w:p>
        <w:p w14:paraId="011816A1" w14:textId="26E47974" w:rsidR="00E7715E" w:rsidRDefault="00A75445">
          <w:pPr>
            <w:pStyle w:val="TOC1"/>
            <w:tabs>
              <w:tab w:val="right" w:leader="dot" w:pos="9062"/>
            </w:tabs>
            <w:rPr>
              <w:rFonts w:eastAsiaTheme="minorEastAsia"/>
              <w:noProof/>
              <w:kern w:val="2"/>
              <w:sz w:val="24"/>
              <w:szCs w:val="24"/>
              <w:lang w:eastAsia="bg-BG"/>
              <w14:ligatures w14:val="standardContextual"/>
            </w:rPr>
          </w:pPr>
          <w:r>
            <w:fldChar w:fldCharType="begin"/>
          </w:r>
          <w:r>
            <w:instrText xml:space="preserve"> TOC \o "1-3" \h \z \u </w:instrText>
          </w:r>
          <w:r>
            <w:fldChar w:fldCharType="separate"/>
          </w:r>
          <w:hyperlink w:anchor="_Toc163516460" w:history="1">
            <w:r w:rsidR="00E7715E" w:rsidRPr="00093719">
              <w:rPr>
                <w:rStyle w:val="Hyperlink"/>
                <w:noProof/>
              </w:rPr>
              <w:t>Introduction</w:t>
            </w:r>
            <w:r w:rsidR="00E7715E">
              <w:rPr>
                <w:noProof/>
                <w:webHidden/>
              </w:rPr>
              <w:tab/>
            </w:r>
            <w:r w:rsidR="00E7715E">
              <w:rPr>
                <w:noProof/>
                <w:webHidden/>
              </w:rPr>
              <w:fldChar w:fldCharType="begin"/>
            </w:r>
            <w:r w:rsidR="00E7715E">
              <w:rPr>
                <w:noProof/>
                <w:webHidden/>
              </w:rPr>
              <w:instrText xml:space="preserve"> PAGEREF _Toc163516460 \h </w:instrText>
            </w:r>
            <w:r w:rsidR="00E7715E">
              <w:rPr>
                <w:noProof/>
                <w:webHidden/>
              </w:rPr>
            </w:r>
            <w:r w:rsidR="00E7715E">
              <w:rPr>
                <w:noProof/>
                <w:webHidden/>
              </w:rPr>
              <w:fldChar w:fldCharType="separate"/>
            </w:r>
            <w:r w:rsidR="00E7715E">
              <w:rPr>
                <w:noProof/>
                <w:webHidden/>
              </w:rPr>
              <w:t>3</w:t>
            </w:r>
            <w:r w:rsidR="00E7715E">
              <w:rPr>
                <w:noProof/>
                <w:webHidden/>
              </w:rPr>
              <w:fldChar w:fldCharType="end"/>
            </w:r>
          </w:hyperlink>
        </w:p>
        <w:p w14:paraId="1428CED2" w14:textId="5D22C67E" w:rsidR="00E7715E" w:rsidRDefault="00000000">
          <w:pPr>
            <w:pStyle w:val="TOC1"/>
            <w:tabs>
              <w:tab w:val="right" w:leader="dot" w:pos="9062"/>
            </w:tabs>
            <w:rPr>
              <w:rFonts w:eastAsiaTheme="minorEastAsia"/>
              <w:noProof/>
              <w:kern w:val="2"/>
              <w:sz w:val="24"/>
              <w:szCs w:val="24"/>
              <w:lang w:eastAsia="bg-BG"/>
              <w14:ligatures w14:val="standardContextual"/>
            </w:rPr>
          </w:pPr>
          <w:hyperlink w:anchor="_Toc163516461" w:history="1">
            <w:r w:rsidR="00E7715E" w:rsidRPr="00093719">
              <w:rPr>
                <w:rStyle w:val="Hyperlink"/>
                <w:noProof/>
                <w:lang w:val="en-GB"/>
              </w:rPr>
              <w:t>Understanding FX</w:t>
            </w:r>
            <w:r w:rsidR="00E7715E">
              <w:rPr>
                <w:noProof/>
                <w:webHidden/>
              </w:rPr>
              <w:tab/>
            </w:r>
            <w:r w:rsidR="00E7715E">
              <w:rPr>
                <w:noProof/>
                <w:webHidden/>
              </w:rPr>
              <w:fldChar w:fldCharType="begin"/>
            </w:r>
            <w:r w:rsidR="00E7715E">
              <w:rPr>
                <w:noProof/>
                <w:webHidden/>
              </w:rPr>
              <w:instrText xml:space="preserve"> PAGEREF _Toc163516461 \h </w:instrText>
            </w:r>
            <w:r w:rsidR="00E7715E">
              <w:rPr>
                <w:noProof/>
                <w:webHidden/>
              </w:rPr>
            </w:r>
            <w:r w:rsidR="00E7715E">
              <w:rPr>
                <w:noProof/>
                <w:webHidden/>
              </w:rPr>
              <w:fldChar w:fldCharType="separate"/>
            </w:r>
            <w:r w:rsidR="00E7715E">
              <w:rPr>
                <w:noProof/>
                <w:webHidden/>
              </w:rPr>
              <w:t>3</w:t>
            </w:r>
            <w:r w:rsidR="00E7715E">
              <w:rPr>
                <w:noProof/>
                <w:webHidden/>
              </w:rPr>
              <w:fldChar w:fldCharType="end"/>
            </w:r>
          </w:hyperlink>
        </w:p>
        <w:p w14:paraId="7C9307D5" w14:textId="740F98D4" w:rsidR="00E7715E" w:rsidRDefault="00000000">
          <w:pPr>
            <w:pStyle w:val="TOC2"/>
            <w:tabs>
              <w:tab w:val="right" w:leader="dot" w:pos="9062"/>
            </w:tabs>
            <w:rPr>
              <w:rFonts w:eastAsiaTheme="minorEastAsia"/>
              <w:noProof/>
              <w:kern w:val="2"/>
              <w:sz w:val="24"/>
              <w:szCs w:val="24"/>
              <w:lang w:eastAsia="bg-BG"/>
              <w14:ligatures w14:val="standardContextual"/>
            </w:rPr>
          </w:pPr>
          <w:hyperlink w:anchor="_Toc163516462" w:history="1">
            <w:r w:rsidR="00E7715E" w:rsidRPr="00093719">
              <w:rPr>
                <w:rStyle w:val="Hyperlink"/>
                <w:rFonts w:eastAsia="Times New Roman"/>
                <w:noProof/>
                <w:lang w:val="en-GB" w:eastAsia="bg-BG"/>
              </w:rPr>
              <w:t>Hedging and Hedge Funds</w:t>
            </w:r>
            <w:r w:rsidR="00E7715E">
              <w:rPr>
                <w:noProof/>
                <w:webHidden/>
              </w:rPr>
              <w:tab/>
            </w:r>
            <w:r w:rsidR="00E7715E">
              <w:rPr>
                <w:noProof/>
                <w:webHidden/>
              </w:rPr>
              <w:fldChar w:fldCharType="begin"/>
            </w:r>
            <w:r w:rsidR="00E7715E">
              <w:rPr>
                <w:noProof/>
                <w:webHidden/>
              </w:rPr>
              <w:instrText xml:space="preserve"> PAGEREF _Toc163516462 \h </w:instrText>
            </w:r>
            <w:r w:rsidR="00E7715E">
              <w:rPr>
                <w:noProof/>
                <w:webHidden/>
              </w:rPr>
            </w:r>
            <w:r w:rsidR="00E7715E">
              <w:rPr>
                <w:noProof/>
                <w:webHidden/>
              </w:rPr>
              <w:fldChar w:fldCharType="separate"/>
            </w:r>
            <w:r w:rsidR="00E7715E">
              <w:rPr>
                <w:noProof/>
                <w:webHidden/>
              </w:rPr>
              <w:t>3</w:t>
            </w:r>
            <w:r w:rsidR="00E7715E">
              <w:rPr>
                <w:noProof/>
                <w:webHidden/>
              </w:rPr>
              <w:fldChar w:fldCharType="end"/>
            </w:r>
          </w:hyperlink>
        </w:p>
        <w:p w14:paraId="2FA06EE7" w14:textId="454A6A3B" w:rsidR="00E7715E" w:rsidRDefault="00000000">
          <w:pPr>
            <w:pStyle w:val="TOC2"/>
            <w:tabs>
              <w:tab w:val="right" w:leader="dot" w:pos="9062"/>
            </w:tabs>
            <w:rPr>
              <w:rFonts w:eastAsiaTheme="minorEastAsia"/>
              <w:noProof/>
              <w:kern w:val="2"/>
              <w:sz w:val="24"/>
              <w:szCs w:val="24"/>
              <w:lang w:eastAsia="bg-BG"/>
              <w14:ligatures w14:val="standardContextual"/>
            </w:rPr>
          </w:pPr>
          <w:hyperlink w:anchor="_Toc163516463" w:history="1">
            <w:r w:rsidR="00E7715E" w:rsidRPr="00093719">
              <w:rPr>
                <w:rStyle w:val="Hyperlink"/>
                <w:noProof/>
                <w:lang w:val="en-GB" w:eastAsia="bg-BG"/>
              </w:rPr>
              <w:t>Forward Contracts</w:t>
            </w:r>
            <w:r w:rsidR="00E7715E">
              <w:rPr>
                <w:noProof/>
                <w:webHidden/>
              </w:rPr>
              <w:tab/>
            </w:r>
            <w:r w:rsidR="00E7715E">
              <w:rPr>
                <w:noProof/>
                <w:webHidden/>
              </w:rPr>
              <w:fldChar w:fldCharType="begin"/>
            </w:r>
            <w:r w:rsidR="00E7715E">
              <w:rPr>
                <w:noProof/>
                <w:webHidden/>
              </w:rPr>
              <w:instrText xml:space="preserve"> PAGEREF _Toc163516463 \h </w:instrText>
            </w:r>
            <w:r w:rsidR="00E7715E">
              <w:rPr>
                <w:noProof/>
                <w:webHidden/>
              </w:rPr>
            </w:r>
            <w:r w:rsidR="00E7715E">
              <w:rPr>
                <w:noProof/>
                <w:webHidden/>
              </w:rPr>
              <w:fldChar w:fldCharType="separate"/>
            </w:r>
            <w:r w:rsidR="00E7715E">
              <w:rPr>
                <w:noProof/>
                <w:webHidden/>
              </w:rPr>
              <w:t>4</w:t>
            </w:r>
            <w:r w:rsidR="00E7715E">
              <w:rPr>
                <w:noProof/>
                <w:webHidden/>
              </w:rPr>
              <w:fldChar w:fldCharType="end"/>
            </w:r>
          </w:hyperlink>
        </w:p>
        <w:p w14:paraId="38CB612B" w14:textId="45C6ADBD" w:rsidR="00E7715E" w:rsidRDefault="00000000">
          <w:pPr>
            <w:pStyle w:val="TOC2"/>
            <w:tabs>
              <w:tab w:val="right" w:leader="dot" w:pos="9062"/>
            </w:tabs>
            <w:rPr>
              <w:rFonts w:eastAsiaTheme="minorEastAsia"/>
              <w:noProof/>
              <w:kern w:val="2"/>
              <w:sz w:val="24"/>
              <w:szCs w:val="24"/>
              <w:lang w:eastAsia="bg-BG"/>
              <w14:ligatures w14:val="standardContextual"/>
            </w:rPr>
          </w:pPr>
          <w:hyperlink w:anchor="_Toc163516464" w:history="1">
            <w:r w:rsidR="00E7715E" w:rsidRPr="00093719">
              <w:rPr>
                <w:rStyle w:val="Hyperlink"/>
                <w:noProof/>
                <w:lang w:val="en-GB" w:eastAsia="bg-BG"/>
              </w:rPr>
              <w:t>Transaction Rates</w:t>
            </w:r>
            <w:r w:rsidR="00E7715E">
              <w:rPr>
                <w:noProof/>
                <w:webHidden/>
              </w:rPr>
              <w:tab/>
            </w:r>
            <w:r w:rsidR="00E7715E">
              <w:rPr>
                <w:noProof/>
                <w:webHidden/>
              </w:rPr>
              <w:fldChar w:fldCharType="begin"/>
            </w:r>
            <w:r w:rsidR="00E7715E">
              <w:rPr>
                <w:noProof/>
                <w:webHidden/>
              </w:rPr>
              <w:instrText xml:space="preserve"> PAGEREF _Toc163516464 \h </w:instrText>
            </w:r>
            <w:r w:rsidR="00E7715E">
              <w:rPr>
                <w:noProof/>
                <w:webHidden/>
              </w:rPr>
            </w:r>
            <w:r w:rsidR="00E7715E">
              <w:rPr>
                <w:noProof/>
                <w:webHidden/>
              </w:rPr>
              <w:fldChar w:fldCharType="separate"/>
            </w:r>
            <w:r w:rsidR="00E7715E">
              <w:rPr>
                <w:noProof/>
                <w:webHidden/>
              </w:rPr>
              <w:t>5</w:t>
            </w:r>
            <w:r w:rsidR="00E7715E">
              <w:rPr>
                <w:noProof/>
                <w:webHidden/>
              </w:rPr>
              <w:fldChar w:fldCharType="end"/>
            </w:r>
          </w:hyperlink>
        </w:p>
        <w:p w14:paraId="6D5B92DF" w14:textId="0F75FDED" w:rsidR="00E7715E" w:rsidRDefault="00000000">
          <w:pPr>
            <w:pStyle w:val="TOC1"/>
            <w:tabs>
              <w:tab w:val="right" w:leader="dot" w:pos="9062"/>
            </w:tabs>
            <w:rPr>
              <w:rFonts w:eastAsiaTheme="minorEastAsia"/>
              <w:noProof/>
              <w:kern w:val="2"/>
              <w:sz w:val="24"/>
              <w:szCs w:val="24"/>
              <w:lang w:eastAsia="bg-BG"/>
              <w14:ligatures w14:val="standardContextual"/>
            </w:rPr>
          </w:pPr>
          <w:hyperlink w:anchor="_Toc163516465" w:history="1">
            <w:r w:rsidR="00E7715E" w:rsidRPr="00093719">
              <w:rPr>
                <w:rStyle w:val="Hyperlink"/>
                <w:noProof/>
                <w:lang w:val="en-GB"/>
              </w:rPr>
              <w:t>Objectives of managing foreign exchange risk</w:t>
            </w:r>
            <w:r w:rsidR="00E7715E">
              <w:rPr>
                <w:noProof/>
                <w:webHidden/>
              </w:rPr>
              <w:tab/>
            </w:r>
            <w:r w:rsidR="00E7715E">
              <w:rPr>
                <w:noProof/>
                <w:webHidden/>
              </w:rPr>
              <w:fldChar w:fldCharType="begin"/>
            </w:r>
            <w:r w:rsidR="00E7715E">
              <w:rPr>
                <w:noProof/>
                <w:webHidden/>
              </w:rPr>
              <w:instrText xml:space="preserve"> PAGEREF _Toc163516465 \h </w:instrText>
            </w:r>
            <w:r w:rsidR="00E7715E">
              <w:rPr>
                <w:noProof/>
                <w:webHidden/>
              </w:rPr>
            </w:r>
            <w:r w:rsidR="00E7715E">
              <w:rPr>
                <w:noProof/>
                <w:webHidden/>
              </w:rPr>
              <w:fldChar w:fldCharType="separate"/>
            </w:r>
            <w:r w:rsidR="00E7715E">
              <w:rPr>
                <w:noProof/>
                <w:webHidden/>
              </w:rPr>
              <w:t>5</w:t>
            </w:r>
            <w:r w:rsidR="00E7715E">
              <w:rPr>
                <w:noProof/>
                <w:webHidden/>
              </w:rPr>
              <w:fldChar w:fldCharType="end"/>
            </w:r>
          </w:hyperlink>
        </w:p>
        <w:p w14:paraId="6D1E768F" w14:textId="3A587782" w:rsidR="00E7715E" w:rsidRDefault="00000000">
          <w:pPr>
            <w:pStyle w:val="TOC3"/>
            <w:tabs>
              <w:tab w:val="right" w:leader="dot" w:pos="9062"/>
            </w:tabs>
            <w:rPr>
              <w:rFonts w:eastAsiaTheme="minorEastAsia"/>
              <w:noProof/>
              <w:kern w:val="2"/>
              <w:sz w:val="24"/>
              <w:szCs w:val="24"/>
              <w:lang w:eastAsia="bg-BG"/>
              <w14:ligatures w14:val="standardContextual"/>
            </w:rPr>
          </w:pPr>
          <w:hyperlink w:anchor="_Toc163516466" w:history="1">
            <w:r w:rsidR="00E7715E" w:rsidRPr="00093719">
              <w:rPr>
                <w:rStyle w:val="Hyperlink"/>
                <w:noProof/>
                <w:lang w:eastAsia="bg-BG"/>
              </w:rPr>
              <w:t>Transaction Risk</w:t>
            </w:r>
            <w:r w:rsidR="00E7715E" w:rsidRPr="00093719">
              <w:rPr>
                <w:rStyle w:val="Hyperlink"/>
                <w:rFonts w:ascii="Arial" w:hAnsi="Arial" w:cs="Arial"/>
                <w:noProof/>
                <w:lang w:eastAsia="bg-BG"/>
              </w:rPr>
              <w:t>:</w:t>
            </w:r>
            <w:r w:rsidR="00E7715E">
              <w:rPr>
                <w:noProof/>
                <w:webHidden/>
              </w:rPr>
              <w:tab/>
            </w:r>
            <w:r w:rsidR="00E7715E">
              <w:rPr>
                <w:noProof/>
                <w:webHidden/>
              </w:rPr>
              <w:fldChar w:fldCharType="begin"/>
            </w:r>
            <w:r w:rsidR="00E7715E">
              <w:rPr>
                <w:noProof/>
                <w:webHidden/>
              </w:rPr>
              <w:instrText xml:space="preserve"> PAGEREF _Toc163516466 \h </w:instrText>
            </w:r>
            <w:r w:rsidR="00E7715E">
              <w:rPr>
                <w:noProof/>
                <w:webHidden/>
              </w:rPr>
            </w:r>
            <w:r w:rsidR="00E7715E">
              <w:rPr>
                <w:noProof/>
                <w:webHidden/>
              </w:rPr>
              <w:fldChar w:fldCharType="separate"/>
            </w:r>
            <w:r w:rsidR="00E7715E">
              <w:rPr>
                <w:noProof/>
                <w:webHidden/>
              </w:rPr>
              <w:t>6</w:t>
            </w:r>
            <w:r w:rsidR="00E7715E">
              <w:rPr>
                <w:noProof/>
                <w:webHidden/>
              </w:rPr>
              <w:fldChar w:fldCharType="end"/>
            </w:r>
          </w:hyperlink>
        </w:p>
        <w:p w14:paraId="44B74E66" w14:textId="3F3DD32F" w:rsidR="00E7715E" w:rsidRDefault="00000000">
          <w:pPr>
            <w:pStyle w:val="TOC3"/>
            <w:tabs>
              <w:tab w:val="right" w:leader="dot" w:pos="9062"/>
            </w:tabs>
            <w:rPr>
              <w:rFonts w:eastAsiaTheme="minorEastAsia"/>
              <w:noProof/>
              <w:kern w:val="2"/>
              <w:sz w:val="24"/>
              <w:szCs w:val="24"/>
              <w:lang w:eastAsia="bg-BG"/>
              <w14:ligatures w14:val="standardContextual"/>
            </w:rPr>
          </w:pPr>
          <w:hyperlink w:anchor="_Toc163516467" w:history="1">
            <w:r w:rsidR="00E7715E" w:rsidRPr="00093719">
              <w:rPr>
                <w:rStyle w:val="Hyperlink"/>
                <w:noProof/>
                <w:lang w:eastAsia="bg-BG"/>
              </w:rPr>
              <w:t>Translation Risk</w:t>
            </w:r>
            <w:r w:rsidR="00E7715E" w:rsidRPr="00093719">
              <w:rPr>
                <w:rStyle w:val="Hyperlink"/>
                <w:rFonts w:ascii="Arial" w:hAnsi="Arial" w:cs="Arial"/>
                <w:noProof/>
                <w:lang w:eastAsia="bg-BG"/>
              </w:rPr>
              <w:t>:</w:t>
            </w:r>
            <w:r w:rsidR="00E7715E">
              <w:rPr>
                <w:noProof/>
                <w:webHidden/>
              </w:rPr>
              <w:tab/>
            </w:r>
            <w:r w:rsidR="00E7715E">
              <w:rPr>
                <w:noProof/>
                <w:webHidden/>
              </w:rPr>
              <w:fldChar w:fldCharType="begin"/>
            </w:r>
            <w:r w:rsidR="00E7715E">
              <w:rPr>
                <w:noProof/>
                <w:webHidden/>
              </w:rPr>
              <w:instrText xml:space="preserve"> PAGEREF _Toc163516467 \h </w:instrText>
            </w:r>
            <w:r w:rsidR="00E7715E">
              <w:rPr>
                <w:noProof/>
                <w:webHidden/>
              </w:rPr>
            </w:r>
            <w:r w:rsidR="00E7715E">
              <w:rPr>
                <w:noProof/>
                <w:webHidden/>
              </w:rPr>
              <w:fldChar w:fldCharType="separate"/>
            </w:r>
            <w:r w:rsidR="00E7715E">
              <w:rPr>
                <w:noProof/>
                <w:webHidden/>
              </w:rPr>
              <w:t>6</w:t>
            </w:r>
            <w:r w:rsidR="00E7715E">
              <w:rPr>
                <w:noProof/>
                <w:webHidden/>
              </w:rPr>
              <w:fldChar w:fldCharType="end"/>
            </w:r>
          </w:hyperlink>
        </w:p>
        <w:p w14:paraId="47478209" w14:textId="7752A866" w:rsidR="00E7715E" w:rsidRDefault="00000000">
          <w:pPr>
            <w:pStyle w:val="TOC3"/>
            <w:tabs>
              <w:tab w:val="right" w:leader="dot" w:pos="9062"/>
            </w:tabs>
            <w:rPr>
              <w:rFonts w:eastAsiaTheme="minorEastAsia"/>
              <w:noProof/>
              <w:kern w:val="2"/>
              <w:sz w:val="24"/>
              <w:szCs w:val="24"/>
              <w:lang w:eastAsia="bg-BG"/>
              <w14:ligatures w14:val="standardContextual"/>
            </w:rPr>
          </w:pPr>
          <w:hyperlink w:anchor="_Toc163516468" w:history="1">
            <w:r w:rsidR="00E7715E" w:rsidRPr="00093719">
              <w:rPr>
                <w:rStyle w:val="Hyperlink"/>
                <w:noProof/>
                <w:lang w:eastAsia="bg-BG"/>
              </w:rPr>
              <w:t>Economic risk</w:t>
            </w:r>
            <w:r w:rsidR="00E7715E">
              <w:rPr>
                <w:noProof/>
                <w:webHidden/>
              </w:rPr>
              <w:tab/>
            </w:r>
            <w:r w:rsidR="00E7715E">
              <w:rPr>
                <w:noProof/>
                <w:webHidden/>
              </w:rPr>
              <w:fldChar w:fldCharType="begin"/>
            </w:r>
            <w:r w:rsidR="00E7715E">
              <w:rPr>
                <w:noProof/>
                <w:webHidden/>
              </w:rPr>
              <w:instrText xml:space="preserve"> PAGEREF _Toc163516468 \h </w:instrText>
            </w:r>
            <w:r w:rsidR="00E7715E">
              <w:rPr>
                <w:noProof/>
                <w:webHidden/>
              </w:rPr>
            </w:r>
            <w:r w:rsidR="00E7715E">
              <w:rPr>
                <w:noProof/>
                <w:webHidden/>
              </w:rPr>
              <w:fldChar w:fldCharType="separate"/>
            </w:r>
            <w:r w:rsidR="00E7715E">
              <w:rPr>
                <w:noProof/>
                <w:webHidden/>
              </w:rPr>
              <w:t>6</w:t>
            </w:r>
            <w:r w:rsidR="00E7715E">
              <w:rPr>
                <w:noProof/>
                <w:webHidden/>
              </w:rPr>
              <w:fldChar w:fldCharType="end"/>
            </w:r>
          </w:hyperlink>
        </w:p>
        <w:p w14:paraId="1D546B17" w14:textId="62F18880" w:rsidR="00E7715E" w:rsidRDefault="00000000">
          <w:pPr>
            <w:pStyle w:val="TOC1"/>
            <w:tabs>
              <w:tab w:val="right" w:leader="dot" w:pos="9062"/>
            </w:tabs>
            <w:rPr>
              <w:rFonts w:eastAsiaTheme="minorEastAsia"/>
              <w:noProof/>
              <w:kern w:val="2"/>
              <w:sz w:val="24"/>
              <w:szCs w:val="24"/>
              <w:lang w:eastAsia="bg-BG"/>
              <w14:ligatures w14:val="standardContextual"/>
            </w:rPr>
          </w:pPr>
          <w:hyperlink w:anchor="_Toc163516469" w:history="1">
            <w:r w:rsidR="00E7715E" w:rsidRPr="00093719">
              <w:rPr>
                <w:rStyle w:val="Hyperlink"/>
                <w:rFonts w:eastAsia="Times New Roman"/>
                <w:noProof/>
                <w:lang w:val="en-GB" w:eastAsia="bg-BG"/>
              </w:rPr>
              <w:t>Conclusion</w:t>
            </w:r>
            <w:r w:rsidR="00E7715E">
              <w:rPr>
                <w:noProof/>
                <w:webHidden/>
              </w:rPr>
              <w:tab/>
            </w:r>
            <w:r w:rsidR="00E7715E">
              <w:rPr>
                <w:noProof/>
                <w:webHidden/>
              </w:rPr>
              <w:fldChar w:fldCharType="begin"/>
            </w:r>
            <w:r w:rsidR="00E7715E">
              <w:rPr>
                <w:noProof/>
                <w:webHidden/>
              </w:rPr>
              <w:instrText xml:space="preserve"> PAGEREF _Toc163516469 \h </w:instrText>
            </w:r>
            <w:r w:rsidR="00E7715E">
              <w:rPr>
                <w:noProof/>
                <w:webHidden/>
              </w:rPr>
            </w:r>
            <w:r w:rsidR="00E7715E">
              <w:rPr>
                <w:noProof/>
                <w:webHidden/>
              </w:rPr>
              <w:fldChar w:fldCharType="separate"/>
            </w:r>
            <w:r w:rsidR="00E7715E">
              <w:rPr>
                <w:noProof/>
                <w:webHidden/>
              </w:rPr>
              <w:t>6</w:t>
            </w:r>
            <w:r w:rsidR="00E7715E">
              <w:rPr>
                <w:noProof/>
                <w:webHidden/>
              </w:rPr>
              <w:fldChar w:fldCharType="end"/>
            </w:r>
          </w:hyperlink>
        </w:p>
        <w:p w14:paraId="4A9D0056" w14:textId="5296CFDB" w:rsidR="00E7715E" w:rsidRDefault="00000000">
          <w:pPr>
            <w:pStyle w:val="TOC1"/>
            <w:tabs>
              <w:tab w:val="right" w:leader="dot" w:pos="9062"/>
            </w:tabs>
            <w:rPr>
              <w:rFonts w:eastAsiaTheme="minorEastAsia"/>
              <w:noProof/>
              <w:kern w:val="2"/>
              <w:sz w:val="24"/>
              <w:szCs w:val="24"/>
              <w:lang w:eastAsia="bg-BG"/>
              <w14:ligatures w14:val="standardContextual"/>
            </w:rPr>
          </w:pPr>
          <w:hyperlink w:anchor="_Toc163516470" w:history="1">
            <w:r w:rsidR="00E7715E" w:rsidRPr="00093719">
              <w:rPr>
                <w:rStyle w:val="Hyperlink"/>
                <w:noProof/>
              </w:rPr>
              <w:t>References</w:t>
            </w:r>
            <w:r w:rsidR="00E7715E">
              <w:rPr>
                <w:noProof/>
                <w:webHidden/>
              </w:rPr>
              <w:tab/>
            </w:r>
            <w:r w:rsidR="00E7715E">
              <w:rPr>
                <w:noProof/>
                <w:webHidden/>
              </w:rPr>
              <w:fldChar w:fldCharType="begin"/>
            </w:r>
            <w:r w:rsidR="00E7715E">
              <w:rPr>
                <w:noProof/>
                <w:webHidden/>
              </w:rPr>
              <w:instrText xml:space="preserve"> PAGEREF _Toc163516470 \h </w:instrText>
            </w:r>
            <w:r w:rsidR="00E7715E">
              <w:rPr>
                <w:noProof/>
                <w:webHidden/>
              </w:rPr>
            </w:r>
            <w:r w:rsidR="00E7715E">
              <w:rPr>
                <w:noProof/>
                <w:webHidden/>
              </w:rPr>
              <w:fldChar w:fldCharType="separate"/>
            </w:r>
            <w:r w:rsidR="00E7715E">
              <w:rPr>
                <w:noProof/>
                <w:webHidden/>
              </w:rPr>
              <w:t>7</w:t>
            </w:r>
            <w:r w:rsidR="00E7715E">
              <w:rPr>
                <w:noProof/>
                <w:webHidden/>
              </w:rPr>
              <w:fldChar w:fldCharType="end"/>
            </w:r>
          </w:hyperlink>
        </w:p>
        <w:p w14:paraId="7C864A0E" w14:textId="0422B8D0" w:rsidR="00A75445" w:rsidRDefault="00A75445">
          <w:r>
            <w:rPr>
              <w:b/>
              <w:bCs/>
              <w:noProof/>
            </w:rPr>
            <w:fldChar w:fldCharType="end"/>
          </w:r>
        </w:p>
      </w:sdtContent>
    </w:sdt>
    <w:p w14:paraId="2505709A" w14:textId="77777777" w:rsidR="00EF2F7B" w:rsidRDefault="00EF2F7B" w:rsidP="00FF0389">
      <w:pPr>
        <w:pStyle w:val="Heading1"/>
      </w:pPr>
    </w:p>
    <w:p w14:paraId="710D5D2E" w14:textId="77777777" w:rsidR="00EF2F7B" w:rsidRDefault="00EF2F7B">
      <w:pPr>
        <w:rPr>
          <w:rFonts w:asciiTheme="majorHAnsi" w:eastAsiaTheme="majorEastAsia" w:hAnsiTheme="majorHAnsi" w:cstheme="majorBidi"/>
          <w:color w:val="2F5496" w:themeColor="accent1" w:themeShade="BF"/>
          <w:sz w:val="40"/>
          <w:szCs w:val="40"/>
        </w:rPr>
      </w:pPr>
      <w:r>
        <w:br w:type="page"/>
      </w:r>
    </w:p>
    <w:p w14:paraId="34FDD0BA" w14:textId="5CBD9BC3" w:rsidR="00C05CBD" w:rsidRDefault="00C05CBD" w:rsidP="00FF0389">
      <w:pPr>
        <w:pStyle w:val="Heading1"/>
        <w:rPr>
          <w:lang w:val="en-GB"/>
        </w:rPr>
      </w:pPr>
      <w:bookmarkStart w:id="0" w:name="_Toc163516460"/>
      <w:r>
        <w:lastRenderedPageBreak/>
        <w:t>Introduction</w:t>
      </w:r>
      <w:bookmarkEnd w:id="0"/>
    </w:p>
    <w:p w14:paraId="392A7C41" w14:textId="77777777" w:rsidR="00BD3E0B" w:rsidRPr="00BD3E0B" w:rsidRDefault="00BD3E0B" w:rsidP="00BD3E0B">
      <w:pPr>
        <w:rPr>
          <w:lang w:val="en-GB"/>
        </w:rPr>
      </w:pPr>
    </w:p>
    <w:p w14:paraId="63B25809" w14:textId="25FB1215" w:rsidR="00FF0389" w:rsidRDefault="00C05CBD" w:rsidP="00B77353">
      <w:pPr>
        <w:spacing w:line="240" w:lineRule="auto"/>
        <w:ind w:firstLine="709"/>
        <w:rPr>
          <w:rFonts w:ascii="Arial" w:eastAsia="Times New Roman" w:hAnsi="Arial" w:cs="Arial"/>
          <w:sz w:val="24"/>
          <w:szCs w:val="24"/>
          <w:lang w:val="en-GB" w:eastAsia="bg-BG"/>
        </w:rPr>
      </w:pPr>
      <w:r>
        <w:t xml:space="preserve"> </w:t>
      </w:r>
      <w:r w:rsidR="0086619D" w:rsidRPr="00FF0389">
        <w:rPr>
          <w:rFonts w:ascii="Arial" w:eastAsia="Times New Roman" w:hAnsi="Arial" w:cs="Arial"/>
          <w:sz w:val="24"/>
          <w:szCs w:val="24"/>
          <w:lang w:eastAsia="bg-BG"/>
        </w:rPr>
        <w:t>International Financial Management (IFM) entails dealing with a variety of risks, the most significant of which is foreign exchange risk. Multinational businesses (MNCs) are always exposed to foreign exchange swings since their activities span many nations. In this paper, we examine MNCs' methods for managing foreign exchange risks, drawing on theoretical frameworks, empirical data, and critical analysis.</w:t>
      </w:r>
      <w:r w:rsidR="00FF0389" w:rsidRPr="00FF0389">
        <w:rPr>
          <w:rFonts w:ascii="Arial" w:hAnsi="Arial" w:cs="Arial"/>
        </w:rPr>
        <w:t xml:space="preserve"> </w:t>
      </w:r>
      <w:r w:rsidR="00FF0389" w:rsidRPr="00FF0389">
        <w:rPr>
          <w:rFonts w:ascii="Arial" w:eastAsia="Times New Roman" w:hAnsi="Arial" w:cs="Arial"/>
          <w:sz w:val="24"/>
          <w:szCs w:val="24"/>
          <w:lang w:eastAsia="bg-BG"/>
        </w:rPr>
        <w:t xml:space="preserve">Although foreign exchange risk is just one of many business potential risks that multinational corporations (MNCs) face, managing it has become one of the most important aspects of total financial management. Whether MNCs want to avoid foreign exchange losses or maximise exchange profits, they must determine the size of their exposure and manage it to an appropriate level. </w:t>
      </w:r>
    </w:p>
    <w:p w14:paraId="0222F125" w14:textId="77777777" w:rsidR="00BD3E0B" w:rsidRPr="00BD3E0B" w:rsidRDefault="00BD3E0B" w:rsidP="00B77353">
      <w:pPr>
        <w:spacing w:after="0" w:line="240" w:lineRule="auto"/>
        <w:ind w:firstLine="709"/>
        <w:rPr>
          <w:rFonts w:ascii="Arial" w:eastAsia="Times New Roman" w:hAnsi="Arial" w:cs="Arial"/>
          <w:sz w:val="24"/>
          <w:szCs w:val="24"/>
          <w:lang w:eastAsia="bg-BG"/>
        </w:rPr>
      </w:pPr>
      <w:r w:rsidRPr="00BD3E0B">
        <w:rPr>
          <w:rFonts w:ascii="Arial" w:eastAsia="Times New Roman" w:hAnsi="Arial" w:cs="Arial"/>
          <w:sz w:val="24"/>
          <w:szCs w:val="24"/>
          <w:lang w:eastAsia="bg-BG"/>
        </w:rPr>
        <w:t>Foreign exchange (FX) risk, often known as currency risk, is a constant concern for multinational corporations (MNCs) functioning in a globalized world. Exchange rate fluctuations may have a substantial influence on a multinational corporation's profitability, competitiveness, and overall financial health. To traverse this complicated terrain, multinational corporations use a variety of ways to control their exposure to foreign exchange risk, depending on International Financial Management (IFM) ideas. This report will investigate different strategies while assessing their usefulness and limits using relevant literature.</w:t>
      </w:r>
    </w:p>
    <w:p w14:paraId="4DD7D3E0" w14:textId="77777777" w:rsidR="00BD3E0B" w:rsidRPr="00BD3E0B" w:rsidRDefault="00BD3E0B" w:rsidP="00B77353">
      <w:pPr>
        <w:spacing w:line="240" w:lineRule="auto"/>
        <w:rPr>
          <w:rFonts w:ascii="Arial" w:eastAsia="Times New Roman" w:hAnsi="Arial" w:cs="Arial"/>
          <w:sz w:val="24"/>
          <w:szCs w:val="24"/>
          <w:lang w:val="en-GB" w:eastAsia="bg-BG"/>
        </w:rPr>
      </w:pPr>
    </w:p>
    <w:p w14:paraId="6A406836" w14:textId="1675A0CB" w:rsidR="00C05CBD" w:rsidRDefault="00902F3A" w:rsidP="00B77353">
      <w:pPr>
        <w:pStyle w:val="Heading1"/>
        <w:spacing w:line="240" w:lineRule="auto"/>
        <w:rPr>
          <w:lang w:val="en-GB"/>
        </w:rPr>
      </w:pPr>
      <w:bookmarkStart w:id="1" w:name="_Toc163516461"/>
      <w:r>
        <w:rPr>
          <w:lang w:val="en-GB"/>
        </w:rPr>
        <w:t>Understanding FX</w:t>
      </w:r>
      <w:bookmarkEnd w:id="1"/>
    </w:p>
    <w:p w14:paraId="3DCAE558" w14:textId="77777777" w:rsidR="006E0369" w:rsidRPr="006E0369" w:rsidRDefault="006E0369" w:rsidP="00B77353">
      <w:pPr>
        <w:spacing w:line="240" w:lineRule="auto"/>
        <w:rPr>
          <w:lang w:val="en-GB"/>
        </w:rPr>
      </w:pPr>
    </w:p>
    <w:p w14:paraId="10146106" w14:textId="2327B5D0" w:rsidR="00DE0105" w:rsidRPr="00364114" w:rsidRDefault="00BF668D" w:rsidP="00B77353">
      <w:pPr>
        <w:spacing w:after="0" w:line="240" w:lineRule="auto"/>
        <w:ind w:firstLine="709"/>
        <w:rPr>
          <w:rFonts w:ascii="Arial" w:eastAsia="Times New Roman" w:hAnsi="Arial" w:cs="Arial"/>
          <w:sz w:val="24"/>
          <w:szCs w:val="24"/>
          <w:lang w:val="en-GB" w:eastAsia="bg-BG"/>
        </w:rPr>
      </w:pPr>
      <w:r w:rsidRPr="00BF668D">
        <w:rPr>
          <w:rFonts w:ascii="Arial" w:eastAsia="Times New Roman" w:hAnsi="Arial" w:cs="Arial"/>
          <w:sz w:val="24"/>
          <w:szCs w:val="24"/>
          <w:lang w:eastAsia="bg-BG"/>
        </w:rPr>
        <w:t>To have a better understanding of foreign currency markets and dangers, we must first grasp the economic causes that produce exchange rate fluctuations. Exchange rates are determined by demand and supply in the currency trading market. These needs and supply result from worldwide commerce and money flows. The balance of payments, which tracks payments made by citizens of one country to the rest of the globe over a certain time period, provides a wealth of information on these international movements.</w:t>
      </w:r>
    </w:p>
    <w:p w14:paraId="768CA745" w14:textId="77777777" w:rsidR="00364114" w:rsidRPr="00364114" w:rsidRDefault="00364114" w:rsidP="00B77353">
      <w:pPr>
        <w:spacing w:after="0" w:line="240" w:lineRule="auto"/>
        <w:ind w:firstLine="709"/>
        <w:rPr>
          <w:rFonts w:ascii="Arial" w:eastAsia="Times New Roman" w:hAnsi="Arial" w:cs="Arial"/>
          <w:sz w:val="24"/>
          <w:szCs w:val="24"/>
          <w:lang w:val="en-GB" w:eastAsia="bg-BG"/>
        </w:rPr>
      </w:pPr>
    </w:p>
    <w:p w14:paraId="60E810D4" w14:textId="593788CC" w:rsidR="00CD2B4F" w:rsidRDefault="00DE0105" w:rsidP="00B77353">
      <w:pPr>
        <w:spacing w:after="0" w:line="240" w:lineRule="auto"/>
        <w:ind w:firstLine="709"/>
        <w:rPr>
          <w:rFonts w:ascii="Arial" w:hAnsi="Arial" w:cs="Arial"/>
          <w:sz w:val="24"/>
          <w:szCs w:val="24"/>
          <w:lang w:val="en-GB"/>
        </w:rPr>
      </w:pPr>
      <w:r w:rsidRPr="00DE0105">
        <w:rPr>
          <w:rFonts w:ascii="Arial" w:eastAsia="Times New Roman" w:hAnsi="Arial" w:cs="Arial"/>
          <w:sz w:val="24"/>
          <w:szCs w:val="24"/>
          <w:lang w:eastAsia="bg-BG"/>
        </w:rPr>
        <w:t>As a result, it sheds a lot of light on the supply and demand for different currencies, the potential evolution of their exchange rates, and the global financial system in general. Politicians, the news media, and currency experts from corporations, commercial banks, investment banks, and mutual funds all analyze balance of payments information on a daily basis. Currency traders anxiously await the publication of new balance of payments numbers because they know exchange rates will react to the new data. We'll look at how the balances of various subaccounts relate to local and international saving and investment decisions, and how they might ultimately decide a country's financial and economic health</w:t>
      </w:r>
      <w:sdt>
        <w:sdtPr>
          <w:rPr>
            <w:rFonts w:ascii="Arial" w:hAnsi="Arial" w:cs="Arial"/>
            <w:sz w:val="24"/>
            <w:szCs w:val="24"/>
            <w:lang w:val="en-GB"/>
          </w:rPr>
          <w:id w:val="-1438051070"/>
          <w:citation/>
        </w:sdtPr>
        <w:sdtContent>
          <w:r w:rsidR="004D6F74" w:rsidRPr="00364114">
            <w:rPr>
              <w:rFonts w:ascii="Arial" w:hAnsi="Arial" w:cs="Arial"/>
              <w:sz w:val="24"/>
              <w:szCs w:val="24"/>
              <w:lang w:val="en-GB"/>
            </w:rPr>
            <w:fldChar w:fldCharType="begin"/>
          </w:r>
          <w:r w:rsidR="004D6F74" w:rsidRPr="00364114">
            <w:rPr>
              <w:rFonts w:ascii="Arial" w:hAnsi="Arial" w:cs="Arial"/>
              <w:sz w:val="24"/>
              <w:szCs w:val="24"/>
              <w:lang w:val="en-GB"/>
            </w:rPr>
            <w:instrText xml:space="preserve"> CITATION Gee14 \l 2057 </w:instrText>
          </w:r>
          <w:r w:rsidR="004D6F74" w:rsidRPr="00364114">
            <w:rPr>
              <w:rFonts w:ascii="Arial" w:hAnsi="Arial" w:cs="Arial"/>
              <w:sz w:val="24"/>
              <w:szCs w:val="24"/>
              <w:lang w:val="en-GB"/>
            </w:rPr>
            <w:fldChar w:fldCharType="separate"/>
          </w:r>
          <w:r w:rsidR="00E651DB">
            <w:rPr>
              <w:rFonts w:ascii="Arial" w:hAnsi="Arial" w:cs="Arial"/>
              <w:noProof/>
              <w:sz w:val="24"/>
              <w:szCs w:val="24"/>
              <w:lang w:val="en-GB"/>
            </w:rPr>
            <w:t xml:space="preserve"> </w:t>
          </w:r>
          <w:r w:rsidR="00E651DB" w:rsidRPr="00E651DB">
            <w:rPr>
              <w:rFonts w:ascii="Arial" w:hAnsi="Arial" w:cs="Arial"/>
              <w:noProof/>
              <w:sz w:val="24"/>
              <w:szCs w:val="24"/>
              <w:lang w:val="en-GB"/>
            </w:rPr>
            <w:t>(Hodrick, 2014)</w:t>
          </w:r>
          <w:r w:rsidR="004D6F74" w:rsidRPr="00364114">
            <w:rPr>
              <w:rFonts w:ascii="Arial" w:hAnsi="Arial" w:cs="Arial"/>
              <w:sz w:val="24"/>
              <w:szCs w:val="24"/>
              <w:lang w:val="en-GB"/>
            </w:rPr>
            <w:fldChar w:fldCharType="end"/>
          </w:r>
        </w:sdtContent>
      </w:sdt>
      <w:r w:rsidR="00364114" w:rsidRPr="00364114">
        <w:rPr>
          <w:rFonts w:ascii="Arial" w:hAnsi="Arial" w:cs="Arial"/>
          <w:sz w:val="24"/>
          <w:szCs w:val="24"/>
          <w:lang w:val="en-GB"/>
        </w:rPr>
        <w:t>.</w:t>
      </w:r>
    </w:p>
    <w:p w14:paraId="1546D733" w14:textId="2BDF28CB" w:rsidR="00902F3A" w:rsidRDefault="00F97A76" w:rsidP="00B77353">
      <w:pPr>
        <w:pStyle w:val="Heading2"/>
        <w:spacing w:line="240" w:lineRule="auto"/>
        <w:rPr>
          <w:rFonts w:eastAsia="Times New Roman"/>
          <w:lang w:val="en-GB" w:eastAsia="bg-BG"/>
        </w:rPr>
      </w:pPr>
      <w:bookmarkStart w:id="2" w:name="_Toc163516462"/>
      <w:r>
        <w:rPr>
          <w:rFonts w:eastAsia="Times New Roman"/>
          <w:lang w:val="en-GB" w:eastAsia="bg-BG"/>
        </w:rPr>
        <w:t>Hedging and He</w:t>
      </w:r>
      <w:r w:rsidR="005F06DA">
        <w:rPr>
          <w:rFonts w:eastAsia="Times New Roman"/>
          <w:lang w:val="en-GB" w:eastAsia="bg-BG"/>
        </w:rPr>
        <w:t>dg</w:t>
      </w:r>
      <w:r w:rsidR="00E00D4E">
        <w:rPr>
          <w:rFonts w:eastAsia="Times New Roman"/>
          <w:lang w:val="en-GB" w:eastAsia="bg-BG"/>
        </w:rPr>
        <w:t>e</w:t>
      </w:r>
      <w:r w:rsidR="005F06DA">
        <w:rPr>
          <w:rFonts w:eastAsia="Times New Roman"/>
          <w:lang w:val="en-GB" w:eastAsia="bg-BG"/>
        </w:rPr>
        <w:t xml:space="preserve"> Funds</w:t>
      </w:r>
      <w:bookmarkEnd w:id="2"/>
    </w:p>
    <w:p w14:paraId="2F3F51EC" w14:textId="77777777" w:rsidR="00C42647" w:rsidRPr="00C42647" w:rsidRDefault="00C42647" w:rsidP="00B77353">
      <w:pPr>
        <w:spacing w:line="240" w:lineRule="auto"/>
        <w:rPr>
          <w:lang w:val="en-GB" w:eastAsia="bg-BG"/>
        </w:rPr>
      </w:pPr>
    </w:p>
    <w:p w14:paraId="7F8D20AB" w14:textId="7505C431" w:rsidR="00267002" w:rsidRPr="005B2F18" w:rsidRDefault="00482194" w:rsidP="00B77353">
      <w:pPr>
        <w:spacing w:after="240" w:line="240" w:lineRule="auto"/>
        <w:ind w:firstLine="709"/>
        <w:rPr>
          <w:rFonts w:ascii="Arial" w:eastAsia="Times New Roman" w:hAnsi="Arial" w:cs="Arial"/>
          <w:sz w:val="24"/>
          <w:szCs w:val="24"/>
          <w:lang w:val="en-GB" w:eastAsia="bg-BG"/>
        </w:rPr>
      </w:pPr>
      <w:r w:rsidRPr="00482194">
        <w:rPr>
          <w:rFonts w:ascii="Arial" w:eastAsia="Times New Roman" w:hAnsi="Arial" w:cs="Arial"/>
          <w:sz w:val="24"/>
          <w:szCs w:val="24"/>
          <w:lang w:eastAsia="bg-BG"/>
        </w:rPr>
        <w:lastRenderedPageBreak/>
        <w:t>Hedge funds merge investors money and invest it in a wide range of financial strategies that are generally outside the authority of regulators. They are formed either outside of major financial centers or through private investment partnerships. Wealthy people and institutions, such as pension funds, insurance companies, and banks, are among the investors. Hedge funds are not required to invest in specific types of securities or use specific investment procedures since they are not subject to conventional regulatory oversight. For example, they have significantly more flexibility than unit trusts when it comes to 'going short', which means selling an asset first and then purchasing it later, preferably at a lower price</w:t>
      </w:r>
      <w:r w:rsidRPr="005B2F18">
        <w:rPr>
          <w:rFonts w:ascii="Arial" w:eastAsia="Times New Roman" w:hAnsi="Arial" w:cs="Arial"/>
          <w:sz w:val="24"/>
          <w:szCs w:val="24"/>
          <w:lang w:val="en-GB" w:eastAsia="bg-BG"/>
        </w:rPr>
        <w:t xml:space="preserve"> </w:t>
      </w:r>
      <w:r w:rsidR="00267002" w:rsidRPr="005B2F18">
        <w:rPr>
          <w:rFonts w:ascii="Arial" w:eastAsia="Times New Roman" w:hAnsi="Arial" w:cs="Arial"/>
          <w:sz w:val="24"/>
          <w:szCs w:val="24"/>
          <w:lang w:eastAsia="bg-BG"/>
        </w:rPr>
        <w:t>They can also borrow several times the fund's size to speculate on a slight shift in currency rates, share prices, orange juice futures, or whatever they believe will rise (or fall)</w:t>
      </w:r>
      <w:sdt>
        <w:sdtPr>
          <w:rPr>
            <w:rFonts w:ascii="Arial" w:eastAsia="Times New Roman" w:hAnsi="Arial" w:cs="Arial"/>
            <w:sz w:val="24"/>
            <w:szCs w:val="24"/>
            <w:lang w:eastAsia="bg-BG"/>
          </w:rPr>
          <w:id w:val="-1689510126"/>
          <w:citation/>
        </w:sdtPr>
        <w:sdtContent>
          <w:r w:rsidR="00267002" w:rsidRPr="005B2F18">
            <w:rPr>
              <w:rFonts w:ascii="Arial" w:eastAsia="Times New Roman" w:hAnsi="Arial" w:cs="Arial"/>
              <w:sz w:val="24"/>
              <w:szCs w:val="24"/>
              <w:lang w:eastAsia="bg-BG"/>
            </w:rPr>
            <w:fldChar w:fldCharType="begin"/>
          </w:r>
          <w:r w:rsidR="00267002" w:rsidRPr="005B2F18">
            <w:rPr>
              <w:rFonts w:ascii="Arial" w:eastAsia="Times New Roman" w:hAnsi="Arial" w:cs="Arial"/>
              <w:sz w:val="24"/>
              <w:szCs w:val="24"/>
              <w:lang w:val="en-GB" w:eastAsia="bg-BG"/>
            </w:rPr>
            <w:instrText xml:space="preserve"> CITATION Fra03 \l 2057 </w:instrText>
          </w:r>
          <w:r w:rsidR="00267002" w:rsidRPr="005B2F18">
            <w:rPr>
              <w:rFonts w:ascii="Arial" w:eastAsia="Times New Roman" w:hAnsi="Arial" w:cs="Arial"/>
              <w:sz w:val="24"/>
              <w:szCs w:val="24"/>
              <w:lang w:eastAsia="bg-BG"/>
            </w:rPr>
            <w:fldChar w:fldCharType="separate"/>
          </w:r>
          <w:r w:rsidR="00267002" w:rsidRPr="005B2F18">
            <w:rPr>
              <w:rFonts w:ascii="Arial" w:eastAsia="Times New Roman" w:hAnsi="Arial" w:cs="Arial"/>
              <w:noProof/>
              <w:sz w:val="24"/>
              <w:szCs w:val="24"/>
              <w:lang w:val="en-GB" w:eastAsia="bg-BG"/>
            </w:rPr>
            <w:t xml:space="preserve"> (Franklin R. Edwards, 2003)</w:t>
          </w:r>
          <w:r w:rsidR="00267002" w:rsidRPr="005B2F18">
            <w:rPr>
              <w:rFonts w:ascii="Arial" w:eastAsia="Times New Roman" w:hAnsi="Arial" w:cs="Arial"/>
              <w:sz w:val="24"/>
              <w:szCs w:val="24"/>
              <w:lang w:eastAsia="bg-BG"/>
            </w:rPr>
            <w:fldChar w:fldCharType="end"/>
          </w:r>
        </w:sdtContent>
      </w:sdt>
      <w:r w:rsidR="00267002" w:rsidRPr="005B2F18">
        <w:rPr>
          <w:rFonts w:ascii="Arial" w:eastAsia="Times New Roman" w:hAnsi="Arial" w:cs="Arial"/>
          <w:sz w:val="24"/>
          <w:szCs w:val="24"/>
          <w:lang w:eastAsia="bg-BG"/>
        </w:rPr>
        <w:t xml:space="preserve"> </w:t>
      </w:r>
    </w:p>
    <w:p w14:paraId="12738030" w14:textId="11FA2FAF" w:rsidR="008279E4" w:rsidRPr="005B2F18" w:rsidRDefault="00267002" w:rsidP="00B77353">
      <w:pPr>
        <w:spacing w:line="240" w:lineRule="auto"/>
        <w:ind w:firstLine="709"/>
        <w:rPr>
          <w:rFonts w:ascii="Arial" w:eastAsia="Times New Roman" w:hAnsi="Arial" w:cs="Arial"/>
          <w:sz w:val="24"/>
          <w:szCs w:val="24"/>
          <w:lang w:val="en-GB" w:eastAsia="bg-BG"/>
        </w:rPr>
      </w:pPr>
      <w:r w:rsidRPr="005B2F18">
        <w:rPr>
          <w:rFonts w:ascii="Arial" w:eastAsia="Times New Roman" w:hAnsi="Arial" w:cs="Arial"/>
          <w:sz w:val="24"/>
          <w:szCs w:val="24"/>
          <w:lang w:eastAsia="bg-BG"/>
        </w:rPr>
        <w:t xml:space="preserve">As the hedge fund enterprises grows, hedge funds may play an increasingly crucial role in influencing asset values. Private equity firms operate in a similar manner to hedge funds, raising capital from wealthy individuals and organizations and investing in a variety of particular companies. </w:t>
      </w:r>
      <w:r w:rsidR="008279E4" w:rsidRPr="005B2F18">
        <w:rPr>
          <w:rFonts w:ascii="Arial" w:eastAsia="Times New Roman" w:hAnsi="Arial" w:cs="Arial"/>
          <w:sz w:val="24"/>
          <w:szCs w:val="24"/>
          <w:lang w:eastAsia="bg-BG"/>
        </w:rPr>
        <w:t>These corporations can be private (i.e., not traded on the stock market), but bigger private equity groups, such as Kohlberg Kravis Roberts &amp; Co. and The Blackstone Group, also invest in publicly traded companies and take them private. Private equity firms often have influence over their companies' management, frequently bringing in new teams focused on increasing the overall value of the business. Private equity companies are becoming more active in foreign acquisitions, and they may own actual multinational corporations. Hedge funds and private equity firms are frequently looking for companies with inadequate corporate governance as possible candidates for value-creation operations</w:t>
      </w:r>
      <w:sdt>
        <w:sdtPr>
          <w:rPr>
            <w:rFonts w:ascii="Arial" w:eastAsia="Times New Roman" w:hAnsi="Arial" w:cs="Arial"/>
            <w:sz w:val="24"/>
            <w:szCs w:val="24"/>
            <w:lang w:eastAsia="bg-BG"/>
          </w:rPr>
          <w:id w:val="-2080668093"/>
          <w:citation/>
        </w:sdtPr>
        <w:sdtContent>
          <w:r w:rsidR="005B2F18" w:rsidRPr="005B2F18">
            <w:rPr>
              <w:rFonts w:ascii="Arial" w:eastAsia="Times New Roman" w:hAnsi="Arial" w:cs="Arial"/>
              <w:sz w:val="24"/>
              <w:szCs w:val="24"/>
              <w:lang w:eastAsia="bg-BG"/>
            </w:rPr>
            <w:fldChar w:fldCharType="begin"/>
          </w:r>
          <w:r w:rsidR="005B2F18" w:rsidRPr="005B2F18">
            <w:rPr>
              <w:rFonts w:ascii="Arial" w:eastAsia="Times New Roman" w:hAnsi="Arial" w:cs="Arial"/>
              <w:sz w:val="24"/>
              <w:szCs w:val="24"/>
              <w:lang w:val="en-GB" w:eastAsia="bg-BG"/>
            </w:rPr>
            <w:instrText xml:space="preserve"> CITATION Arn12 \l 2057 </w:instrText>
          </w:r>
          <w:r w:rsidR="005B2F18" w:rsidRPr="005B2F18">
            <w:rPr>
              <w:rFonts w:ascii="Arial" w:eastAsia="Times New Roman" w:hAnsi="Arial" w:cs="Arial"/>
              <w:sz w:val="24"/>
              <w:szCs w:val="24"/>
              <w:lang w:eastAsia="bg-BG"/>
            </w:rPr>
            <w:fldChar w:fldCharType="separate"/>
          </w:r>
          <w:r w:rsidR="005B2F18" w:rsidRPr="005B2F18">
            <w:rPr>
              <w:rFonts w:ascii="Arial" w:eastAsia="Times New Roman" w:hAnsi="Arial" w:cs="Arial"/>
              <w:noProof/>
              <w:sz w:val="24"/>
              <w:szCs w:val="24"/>
              <w:lang w:val="en-GB" w:eastAsia="bg-BG"/>
            </w:rPr>
            <w:t xml:space="preserve"> (Arnold, 2012)</w:t>
          </w:r>
          <w:r w:rsidR="005B2F18" w:rsidRPr="005B2F18">
            <w:rPr>
              <w:rFonts w:ascii="Arial" w:eastAsia="Times New Roman" w:hAnsi="Arial" w:cs="Arial"/>
              <w:sz w:val="24"/>
              <w:szCs w:val="24"/>
              <w:lang w:eastAsia="bg-BG"/>
            </w:rPr>
            <w:fldChar w:fldCharType="end"/>
          </w:r>
        </w:sdtContent>
      </w:sdt>
      <w:r w:rsidR="005B2F18" w:rsidRPr="005B2F18">
        <w:rPr>
          <w:rFonts w:ascii="Arial" w:eastAsia="Times New Roman" w:hAnsi="Arial" w:cs="Arial"/>
          <w:sz w:val="24"/>
          <w:szCs w:val="24"/>
          <w:lang w:val="en-GB" w:eastAsia="bg-BG"/>
        </w:rPr>
        <w:t>.</w:t>
      </w:r>
    </w:p>
    <w:p w14:paraId="1DA75BEE" w14:textId="74095FD1" w:rsidR="00452641" w:rsidRPr="008279E4" w:rsidRDefault="00452641" w:rsidP="00B77353">
      <w:pPr>
        <w:spacing w:after="240" w:line="240" w:lineRule="auto"/>
        <w:rPr>
          <w:rFonts w:ascii="Times New Roman" w:eastAsia="Times New Roman" w:hAnsi="Times New Roman" w:cs="Times New Roman"/>
          <w:sz w:val="24"/>
          <w:szCs w:val="24"/>
          <w:lang w:val="en-GB" w:eastAsia="bg-BG"/>
        </w:rPr>
      </w:pPr>
    </w:p>
    <w:p w14:paraId="2D9B9E6D" w14:textId="2E206F4A" w:rsidR="00BB0134" w:rsidRDefault="00BB0134" w:rsidP="00B77353">
      <w:pPr>
        <w:pStyle w:val="Heading2"/>
        <w:spacing w:line="240" w:lineRule="auto"/>
        <w:rPr>
          <w:lang w:val="en-GB" w:eastAsia="bg-BG"/>
        </w:rPr>
      </w:pPr>
      <w:bookmarkStart w:id="3" w:name="_Toc163516463"/>
      <w:r>
        <w:rPr>
          <w:lang w:val="en-GB" w:eastAsia="bg-BG"/>
        </w:rPr>
        <w:t>Forward Contracts</w:t>
      </w:r>
      <w:bookmarkEnd w:id="3"/>
    </w:p>
    <w:p w14:paraId="58BF5E42" w14:textId="77777777" w:rsidR="007A7112" w:rsidRPr="007A7112" w:rsidRDefault="007A7112" w:rsidP="00B77353">
      <w:pPr>
        <w:spacing w:line="240" w:lineRule="auto"/>
        <w:rPr>
          <w:lang w:val="en-GB" w:eastAsia="bg-BG"/>
        </w:rPr>
      </w:pPr>
    </w:p>
    <w:p w14:paraId="54723B9F" w14:textId="74FF0E5E" w:rsidR="00885023" w:rsidRPr="007C77BE" w:rsidRDefault="008C08F2" w:rsidP="00B77353">
      <w:pPr>
        <w:spacing w:line="240" w:lineRule="auto"/>
        <w:ind w:firstLine="709"/>
        <w:rPr>
          <w:rFonts w:ascii="Arial" w:eastAsia="Times New Roman" w:hAnsi="Arial" w:cs="Arial"/>
          <w:sz w:val="24"/>
          <w:szCs w:val="24"/>
          <w:lang w:val="en-GB" w:eastAsia="bg-BG"/>
        </w:rPr>
      </w:pPr>
      <w:r w:rsidRPr="008C08F2">
        <w:rPr>
          <w:rFonts w:ascii="Arial" w:eastAsia="Times New Roman" w:hAnsi="Arial" w:cs="Arial"/>
          <w:sz w:val="24"/>
          <w:szCs w:val="24"/>
          <w:lang w:eastAsia="bg-BG"/>
        </w:rPr>
        <w:t>Forward contracts lock in an exchange rate for a future transaction, providing certainty and mitigating transaction risk. However, they require upfront costs and expose the MNC to potential losses if the actual exchange rate moves favorably compared to the contracted rate.</w:t>
      </w:r>
      <w:r w:rsidRPr="008C08F2">
        <w:rPr>
          <w:rFonts w:ascii="Arial" w:eastAsia="Times New Roman" w:hAnsi="Arial" w:cs="Arial"/>
          <w:sz w:val="24"/>
          <w:szCs w:val="24"/>
          <w:lang w:eastAsia="bg-BG"/>
        </w:rPr>
        <w:br/>
        <w:t xml:space="preserve">A forward contract between a bank and a customer states that a specific quantity of one currency will be delivered at a predetermined future date in exchange for payment in another currency. The forward rate, or defined exchange rate, is established when the parties engage into the contract. If you owe someone foreign money at some point in the future, you can "buy the foreign currency forward" by arranging with a bank to provide a particular sum of foreign currency to you on the day you require it. At that point, you must pay the bank an amount of domestic currency equal to the forward rate multiplied by the quantity of foreign currency. </w:t>
      </w:r>
      <w:r w:rsidR="00885023" w:rsidRPr="007C77BE">
        <w:rPr>
          <w:rFonts w:ascii="Arial" w:eastAsia="Times New Roman" w:hAnsi="Arial" w:cs="Arial"/>
          <w:sz w:val="24"/>
          <w:szCs w:val="24"/>
          <w:lang w:eastAsia="bg-BG"/>
        </w:rPr>
        <w:t>The total amount you would have to repay the bank is computed today and is unaffected by the actual value of the future exchange rate. Therefore, utilizing a forward contract removes transaction exchange risk</w:t>
      </w:r>
      <w:r w:rsidR="007C77BE" w:rsidRPr="007C77BE">
        <w:rPr>
          <w:rFonts w:ascii="Arial" w:eastAsia="Times New Roman" w:hAnsi="Arial" w:cs="Arial"/>
          <w:sz w:val="24"/>
          <w:szCs w:val="24"/>
          <w:lang w:val="en-GB" w:eastAsia="bg-BG"/>
        </w:rPr>
        <w:t xml:space="preserve"> </w:t>
      </w:r>
      <w:sdt>
        <w:sdtPr>
          <w:rPr>
            <w:rFonts w:ascii="Arial" w:eastAsia="Times New Roman" w:hAnsi="Arial" w:cs="Arial"/>
            <w:sz w:val="24"/>
            <w:szCs w:val="24"/>
            <w:lang w:val="en-GB" w:eastAsia="bg-BG"/>
          </w:rPr>
          <w:id w:val="1458217616"/>
          <w:citation/>
        </w:sdtPr>
        <w:sdtContent>
          <w:r w:rsidR="007C77BE" w:rsidRPr="007C77BE">
            <w:rPr>
              <w:rFonts w:ascii="Arial" w:eastAsia="Times New Roman" w:hAnsi="Arial" w:cs="Arial"/>
              <w:sz w:val="24"/>
              <w:szCs w:val="24"/>
              <w:lang w:val="en-GB" w:eastAsia="bg-BG"/>
            </w:rPr>
            <w:fldChar w:fldCharType="begin"/>
          </w:r>
          <w:r w:rsidR="007C77BE" w:rsidRPr="007C77BE">
            <w:rPr>
              <w:rFonts w:ascii="Arial" w:eastAsia="Times New Roman" w:hAnsi="Arial" w:cs="Arial"/>
              <w:sz w:val="24"/>
              <w:szCs w:val="24"/>
              <w:lang w:val="en-GB" w:eastAsia="bg-BG"/>
            </w:rPr>
            <w:instrText xml:space="preserve"> CITATION Gee14 \l 2057 </w:instrText>
          </w:r>
          <w:r w:rsidR="007C77BE" w:rsidRPr="007C77BE">
            <w:rPr>
              <w:rFonts w:ascii="Arial" w:eastAsia="Times New Roman" w:hAnsi="Arial" w:cs="Arial"/>
              <w:sz w:val="24"/>
              <w:szCs w:val="24"/>
              <w:lang w:val="en-GB" w:eastAsia="bg-BG"/>
            </w:rPr>
            <w:fldChar w:fldCharType="separate"/>
          </w:r>
          <w:r w:rsidR="007C77BE" w:rsidRPr="007C77BE">
            <w:rPr>
              <w:rFonts w:ascii="Arial" w:eastAsia="Times New Roman" w:hAnsi="Arial" w:cs="Arial"/>
              <w:noProof/>
              <w:sz w:val="24"/>
              <w:szCs w:val="24"/>
              <w:lang w:val="en-GB" w:eastAsia="bg-BG"/>
            </w:rPr>
            <w:t>(Hodrick, 2014)</w:t>
          </w:r>
          <w:r w:rsidR="007C77BE" w:rsidRPr="007C77BE">
            <w:rPr>
              <w:rFonts w:ascii="Arial" w:eastAsia="Times New Roman" w:hAnsi="Arial" w:cs="Arial"/>
              <w:sz w:val="24"/>
              <w:szCs w:val="24"/>
              <w:lang w:val="en-GB" w:eastAsia="bg-BG"/>
            </w:rPr>
            <w:fldChar w:fldCharType="end"/>
          </w:r>
        </w:sdtContent>
      </w:sdt>
      <w:r w:rsidR="007C77BE" w:rsidRPr="007C77BE">
        <w:rPr>
          <w:rFonts w:ascii="Arial" w:eastAsia="Times New Roman" w:hAnsi="Arial" w:cs="Arial"/>
          <w:sz w:val="24"/>
          <w:szCs w:val="24"/>
          <w:lang w:val="en-GB" w:eastAsia="bg-BG"/>
        </w:rPr>
        <w:t>.</w:t>
      </w:r>
    </w:p>
    <w:p w14:paraId="31641835" w14:textId="3D662FEF" w:rsidR="008C08F2" w:rsidRPr="008C08F2" w:rsidRDefault="008C08F2" w:rsidP="00B77353">
      <w:pPr>
        <w:spacing w:after="0" w:line="240" w:lineRule="auto"/>
        <w:rPr>
          <w:rFonts w:ascii="Times New Roman" w:eastAsia="Times New Roman" w:hAnsi="Times New Roman" w:cs="Times New Roman"/>
          <w:sz w:val="24"/>
          <w:szCs w:val="24"/>
          <w:lang w:eastAsia="bg-BG"/>
        </w:rPr>
      </w:pPr>
    </w:p>
    <w:p w14:paraId="31DA4206" w14:textId="62682D3A" w:rsidR="00CA4B45" w:rsidRDefault="00CA4B45" w:rsidP="00B77353">
      <w:pPr>
        <w:pStyle w:val="Heading2"/>
        <w:spacing w:line="240" w:lineRule="auto"/>
        <w:rPr>
          <w:lang w:val="en-GB" w:eastAsia="bg-BG"/>
        </w:rPr>
      </w:pPr>
      <w:bookmarkStart w:id="4" w:name="_Toc163516464"/>
      <w:r>
        <w:rPr>
          <w:lang w:val="en-GB" w:eastAsia="bg-BG"/>
        </w:rPr>
        <w:lastRenderedPageBreak/>
        <w:t>Transaction Rates</w:t>
      </w:r>
      <w:bookmarkEnd w:id="4"/>
    </w:p>
    <w:p w14:paraId="4A146552" w14:textId="6C1DF0A0" w:rsidR="00D35AE0" w:rsidRPr="00E96071" w:rsidRDefault="005E5CD3" w:rsidP="00B77353">
      <w:pPr>
        <w:spacing w:line="240" w:lineRule="auto"/>
        <w:ind w:firstLine="709"/>
        <w:rPr>
          <w:rFonts w:ascii="Arial" w:eastAsia="Times New Roman" w:hAnsi="Arial" w:cs="Arial"/>
          <w:sz w:val="24"/>
          <w:szCs w:val="24"/>
          <w:lang w:val="en-GB" w:eastAsia="bg-BG"/>
        </w:rPr>
      </w:pPr>
      <w:r w:rsidRPr="005E5CD3">
        <w:rPr>
          <w:rFonts w:ascii="Arial" w:eastAsia="Times New Roman" w:hAnsi="Arial" w:cs="Arial"/>
          <w:sz w:val="24"/>
          <w:szCs w:val="24"/>
          <w:lang w:eastAsia="bg-BG"/>
        </w:rPr>
        <w:t>Corporations, institutional investors, and individuals face transaction exchange risk when they enter into a transaction in which they must pay or receive a certain amount of foreign currency on a future date. Because the future spot exchange rate cannot be predicted with precision and might fluctuate in an adverse direction, such a transaction may result in a loss</w:t>
      </w:r>
      <w:sdt>
        <w:sdtPr>
          <w:rPr>
            <w:rFonts w:ascii="Arial" w:eastAsia="Times New Roman" w:hAnsi="Arial" w:cs="Arial"/>
            <w:sz w:val="24"/>
            <w:szCs w:val="24"/>
            <w:lang w:eastAsia="bg-BG"/>
          </w:rPr>
          <w:id w:val="1321928845"/>
          <w:citation/>
        </w:sdtPr>
        <w:sdtContent>
          <w:r w:rsidR="00F20920" w:rsidRPr="00E96071">
            <w:rPr>
              <w:rFonts w:ascii="Arial" w:eastAsia="Times New Roman" w:hAnsi="Arial" w:cs="Arial"/>
              <w:sz w:val="24"/>
              <w:szCs w:val="24"/>
              <w:lang w:eastAsia="bg-BG"/>
            </w:rPr>
            <w:fldChar w:fldCharType="begin"/>
          </w:r>
          <w:r w:rsidR="00F20920" w:rsidRPr="00E96071">
            <w:rPr>
              <w:rFonts w:ascii="Arial" w:eastAsia="Times New Roman" w:hAnsi="Arial" w:cs="Arial"/>
              <w:sz w:val="24"/>
              <w:szCs w:val="24"/>
              <w:lang w:val="en-GB" w:eastAsia="bg-BG"/>
            </w:rPr>
            <w:instrText xml:space="preserve"> CITATION Ede97 \l 2057 </w:instrText>
          </w:r>
          <w:r w:rsidR="00F20920" w:rsidRPr="00E96071">
            <w:rPr>
              <w:rFonts w:ascii="Arial" w:eastAsia="Times New Roman" w:hAnsi="Arial" w:cs="Arial"/>
              <w:sz w:val="24"/>
              <w:szCs w:val="24"/>
              <w:lang w:eastAsia="bg-BG"/>
            </w:rPr>
            <w:fldChar w:fldCharType="separate"/>
          </w:r>
          <w:r w:rsidR="00F20920" w:rsidRPr="00E96071">
            <w:rPr>
              <w:rFonts w:ascii="Arial" w:eastAsia="Times New Roman" w:hAnsi="Arial" w:cs="Arial"/>
              <w:noProof/>
              <w:sz w:val="24"/>
              <w:szCs w:val="24"/>
              <w:lang w:val="en-GB" w:eastAsia="bg-BG"/>
            </w:rPr>
            <w:t xml:space="preserve"> (Edelshain, 1997)</w:t>
          </w:r>
          <w:r w:rsidR="00F20920" w:rsidRPr="00E96071">
            <w:rPr>
              <w:rFonts w:ascii="Arial" w:eastAsia="Times New Roman" w:hAnsi="Arial" w:cs="Arial"/>
              <w:sz w:val="24"/>
              <w:szCs w:val="24"/>
              <w:lang w:eastAsia="bg-BG"/>
            </w:rPr>
            <w:fldChar w:fldCharType="end"/>
          </w:r>
        </w:sdtContent>
      </w:sdt>
      <w:r w:rsidR="00F20920" w:rsidRPr="00E96071">
        <w:rPr>
          <w:rFonts w:ascii="Arial" w:eastAsia="Times New Roman" w:hAnsi="Arial" w:cs="Arial"/>
          <w:sz w:val="24"/>
          <w:szCs w:val="24"/>
          <w:lang w:val="en-GB" w:eastAsia="bg-BG"/>
        </w:rPr>
        <w:t>.</w:t>
      </w:r>
    </w:p>
    <w:p w14:paraId="5BEB3C79" w14:textId="51D304F0" w:rsidR="00D35AE0" w:rsidRPr="00E96071" w:rsidRDefault="005E5CD3" w:rsidP="00B77353">
      <w:pPr>
        <w:spacing w:line="240" w:lineRule="auto"/>
        <w:ind w:firstLine="709"/>
        <w:rPr>
          <w:rFonts w:ascii="Arial" w:eastAsia="Times New Roman" w:hAnsi="Arial" w:cs="Arial"/>
          <w:sz w:val="24"/>
          <w:szCs w:val="24"/>
          <w:lang w:val="en-GB" w:eastAsia="bg-BG"/>
        </w:rPr>
      </w:pPr>
      <w:r w:rsidRPr="005E5CD3">
        <w:rPr>
          <w:rFonts w:ascii="Arial" w:eastAsia="Times New Roman" w:hAnsi="Arial" w:cs="Arial"/>
          <w:sz w:val="24"/>
          <w:szCs w:val="24"/>
          <w:lang w:eastAsia="bg-BG"/>
        </w:rPr>
        <w:t xml:space="preserve"> </w:t>
      </w:r>
      <w:r w:rsidR="00431AD0" w:rsidRPr="00E96071">
        <w:rPr>
          <w:rFonts w:ascii="Arial" w:eastAsia="Times New Roman" w:hAnsi="Arial" w:cs="Arial"/>
          <w:sz w:val="24"/>
          <w:szCs w:val="24"/>
          <w:lang w:val="en-GB" w:eastAsia="bg-BG"/>
        </w:rPr>
        <w:t xml:space="preserve">According to the given example </w:t>
      </w:r>
      <w:r w:rsidR="009D5B01" w:rsidRPr="00E96071">
        <w:rPr>
          <w:rFonts w:ascii="Arial" w:eastAsia="Times New Roman" w:hAnsi="Arial" w:cs="Arial"/>
          <w:sz w:val="24"/>
          <w:szCs w:val="24"/>
          <w:lang w:val="en-GB" w:eastAsia="bg-BG"/>
        </w:rPr>
        <w:t>by Hordrick (2014)</w:t>
      </w:r>
      <w:r w:rsidR="00F6365F" w:rsidRPr="00E96071">
        <w:rPr>
          <w:rFonts w:ascii="Arial" w:eastAsia="Times New Roman" w:hAnsi="Arial" w:cs="Arial"/>
          <w:sz w:val="24"/>
          <w:szCs w:val="24"/>
          <w:lang w:val="en-GB" w:eastAsia="bg-BG"/>
        </w:rPr>
        <w:t xml:space="preserve"> ‘If </w:t>
      </w:r>
      <w:r w:rsidRPr="005E5CD3">
        <w:rPr>
          <w:rFonts w:ascii="Arial" w:eastAsia="Times New Roman" w:hAnsi="Arial" w:cs="Arial"/>
          <w:sz w:val="24"/>
          <w:szCs w:val="24"/>
          <w:lang w:eastAsia="bg-BG"/>
        </w:rPr>
        <w:t xml:space="preserve">Motorola, a US corporation, is importing some electrical equipment from Hitachi, a Japanese company. Motorola orders the equipment and pledges to pay a specific number of yen in 90 days. Motorola does nothing between the time it enters into the transaction and when the yen payment is expected to occur. </w:t>
      </w:r>
      <w:r w:rsidR="00D35AE0" w:rsidRPr="00E96071">
        <w:rPr>
          <w:rFonts w:ascii="Arial" w:eastAsia="Times New Roman" w:hAnsi="Arial" w:cs="Arial"/>
          <w:sz w:val="24"/>
          <w:szCs w:val="24"/>
          <w:lang w:eastAsia="bg-BG"/>
        </w:rPr>
        <w:t>As a result, Motorola will be compelled to acquire the amount of yen owed to Hitachi in dollars on the future spot market. If the dollar suddenly drops relative to the yen, Motorola will have to pay more than planned.</w:t>
      </w:r>
      <w:r w:rsidR="00F6365F" w:rsidRPr="00E96071">
        <w:rPr>
          <w:rFonts w:ascii="Arial" w:eastAsia="Times New Roman" w:hAnsi="Arial" w:cs="Arial"/>
          <w:sz w:val="24"/>
          <w:szCs w:val="24"/>
          <w:lang w:val="en-GB" w:eastAsia="bg-BG"/>
        </w:rPr>
        <w:t>’</w:t>
      </w:r>
      <w:r w:rsidR="00F118CF" w:rsidRPr="00E96071">
        <w:rPr>
          <w:rFonts w:ascii="Arial" w:eastAsia="Times New Roman" w:hAnsi="Arial" w:cs="Arial"/>
          <w:sz w:val="24"/>
          <w:szCs w:val="24"/>
          <w:lang w:val="en-GB" w:eastAsia="bg-BG"/>
        </w:rPr>
        <w:t xml:space="preserve"> </w:t>
      </w:r>
      <w:r w:rsidR="00AC7E66" w:rsidRPr="00E96071">
        <w:rPr>
          <w:rFonts w:ascii="Arial" w:eastAsia="Times New Roman" w:hAnsi="Arial" w:cs="Arial"/>
          <w:sz w:val="24"/>
          <w:szCs w:val="24"/>
          <w:lang w:val="en-GB" w:eastAsia="bg-BG"/>
        </w:rPr>
        <w:t>This is one of many examples of how dinamic</w:t>
      </w:r>
      <w:r w:rsidR="00C76080" w:rsidRPr="00E96071">
        <w:rPr>
          <w:rFonts w:ascii="Arial" w:eastAsia="Times New Roman" w:hAnsi="Arial" w:cs="Arial"/>
          <w:sz w:val="24"/>
          <w:szCs w:val="24"/>
          <w:lang w:val="en-GB" w:eastAsia="bg-BG"/>
        </w:rPr>
        <w:t xml:space="preserve"> the transaction exchange rate can be. In this case speaking </w:t>
      </w:r>
      <w:r w:rsidR="00057D90" w:rsidRPr="00E96071">
        <w:rPr>
          <w:rFonts w:ascii="Arial" w:eastAsia="Times New Roman" w:hAnsi="Arial" w:cs="Arial"/>
          <w:sz w:val="24"/>
          <w:szCs w:val="24"/>
          <w:lang w:val="en-GB" w:eastAsia="bg-BG"/>
        </w:rPr>
        <w:t>subjectively</w:t>
      </w:r>
      <w:r w:rsidR="000D4752" w:rsidRPr="00E96071">
        <w:rPr>
          <w:rFonts w:ascii="Arial" w:eastAsia="Times New Roman" w:hAnsi="Arial" w:cs="Arial"/>
          <w:sz w:val="24"/>
          <w:szCs w:val="24"/>
          <w:lang w:val="en-GB" w:eastAsia="bg-BG"/>
        </w:rPr>
        <w:t xml:space="preserve">, however </w:t>
      </w:r>
      <w:r w:rsidR="00A56A93" w:rsidRPr="00E96071">
        <w:rPr>
          <w:rFonts w:ascii="Arial" w:eastAsia="Times New Roman" w:hAnsi="Arial" w:cs="Arial"/>
          <w:sz w:val="24"/>
          <w:szCs w:val="24"/>
          <w:lang w:val="en-GB" w:eastAsia="bg-BG"/>
        </w:rPr>
        <w:t>cases like t</w:t>
      </w:r>
      <w:r w:rsidR="00615261" w:rsidRPr="00E96071">
        <w:rPr>
          <w:rFonts w:ascii="Arial" w:eastAsia="Times New Roman" w:hAnsi="Arial" w:cs="Arial"/>
          <w:sz w:val="24"/>
          <w:szCs w:val="24"/>
          <w:lang w:val="en-GB" w:eastAsia="bg-BG"/>
        </w:rPr>
        <w:t>he one mentioned above are frequently occure in the finacial world</w:t>
      </w:r>
      <w:r w:rsidR="005E65D1" w:rsidRPr="00E96071">
        <w:rPr>
          <w:rFonts w:ascii="Arial" w:eastAsia="Times New Roman" w:hAnsi="Arial" w:cs="Arial"/>
          <w:sz w:val="24"/>
          <w:szCs w:val="24"/>
          <w:lang w:val="en-GB" w:eastAsia="bg-BG"/>
        </w:rPr>
        <w:t xml:space="preserve"> and it shows that the MNC are really rel</w:t>
      </w:r>
      <w:r w:rsidR="002E67E8" w:rsidRPr="00E96071">
        <w:rPr>
          <w:rFonts w:ascii="Arial" w:eastAsia="Times New Roman" w:hAnsi="Arial" w:cs="Arial"/>
          <w:sz w:val="24"/>
          <w:szCs w:val="24"/>
          <w:lang w:val="en-GB" w:eastAsia="bg-BG"/>
        </w:rPr>
        <w:t>lying on financial statements, and u</w:t>
      </w:r>
      <w:r w:rsidR="008C4556" w:rsidRPr="00E96071">
        <w:rPr>
          <w:rFonts w:ascii="Arial" w:eastAsia="Times New Roman" w:hAnsi="Arial" w:cs="Arial"/>
          <w:sz w:val="24"/>
          <w:szCs w:val="24"/>
          <w:lang w:val="en-GB" w:eastAsia="bg-BG"/>
        </w:rPr>
        <w:t>p</w:t>
      </w:r>
      <w:r w:rsidR="008F68E2">
        <w:rPr>
          <w:rFonts w:ascii="Arial" w:eastAsia="Times New Roman" w:hAnsi="Arial" w:cs="Arial"/>
          <w:sz w:val="24"/>
          <w:szCs w:val="24"/>
          <w:lang w:val="en-GB" w:eastAsia="bg-BG"/>
        </w:rPr>
        <w:t xml:space="preserve"> </w:t>
      </w:r>
      <w:r w:rsidR="008C4556" w:rsidRPr="00E96071">
        <w:rPr>
          <w:rFonts w:ascii="Arial" w:eastAsia="Times New Roman" w:hAnsi="Arial" w:cs="Arial"/>
          <w:sz w:val="24"/>
          <w:szCs w:val="24"/>
          <w:lang w:val="en-GB" w:eastAsia="bg-BG"/>
        </w:rPr>
        <w:t>to</w:t>
      </w:r>
      <w:r w:rsidR="008F68E2">
        <w:rPr>
          <w:rFonts w:ascii="Arial" w:eastAsia="Times New Roman" w:hAnsi="Arial" w:cs="Arial"/>
          <w:sz w:val="24"/>
          <w:szCs w:val="24"/>
          <w:lang w:val="en-GB" w:eastAsia="bg-BG"/>
        </w:rPr>
        <w:t xml:space="preserve"> </w:t>
      </w:r>
      <w:r w:rsidR="008C4556" w:rsidRPr="00E96071">
        <w:rPr>
          <w:rFonts w:ascii="Arial" w:eastAsia="Times New Roman" w:hAnsi="Arial" w:cs="Arial"/>
          <w:sz w:val="24"/>
          <w:szCs w:val="24"/>
          <w:lang w:val="en-GB" w:eastAsia="bg-BG"/>
        </w:rPr>
        <w:t>date information and credible sour</w:t>
      </w:r>
      <w:r w:rsidR="00C14C08" w:rsidRPr="00E96071">
        <w:rPr>
          <w:rFonts w:ascii="Arial" w:eastAsia="Times New Roman" w:hAnsi="Arial" w:cs="Arial"/>
          <w:sz w:val="24"/>
          <w:szCs w:val="24"/>
          <w:lang w:val="en-GB" w:eastAsia="bg-BG"/>
        </w:rPr>
        <w:t xml:space="preserve">ces to operate their international transactions </w:t>
      </w:r>
      <w:r w:rsidR="00E96071" w:rsidRPr="00E96071">
        <w:rPr>
          <w:rFonts w:ascii="Arial" w:eastAsia="Times New Roman" w:hAnsi="Arial" w:cs="Arial"/>
          <w:sz w:val="24"/>
          <w:szCs w:val="24"/>
          <w:lang w:val="en-GB" w:eastAsia="bg-BG"/>
        </w:rPr>
        <w:t>and investor</w:t>
      </w:r>
      <w:r w:rsidR="00B77353">
        <w:rPr>
          <w:rFonts w:ascii="Arial" w:eastAsia="Times New Roman" w:hAnsi="Arial" w:cs="Arial"/>
          <w:sz w:val="24"/>
          <w:szCs w:val="24"/>
          <w:lang w:val="en-GB" w:eastAsia="bg-BG"/>
        </w:rPr>
        <w:t>’</w:t>
      </w:r>
      <w:r w:rsidR="00E96071" w:rsidRPr="00E96071">
        <w:rPr>
          <w:rFonts w:ascii="Arial" w:eastAsia="Times New Roman" w:hAnsi="Arial" w:cs="Arial"/>
          <w:sz w:val="24"/>
          <w:szCs w:val="24"/>
          <w:lang w:val="en-GB" w:eastAsia="bg-BG"/>
        </w:rPr>
        <w:t>s comunication</w:t>
      </w:r>
      <w:r w:rsidR="00B77353">
        <w:rPr>
          <w:rFonts w:ascii="Arial" w:eastAsia="Times New Roman" w:hAnsi="Arial" w:cs="Arial"/>
          <w:sz w:val="24"/>
          <w:szCs w:val="24"/>
          <w:lang w:val="en-GB" w:eastAsia="bg-BG"/>
        </w:rPr>
        <w:t>s.</w:t>
      </w:r>
    </w:p>
    <w:p w14:paraId="06DAAC4A" w14:textId="6A7BCF70" w:rsidR="005E5CD3" w:rsidRPr="005E5CD3" w:rsidRDefault="005E5CD3" w:rsidP="00B77353">
      <w:pPr>
        <w:spacing w:after="0" w:line="240" w:lineRule="auto"/>
        <w:rPr>
          <w:rFonts w:ascii="Times New Roman" w:eastAsia="Times New Roman" w:hAnsi="Times New Roman" w:cs="Times New Roman"/>
          <w:sz w:val="24"/>
          <w:szCs w:val="24"/>
          <w:lang w:eastAsia="bg-BG"/>
        </w:rPr>
      </w:pPr>
    </w:p>
    <w:p w14:paraId="5E6F9A16" w14:textId="781B52F9" w:rsidR="00CA4B45" w:rsidRPr="00CA4B45" w:rsidRDefault="00CA4B45" w:rsidP="00B77353">
      <w:pPr>
        <w:spacing w:line="240" w:lineRule="auto"/>
        <w:rPr>
          <w:lang w:val="en-GB" w:eastAsia="bg-BG"/>
        </w:rPr>
      </w:pPr>
    </w:p>
    <w:p w14:paraId="0231EDC5" w14:textId="77777777" w:rsidR="005F06DA" w:rsidRPr="005F06DA" w:rsidRDefault="005F06DA" w:rsidP="00B77353">
      <w:pPr>
        <w:spacing w:line="240" w:lineRule="auto"/>
        <w:rPr>
          <w:lang w:val="en-GB" w:eastAsia="bg-BG"/>
        </w:rPr>
      </w:pPr>
    </w:p>
    <w:p w14:paraId="28927B3A" w14:textId="10E63308" w:rsidR="00A55832" w:rsidRDefault="00262417" w:rsidP="00B77353">
      <w:pPr>
        <w:pStyle w:val="Heading1"/>
        <w:spacing w:line="240" w:lineRule="auto"/>
        <w:rPr>
          <w:lang w:val="en-GB"/>
        </w:rPr>
      </w:pPr>
      <w:bookmarkStart w:id="5" w:name="_Toc163516465"/>
      <w:r>
        <w:rPr>
          <w:lang w:val="en-GB"/>
        </w:rPr>
        <w:t>Objectives of managing foreign exchange risk</w:t>
      </w:r>
      <w:bookmarkEnd w:id="5"/>
    </w:p>
    <w:p w14:paraId="7FDA99F2" w14:textId="77777777" w:rsidR="00587802" w:rsidRPr="00587802" w:rsidRDefault="00587802" w:rsidP="00B77353">
      <w:pPr>
        <w:spacing w:line="240" w:lineRule="auto"/>
        <w:rPr>
          <w:lang w:val="en-GB"/>
        </w:rPr>
      </w:pPr>
    </w:p>
    <w:p w14:paraId="066CA5FA" w14:textId="61B578C6" w:rsidR="00086D50" w:rsidRPr="00086D50" w:rsidRDefault="00086D50" w:rsidP="00B77353">
      <w:pPr>
        <w:spacing w:after="0" w:line="240" w:lineRule="auto"/>
        <w:ind w:firstLine="709"/>
        <w:rPr>
          <w:rFonts w:ascii="Arial" w:eastAsia="Times New Roman" w:hAnsi="Arial" w:cs="Arial"/>
          <w:sz w:val="24"/>
          <w:szCs w:val="24"/>
          <w:lang w:val="en-GB" w:eastAsia="bg-BG"/>
        </w:rPr>
      </w:pPr>
      <w:r w:rsidRPr="00086D50">
        <w:rPr>
          <w:rFonts w:ascii="Arial" w:eastAsia="Times New Roman" w:hAnsi="Arial" w:cs="Arial"/>
          <w:sz w:val="24"/>
          <w:szCs w:val="24"/>
          <w:lang w:eastAsia="bg-BG"/>
        </w:rPr>
        <w:t xml:space="preserve">In general, many of the MNCs polled prioritize foreign exchange risk management. However, there are other techniques for coping with this danger. According to reports, many companies ultimate strategy in foreign exchange risk management is defensive, with the goal of minimizing foreign exchange losses. Other stated aims of controlling </w:t>
      </w:r>
      <w:r w:rsidR="00747332" w:rsidRPr="00EA22BA">
        <w:rPr>
          <w:rFonts w:ascii="Arial" w:eastAsia="Times New Roman" w:hAnsi="Arial" w:cs="Arial"/>
          <w:sz w:val="24"/>
          <w:szCs w:val="24"/>
          <w:lang w:val="en-GB" w:eastAsia="bg-BG"/>
        </w:rPr>
        <w:t xml:space="preserve">the </w:t>
      </w:r>
      <w:r w:rsidRPr="00086D50">
        <w:rPr>
          <w:rFonts w:ascii="Arial" w:eastAsia="Times New Roman" w:hAnsi="Arial" w:cs="Arial"/>
          <w:sz w:val="24"/>
          <w:szCs w:val="24"/>
          <w:lang w:eastAsia="bg-BG"/>
        </w:rPr>
        <w:t>foreign</w:t>
      </w:r>
      <w:r w:rsidR="00747332" w:rsidRPr="00EA22BA">
        <w:rPr>
          <w:rFonts w:ascii="Arial" w:eastAsia="Times New Roman" w:hAnsi="Arial" w:cs="Arial"/>
          <w:sz w:val="24"/>
          <w:szCs w:val="24"/>
          <w:lang w:val="en-GB" w:eastAsia="bg-BG"/>
        </w:rPr>
        <w:t xml:space="preserve"> exchange</w:t>
      </w:r>
      <w:r w:rsidRPr="00086D50">
        <w:rPr>
          <w:rFonts w:ascii="Arial" w:eastAsia="Times New Roman" w:hAnsi="Arial" w:cs="Arial"/>
          <w:sz w:val="24"/>
          <w:szCs w:val="24"/>
          <w:lang w:eastAsia="bg-BG"/>
        </w:rPr>
        <w:t xml:space="preserve"> risk include lowering cash flow volatility, hedging the risk regardless of foreign exchange risk perceptions, and safeguarding earnings from swings. Figure </w:t>
      </w:r>
      <w:r w:rsidR="003936D3">
        <w:rPr>
          <w:rFonts w:ascii="Arial" w:eastAsia="Times New Roman" w:hAnsi="Arial" w:cs="Arial"/>
          <w:sz w:val="24"/>
          <w:szCs w:val="24"/>
          <w:lang w:val="en-GB" w:eastAsia="bg-BG"/>
        </w:rPr>
        <w:t>1</w:t>
      </w:r>
      <w:r w:rsidRPr="00086D50">
        <w:rPr>
          <w:rFonts w:ascii="Arial" w:eastAsia="Times New Roman" w:hAnsi="Arial" w:cs="Arial"/>
          <w:sz w:val="24"/>
          <w:szCs w:val="24"/>
          <w:lang w:eastAsia="bg-BG"/>
        </w:rPr>
        <w:t xml:space="preserve"> shows that ther</w:t>
      </w:r>
      <w:r w:rsidR="00747332" w:rsidRPr="00EA22BA">
        <w:rPr>
          <w:rFonts w:ascii="Arial" w:eastAsia="Times New Roman" w:hAnsi="Arial" w:cs="Arial"/>
          <w:sz w:val="24"/>
          <w:szCs w:val="24"/>
          <w:lang w:val="en-GB" w:eastAsia="bg-BG"/>
        </w:rPr>
        <w:t>e</w:t>
      </w:r>
      <w:r w:rsidR="00616563" w:rsidRPr="00EA22BA">
        <w:rPr>
          <w:rFonts w:ascii="Arial" w:eastAsia="Times New Roman" w:hAnsi="Arial" w:cs="Arial"/>
          <w:sz w:val="24"/>
          <w:szCs w:val="24"/>
          <w:lang w:val="en-GB" w:eastAsia="bg-BG"/>
        </w:rPr>
        <w:t>’</w:t>
      </w:r>
      <w:r w:rsidR="00747332" w:rsidRPr="00EA22BA">
        <w:rPr>
          <w:rFonts w:ascii="Arial" w:eastAsia="Times New Roman" w:hAnsi="Arial" w:cs="Arial"/>
          <w:sz w:val="24"/>
          <w:szCs w:val="24"/>
          <w:lang w:val="en-GB" w:eastAsia="bg-BG"/>
        </w:rPr>
        <w:t>s</w:t>
      </w:r>
      <w:r w:rsidRPr="00086D50">
        <w:rPr>
          <w:rFonts w:ascii="Arial" w:eastAsia="Times New Roman" w:hAnsi="Arial" w:cs="Arial"/>
          <w:sz w:val="24"/>
          <w:szCs w:val="24"/>
          <w:lang w:eastAsia="bg-BG"/>
        </w:rPr>
        <w:t xml:space="preserve"> a substantial variation between the purpose of controlling</w:t>
      </w:r>
      <w:r w:rsidR="00616563" w:rsidRPr="00EA22BA">
        <w:rPr>
          <w:rFonts w:ascii="Arial" w:eastAsia="Times New Roman" w:hAnsi="Arial" w:cs="Arial"/>
          <w:sz w:val="24"/>
          <w:szCs w:val="24"/>
          <w:lang w:val="en-GB" w:eastAsia="bg-BG"/>
        </w:rPr>
        <w:t xml:space="preserve"> the</w:t>
      </w:r>
      <w:r w:rsidRPr="00086D50">
        <w:rPr>
          <w:rFonts w:ascii="Arial" w:eastAsia="Times New Roman" w:hAnsi="Arial" w:cs="Arial"/>
          <w:sz w:val="24"/>
          <w:szCs w:val="24"/>
          <w:lang w:eastAsia="bg-BG"/>
        </w:rPr>
        <w:t xml:space="preserve"> risk management and the respondent areas</w:t>
      </w:r>
      <w:r w:rsidR="00FA6AFD">
        <w:rPr>
          <w:rFonts w:ascii="Arial" w:eastAsia="Times New Roman" w:hAnsi="Arial" w:cs="Arial"/>
          <w:sz w:val="24"/>
          <w:szCs w:val="24"/>
          <w:lang w:val="en-GB" w:eastAsia="bg-BG"/>
        </w:rPr>
        <w:t xml:space="preserve"> </w:t>
      </w:r>
      <w:sdt>
        <w:sdtPr>
          <w:rPr>
            <w:rFonts w:ascii="Arial" w:eastAsia="Times New Roman" w:hAnsi="Arial" w:cs="Arial"/>
            <w:sz w:val="24"/>
            <w:szCs w:val="24"/>
            <w:lang w:val="en-GB" w:eastAsia="bg-BG"/>
          </w:rPr>
          <w:id w:val="-1339386984"/>
          <w:citation/>
        </w:sdtPr>
        <w:sdtContent>
          <w:r w:rsidR="00FA6AFD">
            <w:rPr>
              <w:rFonts w:ascii="Arial" w:eastAsia="Times New Roman" w:hAnsi="Arial" w:cs="Arial"/>
              <w:sz w:val="24"/>
              <w:szCs w:val="24"/>
              <w:lang w:val="en-GB" w:eastAsia="bg-BG"/>
            </w:rPr>
            <w:fldChar w:fldCharType="begin"/>
          </w:r>
          <w:r w:rsidR="00FA6AFD">
            <w:rPr>
              <w:rFonts w:ascii="Arial" w:eastAsia="Times New Roman" w:hAnsi="Arial" w:cs="Arial"/>
              <w:sz w:val="24"/>
              <w:szCs w:val="24"/>
              <w:lang w:val="en-GB" w:eastAsia="bg-BG"/>
            </w:rPr>
            <w:instrText xml:space="preserve"> CITATION And00 \l 2057 </w:instrText>
          </w:r>
          <w:r w:rsidR="00FA6AFD">
            <w:rPr>
              <w:rFonts w:ascii="Arial" w:eastAsia="Times New Roman" w:hAnsi="Arial" w:cs="Arial"/>
              <w:sz w:val="24"/>
              <w:szCs w:val="24"/>
              <w:lang w:val="en-GB" w:eastAsia="bg-BG"/>
            </w:rPr>
            <w:fldChar w:fldCharType="separate"/>
          </w:r>
          <w:r w:rsidR="00E651DB" w:rsidRPr="00E651DB">
            <w:rPr>
              <w:rFonts w:ascii="Arial" w:eastAsia="Times New Roman" w:hAnsi="Arial" w:cs="Arial"/>
              <w:noProof/>
              <w:sz w:val="24"/>
              <w:szCs w:val="24"/>
              <w:lang w:val="en-GB" w:eastAsia="bg-BG"/>
            </w:rPr>
            <w:t>(Marshall, 2000)</w:t>
          </w:r>
          <w:r w:rsidR="00FA6AFD">
            <w:rPr>
              <w:rFonts w:ascii="Arial" w:eastAsia="Times New Roman" w:hAnsi="Arial" w:cs="Arial"/>
              <w:sz w:val="24"/>
              <w:szCs w:val="24"/>
              <w:lang w:val="en-GB" w:eastAsia="bg-BG"/>
            </w:rPr>
            <w:fldChar w:fldCharType="end"/>
          </w:r>
        </w:sdtContent>
      </w:sdt>
    </w:p>
    <w:p w14:paraId="052CB60B" w14:textId="77777777" w:rsidR="00086D50" w:rsidRPr="00EA22BA" w:rsidRDefault="00086D50" w:rsidP="00B77353">
      <w:pPr>
        <w:spacing w:line="240" w:lineRule="auto"/>
        <w:ind w:firstLine="709"/>
        <w:rPr>
          <w:rFonts w:ascii="Arial" w:hAnsi="Arial" w:cs="Arial"/>
          <w:lang w:val="en-GB"/>
        </w:rPr>
      </w:pPr>
    </w:p>
    <w:p w14:paraId="59B1F542" w14:textId="4373B652" w:rsidR="00974F89" w:rsidRDefault="00645CF2" w:rsidP="00B77353">
      <w:pPr>
        <w:spacing w:after="0" w:line="240" w:lineRule="auto"/>
        <w:ind w:firstLine="709"/>
        <w:rPr>
          <w:rFonts w:ascii="Arial" w:eastAsia="Times New Roman" w:hAnsi="Arial" w:cs="Arial"/>
          <w:sz w:val="24"/>
          <w:szCs w:val="24"/>
          <w:lang w:val="en-GB" w:eastAsia="bg-BG"/>
        </w:rPr>
      </w:pPr>
      <w:r>
        <w:rPr>
          <w:rFonts w:ascii="Arial" w:eastAsia="Times New Roman" w:hAnsi="Arial" w:cs="Arial"/>
          <w:sz w:val="24"/>
          <w:szCs w:val="24"/>
          <w:lang w:val="en-GB" w:eastAsia="bg-BG"/>
        </w:rPr>
        <w:t xml:space="preserve">According to </w:t>
      </w:r>
      <w:r w:rsidR="00E651DB" w:rsidRPr="00E651DB">
        <w:rPr>
          <w:rFonts w:ascii="Arial" w:eastAsia="Times New Roman" w:hAnsi="Arial" w:cs="Arial"/>
          <w:noProof/>
          <w:sz w:val="24"/>
          <w:szCs w:val="24"/>
          <w:lang w:val="en-GB" w:eastAsia="bg-BG"/>
        </w:rPr>
        <w:t>Marshall</w:t>
      </w:r>
      <w:r w:rsidR="00E651DB">
        <w:rPr>
          <w:rFonts w:ascii="Arial" w:eastAsia="Times New Roman" w:hAnsi="Arial" w:cs="Arial"/>
          <w:noProof/>
          <w:sz w:val="24"/>
          <w:szCs w:val="24"/>
          <w:lang w:val="en-GB" w:eastAsia="bg-BG"/>
        </w:rPr>
        <w:t xml:space="preserve"> (</w:t>
      </w:r>
      <w:r w:rsidR="00E651DB" w:rsidRPr="00E651DB">
        <w:rPr>
          <w:rFonts w:ascii="Arial" w:eastAsia="Times New Roman" w:hAnsi="Arial" w:cs="Arial"/>
          <w:noProof/>
          <w:sz w:val="24"/>
          <w:szCs w:val="24"/>
          <w:lang w:val="en-GB" w:eastAsia="bg-BG"/>
        </w:rPr>
        <w:t>2000)</w:t>
      </w:r>
      <w:r w:rsidR="00793BA1">
        <w:rPr>
          <w:rFonts w:ascii="Arial" w:eastAsia="Times New Roman" w:hAnsi="Arial" w:cs="Arial"/>
          <w:noProof/>
          <w:sz w:val="24"/>
          <w:szCs w:val="24"/>
          <w:lang w:val="en-GB" w:eastAsia="bg-BG"/>
        </w:rPr>
        <w:t xml:space="preserve"> ‘</w:t>
      </w:r>
      <w:r w:rsidR="00A34265">
        <w:rPr>
          <w:rFonts w:ascii="Arial" w:eastAsia="Times New Roman" w:hAnsi="Arial" w:cs="Arial"/>
          <w:sz w:val="24"/>
          <w:szCs w:val="24"/>
          <w:lang w:val="en-GB" w:eastAsia="bg-BG"/>
        </w:rPr>
        <w:t>T</w:t>
      </w:r>
      <w:r w:rsidR="00974F89" w:rsidRPr="00974F89">
        <w:rPr>
          <w:rFonts w:ascii="Arial" w:eastAsia="Times New Roman" w:hAnsi="Arial" w:cs="Arial"/>
          <w:sz w:val="24"/>
          <w:szCs w:val="24"/>
          <w:lang w:eastAsia="bg-BG"/>
        </w:rPr>
        <w:t>his discrepancy is driven by Asian Pacific MNCs, since responses from UK and USA MNCs are relatively similar, with 85% of UK and USA respondents desiring cashflow consistency and reducing profits fluctuations. The result for UK and US MNCs is consistent with earlier single-country research in these areas. Although not statistically significant, MNCs in the biggest size quartile were primarily concerned with minimizing profits swings, whilst MNCs with the highest degree of internationalisation had the primary goal of ensuring cashflow stability. In contrast, 60% of Asia Pacific MNCs' primary goal is to reduce profit swings, while just 25% seek cash flow predictability</w:t>
      </w:r>
      <w:r w:rsidR="00793BA1">
        <w:rPr>
          <w:rFonts w:ascii="Arial" w:eastAsia="Times New Roman" w:hAnsi="Arial" w:cs="Arial"/>
          <w:sz w:val="24"/>
          <w:szCs w:val="24"/>
          <w:lang w:val="en-GB" w:eastAsia="bg-BG"/>
        </w:rPr>
        <w:t>’</w:t>
      </w:r>
      <w:r w:rsidR="00FA6AFD">
        <w:rPr>
          <w:rFonts w:ascii="Arial" w:eastAsia="Times New Roman" w:hAnsi="Arial" w:cs="Arial"/>
          <w:sz w:val="24"/>
          <w:szCs w:val="24"/>
          <w:lang w:val="en-GB" w:eastAsia="bg-BG"/>
        </w:rPr>
        <w:t>.</w:t>
      </w:r>
    </w:p>
    <w:p w14:paraId="38FB7C57" w14:textId="77777777" w:rsidR="006E0369" w:rsidRDefault="006E0369" w:rsidP="00B77353">
      <w:pPr>
        <w:spacing w:after="0" w:line="240" w:lineRule="auto"/>
        <w:rPr>
          <w:rFonts w:ascii="Arial" w:eastAsia="Times New Roman" w:hAnsi="Arial" w:cs="Arial"/>
          <w:sz w:val="24"/>
          <w:szCs w:val="24"/>
          <w:lang w:val="en-GB" w:eastAsia="bg-BG"/>
        </w:rPr>
      </w:pPr>
    </w:p>
    <w:p w14:paraId="7E21FD12" w14:textId="77777777" w:rsidR="003936D3" w:rsidRPr="00974F89" w:rsidRDefault="003936D3" w:rsidP="00B77353">
      <w:pPr>
        <w:spacing w:after="0" w:line="240" w:lineRule="auto"/>
        <w:rPr>
          <w:rFonts w:ascii="Arial" w:eastAsia="Times New Roman" w:hAnsi="Arial" w:cs="Arial"/>
          <w:sz w:val="24"/>
          <w:szCs w:val="24"/>
          <w:lang w:val="en-GB" w:eastAsia="bg-BG"/>
        </w:rPr>
      </w:pPr>
    </w:p>
    <w:p w14:paraId="504C60B5" w14:textId="79450D8E" w:rsidR="00262417" w:rsidRDefault="00262417" w:rsidP="00B77353">
      <w:pPr>
        <w:spacing w:line="240" w:lineRule="auto"/>
        <w:rPr>
          <w:lang w:val="en-GB"/>
        </w:rPr>
      </w:pPr>
      <w:r>
        <w:rPr>
          <w:noProof/>
          <w:lang w:val="en-GB"/>
        </w:rPr>
        <w:drawing>
          <wp:inline distT="0" distB="0" distL="0" distR="0" wp14:anchorId="692605E2" wp14:editId="76F77EA5">
            <wp:extent cx="4938188" cy="2895851"/>
            <wp:effectExtent l="0" t="0" r="0" b="0"/>
            <wp:docPr id="1900656104"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56104" name="Picture 1" descr="A graph with different colored bar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938188" cy="2895851"/>
                    </a:xfrm>
                    <a:prstGeom prst="rect">
                      <a:avLst/>
                    </a:prstGeom>
                  </pic:spPr>
                </pic:pic>
              </a:graphicData>
            </a:graphic>
          </wp:inline>
        </w:drawing>
      </w:r>
    </w:p>
    <w:p w14:paraId="5A2176BF" w14:textId="2068D884" w:rsidR="00262417" w:rsidRDefault="00720549" w:rsidP="00B77353">
      <w:pPr>
        <w:spacing w:line="240" w:lineRule="auto"/>
        <w:jc w:val="center"/>
        <w:rPr>
          <w:rFonts w:ascii="Arial" w:hAnsi="Arial" w:cs="Arial"/>
          <w:sz w:val="24"/>
          <w:szCs w:val="24"/>
          <w:lang w:val="en-GB"/>
        </w:rPr>
      </w:pPr>
      <w:r w:rsidRPr="00BD3E0B">
        <w:rPr>
          <w:rFonts w:ascii="Arial" w:hAnsi="Arial" w:cs="Arial"/>
          <w:sz w:val="24"/>
          <w:szCs w:val="24"/>
          <w:lang w:val="en-GB"/>
        </w:rPr>
        <w:t xml:space="preserve">Figure </w:t>
      </w:r>
      <w:r w:rsidR="003936D3" w:rsidRPr="00BD3E0B">
        <w:rPr>
          <w:rFonts w:ascii="Arial" w:hAnsi="Arial" w:cs="Arial"/>
          <w:sz w:val="24"/>
          <w:szCs w:val="24"/>
          <w:lang w:val="en-GB"/>
        </w:rPr>
        <w:t>1</w:t>
      </w:r>
      <w:r w:rsidR="00FA6AFD" w:rsidRPr="00BD3E0B">
        <w:rPr>
          <w:rFonts w:ascii="Arial" w:hAnsi="Arial" w:cs="Arial"/>
          <w:sz w:val="24"/>
          <w:szCs w:val="24"/>
          <w:lang w:val="en-GB"/>
        </w:rPr>
        <w:t xml:space="preserve">: Objectives </w:t>
      </w:r>
      <w:sdt>
        <w:sdtPr>
          <w:rPr>
            <w:rFonts w:ascii="Arial" w:hAnsi="Arial" w:cs="Arial"/>
            <w:sz w:val="24"/>
            <w:szCs w:val="24"/>
            <w:lang w:val="en-GB"/>
          </w:rPr>
          <w:id w:val="729812888"/>
          <w:citation/>
        </w:sdtPr>
        <w:sdtContent>
          <w:r w:rsidR="00FA6AFD" w:rsidRPr="00BD3E0B">
            <w:rPr>
              <w:rFonts w:ascii="Arial" w:hAnsi="Arial" w:cs="Arial"/>
              <w:sz w:val="24"/>
              <w:szCs w:val="24"/>
              <w:lang w:val="en-GB"/>
            </w:rPr>
            <w:fldChar w:fldCharType="begin"/>
          </w:r>
          <w:r w:rsidR="00FA6AFD" w:rsidRPr="00BD3E0B">
            <w:rPr>
              <w:rFonts w:ascii="Arial" w:hAnsi="Arial" w:cs="Arial"/>
              <w:sz w:val="24"/>
              <w:szCs w:val="24"/>
              <w:lang w:val="en-GB"/>
            </w:rPr>
            <w:instrText xml:space="preserve"> CITATION And00 \l 2057 </w:instrText>
          </w:r>
          <w:r w:rsidR="00FA6AFD" w:rsidRPr="00BD3E0B">
            <w:rPr>
              <w:rFonts w:ascii="Arial" w:hAnsi="Arial" w:cs="Arial"/>
              <w:sz w:val="24"/>
              <w:szCs w:val="24"/>
              <w:lang w:val="en-GB"/>
            </w:rPr>
            <w:fldChar w:fldCharType="separate"/>
          </w:r>
          <w:r w:rsidR="00E651DB" w:rsidRPr="00BD3E0B">
            <w:rPr>
              <w:rFonts w:ascii="Arial" w:hAnsi="Arial" w:cs="Arial"/>
              <w:noProof/>
              <w:sz w:val="24"/>
              <w:szCs w:val="24"/>
              <w:lang w:val="en-GB"/>
            </w:rPr>
            <w:t>(Marshall, 2000)</w:t>
          </w:r>
          <w:r w:rsidR="00FA6AFD" w:rsidRPr="00BD3E0B">
            <w:rPr>
              <w:rFonts w:ascii="Arial" w:hAnsi="Arial" w:cs="Arial"/>
              <w:sz w:val="24"/>
              <w:szCs w:val="24"/>
              <w:lang w:val="en-GB"/>
            </w:rPr>
            <w:fldChar w:fldCharType="end"/>
          </w:r>
        </w:sdtContent>
      </w:sdt>
    </w:p>
    <w:p w14:paraId="3B4BA0B8" w14:textId="77777777" w:rsidR="005E1E44" w:rsidRDefault="005E1E44" w:rsidP="00B77353">
      <w:pPr>
        <w:spacing w:line="240" w:lineRule="auto"/>
        <w:jc w:val="center"/>
        <w:rPr>
          <w:rFonts w:ascii="Arial" w:hAnsi="Arial" w:cs="Arial"/>
          <w:sz w:val="24"/>
          <w:szCs w:val="24"/>
          <w:lang w:val="en-GB"/>
        </w:rPr>
      </w:pPr>
    </w:p>
    <w:p w14:paraId="5A975B52" w14:textId="77777777" w:rsidR="00674520" w:rsidRDefault="005E1E44" w:rsidP="00B77353">
      <w:pPr>
        <w:spacing w:after="0" w:line="240" w:lineRule="auto"/>
        <w:ind w:firstLine="709"/>
        <w:rPr>
          <w:rFonts w:ascii="Arial" w:eastAsia="Times New Roman" w:hAnsi="Arial" w:cs="Arial"/>
          <w:sz w:val="24"/>
          <w:szCs w:val="24"/>
          <w:lang w:val="en-GB" w:eastAsia="bg-BG"/>
        </w:rPr>
      </w:pPr>
      <w:bookmarkStart w:id="6" w:name="_Toc163516466"/>
      <w:r w:rsidRPr="005E1E44">
        <w:rPr>
          <w:rStyle w:val="Heading3Char"/>
          <w:lang w:eastAsia="bg-BG"/>
        </w:rPr>
        <w:t>Transaction Risk</w:t>
      </w:r>
      <w:r w:rsidRPr="005E1E44">
        <w:rPr>
          <w:rStyle w:val="Heading3Char"/>
          <w:rFonts w:ascii="Arial" w:hAnsi="Arial" w:cs="Arial"/>
          <w:sz w:val="24"/>
          <w:szCs w:val="24"/>
          <w:lang w:eastAsia="bg-BG"/>
        </w:rPr>
        <w:t>:</w:t>
      </w:r>
      <w:bookmarkEnd w:id="6"/>
      <w:r w:rsidRPr="005E1E44">
        <w:rPr>
          <w:rFonts w:ascii="Arial" w:eastAsia="Times New Roman" w:hAnsi="Arial" w:cs="Arial"/>
          <w:sz w:val="24"/>
          <w:szCs w:val="24"/>
          <w:lang w:eastAsia="bg-BG"/>
        </w:rPr>
        <w:t xml:space="preserve"> The risk of loss due to exchange rate variations between the agreement and settlement. For example, if an MNC agrees to acquire goods in euros with payment due in three months, transaction risk arises if the euro appreciates against the company's native currency during that time. </w:t>
      </w:r>
    </w:p>
    <w:p w14:paraId="12051C1D" w14:textId="5B5EB01E" w:rsidR="005E1E44" w:rsidRPr="00674520" w:rsidRDefault="005E1E44" w:rsidP="00B77353">
      <w:pPr>
        <w:spacing w:after="0" w:line="240" w:lineRule="auto"/>
        <w:ind w:firstLine="709"/>
        <w:rPr>
          <w:rFonts w:ascii="Arial" w:eastAsiaTheme="majorEastAsia" w:hAnsi="Arial" w:cs="Arial"/>
          <w:color w:val="2F5496" w:themeColor="accent1" w:themeShade="BF"/>
          <w:sz w:val="24"/>
          <w:szCs w:val="24"/>
          <w:lang w:val="en-GB" w:eastAsia="bg-BG"/>
        </w:rPr>
      </w:pPr>
      <w:bookmarkStart w:id="7" w:name="_Toc163516467"/>
      <w:r w:rsidRPr="005E1E44">
        <w:rPr>
          <w:rStyle w:val="Heading3Char"/>
          <w:lang w:eastAsia="bg-BG"/>
        </w:rPr>
        <w:t>Translation Risk</w:t>
      </w:r>
      <w:r w:rsidRPr="005E1E44">
        <w:rPr>
          <w:rStyle w:val="Heading3Char"/>
          <w:rFonts w:ascii="Arial" w:hAnsi="Arial" w:cs="Arial"/>
          <w:sz w:val="24"/>
          <w:szCs w:val="24"/>
          <w:lang w:eastAsia="bg-BG"/>
        </w:rPr>
        <w:t>:</w:t>
      </w:r>
      <w:bookmarkEnd w:id="7"/>
      <w:r w:rsidRPr="005E1E44">
        <w:rPr>
          <w:rFonts w:ascii="Arial" w:eastAsia="Times New Roman" w:hAnsi="Arial" w:cs="Arial"/>
          <w:sz w:val="24"/>
          <w:szCs w:val="24"/>
          <w:lang w:eastAsia="bg-BG"/>
        </w:rPr>
        <w:t xml:space="preserve"> This risk refers to how changes in exchange rates affect the financial statements of a multinational corporation's overseas subsidiaries when they are consolidated with the parent firm. A weakening of the subsidiary's functional currency compared to the parent's currency might result in a fall in reported earnings, even if the subsidiary's performance in its local market stays stable.</w:t>
      </w:r>
    </w:p>
    <w:p w14:paraId="38BECD8F" w14:textId="77777777" w:rsidR="001A6F6A" w:rsidRDefault="001A6F6A" w:rsidP="00B77353">
      <w:pPr>
        <w:spacing w:after="0" w:line="240" w:lineRule="auto"/>
        <w:ind w:firstLine="709"/>
        <w:rPr>
          <w:rFonts w:ascii="Arial" w:eastAsia="Times New Roman" w:hAnsi="Arial" w:cs="Arial"/>
          <w:sz w:val="24"/>
          <w:szCs w:val="24"/>
          <w:lang w:val="en-GB" w:eastAsia="bg-BG"/>
        </w:rPr>
      </w:pPr>
      <w:bookmarkStart w:id="8" w:name="_Toc163516468"/>
      <w:r w:rsidRPr="001A6F6A">
        <w:rPr>
          <w:rStyle w:val="Heading3Char"/>
          <w:lang w:eastAsia="bg-BG"/>
        </w:rPr>
        <w:t>Economic risk</w:t>
      </w:r>
      <w:bookmarkEnd w:id="8"/>
      <w:r w:rsidRPr="001A6F6A">
        <w:rPr>
          <w:rFonts w:ascii="Arial" w:eastAsia="Times New Roman" w:hAnsi="Arial" w:cs="Arial"/>
          <w:sz w:val="24"/>
          <w:szCs w:val="24"/>
          <w:lang w:eastAsia="bg-BG"/>
        </w:rPr>
        <w:t xml:space="preserve"> refers to the long-term impact of exchange rate changes on an MNC's competitiveness and profitability. A company's exports may become more expensive and less competitive in overseas markets if its local currency continues to appreciate.</w:t>
      </w:r>
    </w:p>
    <w:p w14:paraId="7189C726" w14:textId="026E54A2" w:rsidR="00674520" w:rsidRDefault="00674520" w:rsidP="00674520">
      <w:pPr>
        <w:pStyle w:val="Heading1"/>
        <w:rPr>
          <w:rFonts w:eastAsia="Times New Roman"/>
          <w:lang w:val="en-GB" w:eastAsia="bg-BG"/>
        </w:rPr>
      </w:pPr>
      <w:bookmarkStart w:id="9" w:name="_Toc163516469"/>
      <w:r>
        <w:rPr>
          <w:rFonts w:eastAsia="Times New Roman"/>
          <w:lang w:val="en-GB" w:eastAsia="bg-BG"/>
        </w:rPr>
        <w:t>Conclusion</w:t>
      </w:r>
      <w:bookmarkEnd w:id="9"/>
    </w:p>
    <w:p w14:paraId="1AAAD740" w14:textId="77777777" w:rsidR="00E7715E" w:rsidRPr="00E7715E" w:rsidRDefault="00E7715E" w:rsidP="00E7715E">
      <w:pPr>
        <w:rPr>
          <w:lang w:val="en-GB" w:eastAsia="bg-BG"/>
        </w:rPr>
      </w:pPr>
    </w:p>
    <w:p w14:paraId="69FC1FDA" w14:textId="26E40242" w:rsidR="00525E37" w:rsidRDefault="00525E37" w:rsidP="00525E37">
      <w:pPr>
        <w:spacing w:after="0" w:line="240" w:lineRule="auto"/>
        <w:rPr>
          <w:rFonts w:ascii="Arial" w:eastAsia="Times New Roman" w:hAnsi="Arial" w:cs="Arial"/>
          <w:sz w:val="24"/>
          <w:szCs w:val="24"/>
          <w:lang w:val="en-GB" w:eastAsia="bg-BG"/>
        </w:rPr>
      </w:pPr>
      <w:r w:rsidRPr="00525E37">
        <w:rPr>
          <w:rFonts w:ascii="Arial" w:eastAsia="Times New Roman" w:hAnsi="Arial" w:cs="Arial"/>
          <w:sz w:val="24"/>
          <w:szCs w:val="24"/>
          <w:lang w:eastAsia="bg-BG"/>
        </w:rPr>
        <w:t>This report has examined the specifics of foreign exchange (FX) risk and the various strategies that multinational co</w:t>
      </w:r>
      <w:r w:rsidR="003C2F3C" w:rsidRPr="000E33E4">
        <w:rPr>
          <w:rFonts w:ascii="Arial" w:eastAsia="Times New Roman" w:hAnsi="Arial" w:cs="Arial"/>
          <w:sz w:val="24"/>
          <w:szCs w:val="24"/>
          <w:lang w:val="en-GB" w:eastAsia="bg-BG"/>
        </w:rPr>
        <w:t>rporations</w:t>
      </w:r>
      <w:r w:rsidRPr="00525E37">
        <w:rPr>
          <w:rFonts w:ascii="Arial" w:eastAsia="Times New Roman" w:hAnsi="Arial" w:cs="Arial"/>
          <w:sz w:val="24"/>
          <w:szCs w:val="24"/>
          <w:lang w:eastAsia="bg-BG"/>
        </w:rPr>
        <w:t xml:space="preserve"> (MNCs) could employ in order to manage it successfully. We looked at the fundamental concepts of FX risk, such as transaction risk, translation risk, and economic risk. Understanding the economic forces that influence currency rates can provide MNCs with useful insights regarding anticipated volatility. </w:t>
      </w:r>
      <w:r w:rsidRPr="00525E37">
        <w:rPr>
          <w:rFonts w:ascii="Arial" w:eastAsia="Times New Roman" w:hAnsi="Arial" w:cs="Arial"/>
          <w:sz w:val="24"/>
          <w:szCs w:val="24"/>
          <w:lang w:eastAsia="bg-BG"/>
        </w:rPr>
        <w:br/>
      </w:r>
      <w:r w:rsidRPr="00525E37">
        <w:rPr>
          <w:rFonts w:ascii="Arial" w:eastAsia="Times New Roman" w:hAnsi="Arial" w:cs="Arial"/>
          <w:sz w:val="24"/>
          <w:szCs w:val="24"/>
          <w:lang w:eastAsia="bg-BG"/>
        </w:rPr>
        <w:br/>
        <w:t xml:space="preserve">The paper then looked at numerous risk management techniques, each of which had its own set of pros and drawbacks. Forward contracts offer stability but have upfront expenses. Currency </w:t>
      </w:r>
      <w:r w:rsidR="00FD5319" w:rsidRPr="000E33E4">
        <w:rPr>
          <w:rFonts w:ascii="Arial" w:eastAsia="Times New Roman" w:hAnsi="Arial" w:cs="Arial"/>
          <w:sz w:val="24"/>
          <w:szCs w:val="24"/>
          <w:lang w:val="en-GB" w:eastAsia="bg-BG"/>
        </w:rPr>
        <w:t>options</w:t>
      </w:r>
      <w:r w:rsidRPr="00525E37">
        <w:rPr>
          <w:rFonts w:ascii="Arial" w:eastAsia="Times New Roman" w:hAnsi="Arial" w:cs="Arial"/>
          <w:sz w:val="24"/>
          <w:szCs w:val="24"/>
          <w:lang w:eastAsia="bg-BG"/>
        </w:rPr>
        <w:t xml:space="preserve"> provide freedom but at a charge. Diversification among </w:t>
      </w:r>
      <w:r w:rsidRPr="00525E37">
        <w:rPr>
          <w:rFonts w:ascii="Arial" w:eastAsia="Times New Roman" w:hAnsi="Arial" w:cs="Arial"/>
          <w:sz w:val="24"/>
          <w:szCs w:val="24"/>
          <w:lang w:eastAsia="bg-BG"/>
        </w:rPr>
        <w:lastRenderedPageBreak/>
        <w:t xml:space="preserve">currencies and geographical regions can reduce the impact of exchange rate swings while increasing complexity. </w:t>
      </w:r>
    </w:p>
    <w:bookmarkStart w:id="10" w:name="_Toc163516470" w:displacedByCustomXml="next"/>
    <w:sdt>
      <w:sdtPr>
        <w:rPr>
          <w:rFonts w:asciiTheme="minorHAnsi" w:eastAsiaTheme="minorHAnsi" w:hAnsiTheme="minorHAnsi" w:cstheme="minorBidi"/>
          <w:color w:val="auto"/>
          <w:sz w:val="22"/>
          <w:szCs w:val="22"/>
        </w:rPr>
        <w:id w:val="1185251002"/>
        <w:docPartObj>
          <w:docPartGallery w:val="Bibliographies"/>
          <w:docPartUnique/>
        </w:docPartObj>
      </w:sdtPr>
      <w:sdtContent>
        <w:p w14:paraId="6F9E3457" w14:textId="4B194402" w:rsidR="000E33E4" w:rsidRDefault="000E33E4">
          <w:pPr>
            <w:pStyle w:val="Heading1"/>
          </w:pPr>
          <w:r>
            <w:t>References</w:t>
          </w:r>
          <w:bookmarkEnd w:id="10"/>
        </w:p>
        <w:sdt>
          <w:sdtPr>
            <w:id w:val="-573587230"/>
            <w:bibliography/>
          </w:sdtPr>
          <w:sdtContent>
            <w:p w14:paraId="69119B0E" w14:textId="7A703F4D" w:rsidR="000E33E4" w:rsidRDefault="000E33E4" w:rsidP="000E33E4">
              <w:pPr>
                <w:pStyle w:val="Bibliography"/>
                <w:rPr>
                  <w:noProof/>
                  <w:sz w:val="24"/>
                  <w:szCs w:val="24"/>
                </w:rPr>
              </w:pPr>
              <w:r>
                <w:fldChar w:fldCharType="begin"/>
              </w:r>
              <w:r>
                <w:instrText xml:space="preserve"> BIBLIOGRAPHY </w:instrText>
              </w:r>
              <w:r>
                <w:fldChar w:fldCharType="separate"/>
              </w:r>
              <w:r>
                <w:rPr>
                  <w:noProof/>
                </w:rPr>
                <w:t xml:space="preserve">Arnold, G., 2012. </w:t>
              </w:r>
              <w:r>
                <w:rPr>
                  <w:i/>
                  <w:iCs/>
                  <w:noProof/>
                </w:rPr>
                <w:t xml:space="preserve">Essentials of Corporate Financial Management. </w:t>
              </w:r>
              <w:r>
                <w:rPr>
                  <w:noProof/>
                </w:rPr>
                <w:t>2nd  Harlow: Pearson Education.</w:t>
              </w:r>
            </w:p>
            <w:p w14:paraId="6376600B" w14:textId="77777777" w:rsidR="000E33E4" w:rsidRDefault="000E33E4" w:rsidP="000E33E4">
              <w:pPr>
                <w:pStyle w:val="Bibliography"/>
                <w:rPr>
                  <w:noProof/>
                </w:rPr>
              </w:pPr>
              <w:r>
                <w:rPr>
                  <w:noProof/>
                </w:rPr>
                <w:t xml:space="preserve">Edelshain, D., 1997. "Who Manages Foreign Exchange Risk?". </w:t>
              </w:r>
              <w:r>
                <w:rPr>
                  <w:i/>
                  <w:iCs/>
                  <w:noProof/>
                </w:rPr>
                <w:t xml:space="preserve">Managerial Finance, </w:t>
              </w:r>
              <w:r>
                <w:rPr>
                  <w:noProof/>
                </w:rPr>
                <w:t>23(7), pp. 58-84.</w:t>
              </w:r>
            </w:p>
            <w:p w14:paraId="4F4F7EC8" w14:textId="77777777" w:rsidR="000E33E4" w:rsidRDefault="000E33E4" w:rsidP="000E33E4">
              <w:pPr>
                <w:pStyle w:val="Bibliography"/>
                <w:rPr>
                  <w:noProof/>
                </w:rPr>
              </w:pPr>
              <w:r>
                <w:rPr>
                  <w:noProof/>
                </w:rPr>
                <w:t xml:space="preserve">Franklin R. Edwards, S. G., 2003. Hedge Funds: What Do We Know?. </w:t>
              </w:r>
              <w:r>
                <w:rPr>
                  <w:i/>
                  <w:iCs/>
                  <w:noProof/>
                </w:rPr>
                <w:t xml:space="preserve">Journal of Applied Corporate Finance, </w:t>
              </w:r>
              <w:r>
                <w:rPr>
                  <w:noProof/>
                </w:rPr>
                <w:t>15(4), pp. 2-120.</w:t>
              </w:r>
            </w:p>
            <w:p w14:paraId="37BF9101" w14:textId="696EB063" w:rsidR="000E33E4" w:rsidRDefault="000E33E4" w:rsidP="000E33E4">
              <w:pPr>
                <w:pStyle w:val="Bibliography"/>
                <w:rPr>
                  <w:noProof/>
                </w:rPr>
              </w:pPr>
              <w:r>
                <w:rPr>
                  <w:noProof/>
                </w:rPr>
                <w:t xml:space="preserve">Hodrick, G. J. B. R. J., 2014. </w:t>
              </w:r>
              <w:r>
                <w:rPr>
                  <w:i/>
                  <w:iCs/>
                  <w:noProof/>
                </w:rPr>
                <w:t xml:space="preserve">International Financial Management. </w:t>
              </w:r>
              <w:r>
                <w:rPr>
                  <w:noProof/>
                </w:rPr>
                <w:t>2nd  Harlow: Pearson.</w:t>
              </w:r>
            </w:p>
            <w:p w14:paraId="4B2A9EBE" w14:textId="77777777" w:rsidR="000E33E4" w:rsidRDefault="000E33E4" w:rsidP="000E33E4">
              <w:pPr>
                <w:pStyle w:val="Bibliography"/>
                <w:rPr>
                  <w:noProof/>
                </w:rPr>
              </w:pPr>
              <w:r>
                <w:rPr>
                  <w:noProof/>
                </w:rPr>
                <w:t xml:space="preserve">Marshall, A. P., 2000. Foreign exchange risk management in UK,USA and Asia Pacific multinational companies. </w:t>
              </w:r>
              <w:r>
                <w:rPr>
                  <w:i/>
                  <w:iCs/>
                  <w:noProof/>
                </w:rPr>
                <w:t xml:space="preserve">Journal of Multinational Financial Management, </w:t>
              </w:r>
              <w:r>
                <w:rPr>
                  <w:noProof/>
                </w:rPr>
                <w:t>Том 10, pp. 185-211.</w:t>
              </w:r>
            </w:p>
            <w:p w14:paraId="234AE8CA" w14:textId="5AA6C67B" w:rsidR="000E33E4" w:rsidRDefault="000E33E4" w:rsidP="000E33E4">
              <w:r>
                <w:rPr>
                  <w:b/>
                  <w:bCs/>
                  <w:noProof/>
                </w:rPr>
                <w:fldChar w:fldCharType="end"/>
              </w:r>
            </w:p>
          </w:sdtContent>
        </w:sdt>
      </w:sdtContent>
    </w:sdt>
    <w:p w14:paraId="5BC74B5C" w14:textId="77777777" w:rsidR="000E33E4" w:rsidRPr="00525E37" w:rsidRDefault="000E33E4" w:rsidP="00525E37">
      <w:pPr>
        <w:spacing w:after="0" w:line="240" w:lineRule="auto"/>
        <w:rPr>
          <w:rFonts w:ascii="Arial" w:eastAsia="Times New Roman" w:hAnsi="Arial" w:cs="Arial"/>
          <w:sz w:val="24"/>
          <w:szCs w:val="24"/>
          <w:lang w:val="en-GB" w:eastAsia="bg-BG"/>
        </w:rPr>
      </w:pPr>
    </w:p>
    <w:p w14:paraId="521AF448" w14:textId="77777777" w:rsidR="005E1E44" w:rsidRPr="00BD3E0B" w:rsidRDefault="005E1E44" w:rsidP="005E1E44">
      <w:pPr>
        <w:rPr>
          <w:rFonts w:ascii="Arial" w:hAnsi="Arial" w:cs="Arial"/>
          <w:sz w:val="24"/>
          <w:szCs w:val="24"/>
          <w:lang w:val="en-GB"/>
        </w:rPr>
      </w:pPr>
    </w:p>
    <w:sectPr w:rsidR="005E1E44" w:rsidRPr="00BD3E0B">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09EDD" w14:textId="77777777" w:rsidR="002214C8" w:rsidRDefault="002214C8" w:rsidP="00D25796">
      <w:pPr>
        <w:spacing w:after="0" w:line="240" w:lineRule="auto"/>
      </w:pPr>
      <w:r>
        <w:separator/>
      </w:r>
    </w:p>
  </w:endnote>
  <w:endnote w:type="continuationSeparator" w:id="0">
    <w:p w14:paraId="211724B9" w14:textId="77777777" w:rsidR="002214C8" w:rsidRDefault="002214C8" w:rsidP="00D25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4744927"/>
      <w:docPartObj>
        <w:docPartGallery w:val="Page Numbers (Bottom of Page)"/>
        <w:docPartUnique/>
      </w:docPartObj>
    </w:sdtPr>
    <w:sdtEndPr>
      <w:rPr>
        <w:noProof/>
      </w:rPr>
    </w:sdtEndPr>
    <w:sdtContent>
      <w:p w14:paraId="154D4788" w14:textId="21CC558C" w:rsidR="004F4009" w:rsidRDefault="004F40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05C3A0" w14:textId="77777777" w:rsidR="004F4009" w:rsidRDefault="004F40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4D1B2" w14:textId="77777777" w:rsidR="002214C8" w:rsidRDefault="002214C8" w:rsidP="00D25796">
      <w:pPr>
        <w:spacing w:after="0" w:line="240" w:lineRule="auto"/>
      </w:pPr>
      <w:r>
        <w:separator/>
      </w:r>
    </w:p>
  </w:footnote>
  <w:footnote w:type="continuationSeparator" w:id="0">
    <w:p w14:paraId="1A9B4F17" w14:textId="77777777" w:rsidR="002214C8" w:rsidRDefault="002214C8" w:rsidP="00D257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17"/>
    <w:rsid w:val="00057D90"/>
    <w:rsid w:val="00086D50"/>
    <w:rsid w:val="000D4752"/>
    <w:rsid w:val="000E33E4"/>
    <w:rsid w:val="00140B2D"/>
    <w:rsid w:val="001A6F6A"/>
    <w:rsid w:val="001B2960"/>
    <w:rsid w:val="001C09FC"/>
    <w:rsid w:val="001D29CC"/>
    <w:rsid w:val="00200E49"/>
    <w:rsid w:val="002104D0"/>
    <w:rsid w:val="002214C8"/>
    <w:rsid w:val="00245D60"/>
    <w:rsid w:val="00262417"/>
    <w:rsid w:val="00267002"/>
    <w:rsid w:val="0029530B"/>
    <w:rsid w:val="002B1851"/>
    <w:rsid w:val="002B4978"/>
    <w:rsid w:val="002E67E8"/>
    <w:rsid w:val="003372D7"/>
    <w:rsid w:val="00364114"/>
    <w:rsid w:val="00370579"/>
    <w:rsid w:val="003936D3"/>
    <w:rsid w:val="003C2F3C"/>
    <w:rsid w:val="00402292"/>
    <w:rsid w:val="00405531"/>
    <w:rsid w:val="00431AD0"/>
    <w:rsid w:val="00452641"/>
    <w:rsid w:val="00467E9C"/>
    <w:rsid w:val="00482194"/>
    <w:rsid w:val="004C6202"/>
    <w:rsid w:val="004D6F74"/>
    <w:rsid w:val="004E5100"/>
    <w:rsid w:val="004F4009"/>
    <w:rsid w:val="00525E37"/>
    <w:rsid w:val="00551B1E"/>
    <w:rsid w:val="00587802"/>
    <w:rsid w:val="00594338"/>
    <w:rsid w:val="005B2F18"/>
    <w:rsid w:val="005E1E44"/>
    <w:rsid w:val="005E5CD3"/>
    <w:rsid w:val="005E65D1"/>
    <w:rsid w:val="005F06DA"/>
    <w:rsid w:val="00615261"/>
    <w:rsid w:val="00616563"/>
    <w:rsid w:val="00645CF2"/>
    <w:rsid w:val="00674520"/>
    <w:rsid w:val="00687BCE"/>
    <w:rsid w:val="006908CF"/>
    <w:rsid w:val="006E0369"/>
    <w:rsid w:val="00720549"/>
    <w:rsid w:val="00747332"/>
    <w:rsid w:val="00793BA1"/>
    <w:rsid w:val="007A52D3"/>
    <w:rsid w:val="007A7112"/>
    <w:rsid w:val="007C77BE"/>
    <w:rsid w:val="007E420B"/>
    <w:rsid w:val="007F2A6A"/>
    <w:rsid w:val="0081156E"/>
    <w:rsid w:val="008279E4"/>
    <w:rsid w:val="008314B3"/>
    <w:rsid w:val="00861615"/>
    <w:rsid w:val="0086619D"/>
    <w:rsid w:val="0088087B"/>
    <w:rsid w:val="00885023"/>
    <w:rsid w:val="008C08F2"/>
    <w:rsid w:val="008C4556"/>
    <w:rsid w:val="008F68E2"/>
    <w:rsid w:val="00902F3A"/>
    <w:rsid w:val="00965696"/>
    <w:rsid w:val="00974F89"/>
    <w:rsid w:val="009D5B01"/>
    <w:rsid w:val="00A017D8"/>
    <w:rsid w:val="00A34265"/>
    <w:rsid w:val="00A55832"/>
    <w:rsid w:val="00A56A93"/>
    <w:rsid w:val="00A75445"/>
    <w:rsid w:val="00AC7E66"/>
    <w:rsid w:val="00AD7B64"/>
    <w:rsid w:val="00B61D10"/>
    <w:rsid w:val="00B77353"/>
    <w:rsid w:val="00BB0134"/>
    <w:rsid w:val="00BD3E0B"/>
    <w:rsid w:val="00BE46E5"/>
    <w:rsid w:val="00BF668D"/>
    <w:rsid w:val="00C05CBD"/>
    <w:rsid w:val="00C14C08"/>
    <w:rsid w:val="00C42647"/>
    <w:rsid w:val="00C76080"/>
    <w:rsid w:val="00C77B22"/>
    <w:rsid w:val="00C77DA6"/>
    <w:rsid w:val="00CA4B45"/>
    <w:rsid w:val="00CD2B4F"/>
    <w:rsid w:val="00D111C2"/>
    <w:rsid w:val="00D25796"/>
    <w:rsid w:val="00D33A8C"/>
    <w:rsid w:val="00D35AE0"/>
    <w:rsid w:val="00D419B4"/>
    <w:rsid w:val="00DB5917"/>
    <w:rsid w:val="00DE0105"/>
    <w:rsid w:val="00E00D4E"/>
    <w:rsid w:val="00E028A6"/>
    <w:rsid w:val="00E410A7"/>
    <w:rsid w:val="00E45AC2"/>
    <w:rsid w:val="00E5769A"/>
    <w:rsid w:val="00E651DB"/>
    <w:rsid w:val="00E67130"/>
    <w:rsid w:val="00E7715E"/>
    <w:rsid w:val="00E96071"/>
    <w:rsid w:val="00EA22BA"/>
    <w:rsid w:val="00EB352E"/>
    <w:rsid w:val="00EF2F7B"/>
    <w:rsid w:val="00F118CF"/>
    <w:rsid w:val="00F20920"/>
    <w:rsid w:val="00F370CB"/>
    <w:rsid w:val="00F6365F"/>
    <w:rsid w:val="00F97A76"/>
    <w:rsid w:val="00FA6AFD"/>
    <w:rsid w:val="00FB5392"/>
    <w:rsid w:val="00FD5319"/>
    <w:rsid w:val="00FF038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6E11C"/>
  <w15:chartTrackingRefBased/>
  <w15:docId w15:val="{4B41F070-2ABB-4EAA-B1EF-0A24F257A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24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624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624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24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24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24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4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4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4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4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624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2624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24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24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24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4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4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417"/>
    <w:rPr>
      <w:rFonts w:eastAsiaTheme="majorEastAsia" w:cstheme="majorBidi"/>
      <w:color w:val="272727" w:themeColor="text1" w:themeTint="D8"/>
    </w:rPr>
  </w:style>
  <w:style w:type="paragraph" w:styleId="Title">
    <w:name w:val="Title"/>
    <w:basedOn w:val="Normal"/>
    <w:next w:val="Normal"/>
    <w:link w:val="TitleChar"/>
    <w:uiPriority w:val="10"/>
    <w:qFormat/>
    <w:rsid w:val="002624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4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4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4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417"/>
    <w:pPr>
      <w:spacing w:before="160"/>
      <w:jc w:val="center"/>
    </w:pPr>
    <w:rPr>
      <w:i/>
      <w:iCs/>
      <w:color w:val="404040" w:themeColor="text1" w:themeTint="BF"/>
    </w:rPr>
  </w:style>
  <w:style w:type="character" w:customStyle="1" w:styleId="QuoteChar">
    <w:name w:val="Quote Char"/>
    <w:basedOn w:val="DefaultParagraphFont"/>
    <w:link w:val="Quote"/>
    <w:uiPriority w:val="29"/>
    <w:rsid w:val="00262417"/>
    <w:rPr>
      <w:i/>
      <w:iCs/>
      <w:color w:val="404040" w:themeColor="text1" w:themeTint="BF"/>
    </w:rPr>
  </w:style>
  <w:style w:type="paragraph" w:styleId="ListParagraph">
    <w:name w:val="List Paragraph"/>
    <w:basedOn w:val="Normal"/>
    <w:uiPriority w:val="34"/>
    <w:qFormat/>
    <w:rsid w:val="00262417"/>
    <w:pPr>
      <w:ind w:left="720"/>
      <w:contextualSpacing/>
    </w:pPr>
  </w:style>
  <w:style w:type="character" w:styleId="IntenseEmphasis">
    <w:name w:val="Intense Emphasis"/>
    <w:basedOn w:val="DefaultParagraphFont"/>
    <w:uiPriority w:val="21"/>
    <w:qFormat/>
    <w:rsid w:val="00262417"/>
    <w:rPr>
      <w:i/>
      <w:iCs/>
      <w:color w:val="2F5496" w:themeColor="accent1" w:themeShade="BF"/>
    </w:rPr>
  </w:style>
  <w:style w:type="paragraph" w:styleId="IntenseQuote">
    <w:name w:val="Intense Quote"/>
    <w:basedOn w:val="Normal"/>
    <w:next w:val="Normal"/>
    <w:link w:val="IntenseQuoteChar"/>
    <w:uiPriority w:val="30"/>
    <w:qFormat/>
    <w:rsid w:val="002624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2417"/>
    <w:rPr>
      <w:i/>
      <w:iCs/>
      <w:color w:val="2F5496" w:themeColor="accent1" w:themeShade="BF"/>
    </w:rPr>
  </w:style>
  <w:style w:type="character" w:styleId="IntenseReference">
    <w:name w:val="Intense Reference"/>
    <w:basedOn w:val="DefaultParagraphFont"/>
    <w:uiPriority w:val="32"/>
    <w:qFormat/>
    <w:rsid w:val="00262417"/>
    <w:rPr>
      <w:b/>
      <w:bCs/>
      <w:smallCaps/>
      <w:color w:val="2F5496" w:themeColor="accent1" w:themeShade="BF"/>
      <w:spacing w:val="5"/>
    </w:rPr>
  </w:style>
  <w:style w:type="paragraph" w:styleId="Header">
    <w:name w:val="header"/>
    <w:basedOn w:val="Normal"/>
    <w:link w:val="HeaderChar"/>
    <w:uiPriority w:val="99"/>
    <w:unhideWhenUsed/>
    <w:rsid w:val="00D25796"/>
    <w:pPr>
      <w:tabs>
        <w:tab w:val="center" w:pos="4536"/>
        <w:tab w:val="right" w:pos="9072"/>
      </w:tabs>
      <w:spacing w:after="0" w:line="240" w:lineRule="auto"/>
    </w:pPr>
  </w:style>
  <w:style w:type="character" w:customStyle="1" w:styleId="HeaderChar">
    <w:name w:val="Header Char"/>
    <w:basedOn w:val="DefaultParagraphFont"/>
    <w:link w:val="Header"/>
    <w:uiPriority w:val="99"/>
    <w:rsid w:val="00D25796"/>
  </w:style>
  <w:style w:type="paragraph" w:styleId="Footer">
    <w:name w:val="footer"/>
    <w:basedOn w:val="Normal"/>
    <w:link w:val="FooterChar"/>
    <w:uiPriority w:val="99"/>
    <w:unhideWhenUsed/>
    <w:rsid w:val="00D25796"/>
    <w:pPr>
      <w:tabs>
        <w:tab w:val="center" w:pos="4536"/>
        <w:tab w:val="right" w:pos="9072"/>
      </w:tabs>
      <w:spacing w:after="0" w:line="240" w:lineRule="auto"/>
    </w:pPr>
  </w:style>
  <w:style w:type="character" w:customStyle="1" w:styleId="FooterChar">
    <w:name w:val="Footer Char"/>
    <w:basedOn w:val="DefaultParagraphFont"/>
    <w:link w:val="Footer"/>
    <w:uiPriority w:val="99"/>
    <w:rsid w:val="00D25796"/>
  </w:style>
  <w:style w:type="paragraph" w:styleId="TOCHeading">
    <w:name w:val="TOC Heading"/>
    <w:basedOn w:val="Heading1"/>
    <w:next w:val="Normal"/>
    <w:uiPriority w:val="39"/>
    <w:unhideWhenUsed/>
    <w:qFormat/>
    <w:rsid w:val="00A75445"/>
    <w:pPr>
      <w:spacing w:before="240" w:after="0"/>
      <w:outlineLvl w:val="9"/>
    </w:pPr>
    <w:rPr>
      <w:sz w:val="32"/>
      <w:szCs w:val="32"/>
      <w:lang w:val="en-US"/>
    </w:rPr>
  </w:style>
  <w:style w:type="paragraph" w:styleId="TOC1">
    <w:name w:val="toc 1"/>
    <w:basedOn w:val="Normal"/>
    <w:next w:val="Normal"/>
    <w:autoRedefine/>
    <w:uiPriority w:val="39"/>
    <w:unhideWhenUsed/>
    <w:rsid w:val="00A75445"/>
    <w:pPr>
      <w:spacing w:after="100"/>
    </w:pPr>
  </w:style>
  <w:style w:type="paragraph" w:styleId="TOC2">
    <w:name w:val="toc 2"/>
    <w:basedOn w:val="Normal"/>
    <w:next w:val="Normal"/>
    <w:autoRedefine/>
    <w:uiPriority w:val="39"/>
    <w:unhideWhenUsed/>
    <w:rsid w:val="00A75445"/>
    <w:pPr>
      <w:spacing w:after="100"/>
      <w:ind w:left="220"/>
    </w:pPr>
  </w:style>
  <w:style w:type="paragraph" w:styleId="TOC3">
    <w:name w:val="toc 3"/>
    <w:basedOn w:val="Normal"/>
    <w:next w:val="Normal"/>
    <w:autoRedefine/>
    <w:uiPriority w:val="39"/>
    <w:unhideWhenUsed/>
    <w:rsid w:val="00A75445"/>
    <w:pPr>
      <w:spacing w:after="100"/>
      <w:ind w:left="440"/>
    </w:pPr>
  </w:style>
  <w:style w:type="character" w:styleId="Hyperlink">
    <w:name w:val="Hyperlink"/>
    <w:basedOn w:val="DefaultParagraphFont"/>
    <w:uiPriority w:val="99"/>
    <w:unhideWhenUsed/>
    <w:rsid w:val="00A75445"/>
    <w:rPr>
      <w:color w:val="0563C1" w:themeColor="hyperlink"/>
      <w:u w:val="single"/>
    </w:rPr>
  </w:style>
  <w:style w:type="paragraph" w:styleId="Bibliography">
    <w:name w:val="Bibliography"/>
    <w:basedOn w:val="Normal"/>
    <w:next w:val="Normal"/>
    <w:uiPriority w:val="37"/>
    <w:unhideWhenUsed/>
    <w:rsid w:val="000E3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7839">
      <w:bodyDiv w:val="1"/>
      <w:marLeft w:val="0"/>
      <w:marRight w:val="0"/>
      <w:marTop w:val="0"/>
      <w:marBottom w:val="0"/>
      <w:divBdr>
        <w:top w:val="none" w:sz="0" w:space="0" w:color="auto"/>
        <w:left w:val="none" w:sz="0" w:space="0" w:color="auto"/>
        <w:bottom w:val="none" w:sz="0" w:space="0" w:color="auto"/>
        <w:right w:val="none" w:sz="0" w:space="0" w:color="auto"/>
      </w:divBdr>
    </w:div>
    <w:div w:id="31464509">
      <w:bodyDiv w:val="1"/>
      <w:marLeft w:val="0"/>
      <w:marRight w:val="0"/>
      <w:marTop w:val="0"/>
      <w:marBottom w:val="0"/>
      <w:divBdr>
        <w:top w:val="none" w:sz="0" w:space="0" w:color="auto"/>
        <w:left w:val="none" w:sz="0" w:space="0" w:color="auto"/>
        <w:bottom w:val="none" w:sz="0" w:space="0" w:color="auto"/>
        <w:right w:val="none" w:sz="0" w:space="0" w:color="auto"/>
      </w:divBdr>
    </w:div>
    <w:div w:id="40638175">
      <w:bodyDiv w:val="1"/>
      <w:marLeft w:val="0"/>
      <w:marRight w:val="0"/>
      <w:marTop w:val="0"/>
      <w:marBottom w:val="0"/>
      <w:divBdr>
        <w:top w:val="none" w:sz="0" w:space="0" w:color="auto"/>
        <w:left w:val="none" w:sz="0" w:space="0" w:color="auto"/>
        <w:bottom w:val="none" w:sz="0" w:space="0" w:color="auto"/>
        <w:right w:val="none" w:sz="0" w:space="0" w:color="auto"/>
      </w:divBdr>
    </w:div>
    <w:div w:id="59452397">
      <w:bodyDiv w:val="1"/>
      <w:marLeft w:val="0"/>
      <w:marRight w:val="0"/>
      <w:marTop w:val="0"/>
      <w:marBottom w:val="0"/>
      <w:divBdr>
        <w:top w:val="none" w:sz="0" w:space="0" w:color="auto"/>
        <w:left w:val="none" w:sz="0" w:space="0" w:color="auto"/>
        <w:bottom w:val="none" w:sz="0" w:space="0" w:color="auto"/>
        <w:right w:val="none" w:sz="0" w:space="0" w:color="auto"/>
      </w:divBdr>
    </w:div>
    <w:div w:id="98336117">
      <w:bodyDiv w:val="1"/>
      <w:marLeft w:val="0"/>
      <w:marRight w:val="0"/>
      <w:marTop w:val="0"/>
      <w:marBottom w:val="0"/>
      <w:divBdr>
        <w:top w:val="none" w:sz="0" w:space="0" w:color="auto"/>
        <w:left w:val="none" w:sz="0" w:space="0" w:color="auto"/>
        <w:bottom w:val="none" w:sz="0" w:space="0" w:color="auto"/>
        <w:right w:val="none" w:sz="0" w:space="0" w:color="auto"/>
      </w:divBdr>
    </w:div>
    <w:div w:id="150369043">
      <w:bodyDiv w:val="1"/>
      <w:marLeft w:val="0"/>
      <w:marRight w:val="0"/>
      <w:marTop w:val="0"/>
      <w:marBottom w:val="0"/>
      <w:divBdr>
        <w:top w:val="none" w:sz="0" w:space="0" w:color="auto"/>
        <w:left w:val="none" w:sz="0" w:space="0" w:color="auto"/>
        <w:bottom w:val="none" w:sz="0" w:space="0" w:color="auto"/>
        <w:right w:val="none" w:sz="0" w:space="0" w:color="auto"/>
      </w:divBdr>
    </w:div>
    <w:div w:id="197469460">
      <w:bodyDiv w:val="1"/>
      <w:marLeft w:val="0"/>
      <w:marRight w:val="0"/>
      <w:marTop w:val="0"/>
      <w:marBottom w:val="0"/>
      <w:divBdr>
        <w:top w:val="none" w:sz="0" w:space="0" w:color="auto"/>
        <w:left w:val="none" w:sz="0" w:space="0" w:color="auto"/>
        <w:bottom w:val="none" w:sz="0" w:space="0" w:color="auto"/>
        <w:right w:val="none" w:sz="0" w:space="0" w:color="auto"/>
      </w:divBdr>
    </w:div>
    <w:div w:id="198277438">
      <w:bodyDiv w:val="1"/>
      <w:marLeft w:val="0"/>
      <w:marRight w:val="0"/>
      <w:marTop w:val="0"/>
      <w:marBottom w:val="0"/>
      <w:divBdr>
        <w:top w:val="none" w:sz="0" w:space="0" w:color="auto"/>
        <w:left w:val="none" w:sz="0" w:space="0" w:color="auto"/>
        <w:bottom w:val="none" w:sz="0" w:space="0" w:color="auto"/>
        <w:right w:val="none" w:sz="0" w:space="0" w:color="auto"/>
      </w:divBdr>
    </w:div>
    <w:div w:id="308242305">
      <w:bodyDiv w:val="1"/>
      <w:marLeft w:val="0"/>
      <w:marRight w:val="0"/>
      <w:marTop w:val="0"/>
      <w:marBottom w:val="0"/>
      <w:divBdr>
        <w:top w:val="none" w:sz="0" w:space="0" w:color="auto"/>
        <w:left w:val="none" w:sz="0" w:space="0" w:color="auto"/>
        <w:bottom w:val="none" w:sz="0" w:space="0" w:color="auto"/>
        <w:right w:val="none" w:sz="0" w:space="0" w:color="auto"/>
      </w:divBdr>
    </w:div>
    <w:div w:id="324288316">
      <w:bodyDiv w:val="1"/>
      <w:marLeft w:val="0"/>
      <w:marRight w:val="0"/>
      <w:marTop w:val="0"/>
      <w:marBottom w:val="0"/>
      <w:divBdr>
        <w:top w:val="none" w:sz="0" w:space="0" w:color="auto"/>
        <w:left w:val="none" w:sz="0" w:space="0" w:color="auto"/>
        <w:bottom w:val="none" w:sz="0" w:space="0" w:color="auto"/>
        <w:right w:val="none" w:sz="0" w:space="0" w:color="auto"/>
      </w:divBdr>
    </w:div>
    <w:div w:id="380983715">
      <w:bodyDiv w:val="1"/>
      <w:marLeft w:val="0"/>
      <w:marRight w:val="0"/>
      <w:marTop w:val="0"/>
      <w:marBottom w:val="0"/>
      <w:divBdr>
        <w:top w:val="none" w:sz="0" w:space="0" w:color="auto"/>
        <w:left w:val="none" w:sz="0" w:space="0" w:color="auto"/>
        <w:bottom w:val="none" w:sz="0" w:space="0" w:color="auto"/>
        <w:right w:val="none" w:sz="0" w:space="0" w:color="auto"/>
      </w:divBdr>
    </w:div>
    <w:div w:id="415133707">
      <w:bodyDiv w:val="1"/>
      <w:marLeft w:val="0"/>
      <w:marRight w:val="0"/>
      <w:marTop w:val="0"/>
      <w:marBottom w:val="0"/>
      <w:divBdr>
        <w:top w:val="none" w:sz="0" w:space="0" w:color="auto"/>
        <w:left w:val="none" w:sz="0" w:space="0" w:color="auto"/>
        <w:bottom w:val="none" w:sz="0" w:space="0" w:color="auto"/>
        <w:right w:val="none" w:sz="0" w:space="0" w:color="auto"/>
      </w:divBdr>
    </w:div>
    <w:div w:id="587078583">
      <w:bodyDiv w:val="1"/>
      <w:marLeft w:val="0"/>
      <w:marRight w:val="0"/>
      <w:marTop w:val="0"/>
      <w:marBottom w:val="0"/>
      <w:divBdr>
        <w:top w:val="none" w:sz="0" w:space="0" w:color="auto"/>
        <w:left w:val="none" w:sz="0" w:space="0" w:color="auto"/>
        <w:bottom w:val="none" w:sz="0" w:space="0" w:color="auto"/>
        <w:right w:val="none" w:sz="0" w:space="0" w:color="auto"/>
      </w:divBdr>
    </w:div>
    <w:div w:id="593905313">
      <w:bodyDiv w:val="1"/>
      <w:marLeft w:val="0"/>
      <w:marRight w:val="0"/>
      <w:marTop w:val="0"/>
      <w:marBottom w:val="0"/>
      <w:divBdr>
        <w:top w:val="none" w:sz="0" w:space="0" w:color="auto"/>
        <w:left w:val="none" w:sz="0" w:space="0" w:color="auto"/>
        <w:bottom w:val="none" w:sz="0" w:space="0" w:color="auto"/>
        <w:right w:val="none" w:sz="0" w:space="0" w:color="auto"/>
      </w:divBdr>
    </w:div>
    <w:div w:id="664817739">
      <w:bodyDiv w:val="1"/>
      <w:marLeft w:val="0"/>
      <w:marRight w:val="0"/>
      <w:marTop w:val="0"/>
      <w:marBottom w:val="0"/>
      <w:divBdr>
        <w:top w:val="none" w:sz="0" w:space="0" w:color="auto"/>
        <w:left w:val="none" w:sz="0" w:space="0" w:color="auto"/>
        <w:bottom w:val="none" w:sz="0" w:space="0" w:color="auto"/>
        <w:right w:val="none" w:sz="0" w:space="0" w:color="auto"/>
      </w:divBdr>
    </w:div>
    <w:div w:id="701520246">
      <w:bodyDiv w:val="1"/>
      <w:marLeft w:val="0"/>
      <w:marRight w:val="0"/>
      <w:marTop w:val="0"/>
      <w:marBottom w:val="0"/>
      <w:divBdr>
        <w:top w:val="none" w:sz="0" w:space="0" w:color="auto"/>
        <w:left w:val="none" w:sz="0" w:space="0" w:color="auto"/>
        <w:bottom w:val="none" w:sz="0" w:space="0" w:color="auto"/>
        <w:right w:val="none" w:sz="0" w:space="0" w:color="auto"/>
      </w:divBdr>
    </w:div>
    <w:div w:id="743182070">
      <w:bodyDiv w:val="1"/>
      <w:marLeft w:val="0"/>
      <w:marRight w:val="0"/>
      <w:marTop w:val="0"/>
      <w:marBottom w:val="0"/>
      <w:divBdr>
        <w:top w:val="none" w:sz="0" w:space="0" w:color="auto"/>
        <w:left w:val="none" w:sz="0" w:space="0" w:color="auto"/>
        <w:bottom w:val="none" w:sz="0" w:space="0" w:color="auto"/>
        <w:right w:val="none" w:sz="0" w:space="0" w:color="auto"/>
      </w:divBdr>
    </w:div>
    <w:div w:id="785738155">
      <w:bodyDiv w:val="1"/>
      <w:marLeft w:val="0"/>
      <w:marRight w:val="0"/>
      <w:marTop w:val="0"/>
      <w:marBottom w:val="0"/>
      <w:divBdr>
        <w:top w:val="none" w:sz="0" w:space="0" w:color="auto"/>
        <w:left w:val="none" w:sz="0" w:space="0" w:color="auto"/>
        <w:bottom w:val="none" w:sz="0" w:space="0" w:color="auto"/>
        <w:right w:val="none" w:sz="0" w:space="0" w:color="auto"/>
      </w:divBdr>
    </w:div>
    <w:div w:id="870410759">
      <w:bodyDiv w:val="1"/>
      <w:marLeft w:val="0"/>
      <w:marRight w:val="0"/>
      <w:marTop w:val="0"/>
      <w:marBottom w:val="0"/>
      <w:divBdr>
        <w:top w:val="none" w:sz="0" w:space="0" w:color="auto"/>
        <w:left w:val="none" w:sz="0" w:space="0" w:color="auto"/>
        <w:bottom w:val="none" w:sz="0" w:space="0" w:color="auto"/>
        <w:right w:val="none" w:sz="0" w:space="0" w:color="auto"/>
      </w:divBdr>
    </w:div>
    <w:div w:id="893080980">
      <w:bodyDiv w:val="1"/>
      <w:marLeft w:val="0"/>
      <w:marRight w:val="0"/>
      <w:marTop w:val="0"/>
      <w:marBottom w:val="0"/>
      <w:divBdr>
        <w:top w:val="none" w:sz="0" w:space="0" w:color="auto"/>
        <w:left w:val="none" w:sz="0" w:space="0" w:color="auto"/>
        <w:bottom w:val="none" w:sz="0" w:space="0" w:color="auto"/>
        <w:right w:val="none" w:sz="0" w:space="0" w:color="auto"/>
      </w:divBdr>
    </w:div>
    <w:div w:id="904875210">
      <w:bodyDiv w:val="1"/>
      <w:marLeft w:val="0"/>
      <w:marRight w:val="0"/>
      <w:marTop w:val="0"/>
      <w:marBottom w:val="0"/>
      <w:divBdr>
        <w:top w:val="none" w:sz="0" w:space="0" w:color="auto"/>
        <w:left w:val="none" w:sz="0" w:space="0" w:color="auto"/>
        <w:bottom w:val="none" w:sz="0" w:space="0" w:color="auto"/>
        <w:right w:val="none" w:sz="0" w:space="0" w:color="auto"/>
      </w:divBdr>
    </w:div>
    <w:div w:id="952788061">
      <w:bodyDiv w:val="1"/>
      <w:marLeft w:val="0"/>
      <w:marRight w:val="0"/>
      <w:marTop w:val="0"/>
      <w:marBottom w:val="0"/>
      <w:divBdr>
        <w:top w:val="none" w:sz="0" w:space="0" w:color="auto"/>
        <w:left w:val="none" w:sz="0" w:space="0" w:color="auto"/>
        <w:bottom w:val="none" w:sz="0" w:space="0" w:color="auto"/>
        <w:right w:val="none" w:sz="0" w:space="0" w:color="auto"/>
      </w:divBdr>
    </w:div>
    <w:div w:id="960573286">
      <w:bodyDiv w:val="1"/>
      <w:marLeft w:val="0"/>
      <w:marRight w:val="0"/>
      <w:marTop w:val="0"/>
      <w:marBottom w:val="0"/>
      <w:divBdr>
        <w:top w:val="none" w:sz="0" w:space="0" w:color="auto"/>
        <w:left w:val="none" w:sz="0" w:space="0" w:color="auto"/>
        <w:bottom w:val="none" w:sz="0" w:space="0" w:color="auto"/>
        <w:right w:val="none" w:sz="0" w:space="0" w:color="auto"/>
      </w:divBdr>
    </w:div>
    <w:div w:id="995642854">
      <w:bodyDiv w:val="1"/>
      <w:marLeft w:val="0"/>
      <w:marRight w:val="0"/>
      <w:marTop w:val="0"/>
      <w:marBottom w:val="0"/>
      <w:divBdr>
        <w:top w:val="none" w:sz="0" w:space="0" w:color="auto"/>
        <w:left w:val="none" w:sz="0" w:space="0" w:color="auto"/>
        <w:bottom w:val="none" w:sz="0" w:space="0" w:color="auto"/>
        <w:right w:val="none" w:sz="0" w:space="0" w:color="auto"/>
      </w:divBdr>
    </w:div>
    <w:div w:id="1095398901">
      <w:bodyDiv w:val="1"/>
      <w:marLeft w:val="0"/>
      <w:marRight w:val="0"/>
      <w:marTop w:val="0"/>
      <w:marBottom w:val="0"/>
      <w:divBdr>
        <w:top w:val="none" w:sz="0" w:space="0" w:color="auto"/>
        <w:left w:val="none" w:sz="0" w:space="0" w:color="auto"/>
        <w:bottom w:val="none" w:sz="0" w:space="0" w:color="auto"/>
        <w:right w:val="none" w:sz="0" w:space="0" w:color="auto"/>
      </w:divBdr>
    </w:div>
    <w:div w:id="1103184340">
      <w:bodyDiv w:val="1"/>
      <w:marLeft w:val="0"/>
      <w:marRight w:val="0"/>
      <w:marTop w:val="0"/>
      <w:marBottom w:val="0"/>
      <w:divBdr>
        <w:top w:val="none" w:sz="0" w:space="0" w:color="auto"/>
        <w:left w:val="none" w:sz="0" w:space="0" w:color="auto"/>
        <w:bottom w:val="none" w:sz="0" w:space="0" w:color="auto"/>
        <w:right w:val="none" w:sz="0" w:space="0" w:color="auto"/>
      </w:divBdr>
    </w:div>
    <w:div w:id="1190413361">
      <w:bodyDiv w:val="1"/>
      <w:marLeft w:val="0"/>
      <w:marRight w:val="0"/>
      <w:marTop w:val="0"/>
      <w:marBottom w:val="0"/>
      <w:divBdr>
        <w:top w:val="none" w:sz="0" w:space="0" w:color="auto"/>
        <w:left w:val="none" w:sz="0" w:space="0" w:color="auto"/>
        <w:bottom w:val="none" w:sz="0" w:space="0" w:color="auto"/>
        <w:right w:val="none" w:sz="0" w:space="0" w:color="auto"/>
      </w:divBdr>
    </w:div>
    <w:div w:id="1220748779">
      <w:bodyDiv w:val="1"/>
      <w:marLeft w:val="0"/>
      <w:marRight w:val="0"/>
      <w:marTop w:val="0"/>
      <w:marBottom w:val="0"/>
      <w:divBdr>
        <w:top w:val="none" w:sz="0" w:space="0" w:color="auto"/>
        <w:left w:val="none" w:sz="0" w:space="0" w:color="auto"/>
        <w:bottom w:val="none" w:sz="0" w:space="0" w:color="auto"/>
        <w:right w:val="none" w:sz="0" w:space="0" w:color="auto"/>
      </w:divBdr>
    </w:div>
    <w:div w:id="1226260853">
      <w:bodyDiv w:val="1"/>
      <w:marLeft w:val="0"/>
      <w:marRight w:val="0"/>
      <w:marTop w:val="0"/>
      <w:marBottom w:val="0"/>
      <w:divBdr>
        <w:top w:val="none" w:sz="0" w:space="0" w:color="auto"/>
        <w:left w:val="none" w:sz="0" w:space="0" w:color="auto"/>
        <w:bottom w:val="none" w:sz="0" w:space="0" w:color="auto"/>
        <w:right w:val="none" w:sz="0" w:space="0" w:color="auto"/>
      </w:divBdr>
    </w:div>
    <w:div w:id="1227447894">
      <w:bodyDiv w:val="1"/>
      <w:marLeft w:val="0"/>
      <w:marRight w:val="0"/>
      <w:marTop w:val="0"/>
      <w:marBottom w:val="0"/>
      <w:divBdr>
        <w:top w:val="none" w:sz="0" w:space="0" w:color="auto"/>
        <w:left w:val="none" w:sz="0" w:space="0" w:color="auto"/>
        <w:bottom w:val="none" w:sz="0" w:space="0" w:color="auto"/>
        <w:right w:val="none" w:sz="0" w:space="0" w:color="auto"/>
      </w:divBdr>
    </w:div>
    <w:div w:id="1237865228">
      <w:bodyDiv w:val="1"/>
      <w:marLeft w:val="0"/>
      <w:marRight w:val="0"/>
      <w:marTop w:val="0"/>
      <w:marBottom w:val="0"/>
      <w:divBdr>
        <w:top w:val="none" w:sz="0" w:space="0" w:color="auto"/>
        <w:left w:val="none" w:sz="0" w:space="0" w:color="auto"/>
        <w:bottom w:val="none" w:sz="0" w:space="0" w:color="auto"/>
        <w:right w:val="none" w:sz="0" w:space="0" w:color="auto"/>
      </w:divBdr>
    </w:div>
    <w:div w:id="1461457870">
      <w:bodyDiv w:val="1"/>
      <w:marLeft w:val="0"/>
      <w:marRight w:val="0"/>
      <w:marTop w:val="0"/>
      <w:marBottom w:val="0"/>
      <w:divBdr>
        <w:top w:val="none" w:sz="0" w:space="0" w:color="auto"/>
        <w:left w:val="none" w:sz="0" w:space="0" w:color="auto"/>
        <w:bottom w:val="none" w:sz="0" w:space="0" w:color="auto"/>
        <w:right w:val="none" w:sz="0" w:space="0" w:color="auto"/>
      </w:divBdr>
    </w:div>
    <w:div w:id="1671251663">
      <w:bodyDiv w:val="1"/>
      <w:marLeft w:val="0"/>
      <w:marRight w:val="0"/>
      <w:marTop w:val="0"/>
      <w:marBottom w:val="0"/>
      <w:divBdr>
        <w:top w:val="none" w:sz="0" w:space="0" w:color="auto"/>
        <w:left w:val="none" w:sz="0" w:space="0" w:color="auto"/>
        <w:bottom w:val="none" w:sz="0" w:space="0" w:color="auto"/>
        <w:right w:val="none" w:sz="0" w:space="0" w:color="auto"/>
      </w:divBdr>
    </w:div>
    <w:div w:id="1673290994">
      <w:bodyDiv w:val="1"/>
      <w:marLeft w:val="0"/>
      <w:marRight w:val="0"/>
      <w:marTop w:val="0"/>
      <w:marBottom w:val="0"/>
      <w:divBdr>
        <w:top w:val="none" w:sz="0" w:space="0" w:color="auto"/>
        <w:left w:val="none" w:sz="0" w:space="0" w:color="auto"/>
        <w:bottom w:val="none" w:sz="0" w:space="0" w:color="auto"/>
        <w:right w:val="none" w:sz="0" w:space="0" w:color="auto"/>
      </w:divBdr>
    </w:div>
    <w:div w:id="1692074405">
      <w:bodyDiv w:val="1"/>
      <w:marLeft w:val="0"/>
      <w:marRight w:val="0"/>
      <w:marTop w:val="0"/>
      <w:marBottom w:val="0"/>
      <w:divBdr>
        <w:top w:val="none" w:sz="0" w:space="0" w:color="auto"/>
        <w:left w:val="none" w:sz="0" w:space="0" w:color="auto"/>
        <w:bottom w:val="none" w:sz="0" w:space="0" w:color="auto"/>
        <w:right w:val="none" w:sz="0" w:space="0" w:color="auto"/>
      </w:divBdr>
    </w:div>
    <w:div w:id="1878228663">
      <w:bodyDiv w:val="1"/>
      <w:marLeft w:val="0"/>
      <w:marRight w:val="0"/>
      <w:marTop w:val="0"/>
      <w:marBottom w:val="0"/>
      <w:divBdr>
        <w:top w:val="none" w:sz="0" w:space="0" w:color="auto"/>
        <w:left w:val="none" w:sz="0" w:space="0" w:color="auto"/>
        <w:bottom w:val="none" w:sz="0" w:space="0" w:color="auto"/>
        <w:right w:val="none" w:sz="0" w:space="0" w:color="auto"/>
      </w:divBdr>
    </w:div>
    <w:div w:id="1898667747">
      <w:bodyDiv w:val="1"/>
      <w:marLeft w:val="0"/>
      <w:marRight w:val="0"/>
      <w:marTop w:val="0"/>
      <w:marBottom w:val="0"/>
      <w:divBdr>
        <w:top w:val="none" w:sz="0" w:space="0" w:color="auto"/>
        <w:left w:val="none" w:sz="0" w:space="0" w:color="auto"/>
        <w:bottom w:val="none" w:sz="0" w:space="0" w:color="auto"/>
        <w:right w:val="none" w:sz="0" w:space="0" w:color="auto"/>
      </w:divBdr>
    </w:div>
    <w:div w:id="1929775893">
      <w:bodyDiv w:val="1"/>
      <w:marLeft w:val="0"/>
      <w:marRight w:val="0"/>
      <w:marTop w:val="0"/>
      <w:marBottom w:val="0"/>
      <w:divBdr>
        <w:top w:val="none" w:sz="0" w:space="0" w:color="auto"/>
        <w:left w:val="none" w:sz="0" w:space="0" w:color="auto"/>
        <w:bottom w:val="none" w:sz="0" w:space="0" w:color="auto"/>
        <w:right w:val="none" w:sz="0" w:space="0" w:color="auto"/>
      </w:divBdr>
    </w:div>
    <w:div w:id="1973637172">
      <w:bodyDiv w:val="1"/>
      <w:marLeft w:val="0"/>
      <w:marRight w:val="0"/>
      <w:marTop w:val="0"/>
      <w:marBottom w:val="0"/>
      <w:divBdr>
        <w:top w:val="none" w:sz="0" w:space="0" w:color="auto"/>
        <w:left w:val="none" w:sz="0" w:space="0" w:color="auto"/>
        <w:bottom w:val="none" w:sz="0" w:space="0" w:color="auto"/>
        <w:right w:val="none" w:sz="0" w:space="0" w:color="auto"/>
      </w:divBdr>
    </w:div>
    <w:div w:id="2003266499">
      <w:bodyDiv w:val="1"/>
      <w:marLeft w:val="0"/>
      <w:marRight w:val="0"/>
      <w:marTop w:val="0"/>
      <w:marBottom w:val="0"/>
      <w:divBdr>
        <w:top w:val="none" w:sz="0" w:space="0" w:color="auto"/>
        <w:left w:val="none" w:sz="0" w:space="0" w:color="auto"/>
        <w:bottom w:val="none" w:sz="0" w:space="0" w:color="auto"/>
        <w:right w:val="none" w:sz="0" w:space="0" w:color="auto"/>
      </w:divBdr>
    </w:div>
    <w:div w:id="209165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And00</b:Tag>
    <b:SourceType>JournalArticle</b:SourceType>
    <b:Guid>{A6D9BAE5-7FB1-460A-9F32-0514252B33D1}</b:Guid>
    <b:Title>Foreign exchange risk management in UK,USA and Asia Pacific multinational companies</b:Title>
    <b:Year>2000</b:Year>
    <b:Author>
      <b:Author>
        <b:NameList>
          <b:Person>
            <b:Last>Marshall</b:Last>
            <b:First>Andrew</b:First>
            <b:Middle>P.</b:Middle>
          </b:Person>
        </b:NameList>
      </b:Author>
    </b:Author>
    <b:JournalName>Journal of Multinational Financial Management</b:JournalName>
    <b:Pages>185-211</b:Pages>
    <b:Volume>10</b:Volume>
    <b:RefOrder>5</b:RefOrder>
  </b:Source>
  <b:Source>
    <b:Tag>Gee14</b:Tag>
    <b:SourceType>Book</b:SourceType>
    <b:Guid>{100C0373-90B2-4028-A8B6-11D5041524BB}</b:Guid>
    <b:Author>
      <b:Author>
        <b:NameList>
          <b:Person>
            <b:Last>Hodrick</b:Last>
            <b:First>Geert</b:First>
            <b:Middle>J. Bekaert Robert J.</b:Middle>
          </b:Person>
        </b:NameList>
      </b:Author>
    </b:Author>
    <b:Title>International Financial Management</b:Title>
    <b:Year>2014</b:Year>
    <b:City>Harlow</b:City>
    <b:Publisher>Pearson</b:Publisher>
    <b:Edition>2nd</b:Edition>
    <b:RefOrder>1</b:RefOrder>
  </b:Source>
  <b:Source>
    <b:Tag>Arn12</b:Tag>
    <b:SourceType>Book</b:SourceType>
    <b:Guid>{03A936AB-776C-4309-A1DD-1595A76BAF42}</b:Guid>
    <b:Title>Essentials of Corporate Financial Management</b:Title>
    <b:Year>2012</b:Year>
    <b:City>Harlow</b:City>
    <b:Publisher>Pearson Education</b:Publisher>
    <b:Edition>2nd</b:Edition>
    <b:Author>
      <b:Author>
        <b:NameList>
          <b:Person>
            <b:Last>Arnold</b:Last>
            <b:First>Glen</b:First>
          </b:Person>
        </b:NameList>
      </b:Author>
    </b:Author>
    <b:RefOrder>3</b:RefOrder>
  </b:Source>
  <b:Source>
    <b:Tag>Fra03</b:Tag>
    <b:SourceType>JournalArticle</b:SourceType>
    <b:Guid>{B0EDABBD-7B52-475F-A6FF-FDC8F0243A0A}</b:Guid>
    <b:Title>Hedge Funds:  What Do We Know?</b:Title>
    <b:Year>2003</b:Year>
    <b:Author>
      <b:Author>
        <b:NameList>
          <b:Person>
            <b:Last>Franklin R. Edwards</b:Last>
            <b:First>Stav</b:First>
            <b:Middle>Gaon</b:Middle>
          </b:Person>
        </b:NameList>
      </b:Author>
    </b:Author>
    <b:JournalName>Journal of Applied Corporate Finance</b:JournalName>
    <b:Pages>2-120</b:Pages>
    <b:Volume>15</b:Volume>
    <b:Issue>4</b:Issue>
    <b:RefOrder>2</b:RefOrder>
  </b:Source>
  <b:Source>
    <b:Tag>Ede97</b:Tag>
    <b:SourceType>JournalArticle</b:SourceType>
    <b:Guid>{14E162AE-EFBF-483D-8CCF-32DAFA632EFC}</b:Guid>
    <b:Author>
      <b:Author>
        <b:NameList>
          <b:Person>
            <b:Last>Edelshain</b:Last>
            <b:First>D.</b:First>
          </b:Person>
        </b:NameList>
      </b:Author>
    </b:Author>
    <b:Title>"Who Manages Foreign Exchange Risk?"</b:Title>
    <b:JournalName>Managerial Finance</b:JournalName>
    <b:Year>1997</b:Year>
    <b:Pages>58-84</b:Pages>
    <b:Volume>23</b:Volume>
    <b:Issue>7</b:Issue>
    <b:RefOrder>4</b:RefOrder>
  </b:Source>
</b:Sources>
</file>

<file path=customXml/itemProps1.xml><?xml version="1.0" encoding="utf-8"?>
<ds:datastoreItem xmlns:ds="http://schemas.openxmlformats.org/officeDocument/2006/customXml" ds:itemID="{0A5EB0CB-7AE3-4DCC-B295-BD7DFD794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Pages>
  <Words>1848</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Tsvetelin Brankov (2024471)</dc:creator>
  <cp:keywords/>
  <dc:description/>
  <cp:lastModifiedBy>Tsvetelin Brankov (2024471)</cp:lastModifiedBy>
  <cp:revision>117</cp:revision>
  <dcterms:created xsi:type="dcterms:W3CDTF">2024-04-08T18:17:00Z</dcterms:created>
  <dcterms:modified xsi:type="dcterms:W3CDTF">2024-04-08T23:56:00Z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abdb0afc-6a14-492a-9486-869035309430</vt:lpwstr>
  </property>
</Properties>
</file>