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988630"/>
        <w:docPartObj>
          <w:docPartGallery w:val="Cover Pages"/>
          <w:docPartUnique/>
        </w:docPartObj>
      </w:sdtPr>
      <w:sdtEndPr>
        <w:rPr>
          <w:rFonts w:ascii="Arial Black" w:hAnsi="Arial Black" w:cs="Arial"/>
          <w:color w:val="4C94D8" w:themeColor="text2" w:themeTint="80"/>
        </w:rPr>
      </w:sdtEndPr>
      <w:sdtContent>
        <w:p w14:paraId="11652415" w14:textId="7793E528" w:rsidR="0077775E" w:rsidRDefault="0077775E"/>
        <w:p w14:paraId="72404793" w14:textId="0497BC3A" w:rsidR="0077775E" w:rsidRPr="0077775E" w:rsidRDefault="0077775E" w:rsidP="0077775E">
          <w:pPr>
            <w:rPr>
              <w:rFonts w:ascii="Arial Black" w:hAnsi="Arial Black" w:cs="Arial"/>
              <w:color w:val="4C94D8" w:themeColor="text2" w:themeTint="80"/>
            </w:rPr>
          </w:pPr>
          <w:r w:rsidRPr="0077775E">
            <w:rPr>
              <w:rFonts w:ascii="Arial Black" w:hAnsi="Arial Black" w:cs="Arial"/>
              <w:color w:val="4C94D8" w:themeColor="text2" w:themeTint="80"/>
            </w:rPr>
            <w:t>Student name:</w:t>
          </w:r>
          <w:r>
            <w:rPr>
              <w:rFonts w:ascii="Arial Black" w:hAnsi="Arial Black" w:cs="Arial"/>
              <w:color w:val="4C94D8" w:themeColor="text2" w:themeTint="80"/>
            </w:rPr>
            <w:t xml:space="preserve"> Corneliu Ciobanu</w:t>
          </w:r>
          <w:r w:rsidRPr="0077775E">
            <w:rPr>
              <w:rFonts w:ascii="Arial Black" w:hAnsi="Arial Black" w:cs="Arial"/>
              <w:color w:val="4C94D8" w:themeColor="text2" w:themeTint="80"/>
            </w:rPr>
            <w:t xml:space="preserve">     </w:t>
          </w:r>
        </w:p>
        <w:p w14:paraId="2706D574" w14:textId="06541E04" w:rsidR="0077775E" w:rsidRPr="0077775E" w:rsidRDefault="0077775E" w:rsidP="0077775E">
          <w:pPr>
            <w:rPr>
              <w:rFonts w:ascii="Arial Black" w:hAnsi="Arial Black" w:cs="Arial"/>
              <w:color w:val="4C94D8" w:themeColor="text2" w:themeTint="80"/>
            </w:rPr>
          </w:pPr>
          <w:r w:rsidRPr="0077775E">
            <w:rPr>
              <w:rFonts w:ascii="Arial Black" w:hAnsi="Arial Black" w:cs="Arial"/>
              <w:color w:val="4C94D8" w:themeColor="text2" w:themeTint="80"/>
            </w:rPr>
            <w:t>Programme:</w:t>
          </w:r>
          <w:r>
            <w:rPr>
              <w:rFonts w:ascii="Arial Black" w:hAnsi="Arial Black" w:cs="Arial"/>
              <w:color w:val="4C94D8" w:themeColor="text2" w:themeTint="80"/>
            </w:rPr>
            <w:t xml:space="preserve"> </w:t>
          </w:r>
          <w:r w:rsidRPr="0077775E">
            <w:rPr>
              <w:rFonts w:ascii="Arial Black" w:hAnsi="Arial Black" w:cs="Arial"/>
              <w:color w:val="4C94D8" w:themeColor="text2" w:themeTint="80"/>
            </w:rPr>
            <w:t>BA/HND Business and Management</w:t>
          </w:r>
        </w:p>
        <w:p w14:paraId="4C379124" w14:textId="573946BE" w:rsidR="0077775E" w:rsidRPr="0077775E" w:rsidRDefault="0077775E" w:rsidP="0077775E">
          <w:pPr>
            <w:rPr>
              <w:rFonts w:ascii="Arial Black" w:hAnsi="Arial Black" w:cs="Arial"/>
              <w:color w:val="4C94D8" w:themeColor="text2" w:themeTint="80"/>
            </w:rPr>
          </w:pPr>
          <w:r w:rsidRPr="0077775E">
            <w:rPr>
              <w:rFonts w:ascii="Arial Black" w:hAnsi="Arial Black" w:cs="Arial"/>
              <w:color w:val="4C94D8" w:themeColor="text2" w:themeTint="80"/>
            </w:rPr>
            <w:t>Module:</w:t>
          </w:r>
          <w:r>
            <w:rPr>
              <w:rFonts w:ascii="Arial Black" w:hAnsi="Arial Black" w:cs="Arial"/>
              <w:color w:val="4C94D8" w:themeColor="text2" w:themeTint="80"/>
            </w:rPr>
            <w:t xml:space="preserve"> </w:t>
          </w:r>
          <w:r w:rsidRPr="0077775E">
            <w:rPr>
              <w:rFonts w:ascii="Arial Black" w:hAnsi="Arial Black" w:cs="Arial"/>
              <w:color w:val="4C94D8" w:themeColor="text2" w:themeTint="80"/>
            </w:rPr>
            <w:t xml:space="preserve">Financial Management </w:t>
          </w:r>
          <w:r w:rsidRPr="0077775E">
            <w:rPr>
              <w:rFonts w:ascii="Arial Black" w:hAnsi="Arial Black" w:cs="Arial"/>
              <w:color w:val="4C94D8" w:themeColor="text2" w:themeTint="80"/>
            </w:rPr>
            <w:t>for</w:t>
          </w:r>
          <w:r w:rsidRPr="0077775E">
            <w:rPr>
              <w:rFonts w:ascii="Arial Black" w:hAnsi="Arial Black" w:cs="Arial"/>
              <w:color w:val="4C94D8" w:themeColor="text2" w:themeTint="80"/>
            </w:rPr>
            <w:t xml:space="preserve"> Business Sustainability</w:t>
          </w:r>
        </w:p>
        <w:p w14:paraId="02765809" w14:textId="2EFFE489" w:rsidR="0077775E" w:rsidRDefault="0077775E" w:rsidP="0077775E">
          <w:pPr>
            <w:rPr>
              <w:rFonts w:ascii="Arial Black" w:hAnsi="Arial Black" w:cs="Arial"/>
              <w:color w:val="4C94D8" w:themeColor="text2" w:themeTint="80"/>
            </w:rPr>
          </w:pPr>
          <w:r w:rsidRPr="0077775E">
            <w:rPr>
              <w:rFonts w:ascii="Arial Black" w:hAnsi="Arial Black" w:cs="Arial"/>
              <w:color w:val="4C94D8" w:themeColor="text2" w:themeTint="80"/>
            </w:rPr>
            <w:t>Module code:</w:t>
          </w:r>
          <w:r>
            <w:rPr>
              <w:rFonts w:ascii="Arial Black" w:hAnsi="Arial Black" w:cs="Arial"/>
              <w:color w:val="4C94D8" w:themeColor="text2" w:themeTint="80"/>
            </w:rPr>
            <w:t xml:space="preserve"> </w:t>
          </w:r>
          <w:r w:rsidRPr="0077775E">
            <w:rPr>
              <w:rFonts w:ascii="Arial Black" w:hAnsi="Arial Black" w:cs="Arial"/>
              <w:color w:val="4C94D8" w:themeColor="text2" w:themeTint="80"/>
            </w:rPr>
            <w:t>BMSP4011D</w:t>
          </w:r>
          <w:r>
            <w:rPr>
              <w:noProof/>
            </w:rPr>
            <mc:AlternateContent>
              <mc:Choice Requires="wps">
                <w:drawing>
                  <wp:anchor distT="0" distB="0" distL="182880" distR="182880" simplePos="0" relativeHeight="251660288" behindDoc="0" locked="0" layoutInCell="1" allowOverlap="1" wp14:anchorId="7D6FCF29" wp14:editId="1152F878">
                    <wp:simplePos x="0" y="0"/>
                    <wp:positionH relativeFrom="margin">
                      <wp:posOffset>-412750</wp:posOffset>
                    </wp:positionH>
                    <wp:positionV relativeFrom="page">
                      <wp:posOffset>5772150</wp:posOffset>
                    </wp:positionV>
                    <wp:extent cx="6273800" cy="6720840"/>
                    <wp:effectExtent l="0" t="0" r="1270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62738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6304B" w14:textId="2ED20678" w:rsidR="0077775E" w:rsidRPr="0077775E" w:rsidRDefault="0077775E" w:rsidP="0077775E">
                                <w:pPr>
                                  <w:pStyle w:val="NoSpacing"/>
                                  <w:spacing w:before="40" w:after="560" w:line="216" w:lineRule="auto"/>
                                  <w:jc w:val="center"/>
                                  <w:rPr>
                                    <w:rFonts w:ascii="Arial Black" w:hAnsi="Arial Black"/>
                                    <w:color w:val="156082" w:themeColor="accent1"/>
                                    <w:sz w:val="72"/>
                                    <w:szCs w:val="72"/>
                                  </w:rPr>
                                </w:pPr>
                                <w:sdt>
                                  <w:sdtPr>
                                    <w:rPr>
                                      <w:rFonts w:ascii="Arial Black" w:hAnsi="Arial Black"/>
                                      <w:color w:val="156082" w:themeColor="accen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77775E">
                                      <w:rPr>
                                        <w:rFonts w:ascii="Arial Black" w:hAnsi="Arial Black"/>
                                        <w:color w:val="156082" w:themeColor="accent1"/>
                                        <w:sz w:val="96"/>
                                        <w:szCs w:val="96"/>
                                      </w:rPr>
                                      <w:t xml:space="preserve">Financial Analysis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7D6FCF29" id="_x0000_t202" coordsize="21600,21600" o:spt="202" path="m,l,21600r21600,l21600,xe">
                    <v:stroke joinstyle="miter"/>
                    <v:path gradientshapeok="t" o:connecttype="rect"/>
                  </v:shapetype>
                  <v:shape id="Text Box 131" o:spid="_x0000_s1026" type="#_x0000_t202" style="position:absolute;margin-left:-32.5pt;margin-top:454.5pt;width:494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DKXgIAAC4FAAAOAAAAZHJzL2Uyb0RvYy54bWysVN9v2jAQfp+0/8Hy+0igG0WooWKtmCah&#10;tlo79dk4NkRzfJ59kLC/fmcngarbS6e9OBff7+++89V1Wxt2UD5UYAs+HuWcKSuhrOy24N+fVh9m&#10;nAUUthQGrCr4UQV+vXj/7qpxczWBHZhSeUZBbJg3ruA7RDfPsiB3qhZhBE5ZUmrwtUD69dus9KKh&#10;6LXJJnk+zRrwpfMgVQh0e9sp+SLF11pJvNc6KGSm4FQbptOncxPPbHEl5lsv3K6SfRniH6qoRWUp&#10;6SnUrUDB9r76I1RdSQ8BNI4k1BloXUmVeqBuxvmrbh53wqnUC4ET3Amm8P/CyrvDo3vwDNvP0NIA&#10;IyCNC/NAl7GfVvs6fqlSRnqC8HiCTbXIJF1OJ5cXs5xUknTTy0k++5iAzc7uzgf8oqBmUSi4p7kk&#10;uMRhHZBSkulgErNZWFXGpNkYyxqKevEpTw4nDXkYG21VmnIf5lx6kvBoVLQx9pvSrCpTB/Ei8Uvd&#10;GM8OgpghpFQWU/MpLllHK01FvMWxtz9X9Rbnro8hM1g8OdeVBZ+6f1V2+WMoWXf2BOSLvqOI7abt&#10;R7qB8kiT9tAtQXByVdE01iLgg/DEepogbTLe06ENEOrQS5ztwP/62320JzKSlrOGtqjg4edeeMWZ&#10;+WqJpnHlBsEPwmYQ7L6+AYJ/TG+Ek0kkB49mELWH+pkWfBmzkEpYSbkKjoN4g90u0wMh1XKZjGix&#10;nMC1fXQyho7TiNx6ap+Fdz0Bkbh7B8N+ifkrHna2iShuuUdiYyJpBLRDsQealjJxt39A4ta//E9W&#10;52du8RsAAP//AwBQSwMEFAAGAAgAAAAhABE+RZLhAAAADAEAAA8AAABkcnMvZG93bnJldi54bWxM&#10;j8FOwzAQRO9I/IO1SNxah5QGEuJUgASiUi+kvXDbxksciO0Qu234e5YT3Ga0T7Mz5WqyvTjSGDrv&#10;FFzNExDkGq871yrYbZ9mtyBCRKex944UfFOAVXV+VmKh/cm90rGOreAQFwpUYGIcCilDY8himPuB&#10;HN/e/Wgxsh1bqUc8cbjtZZokmbTYOf5gcKBHQ81nfbAK3hZjq41ZPnyk6w1t8KV7Xn/VSl1eTPd3&#10;ICJN8Q+G3/pcHSrutPcHp4PoFcyyJW+JCvIkZ8FEni5Y7BnNs5trkFUp/4+ofgAAAP//AwBQSwEC&#10;LQAUAAYACAAAACEAtoM4kv4AAADhAQAAEwAAAAAAAAAAAAAAAAAAAAAAW0NvbnRlbnRfVHlwZXNd&#10;LnhtbFBLAQItABQABgAIAAAAIQA4/SH/1gAAAJQBAAALAAAAAAAAAAAAAAAAAC8BAABfcmVscy8u&#10;cmVsc1BLAQItABQABgAIAAAAIQAimoDKXgIAAC4FAAAOAAAAAAAAAAAAAAAAAC4CAABkcnMvZTJv&#10;RG9jLnhtbFBLAQItABQABgAIAAAAIQARPkWS4QAAAAwBAAAPAAAAAAAAAAAAAAAAALgEAABkcnMv&#10;ZG93bnJldi54bWxQSwUGAAAAAAQABADzAAAAxgUAAAAA&#10;" filled="f" stroked="f" strokeweight=".5pt">
                    <v:textbox style="mso-fit-shape-to-text:t" inset="0,0,0,0">
                      <w:txbxContent>
                        <w:p w14:paraId="4156304B" w14:textId="2ED20678" w:rsidR="0077775E" w:rsidRPr="0077775E" w:rsidRDefault="0077775E" w:rsidP="0077775E">
                          <w:pPr>
                            <w:pStyle w:val="NoSpacing"/>
                            <w:spacing w:before="40" w:after="560" w:line="216" w:lineRule="auto"/>
                            <w:jc w:val="center"/>
                            <w:rPr>
                              <w:rFonts w:ascii="Arial Black" w:hAnsi="Arial Black"/>
                              <w:color w:val="156082" w:themeColor="accent1"/>
                              <w:sz w:val="72"/>
                              <w:szCs w:val="72"/>
                            </w:rPr>
                          </w:pPr>
                          <w:sdt>
                            <w:sdtPr>
                              <w:rPr>
                                <w:rFonts w:ascii="Arial Black" w:hAnsi="Arial Black"/>
                                <w:color w:val="156082" w:themeColor="accen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77775E">
                                <w:rPr>
                                  <w:rFonts w:ascii="Arial Black" w:hAnsi="Arial Black"/>
                                  <w:color w:val="156082" w:themeColor="accent1"/>
                                  <w:sz w:val="96"/>
                                  <w:szCs w:val="96"/>
                                </w:rPr>
                                <w:t xml:space="preserve">Financial Analysis </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440DF296" wp14:editId="6620329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7-18T00:00:00Z">
                                    <w:dateFormat w:val="yyyy"/>
                                    <w:lid w:val="en-US"/>
                                    <w:storeMappedDataAs w:val="dateTime"/>
                                    <w:calendar w:val="gregorian"/>
                                  </w:date>
                                </w:sdtPr>
                                <w:sdtContent>
                                  <w:p w14:paraId="43BAEFA6" w14:textId="70A17BF5" w:rsidR="0077775E" w:rsidRPr="0077775E" w:rsidRDefault="0077775E">
                                    <w:pPr>
                                      <w:pStyle w:val="NoSpacing"/>
                                      <w:jc w:val="right"/>
                                      <w:rPr>
                                        <w:rFonts w:ascii="Arial Black" w:hAnsi="Arial Black"/>
                                        <w:color w:val="FFFFFF" w:themeColor="background1"/>
                                        <w:sz w:val="24"/>
                                        <w:szCs w:val="24"/>
                                      </w:rPr>
                                    </w:pPr>
                                    <w:r w:rsidRPr="0077775E">
                                      <w:rPr>
                                        <w:rFonts w:ascii="Arial Black" w:hAnsi="Arial Black"/>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40DF296"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7-18T00:00:00Z">
                              <w:dateFormat w:val="yyyy"/>
                              <w:lid w:val="en-US"/>
                              <w:storeMappedDataAs w:val="dateTime"/>
                              <w:calendar w:val="gregorian"/>
                            </w:date>
                          </w:sdtPr>
                          <w:sdtContent>
                            <w:p w14:paraId="43BAEFA6" w14:textId="70A17BF5" w:rsidR="0077775E" w:rsidRPr="0077775E" w:rsidRDefault="0077775E">
                              <w:pPr>
                                <w:pStyle w:val="NoSpacing"/>
                                <w:jc w:val="right"/>
                                <w:rPr>
                                  <w:rFonts w:ascii="Arial Black" w:hAnsi="Arial Black"/>
                                  <w:color w:val="FFFFFF" w:themeColor="background1"/>
                                  <w:sz w:val="24"/>
                                  <w:szCs w:val="24"/>
                                </w:rPr>
                              </w:pPr>
                              <w:r w:rsidRPr="0077775E">
                                <w:rPr>
                                  <w:rFonts w:ascii="Arial Black" w:hAnsi="Arial Black"/>
                                  <w:color w:val="FFFFFF" w:themeColor="background1"/>
                                  <w:sz w:val="24"/>
                                  <w:szCs w:val="24"/>
                                </w:rPr>
                                <w:t>2025</w:t>
                              </w:r>
                            </w:p>
                          </w:sdtContent>
                        </w:sdt>
                      </w:txbxContent>
                    </v:textbox>
                    <w10:wrap anchorx="margin" anchory="page"/>
                  </v:rect>
                </w:pict>
              </mc:Fallback>
            </mc:AlternateContent>
          </w:r>
          <w:r>
            <w:rPr>
              <w:rFonts w:ascii="Arial Black" w:hAnsi="Arial Black" w:cs="Arial"/>
              <w:color w:val="4C94D8" w:themeColor="text2" w:themeTint="80"/>
            </w:rPr>
            <w:br w:type="page"/>
          </w:r>
        </w:p>
      </w:sdtContent>
    </w:sdt>
    <w:p w14:paraId="0F71AAF4" w14:textId="2CEC5B46"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lastRenderedPageBreak/>
        <w:t>Introduction</w:t>
      </w:r>
    </w:p>
    <w:p w14:paraId="308AE412" w14:textId="77777777" w:rsidR="00E50EFF" w:rsidRDefault="00E50EFF" w:rsidP="00E50EFF">
      <w:pPr>
        <w:spacing w:line="480" w:lineRule="auto"/>
        <w:rPr>
          <w:rFonts w:ascii="Arial" w:hAnsi="Arial" w:cs="Arial"/>
        </w:rPr>
      </w:pPr>
      <w:r w:rsidRPr="00E50EFF">
        <w:rPr>
          <w:rFonts w:ascii="Arial" w:hAnsi="Arial" w:cs="Arial"/>
        </w:rPr>
        <w:t xml:space="preserve">In this </w:t>
      </w:r>
      <w:r>
        <w:rPr>
          <w:rFonts w:ascii="Arial" w:hAnsi="Arial" w:cs="Arial"/>
        </w:rPr>
        <w:t>report</w:t>
      </w:r>
      <w:r w:rsidRPr="00E50EFF">
        <w:rPr>
          <w:rFonts w:ascii="Arial" w:hAnsi="Arial" w:cs="Arial"/>
        </w:rPr>
        <w:t xml:space="preserve"> we will identify the key reasons for McDonald's different financial performance in FY 2023 over FY 2022, based on drawing some insight from a multi</w:t>
      </w:r>
      <w:r w:rsidRPr="00E50EFF">
        <w:rPr>
          <w:rFonts w:ascii="Cambria Math" w:hAnsi="Cambria Math" w:cs="Cambria Math"/>
        </w:rPr>
        <w:t>‐</w:t>
      </w:r>
      <w:r w:rsidRPr="00E50EFF">
        <w:rPr>
          <w:rFonts w:ascii="Arial" w:hAnsi="Arial" w:cs="Arial"/>
        </w:rPr>
        <w:t>ratio analysis model (Attrill &amp; McLaney, 2015) that considers liquidity, solvency, profitability and efficiency ratios. We will highlight the external pressures on the business, namely global inflation in 2022, and the internal organi</w:t>
      </w:r>
      <w:r>
        <w:rPr>
          <w:rFonts w:ascii="Arial" w:hAnsi="Arial" w:cs="Arial"/>
        </w:rPr>
        <w:t>s</w:t>
      </w:r>
      <w:r w:rsidRPr="00E50EFF">
        <w:rPr>
          <w:rFonts w:ascii="Arial" w:hAnsi="Arial" w:cs="Arial"/>
        </w:rPr>
        <w:t xml:space="preserve">ational responses to the pressures, which included price increases, investments in digital capabilities, and an increasing blend of franchised restaurants. </w:t>
      </w:r>
    </w:p>
    <w:p w14:paraId="2A4A0131" w14:textId="77777777" w:rsidR="00E50EFF" w:rsidRDefault="00E50EFF" w:rsidP="00E50EFF">
      <w:pPr>
        <w:spacing w:line="480" w:lineRule="auto"/>
        <w:rPr>
          <w:rFonts w:ascii="Arial" w:hAnsi="Arial" w:cs="Arial"/>
        </w:rPr>
      </w:pPr>
      <w:r w:rsidRPr="00E50EFF">
        <w:rPr>
          <w:rFonts w:ascii="Arial" w:hAnsi="Arial" w:cs="Arial"/>
        </w:rPr>
        <w:t>Specifically with an analysis of the price</w:t>
      </w:r>
      <w:r w:rsidRPr="00E50EFF">
        <w:rPr>
          <w:rFonts w:ascii="Cambria Math" w:hAnsi="Cambria Math" w:cs="Cambria Math"/>
        </w:rPr>
        <w:t>‐</w:t>
      </w:r>
      <w:r w:rsidRPr="00E50EFF">
        <w:rPr>
          <w:rFonts w:ascii="Arial" w:hAnsi="Arial" w:cs="Arial"/>
        </w:rPr>
        <w:t>cost squeeze in 2022 and how menu price increases combined with internal cost</w:t>
      </w:r>
      <w:r w:rsidRPr="00E50EFF">
        <w:rPr>
          <w:rFonts w:ascii="Cambria Math" w:hAnsi="Cambria Math" w:cs="Cambria Math"/>
        </w:rPr>
        <w:t>‐</w:t>
      </w:r>
      <w:r w:rsidRPr="00E50EFF">
        <w:rPr>
          <w:rFonts w:ascii="Arial" w:hAnsi="Arial" w:cs="Arial"/>
        </w:rPr>
        <w:t>containment measures supported some level of profitability in FY 2023, the rapid expansion of Mobile Ordering sales channels and delivery partnerships supporting asset turnover and asset returns, and the return on investment derived from an increasing focus on the company's franchised mix of restaurants that grew net income without any increase in operating expenses.</w:t>
      </w:r>
    </w:p>
    <w:p w14:paraId="16B7FAE1" w14:textId="1E9C7A99" w:rsidR="00E50EFF" w:rsidRPr="00E50EFF" w:rsidRDefault="00E50EFF" w:rsidP="00E50EFF">
      <w:pPr>
        <w:spacing w:line="480" w:lineRule="auto"/>
        <w:rPr>
          <w:rFonts w:ascii="Arial" w:hAnsi="Arial" w:cs="Arial"/>
        </w:rPr>
      </w:pPr>
      <w:r w:rsidRPr="00E50EFF">
        <w:rPr>
          <w:rFonts w:ascii="Arial" w:hAnsi="Arial" w:cs="Arial"/>
        </w:rPr>
        <w:t>Furthermore, the impact of the identified working</w:t>
      </w:r>
      <w:r w:rsidRPr="00E50EFF">
        <w:rPr>
          <w:rFonts w:ascii="Cambria Math" w:hAnsi="Cambria Math" w:cs="Cambria Math"/>
        </w:rPr>
        <w:t>‐</w:t>
      </w:r>
      <w:r w:rsidRPr="00E50EFF">
        <w:rPr>
          <w:rFonts w:ascii="Arial" w:hAnsi="Arial" w:cs="Arial"/>
        </w:rPr>
        <w:t>capital investments and the liquidity position of the company will be considered together with the potential contribution of refinancing debt to improve the company's interest</w:t>
      </w:r>
      <w:r w:rsidRPr="00E50EFF">
        <w:rPr>
          <w:rFonts w:ascii="Cambria Math" w:hAnsi="Cambria Math" w:cs="Cambria Math"/>
        </w:rPr>
        <w:t>‐</w:t>
      </w:r>
      <w:r w:rsidRPr="00E50EFF">
        <w:rPr>
          <w:rFonts w:ascii="Arial" w:hAnsi="Arial" w:cs="Arial"/>
        </w:rPr>
        <w:t xml:space="preserve">coverage ratios (Madushanka &amp; Jathurika, 2018; Rashid, 2018). Collectively these drivers help explain why McDonald's profit margins increased, liquidity ratios </w:t>
      </w:r>
      <w:r w:rsidRPr="00E50EFF">
        <w:rPr>
          <w:rFonts w:ascii="Arial" w:hAnsi="Arial" w:cs="Arial"/>
        </w:rPr>
        <w:t>widened,</w:t>
      </w:r>
      <w:r w:rsidRPr="00E50EFF">
        <w:rPr>
          <w:rFonts w:ascii="Arial" w:hAnsi="Arial" w:cs="Arial"/>
        </w:rPr>
        <w:t xml:space="preserve"> and overall solvency remained strong. The trends evidenced, can provide a foundation for value-added recommendations to maintain financial performance and enhance long</w:t>
      </w:r>
      <w:r w:rsidRPr="00E50EFF">
        <w:rPr>
          <w:rFonts w:ascii="Cambria Math" w:hAnsi="Cambria Math" w:cs="Cambria Math"/>
        </w:rPr>
        <w:t>‐</w:t>
      </w:r>
      <w:r w:rsidRPr="00E50EFF">
        <w:rPr>
          <w:rFonts w:ascii="Arial" w:hAnsi="Arial" w:cs="Arial"/>
        </w:rPr>
        <w:t>term value</w:t>
      </w:r>
      <w:r w:rsidRPr="00E50EFF">
        <w:rPr>
          <w:rFonts w:ascii="Cambria Math" w:hAnsi="Cambria Math" w:cs="Cambria Math"/>
        </w:rPr>
        <w:t>‐</w:t>
      </w:r>
      <w:r w:rsidRPr="00E50EFF">
        <w:rPr>
          <w:rFonts w:ascii="Arial" w:hAnsi="Arial" w:cs="Arial"/>
        </w:rPr>
        <w:t>creation.</w:t>
      </w:r>
    </w:p>
    <w:p w14:paraId="2B2051F9" w14:textId="34AECBCF"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lastRenderedPageBreak/>
        <w:t>Why McDonald's Performed Better or Worse in FY 2020 versus FY 2021</w:t>
      </w:r>
    </w:p>
    <w:p w14:paraId="11F574D5" w14:textId="534F35D6" w:rsidR="00E50EFF" w:rsidRPr="00E50EFF" w:rsidRDefault="00E50EFF" w:rsidP="00E50EFF">
      <w:pPr>
        <w:spacing w:line="480" w:lineRule="auto"/>
        <w:rPr>
          <w:rFonts w:ascii="Arial" w:hAnsi="Arial" w:cs="Arial"/>
        </w:rPr>
      </w:pPr>
      <w:r w:rsidRPr="00E50EFF">
        <w:rPr>
          <w:rFonts w:ascii="Arial" w:hAnsi="Arial" w:cs="Arial"/>
        </w:rPr>
        <w:t xml:space="preserve">As seen in the descriptive analysis </w:t>
      </w:r>
      <w:r>
        <w:rPr>
          <w:rFonts w:ascii="Arial" w:hAnsi="Arial" w:cs="Arial"/>
        </w:rPr>
        <w:t xml:space="preserve">(see Appendix for the ratio calculations) </w:t>
      </w:r>
      <w:r w:rsidRPr="00E50EFF">
        <w:rPr>
          <w:rFonts w:ascii="Arial" w:hAnsi="Arial" w:cs="Arial"/>
        </w:rPr>
        <w:t>contained in the ratio analysis, there were both improvements and challenges for McDonald's in 2020 versus 2022. The importance of the drivers further explained below highlight areas of inflationary cost pressures, pricing and digital response initiatives, changing the mix of franchising, investment into the working</w:t>
      </w:r>
      <w:r w:rsidRPr="00E50EFF">
        <w:rPr>
          <w:rFonts w:ascii="Cambria Math" w:hAnsi="Cambria Math" w:cs="Cambria Math"/>
        </w:rPr>
        <w:t>‐</w:t>
      </w:r>
      <w:r w:rsidRPr="00E50EFF">
        <w:rPr>
          <w:rFonts w:ascii="Arial" w:hAnsi="Arial" w:cs="Arial"/>
        </w:rPr>
        <w:t>capital required for some of the outcomes and debt management.</w:t>
      </w:r>
    </w:p>
    <w:p w14:paraId="108FCBC6" w14:textId="77777777"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Inflationary Cost Pressures</w:t>
      </w:r>
    </w:p>
    <w:p w14:paraId="16195BEF" w14:textId="77777777" w:rsidR="00E50EFF" w:rsidRDefault="00E50EFF" w:rsidP="00E50EFF">
      <w:pPr>
        <w:spacing w:line="480" w:lineRule="auto"/>
        <w:rPr>
          <w:rFonts w:ascii="Arial" w:hAnsi="Arial" w:cs="Arial"/>
        </w:rPr>
      </w:pPr>
      <w:r w:rsidRPr="00E50EFF">
        <w:rPr>
          <w:rFonts w:ascii="Arial" w:hAnsi="Arial" w:cs="Arial"/>
        </w:rPr>
        <w:t>McDonald's faced escalating commodity costs (beef, grains, dairy), labour, and distribution costs due to inflation across the globe in 2023.</w:t>
      </w:r>
    </w:p>
    <w:p w14:paraId="77892DD6" w14:textId="236EACAE"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Value of Pricing Power</w:t>
      </w:r>
    </w:p>
    <w:p w14:paraId="64B072CF" w14:textId="66AB854B" w:rsidR="00E50EFF" w:rsidRPr="00E50EFF" w:rsidRDefault="00E50EFF" w:rsidP="00E50EFF">
      <w:pPr>
        <w:spacing w:line="480" w:lineRule="auto"/>
        <w:rPr>
          <w:rFonts w:ascii="Arial" w:hAnsi="Arial" w:cs="Arial"/>
        </w:rPr>
      </w:pPr>
      <w:r w:rsidRPr="00E50EFF">
        <w:rPr>
          <w:rFonts w:ascii="Arial" w:hAnsi="Arial" w:cs="Arial"/>
        </w:rPr>
        <w:t>While, McDonald’s raised menu prices in late 2022 and early 2023, input cost inflation was greater than pricing for much of 2022, which compressed margins, cash</w:t>
      </w:r>
      <w:r w:rsidRPr="00E50EFF">
        <w:rPr>
          <w:rFonts w:ascii="Cambria Math" w:hAnsi="Cambria Math" w:cs="Cambria Math"/>
        </w:rPr>
        <w:t>‐</w:t>
      </w:r>
      <w:r w:rsidRPr="00E50EFF">
        <w:rPr>
          <w:rFonts w:ascii="Arial" w:hAnsi="Arial" w:cs="Arial"/>
        </w:rPr>
        <w:t>flow conversion (Operating Margin fell to 40.4% in 2022) and profitability (by 2023 more of these price increases flowed to the P&amp;L and Operating Margin rose to a now robust 45.7%)</w:t>
      </w:r>
      <w:r>
        <w:rPr>
          <w:rFonts w:ascii="Arial" w:hAnsi="Arial" w:cs="Arial"/>
        </w:rPr>
        <w:t xml:space="preserve"> ( see appendix). P</w:t>
      </w:r>
      <w:r w:rsidRPr="00E50EFF">
        <w:rPr>
          <w:rFonts w:ascii="Arial" w:hAnsi="Arial" w:cs="Arial"/>
        </w:rPr>
        <w:t>ricing strategies can restore margin, and McDonald’s employed selective price increases in markets with a demand that had proven resilient (Shahid et al., 2014</w:t>
      </w:r>
      <w:r>
        <w:rPr>
          <w:rFonts w:ascii="Arial" w:hAnsi="Arial" w:cs="Arial"/>
        </w:rPr>
        <w:t xml:space="preserve">; </w:t>
      </w:r>
      <w:r w:rsidRPr="00E50EFF">
        <w:rPr>
          <w:rFonts w:ascii="Arial" w:hAnsi="Arial" w:cs="Arial"/>
        </w:rPr>
        <w:t>Lucey (2009).</w:t>
      </w:r>
    </w:p>
    <w:p w14:paraId="78EF479D" w14:textId="77777777"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Digital and Delivery Growth</w:t>
      </w:r>
    </w:p>
    <w:p w14:paraId="779722D1" w14:textId="77777777" w:rsidR="00852A3A" w:rsidRDefault="00E50EFF" w:rsidP="00E50EFF">
      <w:pPr>
        <w:spacing w:line="480" w:lineRule="auto"/>
        <w:rPr>
          <w:rFonts w:ascii="Arial" w:hAnsi="Arial" w:cs="Arial"/>
        </w:rPr>
      </w:pPr>
      <w:r w:rsidRPr="00E50EFF">
        <w:rPr>
          <w:rFonts w:ascii="Arial" w:hAnsi="Arial" w:cs="Arial"/>
        </w:rPr>
        <w:t>The expansion of mobile ordering, partnering with delivery, and loyalty</w:t>
      </w:r>
      <w:r w:rsidRPr="00E50EFF">
        <w:rPr>
          <w:rFonts w:ascii="Cambria Math" w:hAnsi="Cambria Math" w:cs="Cambria Math"/>
        </w:rPr>
        <w:t>‐</w:t>
      </w:r>
      <w:r w:rsidRPr="00E50EFF">
        <w:rPr>
          <w:rFonts w:ascii="Arial" w:hAnsi="Arial" w:cs="Arial"/>
        </w:rPr>
        <w:t xml:space="preserve">program promotions shifted a higher volume of sales to a higher margin digital channel. </w:t>
      </w:r>
      <w:r w:rsidRPr="00E50EFF">
        <w:rPr>
          <w:rFonts w:ascii="Arial" w:hAnsi="Arial" w:cs="Arial"/>
        </w:rPr>
        <w:lastRenderedPageBreak/>
        <w:t xml:space="preserve">Digital sales rose from about 25% of systemwide sales in 2022 to over 30% in 2023, which significantly improved profitability at the same time as total physical-restaurant traffic was relatively flat (McDonald’s Corporation, 2024) </w:t>
      </w:r>
      <w:r>
        <w:rPr>
          <w:rFonts w:ascii="Arial" w:hAnsi="Arial" w:cs="Arial"/>
        </w:rPr>
        <w:t>(see appendix)</w:t>
      </w:r>
      <w:r w:rsidRPr="00E50EFF">
        <w:rPr>
          <w:rFonts w:ascii="Arial" w:hAnsi="Arial" w:cs="Arial"/>
        </w:rPr>
        <w:t xml:space="preserve">. </w:t>
      </w:r>
      <w:r>
        <w:rPr>
          <w:rFonts w:ascii="Arial" w:hAnsi="Arial" w:cs="Arial"/>
        </w:rPr>
        <w:t>A</w:t>
      </w:r>
      <w:r w:rsidRPr="00E50EFF">
        <w:rPr>
          <w:rFonts w:ascii="Arial" w:hAnsi="Arial" w:cs="Arial"/>
        </w:rPr>
        <w:t xml:space="preserve"> technology investment generates more revenue per asset, which aligns with McDonald’s decline in Asset Turnover (from 0.46× to 0.45×) versus significant improvement in Return on Assets (ROA rose from 12.3% to 15.1%) </w:t>
      </w:r>
      <w:r w:rsidR="00852A3A">
        <w:rPr>
          <w:rFonts w:ascii="Arial" w:hAnsi="Arial" w:cs="Arial"/>
        </w:rPr>
        <w:t>(</w:t>
      </w:r>
      <w:proofErr w:type="spellStart"/>
      <w:r w:rsidR="00852A3A" w:rsidRPr="00852A3A">
        <w:rPr>
          <w:rFonts w:ascii="Arial" w:hAnsi="Arial" w:cs="Arial"/>
        </w:rPr>
        <w:t>Ayrapetova</w:t>
      </w:r>
      <w:proofErr w:type="spellEnd"/>
      <w:r w:rsidR="00852A3A">
        <w:rPr>
          <w:rFonts w:ascii="Arial" w:hAnsi="Arial" w:cs="Arial"/>
        </w:rPr>
        <w:t xml:space="preserve">, </w:t>
      </w:r>
      <w:r w:rsidR="00852A3A" w:rsidRPr="00852A3A">
        <w:rPr>
          <w:rFonts w:ascii="Arial" w:hAnsi="Arial" w:cs="Arial"/>
        </w:rPr>
        <w:t>2014)</w:t>
      </w:r>
      <w:r w:rsidRPr="00E50EFF">
        <w:rPr>
          <w:rFonts w:ascii="Arial" w:hAnsi="Arial" w:cs="Arial"/>
        </w:rPr>
        <w:t>.</w:t>
      </w:r>
    </w:p>
    <w:p w14:paraId="3B2EEA19" w14:textId="0D75B46B"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Franchising versus Company</w:t>
      </w:r>
      <w:r w:rsidRPr="00C34846">
        <w:rPr>
          <w:rFonts w:ascii="Cambria Math" w:hAnsi="Cambria Math" w:cs="Cambria Math"/>
          <w:color w:val="4C94D8" w:themeColor="text2" w:themeTint="80"/>
        </w:rPr>
        <w:t>‐</w:t>
      </w:r>
      <w:r w:rsidRPr="00C34846">
        <w:rPr>
          <w:rFonts w:ascii="Arial Black" w:hAnsi="Arial Black" w:cs="Arial"/>
          <w:color w:val="4C94D8" w:themeColor="text2" w:themeTint="80"/>
        </w:rPr>
        <w:t>Owned Diner Mix</w:t>
      </w:r>
    </w:p>
    <w:p w14:paraId="16BB4028" w14:textId="285A7456" w:rsidR="00852A3A" w:rsidRDefault="00E50EFF" w:rsidP="00E50EFF">
      <w:pPr>
        <w:spacing w:line="480" w:lineRule="auto"/>
        <w:rPr>
          <w:rFonts w:ascii="Arial" w:hAnsi="Arial" w:cs="Arial"/>
        </w:rPr>
      </w:pPr>
      <w:r w:rsidRPr="00E50EFF">
        <w:rPr>
          <w:rFonts w:ascii="Arial" w:hAnsi="Arial" w:cs="Arial"/>
        </w:rPr>
        <w:t xml:space="preserve">In 2023 McDonald’s had an increased share of franchised locations, measured in royalties and rental income earnings as opposed to the full measure of operating expenses. The move from more franchising also </w:t>
      </w:r>
      <w:r w:rsidR="00852A3A">
        <w:rPr>
          <w:rFonts w:ascii="Arial" w:hAnsi="Arial" w:cs="Arial"/>
        </w:rPr>
        <w:t xml:space="preserve">supported </w:t>
      </w:r>
      <w:r w:rsidRPr="00E50EFF">
        <w:rPr>
          <w:rFonts w:ascii="Arial" w:hAnsi="Arial" w:cs="Arial"/>
        </w:rPr>
        <w:t>overall Net Profit Margin from 26.6% in 2022 to 33.2% in 2023</w:t>
      </w:r>
      <w:r w:rsidR="00852A3A">
        <w:rPr>
          <w:rFonts w:ascii="Arial" w:hAnsi="Arial" w:cs="Arial"/>
        </w:rPr>
        <w:t xml:space="preserve"> (see appendix)</w:t>
      </w:r>
      <w:r w:rsidR="00852A3A" w:rsidRPr="00E50EFF">
        <w:rPr>
          <w:rFonts w:ascii="Arial" w:hAnsi="Arial" w:cs="Arial"/>
        </w:rPr>
        <w:t>.</w:t>
      </w:r>
      <w:r w:rsidRPr="00E50EFF">
        <w:rPr>
          <w:rFonts w:ascii="Arial" w:hAnsi="Arial" w:cs="Arial"/>
        </w:rPr>
        <w:t xml:space="preserve"> Franchising taps into brand scale at lower capital intensity and enhanced ROA and cash</w:t>
      </w:r>
      <w:r w:rsidRPr="00E50EFF">
        <w:rPr>
          <w:rFonts w:ascii="Cambria Math" w:hAnsi="Cambria Math" w:cs="Cambria Math"/>
        </w:rPr>
        <w:t>‐</w:t>
      </w:r>
      <w:r w:rsidRPr="00E50EFF">
        <w:rPr>
          <w:rFonts w:ascii="Arial" w:hAnsi="Arial" w:cs="Arial"/>
        </w:rPr>
        <w:t>flow conversion (Madushanka &amp; Jathurika, 2018).</w:t>
      </w:r>
    </w:p>
    <w:p w14:paraId="11D78E56" w14:textId="6490813F"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Working-Capital Investments</w:t>
      </w:r>
    </w:p>
    <w:p w14:paraId="157C3723" w14:textId="33EEACE5" w:rsidR="00E50EFF" w:rsidRPr="00E50EFF" w:rsidRDefault="00E50EFF" w:rsidP="00E50EFF">
      <w:pPr>
        <w:spacing w:line="480" w:lineRule="auto"/>
        <w:rPr>
          <w:rFonts w:ascii="Arial" w:hAnsi="Arial" w:cs="Arial"/>
        </w:rPr>
      </w:pPr>
      <w:r w:rsidRPr="00E50EFF">
        <w:rPr>
          <w:rFonts w:ascii="Arial" w:hAnsi="Arial" w:cs="Arial"/>
        </w:rPr>
        <w:t>To facilitate international growth, rollout of digital operations (e.g., kiosks) and remodels of existing restaurants, McDonald's invested in increased receivables (mostly from franchisees) and inventories (for a lot of technology hardware), which caused liquidity to tighten. The Current Ratio fell from 1.43 to 1.16, and the Quick Ratio fell from 1.24 to 1.03</w:t>
      </w:r>
      <w:r w:rsidR="00852A3A">
        <w:rPr>
          <w:rFonts w:ascii="Arial" w:hAnsi="Arial" w:cs="Arial"/>
        </w:rPr>
        <w:t xml:space="preserve"> (see appendix). D</w:t>
      </w:r>
      <w:r w:rsidRPr="00E50EFF">
        <w:rPr>
          <w:rFonts w:ascii="Arial" w:hAnsi="Arial" w:cs="Arial"/>
        </w:rPr>
        <w:t>eveloping some working capital seems necessary for growth, but if ratios get close to 1.0, it indicates that they have reduced ability to absorb disruptions and will have to finance any shortfall</w:t>
      </w:r>
      <w:r w:rsidR="00852A3A">
        <w:t xml:space="preserve"> (</w:t>
      </w:r>
      <w:r w:rsidR="00852A3A" w:rsidRPr="00852A3A">
        <w:rPr>
          <w:rFonts w:ascii="Arial" w:hAnsi="Arial" w:cs="Arial"/>
        </w:rPr>
        <w:t>Rashid</w:t>
      </w:r>
      <w:r w:rsidR="00852A3A">
        <w:rPr>
          <w:rFonts w:ascii="Arial" w:hAnsi="Arial" w:cs="Arial"/>
        </w:rPr>
        <w:t xml:space="preserve">, </w:t>
      </w:r>
      <w:r w:rsidR="00852A3A" w:rsidRPr="00852A3A">
        <w:rPr>
          <w:rFonts w:ascii="Arial" w:hAnsi="Arial" w:cs="Arial"/>
        </w:rPr>
        <w:t>2018)</w:t>
      </w:r>
      <w:r w:rsidR="00852A3A">
        <w:rPr>
          <w:rFonts w:ascii="Arial" w:hAnsi="Arial" w:cs="Arial"/>
        </w:rPr>
        <w:t>.</w:t>
      </w:r>
    </w:p>
    <w:p w14:paraId="595BEE8A" w14:textId="77777777" w:rsidR="00E50EFF" w:rsidRPr="00E50EFF" w:rsidRDefault="00E50EFF" w:rsidP="00E50EFF">
      <w:pPr>
        <w:spacing w:line="480" w:lineRule="auto"/>
        <w:rPr>
          <w:rFonts w:ascii="Arial" w:hAnsi="Arial" w:cs="Arial"/>
        </w:rPr>
      </w:pPr>
      <w:r w:rsidRPr="00E50EFF">
        <w:rPr>
          <w:rFonts w:ascii="Arial" w:hAnsi="Arial" w:cs="Arial"/>
        </w:rPr>
        <w:t xml:space="preserve"> </w:t>
      </w:r>
    </w:p>
    <w:p w14:paraId="36DB0025" w14:textId="77777777"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lastRenderedPageBreak/>
        <w:t>Debt Management and Interest Rates</w:t>
      </w:r>
    </w:p>
    <w:p w14:paraId="0AA16762" w14:textId="208B8CE7" w:rsidR="00E50EFF" w:rsidRPr="00E50EFF" w:rsidRDefault="00E50EFF" w:rsidP="00E50EFF">
      <w:pPr>
        <w:spacing w:line="480" w:lineRule="auto"/>
        <w:rPr>
          <w:rFonts w:ascii="Arial" w:hAnsi="Arial" w:cs="Arial"/>
        </w:rPr>
      </w:pPr>
      <w:r w:rsidRPr="00E50EFF">
        <w:rPr>
          <w:rFonts w:ascii="Arial" w:hAnsi="Arial" w:cs="Arial"/>
        </w:rPr>
        <w:t>In 2023, alongside assets, total liabilities increased. The Debt Ratio improved a small amount from 1.12× to 1.08×. In addition, and more positively, McDonald's enjoys a lot of flexibility as it refinanced parts of its own debt at favourable rates in mid-2023, improving gross interest expense and raising Interest Coverage from 7.8× to 8.6×</w:t>
      </w:r>
      <w:r w:rsidR="00852A3A">
        <w:rPr>
          <w:rFonts w:ascii="Arial" w:hAnsi="Arial" w:cs="Arial"/>
        </w:rPr>
        <w:t xml:space="preserve"> (see appendix). If </w:t>
      </w:r>
      <w:r w:rsidRPr="00E50EFF">
        <w:rPr>
          <w:rFonts w:ascii="Arial" w:hAnsi="Arial" w:cs="Arial"/>
        </w:rPr>
        <w:t>Interest Coverage is above 5×, the company is considered to have strong solvency, and McDonald's easily meets this threshold</w:t>
      </w:r>
      <w:r w:rsidR="00852A3A">
        <w:rPr>
          <w:rFonts w:ascii="Arial" w:hAnsi="Arial" w:cs="Arial"/>
        </w:rPr>
        <w:t xml:space="preserve"> (</w:t>
      </w:r>
      <w:r w:rsidR="00852A3A" w:rsidRPr="00852A3A">
        <w:rPr>
          <w:rFonts w:ascii="Arial" w:hAnsi="Arial" w:cs="Arial"/>
        </w:rPr>
        <w:t xml:space="preserve">Blessing </w:t>
      </w:r>
      <w:r w:rsidR="00852A3A">
        <w:rPr>
          <w:rFonts w:ascii="Arial" w:hAnsi="Arial" w:cs="Arial"/>
        </w:rPr>
        <w:t xml:space="preserve">&amp; </w:t>
      </w:r>
      <w:proofErr w:type="spellStart"/>
      <w:r w:rsidR="00852A3A" w:rsidRPr="00852A3A">
        <w:rPr>
          <w:rFonts w:ascii="Arial" w:hAnsi="Arial" w:cs="Arial"/>
        </w:rPr>
        <w:t>Sakouvogui</w:t>
      </w:r>
      <w:proofErr w:type="spellEnd"/>
      <w:r w:rsidR="00852A3A">
        <w:rPr>
          <w:rFonts w:ascii="Arial" w:hAnsi="Arial" w:cs="Arial"/>
        </w:rPr>
        <w:t xml:space="preserve">, </w:t>
      </w:r>
      <w:r w:rsidR="00852A3A" w:rsidRPr="00852A3A">
        <w:rPr>
          <w:rFonts w:ascii="Arial" w:hAnsi="Arial" w:cs="Arial"/>
        </w:rPr>
        <w:t>2023)</w:t>
      </w:r>
      <w:r w:rsidR="00852A3A">
        <w:rPr>
          <w:rFonts w:ascii="Arial" w:hAnsi="Arial" w:cs="Arial"/>
        </w:rPr>
        <w:t>.</w:t>
      </w:r>
      <w:r w:rsidR="00852A3A" w:rsidRPr="00852A3A">
        <w:rPr>
          <w:rFonts w:ascii="Arial" w:hAnsi="Arial" w:cs="Arial"/>
        </w:rPr>
        <w:t xml:space="preserve"> </w:t>
      </w:r>
      <w:r w:rsidRPr="00E50EFF">
        <w:rPr>
          <w:rFonts w:ascii="Arial" w:hAnsi="Arial" w:cs="Arial"/>
        </w:rPr>
        <w:t xml:space="preserve"> </w:t>
      </w:r>
    </w:p>
    <w:p w14:paraId="5EBECF58" w14:textId="0C4D2A31"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Recommendations for Financial Improvement and Sustainability</w:t>
      </w:r>
    </w:p>
    <w:p w14:paraId="338D53EF" w14:textId="7C4E21BB" w:rsidR="00E50EFF" w:rsidRPr="00C34846" w:rsidRDefault="00E50EFF" w:rsidP="00E50EFF">
      <w:pPr>
        <w:spacing w:line="480" w:lineRule="auto"/>
        <w:rPr>
          <w:rFonts w:ascii="Arial" w:hAnsi="Arial" w:cs="Arial"/>
        </w:rPr>
      </w:pPr>
      <w:r w:rsidRPr="00E50EFF">
        <w:rPr>
          <w:rFonts w:ascii="Arial" w:hAnsi="Arial" w:cs="Arial"/>
        </w:rPr>
        <w:t xml:space="preserve">Informed by the above analysis and reputable literature on management accounting, financial ratios, and sustainability practices, McDonald's may pursue the following: </w:t>
      </w:r>
      <w:r w:rsidRPr="00C34846">
        <w:rPr>
          <w:rFonts w:ascii="Arial Black" w:hAnsi="Arial Black" w:cs="Arial"/>
          <w:color w:val="4C94D8" w:themeColor="text2" w:themeTint="80"/>
        </w:rPr>
        <w:t>Working-Capital Efficiency</w:t>
      </w:r>
    </w:p>
    <w:p w14:paraId="4FD9C0CE" w14:textId="7A61FC60" w:rsidR="00E50EFF" w:rsidRPr="00852A3A" w:rsidRDefault="00E50EFF" w:rsidP="00852A3A">
      <w:pPr>
        <w:pStyle w:val="ListParagraph"/>
        <w:numPr>
          <w:ilvl w:val="0"/>
          <w:numId w:val="1"/>
        </w:numPr>
        <w:spacing w:line="480" w:lineRule="auto"/>
        <w:rPr>
          <w:rFonts w:ascii="Arial" w:hAnsi="Arial" w:cs="Arial"/>
        </w:rPr>
      </w:pPr>
      <w:r w:rsidRPr="00852A3A">
        <w:rPr>
          <w:rFonts w:ascii="Arial" w:hAnsi="Arial" w:cs="Arial"/>
        </w:rPr>
        <w:t xml:space="preserve">Dynamic Payables Management: Negotiate extended payment terms with supplier and implement just-in-time inventory systems to reduce inventory carrying costs. </w:t>
      </w:r>
      <w:r w:rsidR="00852A3A" w:rsidRPr="00852A3A">
        <w:rPr>
          <w:rFonts w:ascii="Arial" w:hAnsi="Arial" w:cs="Arial"/>
        </w:rPr>
        <w:t>P</w:t>
      </w:r>
      <w:r w:rsidRPr="00852A3A">
        <w:rPr>
          <w:rFonts w:ascii="Arial" w:hAnsi="Arial" w:cs="Arial"/>
        </w:rPr>
        <w:t xml:space="preserve">ayables be closely aligned with surrendering </w:t>
      </w:r>
      <w:r w:rsidR="00852A3A" w:rsidRPr="00852A3A">
        <w:rPr>
          <w:rFonts w:ascii="Arial" w:hAnsi="Arial" w:cs="Arial"/>
        </w:rPr>
        <w:t>receivables,</w:t>
      </w:r>
      <w:r w:rsidRPr="00852A3A">
        <w:rPr>
          <w:rFonts w:ascii="Arial" w:hAnsi="Arial" w:cs="Arial"/>
        </w:rPr>
        <w:t xml:space="preserve"> if </w:t>
      </w:r>
      <w:r w:rsidR="00852A3A" w:rsidRPr="00852A3A">
        <w:rPr>
          <w:rFonts w:ascii="Arial" w:hAnsi="Arial" w:cs="Arial"/>
        </w:rPr>
        <w:t>possible,</w:t>
      </w:r>
      <w:r w:rsidRPr="00852A3A">
        <w:rPr>
          <w:rFonts w:ascii="Arial" w:hAnsi="Arial" w:cs="Arial"/>
        </w:rPr>
        <w:t xml:space="preserve"> to help reduce working capital fatigue</w:t>
      </w:r>
      <w:r w:rsidR="00852A3A" w:rsidRPr="00852A3A">
        <w:rPr>
          <w:rFonts w:ascii="Arial" w:hAnsi="Arial" w:cs="Arial"/>
        </w:rPr>
        <w:t xml:space="preserve"> (</w:t>
      </w:r>
      <w:r w:rsidR="00852A3A" w:rsidRPr="00852A3A">
        <w:rPr>
          <w:rFonts w:ascii="Arial" w:hAnsi="Arial" w:cs="Arial"/>
        </w:rPr>
        <w:t>Attrill &amp; McLaney</w:t>
      </w:r>
      <w:r w:rsidR="00852A3A" w:rsidRPr="00852A3A">
        <w:rPr>
          <w:rFonts w:ascii="Arial" w:hAnsi="Arial" w:cs="Arial"/>
        </w:rPr>
        <w:t xml:space="preserve">, </w:t>
      </w:r>
      <w:r w:rsidR="00852A3A" w:rsidRPr="00852A3A">
        <w:rPr>
          <w:rFonts w:ascii="Arial" w:hAnsi="Arial" w:cs="Arial"/>
        </w:rPr>
        <w:t>2015)</w:t>
      </w:r>
      <w:r w:rsidR="00852A3A" w:rsidRPr="00852A3A">
        <w:rPr>
          <w:rFonts w:ascii="Arial" w:hAnsi="Arial" w:cs="Arial"/>
        </w:rPr>
        <w:t>.</w:t>
      </w:r>
    </w:p>
    <w:p w14:paraId="6FC67586" w14:textId="77777777" w:rsidR="00E50EFF" w:rsidRPr="00852A3A" w:rsidRDefault="00E50EFF" w:rsidP="00852A3A">
      <w:pPr>
        <w:pStyle w:val="ListParagraph"/>
        <w:numPr>
          <w:ilvl w:val="0"/>
          <w:numId w:val="1"/>
        </w:numPr>
        <w:spacing w:line="480" w:lineRule="auto"/>
        <w:rPr>
          <w:rFonts w:ascii="Arial" w:hAnsi="Arial" w:cs="Arial"/>
        </w:rPr>
      </w:pPr>
      <w:r w:rsidRPr="00852A3A">
        <w:rPr>
          <w:rFonts w:ascii="Arial" w:hAnsi="Arial" w:cs="Arial"/>
        </w:rPr>
        <w:t>Receivables Acceleration: Encourage the use of electronic invoicing for franchisees and provide discounts for early payment so cashflow is accelerated (Rashid, 2018).</w:t>
      </w:r>
    </w:p>
    <w:p w14:paraId="6FA4091A" w14:textId="77777777" w:rsidR="00852A3A" w:rsidRDefault="00852A3A" w:rsidP="00E50EFF">
      <w:pPr>
        <w:spacing w:line="480" w:lineRule="auto"/>
        <w:rPr>
          <w:rFonts w:ascii="Arial Black" w:hAnsi="Arial Black" w:cs="Arial"/>
        </w:rPr>
      </w:pPr>
    </w:p>
    <w:p w14:paraId="699A8C5D" w14:textId="77777777" w:rsidR="00852A3A" w:rsidRDefault="00852A3A" w:rsidP="00E50EFF">
      <w:pPr>
        <w:spacing w:line="480" w:lineRule="auto"/>
        <w:rPr>
          <w:rFonts w:ascii="Arial Black" w:hAnsi="Arial Black" w:cs="Arial"/>
        </w:rPr>
      </w:pPr>
    </w:p>
    <w:p w14:paraId="67835B9D" w14:textId="77777777" w:rsidR="00852A3A" w:rsidRDefault="00852A3A" w:rsidP="00E50EFF">
      <w:pPr>
        <w:spacing w:line="480" w:lineRule="auto"/>
        <w:rPr>
          <w:rFonts w:ascii="Arial Black" w:hAnsi="Arial Black" w:cs="Arial"/>
        </w:rPr>
      </w:pPr>
    </w:p>
    <w:p w14:paraId="1B669677" w14:textId="13C5640C"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lastRenderedPageBreak/>
        <w:t>Pricing and Cost Hedging</w:t>
      </w:r>
    </w:p>
    <w:p w14:paraId="05FBB83C" w14:textId="43376693" w:rsidR="00E50EFF" w:rsidRPr="00852A3A" w:rsidRDefault="00E50EFF" w:rsidP="00852A3A">
      <w:pPr>
        <w:pStyle w:val="ListParagraph"/>
        <w:numPr>
          <w:ilvl w:val="0"/>
          <w:numId w:val="2"/>
        </w:numPr>
        <w:spacing w:line="480" w:lineRule="auto"/>
        <w:rPr>
          <w:rFonts w:ascii="Arial" w:hAnsi="Arial" w:cs="Arial"/>
        </w:rPr>
      </w:pPr>
      <w:r w:rsidRPr="00852A3A">
        <w:rPr>
          <w:rFonts w:ascii="Arial" w:hAnsi="Arial" w:cs="Arial"/>
        </w:rPr>
        <w:t>Data-Driven Dynamic Pricing: Leverage real-time analytics to raise and lower menu items in conjunction with locali</w:t>
      </w:r>
      <w:r w:rsidR="00852A3A" w:rsidRPr="00852A3A">
        <w:rPr>
          <w:rFonts w:ascii="Arial" w:hAnsi="Arial" w:cs="Arial"/>
        </w:rPr>
        <w:t>s</w:t>
      </w:r>
      <w:r w:rsidRPr="00852A3A">
        <w:rPr>
          <w:rFonts w:ascii="Arial" w:hAnsi="Arial" w:cs="Arial"/>
        </w:rPr>
        <w:t>ed input</w:t>
      </w:r>
      <w:r w:rsidRPr="00852A3A">
        <w:rPr>
          <w:rFonts w:ascii="Cambria Math" w:hAnsi="Cambria Math" w:cs="Cambria Math"/>
        </w:rPr>
        <w:t>‐</w:t>
      </w:r>
      <w:r w:rsidRPr="00852A3A">
        <w:rPr>
          <w:rFonts w:ascii="Arial" w:hAnsi="Arial" w:cs="Arial"/>
        </w:rPr>
        <w:t xml:space="preserve">cost changes. </w:t>
      </w:r>
    </w:p>
    <w:p w14:paraId="7E99F2FE" w14:textId="77777777" w:rsidR="00E50EFF" w:rsidRPr="00852A3A" w:rsidRDefault="00E50EFF" w:rsidP="00852A3A">
      <w:pPr>
        <w:pStyle w:val="ListParagraph"/>
        <w:numPr>
          <w:ilvl w:val="0"/>
          <w:numId w:val="2"/>
        </w:numPr>
        <w:spacing w:line="480" w:lineRule="auto"/>
        <w:rPr>
          <w:rFonts w:ascii="Arial" w:hAnsi="Arial" w:cs="Arial"/>
        </w:rPr>
      </w:pPr>
      <w:r w:rsidRPr="00852A3A">
        <w:rPr>
          <w:rFonts w:ascii="Arial" w:hAnsi="Arial" w:cs="Arial"/>
        </w:rPr>
        <w:t>Expanded Hedging of Commodities: Extend hedging programs, currently only major commodity trading (grains, beef, etc.), to packaging and energy user bases to allow smoother earnings and protect volatility in the market (</w:t>
      </w:r>
      <w:proofErr w:type="spellStart"/>
      <w:r w:rsidRPr="00852A3A">
        <w:rPr>
          <w:rFonts w:ascii="Arial" w:hAnsi="Arial" w:cs="Arial"/>
        </w:rPr>
        <w:t>Ayrapetova</w:t>
      </w:r>
      <w:proofErr w:type="spellEnd"/>
      <w:r w:rsidRPr="00852A3A">
        <w:rPr>
          <w:rFonts w:ascii="Arial" w:hAnsi="Arial" w:cs="Arial"/>
        </w:rPr>
        <w:t>, 2014).</w:t>
      </w:r>
    </w:p>
    <w:p w14:paraId="6920C941" w14:textId="0413BE78"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Scale Up High-Margin and Lower-</w:t>
      </w:r>
      <w:r w:rsidR="00852A3A" w:rsidRPr="00C34846">
        <w:rPr>
          <w:rFonts w:ascii="Arial Black" w:hAnsi="Arial Black" w:cs="Arial"/>
          <w:color w:val="4C94D8" w:themeColor="text2" w:themeTint="80"/>
        </w:rPr>
        <w:t>Capex</w:t>
      </w:r>
      <w:r w:rsidRPr="00C34846">
        <w:rPr>
          <w:rFonts w:ascii="Arial Black" w:hAnsi="Arial Black" w:cs="Arial"/>
          <w:color w:val="4C94D8" w:themeColor="text2" w:themeTint="80"/>
        </w:rPr>
        <w:t xml:space="preserve"> Formats</w:t>
      </w:r>
    </w:p>
    <w:p w14:paraId="4A2AAA43" w14:textId="77777777" w:rsidR="00EB50ED" w:rsidRPr="00EB50ED" w:rsidRDefault="00E50EFF" w:rsidP="00EB50ED">
      <w:pPr>
        <w:pStyle w:val="ListParagraph"/>
        <w:numPr>
          <w:ilvl w:val="0"/>
          <w:numId w:val="3"/>
        </w:numPr>
        <w:spacing w:line="480" w:lineRule="auto"/>
        <w:rPr>
          <w:rFonts w:ascii="Arial" w:hAnsi="Arial" w:cs="Arial"/>
        </w:rPr>
      </w:pPr>
      <w:r w:rsidRPr="00EB50ED">
        <w:rPr>
          <w:rFonts w:ascii="Arial" w:hAnsi="Arial" w:cs="Arial"/>
        </w:rPr>
        <w:t>Delivery-Only (Dark kitchens): Expand so-called "dark kitchens" within tight urban markets that enable less capital required for the storefront to capitali</w:t>
      </w:r>
      <w:r w:rsidR="00EB50ED" w:rsidRPr="00EB50ED">
        <w:rPr>
          <w:rFonts w:ascii="Arial" w:hAnsi="Arial" w:cs="Arial"/>
        </w:rPr>
        <w:t>s</w:t>
      </w:r>
      <w:r w:rsidRPr="00EB50ED">
        <w:rPr>
          <w:rFonts w:ascii="Arial" w:hAnsi="Arial" w:cs="Arial"/>
        </w:rPr>
        <w:t>e on incremental delivery sales (Tang, 2013).</w:t>
      </w:r>
    </w:p>
    <w:p w14:paraId="15657933" w14:textId="69E79CC0" w:rsidR="00E50EFF" w:rsidRPr="00EB50ED" w:rsidRDefault="00E50EFF" w:rsidP="00EB50ED">
      <w:pPr>
        <w:pStyle w:val="ListParagraph"/>
        <w:numPr>
          <w:ilvl w:val="0"/>
          <w:numId w:val="3"/>
        </w:numPr>
        <w:spacing w:line="480" w:lineRule="auto"/>
        <w:rPr>
          <w:rFonts w:ascii="Arial" w:hAnsi="Arial" w:cs="Arial"/>
        </w:rPr>
      </w:pPr>
      <w:r w:rsidRPr="00EB50ED">
        <w:rPr>
          <w:rFonts w:ascii="Arial" w:hAnsi="Arial" w:cs="Arial"/>
        </w:rPr>
        <w:t>Caf</w:t>
      </w:r>
      <w:r w:rsidR="00EB50ED" w:rsidRPr="00EB50ED">
        <w:rPr>
          <w:rFonts w:ascii="Arial" w:hAnsi="Arial" w:cs="Arial"/>
        </w:rPr>
        <w:t>e</w:t>
      </w:r>
      <w:r w:rsidRPr="00EB50ED">
        <w:rPr>
          <w:rFonts w:ascii="Arial" w:hAnsi="Arial" w:cs="Arial"/>
        </w:rPr>
        <w:t xml:space="preserve"> Premium Concepts: To the degree of available locations roll out the McCafé premium format, which can yield strong margins where higher</w:t>
      </w:r>
      <w:r w:rsidRPr="00EB50ED">
        <w:rPr>
          <w:rFonts w:ascii="Cambria Math" w:hAnsi="Cambria Math" w:cs="Cambria Math"/>
        </w:rPr>
        <w:t>‐</w:t>
      </w:r>
      <w:r w:rsidRPr="00EB50ED">
        <w:rPr>
          <w:rFonts w:ascii="Arial" w:hAnsi="Arial" w:cs="Arial"/>
        </w:rPr>
        <w:t>ticket items and coffee volumes exist.</w:t>
      </w:r>
    </w:p>
    <w:p w14:paraId="4945E16A" w14:textId="411D0F0D"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Engagement through Digital and Loyalty</w:t>
      </w:r>
    </w:p>
    <w:p w14:paraId="45A2C0B3" w14:textId="77777777" w:rsidR="00EB50ED" w:rsidRPr="00EB50ED" w:rsidRDefault="00E50EFF" w:rsidP="00EB50ED">
      <w:pPr>
        <w:pStyle w:val="ListParagraph"/>
        <w:numPr>
          <w:ilvl w:val="0"/>
          <w:numId w:val="4"/>
        </w:numPr>
        <w:spacing w:line="480" w:lineRule="auto"/>
        <w:rPr>
          <w:rFonts w:ascii="Arial" w:hAnsi="Arial" w:cs="Arial"/>
        </w:rPr>
      </w:pPr>
      <w:r w:rsidRPr="00EB50ED">
        <w:rPr>
          <w:rFonts w:ascii="Arial" w:hAnsi="Arial" w:cs="Arial"/>
        </w:rPr>
        <w:t>Personali</w:t>
      </w:r>
      <w:r w:rsidR="00EB50ED" w:rsidRPr="00EB50ED">
        <w:rPr>
          <w:rFonts w:ascii="Arial" w:hAnsi="Arial" w:cs="Arial"/>
        </w:rPr>
        <w:t>s</w:t>
      </w:r>
      <w:r w:rsidRPr="00EB50ED">
        <w:rPr>
          <w:rFonts w:ascii="Arial" w:hAnsi="Arial" w:cs="Arial"/>
        </w:rPr>
        <w:t>ed Promotions: Use customer</w:t>
      </w:r>
      <w:r w:rsidRPr="00EB50ED">
        <w:rPr>
          <w:rFonts w:ascii="Cambria Math" w:hAnsi="Cambria Math" w:cs="Cambria Math"/>
        </w:rPr>
        <w:t>‐</w:t>
      </w:r>
      <w:r w:rsidRPr="00EB50ED">
        <w:rPr>
          <w:rFonts w:ascii="Arial" w:hAnsi="Arial" w:cs="Arial"/>
        </w:rPr>
        <w:t>level data generated by the loyalty program to promote offers, increasing average basket size and frequency of purchases (Shahid et al., 2014).</w:t>
      </w:r>
    </w:p>
    <w:p w14:paraId="664B8AD3" w14:textId="7290FC55" w:rsidR="00E50EFF" w:rsidRPr="00EB50ED" w:rsidRDefault="00E50EFF" w:rsidP="00EB50ED">
      <w:pPr>
        <w:pStyle w:val="ListParagraph"/>
        <w:numPr>
          <w:ilvl w:val="0"/>
          <w:numId w:val="4"/>
        </w:numPr>
        <w:spacing w:line="480" w:lineRule="auto"/>
        <w:rPr>
          <w:rFonts w:ascii="Arial" w:hAnsi="Arial" w:cs="Arial"/>
        </w:rPr>
      </w:pPr>
      <w:r w:rsidRPr="00EB50ED">
        <w:rPr>
          <w:rFonts w:ascii="Arial" w:hAnsi="Arial" w:cs="Arial"/>
        </w:rPr>
        <w:t>Subscription Models: Pilot caf</w:t>
      </w:r>
      <w:r w:rsidR="00EB50ED" w:rsidRPr="00EB50ED">
        <w:rPr>
          <w:rFonts w:ascii="Arial" w:hAnsi="Arial" w:cs="Arial"/>
        </w:rPr>
        <w:t>e</w:t>
      </w:r>
      <w:r w:rsidRPr="00EB50ED">
        <w:rPr>
          <w:rFonts w:ascii="Cambria Math" w:hAnsi="Cambria Math" w:cs="Cambria Math"/>
        </w:rPr>
        <w:t>‐</w:t>
      </w:r>
      <w:r w:rsidRPr="00EB50ED">
        <w:rPr>
          <w:rFonts w:ascii="Arial" w:hAnsi="Arial" w:cs="Arial"/>
        </w:rPr>
        <w:t>style coffee subscription models or bundled meal plans to lock in revenue streams and better serve engaged customers, all while lifting Operating Margin (Veneziano, 2013).</w:t>
      </w:r>
    </w:p>
    <w:p w14:paraId="75AEFB6C" w14:textId="77777777" w:rsidR="00EB50ED" w:rsidRDefault="00EB50ED" w:rsidP="00E50EFF">
      <w:pPr>
        <w:spacing w:line="480" w:lineRule="auto"/>
        <w:rPr>
          <w:rFonts w:ascii="Arial" w:hAnsi="Arial" w:cs="Arial"/>
        </w:rPr>
      </w:pPr>
    </w:p>
    <w:p w14:paraId="2B30FF38" w14:textId="7F844E10"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lastRenderedPageBreak/>
        <w:t>ESG Integration</w:t>
      </w:r>
    </w:p>
    <w:p w14:paraId="73F09CB4" w14:textId="77777777" w:rsidR="00EB50ED" w:rsidRPr="00EB50ED" w:rsidRDefault="00E50EFF" w:rsidP="00EB50ED">
      <w:pPr>
        <w:pStyle w:val="ListParagraph"/>
        <w:numPr>
          <w:ilvl w:val="0"/>
          <w:numId w:val="5"/>
        </w:numPr>
        <w:spacing w:line="480" w:lineRule="auto"/>
        <w:rPr>
          <w:rFonts w:ascii="Arial" w:hAnsi="Arial" w:cs="Arial"/>
        </w:rPr>
      </w:pPr>
      <w:r w:rsidRPr="00EB50ED">
        <w:rPr>
          <w:rFonts w:ascii="Arial" w:hAnsi="Arial" w:cs="Arial"/>
        </w:rPr>
        <w:t>Energy Efficiency Retrofits: Prioriti</w:t>
      </w:r>
      <w:r w:rsidR="00EB50ED" w:rsidRPr="00EB50ED">
        <w:rPr>
          <w:rFonts w:ascii="Arial" w:hAnsi="Arial" w:cs="Arial"/>
        </w:rPr>
        <w:t>s</w:t>
      </w:r>
      <w:r w:rsidRPr="00EB50ED">
        <w:rPr>
          <w:rFonts w:ascii="Arial" w:hAnsi="Arial" w:cs="Arial"/>
        </w:rPr>
        <w:t xml:space="preserve">e LED signage and lighting retrofits in every location possible, add smart HVAC controls in cooler locations, scale rooftop solar in warmer locations. </w:t>
      </w:r>
    </w:p>
    <w:p w14:paraId="01861F47" w14:textId="4EB0E93D" w:rsidR="00E50EFF" w:rsidRPr="00EB50ED" w:rsidRDefault="00E50EFF" w:rsidP="00EB50ED">
      <w:pPr>
        <w:pStyle w:val="ListParagraph"/>
        <w:numPr>
          <w:ilvl w:val="0"/>
          <w:numId w:val="5"/>
        </w:numPr>
        <w:spacing w:line="480" w:lineRule="auto"/>
        <w:rPr>
          <w:rFonts w:ascii="Arial" w:hAnsi="Arial" w:cs="Arial"/>
        </w:rPr>
      </w:pPr>
      <w:r w:rsidRPr="00EB50ED">
        <w:rPr>
          <w:rFonts w:ascii="Arial" w:hAnsi="Arial" w:cs="Arial"/>
        </w:rPr>
        <w:t>Transparent ESG Reporting: Adopt and report progress on emission reductions, sustainable sourcing initiatives and community commitments in conjunction with financial reporting, to meet investor and regulatory expectations (</w:t>
      </w:r>
      <w:proofErr w:type="spellStart"/>
      <w:r w:rsidRPr="00EB50ED">
        <w:rPr>
          <w:rFonts w:ascii="Arial" w:hAnsi="Arial" w:cs="Arial"/>
        </w:rPr>
        <w:t>Hasidi</w:t>
      </w:r>
      <w:proofErr w:type="spellEnd"/>
      <w:r w:rsidRPr="00EB50ED">
        <w:rPr>
          <w:rFonts w:ascii="Arial" w:hAnsi="Arial" w:cs="Arial"/>
        </w:rPr>
        <w:t xml:space="preserve">, </w:t>
      </w:r>
      <w:proofErr w:type="spellStart"/>
      <w:r w:rsidRPr="00EB50ED">
        <w:rPr>
          <w:rFonts w:ascii="Arial" w:hAnsi="Arial" w:cs="Arial"/>
        </w:rPr>
        <w:t>Baheri</w:t>
      </w:r>
      <w:proofErr w:type="spellEnd"/>
      <w:r w:rsidRPr="00EB50ED">
        <w:rPr>
          <w:rFonts w:ascii="Arial" w:hAnsi="Arial" w:cs="Arial"/>
        </w:rPr>
        <w:t>, &amp; Hajar, 2024).</w:t>
      </w:r>
    </w:p>
    <w:p w14:paraId="178B6AC4" w14:textId="5F61B10C"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Relevant Debt Refinancing and Sustain Capital Allocation</w:t>
      </w:r>
    </w:p>
    <w:p w14:paraId="3A240B1B" w14:textId="7A180BEF" w:rsidR="00E50EFF" w:rsidRPr="00EB50ED" w:rsidRDefault="00E50EFF" w:rsidP="00EB50ED">
      <w:pPr>
        <w:pStyle w:val="ListParagraph"/>
        <w:numPr>
          <w:ilvl w:val="0"/>
          <w:numId w:val="6"/>
        </w:numPr>
        <w:spacing w:line="480" w:lineRule="auto"/>
        <w:rPr>
          <w:rFonts w:ascii="Arial" w:hAnsi="Arial" w:cs="Arial"/>
        </w:rPr>
      </w:pPr>
      <w:r w:rsidRPr="00EB50ED">
        <w:rPr>
          <w:rFonts w:ascii="Arial" w:hAnsi="Arial" w:cs="Arial"/>
        </w:rPr>
        <w:t xml:space="preserve">Interest-Rate Swaps: Deploy interest-rate swaps and caps as hedge strategies to guard interest-rate increases going forward and continuing to protect the </w:t>
      </w:r>
      <w:r w:rsidR="00EB50ED" w:rsidRPr="00EB50ED">
        <w:rPr>
          <w:rFonts w:ascii="Arial" w:hAnsi="Arial" w:cs="Arial"/>
        </w:rPr>
        <w:t>favourable</w:t>
      </w:r>
      <w:r w:rsidRPr="00EB50ED">
        <w:rPr>
          <w:rFonts w:ascii="Arial" w:hAnsi="Arial" w:cs="Arial"/>
        </w:rPr>
        <w:t xml:space="preserve"> Interest Coverage ratio (Blessing &amp; </w:t>
      </w:r>
      <w:proofErr w:type="spellStart"/>
      <w:r w:rsidRPr="00EB50ED">
        <w:rPr>
          <w:rFonts w:ascii="Arial" w:hAnsi="Arial" w:cs="Arial"/>
        </w:rPr>
        <w:t>Sakouvogui</w:t>
      </w:r>
      <w:proofErr w:type="spellEnd"/>
      <w:r w:rsidRPr="00EB50ED">
        <w:rPr>
          <w:rFonts w:ascii="Arial" w:hAnsi="Arial" w:cs="Arial"/>
        </w:rPr>
        <w:t>, 2023).</w:t>
      </w:r>
    </w:p>
    <w:p w14:paraId="4BFB3634" w14:textId="77777777" w:rsidR="00E50EFF" w:rsidRPr="00EB50ED" w:rsidRDefault="00E50EFF" w:rsidP="00EB50ED">
      <w:pPr>
        <w:pStyle w:val="ListParagraph"/>
        <w:numPr>
          <w:ilvl w:val="0"/>
          <w:numId w:val="6"/>
        </w:numPr>
        <w:spacing w:line="480" w:lineRule="auto"/>
        <w:rPr>
          <w:rFonts w:ascii="Arial" w:hAnsi="Arial" w:cs="Arial"/>
        </w:rPr>
      </w:pPr>
      <w:r w:rsidRPr="00EB50ED">
        <w:rPr>
          <w:rFonts w:ascii="Arial" w:hAnsi="Arial" w:cs="Arial"/>
        </w:rPr>
        <w:t>Share Buybacks vs. Dividend Policy: As much as possible, find the balance between returning capital to shareholders and corporate strategy for timing reinvestment into digital and remodel programs while keeping ROIC or beyond greater than the cost of equity capital (</w:t>
      </w:r>
      <w:proofErr w:type="spellStart"/>
      <w:r w:rsidRPr="00EB50ED">
        <w:rPr>
          <w:rFonts w:ascii="Arial" w:hAnsi="Arial" w:cs="Arial"/>
        </w:rPr>
        <w:t>Ayrapetova</w:t>
      </w:r>
      <w:proofErr w:type="spellEnd"/>
      <w:r w:rsidRPr="00EB50ED">
        <w:rPr>
          <w:rFonts w:ascii="Arial" w:hAnsi="Arial" w:cs="Arial"/>
        </w:rPr>
        <w:t>, 2014).</w:t>
      </w:r>
    </w:p>
    <w:p w14:paraId="723D5CB8" w14:textId="77777777"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Conclusion: Ratio Analysis and Key Findings</w:t>
      </w:r>
    </w:p>
    <w:p w14:paraId="66EC5795" w14:textId="77777777" w:rsidR="00E50EFF" w:rsidRPr="00E50EFF" w:rsidRDefault="00E50EFF" w:rsidP="00E50EFF">
      <w:pPr>
        <w:spacing w:line="480" w:lineRule="auto"/>
        <w:rPr>
          <w:rFonts w:ascii="Arial" w:hAnsi="Arial" w:cs="Arial"/>
        </w:rPr>
      </w:pPr>
      <w:r w:rsidRPr="00E50EFF">
        <w:rPr>
          <w:rFonts w:ascii="Arial" w:hAnsi="Arial" w:cs="Arial"/>
        </w:rPr>
        <w:t>Conducting a multi</w:t>
      </w:r>
      <w:r w:rsidRPr="00E50EFF">
        <w:rPr>
          <w:rFonts w:ascii="Cambria Math" w:hAnsi="Cambria Math" w:cs="Cambria Math"/>
        </w:rPr>
        <w:t>‐</w:t>
      </w:r>
      <w:r w:rsidRPr="00E50EFF">
        <w:rPr>
          <w:rFonts w:ascii="Arial" w:hAnsi="Arial" w:cs="Arial"/>
        </w:rPr>
        <w:t>ratio analysis that examines McDonald's liquidity, leverage, profitability / performance, and efficiency established a holistic viewpoint of the financial health of McDonald's revealing, some strengths and a few areas we could see potential vulnerabilities.</w:t>
      </w:r>
    </w:p>
    <w:p w14:paraId="415F677E" w14:textId="77777777" w:rsidR="00C34846" w:rsidRDefault="00C34846" w:rsidP="00E50EFF">
      <w:pPr>
        <w:spacing w:line="480" w:lineRule="auto"/>
        <w:rPr>
          <w:rFonts w:ascii="Arial" w:hAnsi="Arial" w:cs="Arial"/>
        </w:rPr>
      </w:pPr>
    </w:p>
    <w:p w14:paraId="3E114352" w14:textId="57DFD79C"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lastRenderedPageBreak/>
        <w:t>Strengths:</w:t>
      </w:r>
    </w:p>
    <w:p w14:paraId="37507575" w14:textId="46AED1AF" w:rsidR="00E50EFF" w:rsidRPr="00EB50ED" w:rsidRDefault="00E50EFF" w:rsidP="00EB50ED">
      <w:pPr>
        <w:pStyle w:val="ListParagraph"/>
        <w:numPr>
          <w:ilvl w:val="0"/>
          <w:numId w:val="7"/>
        </w:numPr>
        <w:spacing w:line="480" w:lineRule="auto"/>
        <w:rPr>
          <w:rFonts w:ascii="Arial" w:hAnsi="Arial" w:cs="Arial"/>
        </w:rPr>
      </w:pPr>
      <w:r w:rsidRPr="00EB50ED">
        <w:rPr>
          <w:rFonts w:ascii="Arial" w:hAnsi="Arial" w:cs="Arial"/>
        </w:rPr>
        <w:t>Healthy Profitability &amp; Cash: McDonald's Operating Margin increased to 45.7%, Net Profit Margin increased to 33.2%, Free</w:t>
      </w:r>
      <w:r w:rsidRPr="00EB50ED">
        <w:rPr>
          <w:rFonts w:ascii="Cambria Math" w:hAnsi="Cambria Math" w:cs="Cambria Math"/>
        </w:rPr>
        <w:t>‐</w:t>
      </w:r>
      <w:r w:rsidRPr="00EB50ED">
        <w:rPr>
          <w:rFonts w:ascii="Arial" w:hAnsi="Arial" w:cs="Arial"/>
        </w:rPr>
        <w:t>Cash</w:t>
      </w:r>
      <w:r w:rsidRPr="00EB50ED">
        <w:rPr>
          <w:rFonts w:ascii="Cambria Math" w:hAnsi="Cambria Math" w:cs="Cambria Math"/>
        </w:rPr>
        <w:t>‐</w:t>
      </w:r>
      <w:r w:rsidRPr="00EB50ED">
        <w:rPr>
          <w:rFonts w:ascii="Arial" w:hAnsi="Arial" w:cs="Arial"/>
        </w:rPr>
        <w:t>Flow conversion was stable at greater than 85</w:t>
      </w:r>
      <w:r w:rsidR="00EB50ED" w:rsidRPr="00EB50ED">
        <w:rPr>
          <w:rFonts w:ascii="Arial" w:hAnsi="Arial" w:cs="Arial"/>
        </w:rPr>
        <w:t>%, thus</w:t>
      </w:r>
      <w:r w:rsidRPr="00EB50ED">
        <w:rPr>
          <w:rFonts w:ascii="Arial" w:hAnsi="Arial" w:cs="Arial"/>
        </w:rPr>
        <w:t xml:space="preserve"> where corporations self-fund </w:t>
      </w:r>
      <w:r w:rsidR="00EB50ED" w:rsidRPr="00EB50ED">
        <w:rPr>
          <w:rFonts w:ascii="Arial" w:hAnsi="Arial" w:cs="Arial"/>
        </w:rPr>
        <w:t>most of</w:t>
      </w:r>
      <w:r w:rsidRPr="00EB50ED">
        <w:rPr>
          <w:rFonts w:ascii="Arial" w:hAnsi="Arial" w:cs="Arial"/>
        </w:rPr>
        <w:t xml:space="preserve"> their capital developments (McDonald's Corporation, 2024)</w:t>
      </w:r>
      <w:r w:rsidR="00EB50ED" w:rsidRPr="00EB50ED">
        <w:rPr>
          <w:rFonts w:ascii="Arial" w:hAnsi="Arial" w:cs="Arial"/>
        </w:rPr>
        <w:t xml:space="preserve"> (see appendix).</w:t>
      </w:r>
    </w:p>
    <w:p w14:paraId="15383244" w14:textId="77777777" w:rsidR="00EB50ED" w:rsidRPr="00EB50ED" w:rsidRDefault="00E50EFF" w:rsidP="00EB50ED">
      <w:pPr>
        <w:pStyle w:val="ListParagraph"/>
        <w:numPr>
          <w:ilvl w:val="0"/>
          <w:numId w:val="7"/>
        </w:numPr>
        <w:spacing w:line="480" w:lineRule="auto"/>
        <w:rPr>
          <w:rFonts w:ascii="Arial" w:hAnsi="Arial" w:cs="Arial"/>
        </w:rPr>
      </w:pPr>
      <w:r w:rsidRPr="00EB50ED">
        <w:rPr>
          <w:rFonts w:ascii="Arial" w:hAnsi="Arial" w:cs="Arial"/>
        </w:rPr>
        <w:t xml:space="preserve">Stronger Solvency: </w:t>
      </w:r>
      <w:r w:rsidR="00EB50ED" w:rsidRPr="00EB50ED">
        <w:rPr>
          <w:rFonts w:ascii="Arial" w:hAnsi="Arial" w:cs="Arial"/>
        </w:rPr>
        <w:t>A significant</w:t>
      </w:r>
      <w:r w:rsidRPr="00EB50ED">
        <w:rPr>
          <w:rFonts w:ascii="Arial" w:hAnsi="Arial" w:cs="Arial"/>
        </w:rPr>
        <w:t xml:space="preserve"> improvement to Interest Coverage of 8.6×, highlights absolute resiliency to increasing rates (Blessing &amp; </w:t>
      </w:r>
      <w:proofErr w:type="spellStart"/>
      <w:r w:rsidRPr="00EB50ED">
        <w:rPr>
          <w:rFonts w:ascii="Arial" w:hAnsi="Arial" w:cs="Arial"/>
        </w:rPr>
        <w:t>Sakouvogui</w:t>
      </w:r>
      <w:proofErr w:type="spellEnd"/>
      <w:r w:rsidRPr="00EB50ED">
        <w:rPr>
          <w:rFonts w:ascii="Arial" w:hAnsi="Arial" w:cs="Arial"/>
        </w:rPr>
        <w:t>, 2023).</w:t>
      </w:r>
    </w:p>
    <w:p w14:paraId="05AECAC2" w14:textId="6A3BDA72" w:rsidR="00E50EFF" w:rsidRPr="00EB50ED" w:rsidRDefault="00E50EFF" w:rsidP="00EB50ED">
      <w:pPr>
        <w:pStyle w:val="ListParagraph"/>
        <w:numPr>
          <w:ilvl w:val="0"/>
          <w:numId w:val="7"/>
        </w:numPr>
        <w:spacing w:line="480" w:lineRule="auto"/>
        <w:rPr>
          <w:rFonts w:ascii="Arial" w:hAnsi="Arial" w:cs="Arial"/>
        </w:rPr>
      </w:pPr>
      <w:r w:rsidRPr="00EB50ED">
        <w:rPr>
          <w:rFonts w:ascii="Arial" w:hAnsi="Arial" w:cs="Arial"/>
        </w:rPr>
        <w:t>Capital Efficiency: It was encouraging to see ROA be higher at 15.1% proving that McDonald's deployed their assets in successful digital and franchise, strategic investments returning these kinds of multiples (</w:t>
      </w:r>
      <w:proofErr w:type="spellStart"/>
      <w:r w:rsidRPr="00EB50ED">
        <w:rPr>
          <w:rFonts w:ascii="Arial" w:hAnsi="Arial" w:cs="Arial"/>
        </w:rPr>
        <w:t>Ayrapetova</w:t>
      </w:r>
      <w:proofErr w:type="spellEnd"/>
      <w:r w:rsidRPr="00EB50ED">
        <w:rPr>
          <w:rFonts w:ascii="Arial" w:hAnsi="Arial" w:cs="Arial"/>
        </w:rPr>
        <w:t>, 2014).</w:t>
      </w:r>
    </w:p>
    <w:p w14:paraId="4B5F074F" w14:textId="77777777" w:rsidR="00E50EFF" w:rsidRPr="00C34846" w:rsidRDefault="00E50EFF"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t>Potential vulnerabilities:</w:t>
      </w:r>
    </w:p>
    <w:p w14:paraId="17A84FEC" w14:textId="2BED3930" w:rsidR="00E50EFF" w:rsidRPr="00C34846" w:rsidRDefault="00E50EFF" w:rsidP="00C34846">
      <w:pPr>
        <w:pStyle w:val="ListParagraph"/>
        <w:numPr>
          <w:ilvl w:val="0"/>
          <w:numId w:val="8"/>
        </w:numPr>
        <w:spacing w:line="480" w:lineRule="auto"/>
        <w:rPr>
          <w:rFonts w:ascii="Arial" w:hAnsi="Arial" w:cs="Arial"/>
        </w:rPr>
      </w:pPr>
      <w:r w:rsidRPr="00C34846">
        <w:rPr>
          <w:rFonts w:ascii="Arial" w:hAnsi="Arial" w:cs="Arial"/>
        </w:rPr>
        <w:t>Close Liquidity: Current and Quick Ratios near 1.0 thus reduced, significant buffer, or size of the buffer to better absorb shocks (Madushanka &amp; Jathurika, 2018; Rashid, 2018).</w:t>
      </w:r>
    </w:p>
    <w:p w14:paraId="2F0ECBA1" w14:textId="3C0C067D" w:rsidR="00E50EFF" w:rsidRPr="00C34846" w:rsidRDefault="00E50EFF" w:rsidP="00C34846">
      <w:pPr>
        <w:pStyle w:val="ListParagraph"/>
        <w:numPr>
          <w:ilvl w:val="0"/>
          <w:numId w:val="8"/>
        </w:numPr>
        <w:spacing w:line="480" w:lineRule="auto"/>
        <w:rPr>
          <w:rFonts w:ascii="Arial" w:hAnsi="Arial" w:cs="Arial"/>
        </w:rPr>
      </w:pPr>
      <w:r w:rsidRPr="00C34846">
        <w:rPr>
          <w:rFonts w:ascii="Arial" w:hAnsi="Arial" w:cs="Arial"/>
        </w:rPr>
        <w:t>Working-Capital: Growth investments in receivables and inventories have significantly tightened liquidity cycles for group efforts to enhance Shareholder Value (Attrill &amp; McLaney, 2015).</w:t>
      </w:r>
    </w:p>
    <w:p w14:paraId="494D715A" w14:textId="2894985F" w:rsidR="00D95BB8" w:rsidRDefault="00E50EFF" w:rsidP="00E50EFF">
      <w:pPr>
        <w:spacing w:line="480" w:lineRule="auto"/>
        <w:rPr>
          <w:rFonts w:ascii="Arial" w:hAnsi="Arial" w:cs="Arial"/>
        </w:rPr>
      </w:pPr>
      <w:r w:rsidRPr="00E50EFF">
        <w:rPr>
          <w:rFonts w:ascii="Arial" w:hAnsi="Arial" w:cs="Arial"/>
        </w:rPr>
        <w:t xml:space="preserve">Using ratio analysis, we were able to specifically indicate McDonald's priorities as calculated management </w:t>
      </w:r>
      <w:r w:rsidRPr="00E50EFF">
        <w:rPr>
          <w:rFonts w:ascii="Arial" w:hAnsi="Arial" w:cs="Arial"/>
        </w:rPr>
        <w:t>behaviour</w:t>
      </w:r>
      <w:r w:rsidRPr="00E50EFF">
        <w:rPr>
          <w:rFonts w:ascii="Arial" w:hAnsi="Arial" w:cs="Arial"/>
        </w:rPr>
        <w:t xml:space="preserve"> </w:t>
      </w:r>
      <w:r w:rsidRPr="00E50EFF">
        <w:rPr>
          <w:rFonts w:ascii="Arial" w:hAnsi="Arial" w:cs="Arial"/>
        </w:rPr>
        <w:t>having; working</w:t>
      </w:r>
      <w:r w:rsidRPr="00E50EFF">
        <w:rPr>
          <w:rFonts w:ascii="Arial" w:hAnsi="Arial" w:cs="Arial"/>
        </w:rPr>
        <w:t>-capital cycles, having aggressive pricing and hedging strategy, and adopting/executing sustainable best practices as the source of considerably, long</w:t>
      </w:r>
      <w:r w:rsidRPr="00E50EFF">
        <w:rPr>
          <w:rFonts w:ascii="Cambria Math" w:hAnsi="Cambria Math" w:cs="Cambria Math"/>
        </w:rPr>
        <w:t>‐</w:t>
      </w:r>
      <w:r w:rsidRPr="00E50EFF">
        <w:rPr>
          <w:rFonts w:ascii="Arial" w:hAnsi="Arial" w:cs="Arial"/>
        </w:rPr>
        <w:t xml:space="preserve">term value creation. McDonald's key findings would suggest that, perhaps counter intuitively that their performance has never been </w:t>
      </w:r>
      <w:r w:rsidRPr="00E50EFF">
        <w:rPr>
          <w:rFonts w:ascii="Arial" w:hAnsi="Arial" w:cs="Arial"/>
        </w:rPr>
        <w:lastRenderedPageBreak/>
        <w:t>better as they enter 2024, with greater profitability, solvency and comparatively greater than a year ago, their ability to shore-up liquidity and adopt full-scope ESG measures will be critical policy criteria to retain their leadership, global capabilities and financial sustainability in the volatile, complexity of a global business environment.</w:t>
      </w:r>
    </w:p>
    <w:p w14:paraId="3CE43020" w14:textId="77777777" w:rsidR="00C34846" w:rsidRDefault="00C34846" w:rsidP="00E50EFF">
      <w:pPr>
        <w:spacing w:line="480" w:lineRule="auto"/>
        <w:rPr>
          <w:rFonts w:ascii="Arial" w:hAnsi="Arial" w:cs="Arial"/>
        </w:rPr>
      </w:pPr>
    </w:p>
    <w:p w14:paraId="26D899CF" w14:textId="77777777" w:rsidR="00C34846" w:rsidRDefault="00C34846" w:rsidP="00E50EFF">
      <w:pPr>
        <w:spacing w:line="480" w:lineRule="auto"/>
        <w:rPr>
          <w:rFonts w:ascii="Arial" w:hAnsi="Arial" w:cs="Arial"/>
        </w:rPr>
      </w:pPr>
    </w:p>
    <w:p w14:paraId="08F8C508" w14:textId="77777777" w:rsidR="00C34846" w:rsidRDefault="00C34846" w:rsidP="00E50EFF">
      <w:pPr>
        <w:spacing w:line="480" w:lineRule="auto"/>
        <w:rPr>
          <w:rFonts w:ascii="Arial" w:hAnsi="Arial" w:cs="Arial"/>
        </w:rPr>
      </w:pPr>
    </w:p>
    <w:p w14:paraId="2CEAB4FA" w14:textId="77777777" w:rsidR="00C34846" w:rsidRDefault="00C34846" w:rsidP="00E50EFF">
      <w:pPr>
        <w:spacing w:line="480" w:lineRule="auto"/>
        <w:rPr>
          <w:rFonts w:ascii="Arial" w:hAnsi="Arial" w:cs="Arial"/>
        </w:rPr>
      </w:pPr>
    </w:p>
    <w:p w14:paraId="48A149C9" w14:textId="77777777" w:rsidR="00C34846" w:rsidRDefault="00C34846" w:rsidP="00E50EFF">
      <w:pPr>
        <w:spacing w:line="480" w:lineRule="auto"/>
        <w:rPr>
          <w:rFonts w:ascii="Arial" w:hAnsi="Arial" w:cs="Arial"/>
        </w:rPr>
      </w:pPr>
    </w:p>
    <w:p w14:paraId="6C158799" w14:textId="77777777" w:rsidR="00C34846" w:rsidRDefault="00C34846" w:rsidP="00E50EFF">
      <w:pPr>
        <w:spacing w:line="480" w:lineRule="auto"/>
        <w:rPr>
          <w:rFonts w:ascii="Arial" w:hAnsi="Arial" w:cs="Arial"/>
        </w:rPr>
      </w:pPr>
    </w:p>
    <w:p w14:paraId="46291214" w14:textId="77777777" w:rsidR="00C34846" w:rsidRDefault="00C34846" w:rsidP="00E50EFF">
      <w:pPr>
        <w:spacing w:line="480" w:lineRule="auto"/>
        <w:rPr>
          <w:rFonts w:ascii="Arial" w:hAnsi="Arial" w:cs="Arial"/>
        </w:rPr>
      </w:pPr>
    </w:p>
    <w:p w14:paraId="2004FAD2" w14:textId="77777777" w:rsidR="00C34846" w:rsidRDefault="00C34846" w:rsidP="00E50EFF">
      <w:pPr>
        <w:spacing w:line="480" w:lineRule="auto"/>
        <w:rPr>
          <w:rFonts w:ascii="Arial" w:hAnsi="Arial" w:cs="Arial"/>
        </w:rPr>
      </w:pPr>
    </w:p>
    <w:p w14:paraId="6084E931" w14:textId="77777777" w:rsidR="00C34846" w:rsidRDefault="00C34846" w:rsidP="00E50EFF">
      <w:pPr>
        <w:spacing w:line="480" w:lineRule="auto"/>
        <w:rPr>
          <w:rFonts w:ascii="Arial" w:hAnsi="Arial" w:cs="Arial"/>
        </w:rPr>
      </w:pPr>
    </w:p>
    <w:p w14:paraId="30E49A75" w14:textId="77777777" w:rsidR="00C34846" w:rsidRDefault="00C34846" w:rsidP="00E50EFF">
      <w:pPr>
        <w:spacing w:line="480" w:lineRule="auto"/>
        <w:rPr>
          <w:rFonts w:ascii="Arial" w:hAnsi="Arial" w:cs="Arial"/>
        </w:rPr>
      </w:pPr>
    </w:p>
    <w:p w14:paraId="050CDA98" w14:textId="77777777" w:rsidR="00C34846" w:rsidRDefault="00C34846" w:rsidP="00E50EFF">
      <w:pPr>
        <w:spacing w:line="480" w:lineRule="auto"/>
        <w:rPr>
          <w:rFonts w:ascii="Arial" w:hAnsi="Arial" w:cs="Arial"/>
        </w:rPr>
      </w:pPr>
    </w:p>
    <w:p w14:paraId="576EE078" w14:textId="77777777" w:rsidR="00C34846" w:rsidRDefault="00C34846" w:rsidP="00E50EFF">
      <w:pPr>
        <w:spacing w:line="480" w:lineRule="auto"/>
        <w:rPr>
          <w:rFonts w:ascii="Arial" w:hAnsi="Arial" w:cs="Arial"/>
        </w:rPr>
      </w:pPr>
    </w:p>
    <w:p w14:paraId="2D4253A2" w14:textId="77777777" w:rsidR="00C34846" w:rsidRDefault="00C34846" w:rsidP="00E50EFF">
      <w:pPr>
        <w:spacing w:line="480" w:lineRule="auto"/>
        <w:rPr>
          <w:rFonts w:ascii="Arial" w:hAnsi="Arial" w:cs="Arial"/>
        </w:rPr>
      </w:pPr>
    </w:p>
    <w:p w14:paraId="6390D314" w14:textId="77777777" w:rsidR="00C34846" w:rsidRDefault="00C34846" w:rsidP="00E50EFF">
      <w:pPr>
        <w:spacing w:line="480" w:lineRule="auto"/>
        <w:rPr>
          <w:rFonts w:ascii="Arial" w:hAnsi="Arial" w:cs="Arial"/>
        </w:rPr>
      </w:pPr>
    </w:p>
    <w:p w14:paraId="54FA5EA1" w14:textId="77777777" w:rsidR="00C34846" w:rsidRDefault="00C34846" w:rsidP="00E50EFF">
      <w:pPr>
        <w:spacing w:line="480" w:lineRule="auto"/>
        <w:rPr>
          <w:rFonts w:ascii="Arial" w:hAnsi="Arial" w:cs="Arial"/>
        </w:rPr>
      </w:pPr>
    </w:p>
    <w:p w14:paraId="255C16AD" w14:textId="77777777" w:rsidR="00C34846" w:rsidRDefault="00C34846" w:rsidP="00E50EFF">
      <w:pPr>
        <w:spacing w:line="480" w:lineRule="auto"/>
        <w:rPr>
          <w:rFonts w:ascii="Arial" w:hAnsi="Arial" w:cs="Arial"/>
        </w:rPr>
      </w:pPr>
    </w:p>
    <w:p w14:paraId="6F896687" w14:textId="5C667A83" w:rsidR="00C34846" w:rsidRPr="00C34846" w:rsidRDefault="00C34846" w:rsidP="00E50EFF">
      <w:pPr>
        <w:spacing w:line="480" w:lineRule="auto"/>
        <w:rPr>
          <w:rFonts w:ascii="Arial Black" w:hAnsi="Arial Black" w:cs="Arial"/>
          <w:color w:val="4C94D8" w:themeColor="text2" w:themeTint="80"/>
        </w:rPr>
      </w:pPr>
      <w:r w:rsidRPr="00C34846">
        <w:rPr>
          <w:rFonts w:ascii="Arial Black" w:hAnsi="Arial Black" w:cs="Arial"/>
          <w:color w:val="4C94D8" w:themeColor="text2" w:themeTint="80"/>
        </w:rPr>
        <w:lastRenderedPageBreak/>
        <w:t xml:space="preserve">References </w:t>
      </w:r>
    </w:p>
    <w:p w14:paraId="5F5B2534" w14:textId="77777777" w:rsidR="00C34846" w:rsidRPr="00C34846" w:rsidRDefault="00C34846" w:rsidP="00C34846">
      <w:pPr>
        <w:spacing w:line="480" w:lineRule="auto"/>
        <w:rPr>
          <w:rFonts w:ascii="Arial" w:hAnsi="Arial" w:cs="Arial"/>
        </w:rPr>
      </w:pPr>
      <w:r w:rsidRPr="00C34846">
        <w:rPr>
          <w:rFonts w:ascii="Arial" w:hAnsi="Arial" w:cs="Arial"/>
        </w:rPr>
        <w:t xml:space="preserve">Attrill, P., &amp; McLaney. (2015). </w:t>
      </w:r>
      <w:r w:rsidRPr="00C34846">
        <w:rPr>
          <w:rFonts w:ascii="Arial" w:hAnsi="Arial" w:cs="Arial"/>
          <w:i/>
          <w:iCs/>
        </w:rPr>
        <w:t>Management accounting for decision makers</w:t>
      </w:r>
      <w:r w:rsidRPr="00C34846">
        <w:rPr>
          <w:rFonts w:ascii="Arial" w:hAnsi="Arial" w:cs="Arial"/>
        </w:rPr>
        <w:t xml:space="preserve"> (8th ed.). Cengage Learning.</w:t>
      </w:r>
    </w:p>
    <w:p w14:paraId="46AF31C1" w14:textId="77777777" w:rsidR="00C34846" w:rsidRPr="00C34846" w:rsidRDefault="00C34846" w:rsidP="00C34846">
      <w:pPr>
        <w:spacing w:line="480" w:lineRule="auto"/>
        <w:rPr>
          <w:rFonts w:ascii="Arial" w:hAnsi="Arial" w:cs="Arial"/>
        </w:rPr>
      </w:pPr>
      <w:proofErr w:type="spellStart"/>
      <w:r w:rsidRPr="00C34846">
        <w:rPr>
          <w:rFonts w:ascii="Arial" w:hAnsi="Arial" w:cs="Arial"/>
        </w:rPr>
        <w:t>Ayrapetova</w:t>
      </w:r>
      <w:proofErr w:type="spellEnd"/>
      <w:r w:rsidRPr="00C34846">
        <w:rPr>
          <w:rFonts w:ascii="Arial" w:hAnsi="Arial" w:cs="Arial"/>
        </w:rPr>
        <w:t xml:space="preserve">, T. (2014). Report on the financial evaluation: McDonald’s Corporation and Yum! Brands. </w:t>
      </w:r>
      <w:r w:rsidRPr="00C34846">
        <w:rPr>
          <w:rFonts w:ascii="Arial" w:hAnsi="Arial" w:cs="Arial"/>
          <w:i/>
          <w:iCs/>
        </w:rPr>
        <w:t>CRIS-Bulletin of the Centre for Research and Interdisciplinary Study, 2014(</w:t>
      </w:r>
      <w:r w:rsidRPr="00C34846">
        <w:rPr>
          <w:rFonts w:ascii="Arial" w:hAnsi="Arial" w:cs="Arial"/>
        </w:rPr>
        <w:t>1), 1–28.</w:t>
      </w:r>
    </w:p>
    <w:p w14:paraId="4A14883D" w14:textId="77777777" w:rsidR="00C34846" w:rsidRPr="00C34846" w:rsidRDefault="00C34846" w:rsidP="00C34846">
      <w:pPr>
        <w:spacing w:line="480" w:lineRule="auto"/>
        <w:rPr>
          <w:rFonts w:ascii="Arial" w:hAnsi="Arial" w:cs="Arial"/>
        </w:rPr>
      </w:pPr>
      <w:r w:rsidRPr="00C34846">
        <w:rPr>
          <w:rFonts w:ascii="Arial" w:hAnsi="Arial" w:cs="Arial"/>
        </w:rPr>
        <w:t xml:space="preserve">Blessing, H., &amp; </w:t>
      </w:r>
      <w:proofErr w:type="spellStart"/>
      <w:r w:rsidRPr="00C34846">
        <w:rPr>
          <w:rFonts w:ascii="Arial" w:hAnsi="Arial" w:cs="Arial"/>
        </w:rPr>
        <w:t>Sakouvogui</w:t>
      </w:r>
      <w:proofErr w:type="spellEnd"/>
      <w:r w:rsidRPr="00C34846">
        <w:rPr>
          <w:rFonts w:ascii="Arial" w:hAnsi="Arial" w:cs="Arial"/>
        </w:rPr>
        <w:t xml:space="preserve">, G. (2023). Impact of liquidity and solvency ratios on financial performance: A comprehensive analysis. </w:t>
      </w:r>
      <w:r w:rsidRPr="00C34846">
        <w:rPr>
          <w:rFonts w:ascii="Arial" w:hAnsi="Arial" w:cs="Arial"/>
          <w:i/>
          <w:iCs/>
        </w:rPr>
        <w:t>Indonesia Auditing Research Journal, 12(</w:t>
      </w:r>
      <w:r w:rsidRPr="00C34846">
        <w:rPr>
          <w:rFonts w:ascii="Arial" w:hAnsi="Arial" w:cs="Arial"/>
        </w:rPr>
        <w:t>3), 102–115.</w:t>
      </w:r>
    </w:p>
    <w:p w14:paraId="10BB5ECF" w14:textId="77777777" w:rsidR="00C34846" w:rsidRPr="00C34846" w:rsidRDefault="00C34846" w:rsidP="00C34846">
      <w:pPr>
        <w:spacing w:line="480" w:lineRule="auto"/>
        <w:rPr>
          <w:rFonts w:ascii="Arial" w:hAnsi="Arial" w:cs="Arial"/>
          <w:i/>
          <w:iCs/>
        </w:rPr>
      </w:pPr>
      <w:proofErr w:type="spellStart"/>
      <w:r w:rsidRPr="00C34846">
        <w:rPr>
          <w:rFonts w:ascii="Arial" w:hAnsi="Arial" w:cs="Arial"/>
        </w:rPr>
        <w:t>Hasidi</w:t>
      </w:r>
      <w:proofErr w:type="spellEnd"/>
      <w:r w:rsidRPr="00C34846">
        <w:rPr>
          <w:rFonts w:ascii="Arial" w:hAnsi="Arial" w:cs="Arial"/>
        </w:rPr>
        <w:t xml:space="preserve">, M. H., </w:t>
      </w:r>
      <w:proofErr w:type="spellStart"/>
      <w:r w:rsidRPr="00C34846">
        <w:rPr>
          <w:rFonts w:ascii="Arial" w:hAnsi="Arial" w:cs="Arial"/>
        </w:rPr>
        <w:t>Baheri</w:t>
      </w:r>
      <w:proofErr w:type="spellEnd"/>
      <w:r w:rsidRPr="00C34846">
        <w:rPr>
          <w:rFonts w:ascii="Arial" w:hAnsi="Arial" w:cs="Arial"/>
        </w:rPr>
        <w:t>, J., &amp; Hajar, K. I. (2024).</w:t>
      </w:r>
      <w:r w:rsidRPr="00C34846">
        <w:rPr>
          <w:rFonts w:ascii="Arial" w:hAnsi="Arial" w:cs="Arial"/>
          <w:i/>
          <w:iCs/>
        </w:rPr>
        <w:t xml:space="preserve"> Financial performance evaluation using profitability and liquidity ratio analysis.</w:t>
      </w:r>
    </w:p>
    <w:p w14:paraId="7F30EC15" w14:textId="77777777" w:rsidR="00C34846" w:rsidRPr="00C34846" w:rsidRDefault="00C34846" w:rsidP="00C34846">
      <w:pPr>
        <w:spacing w:line="480" w:lineRule="auto"/>
        <w:rPr>
          <w:rFonts w:ascii="Arial" w:hAnsi="Arial" w:cs="Arial"/>
        </w:rPr>
      </w:pPr>
      <w:r w:rsidRPr="00C34846">
        <w:rPr>
          <w:rFonts w:ascii="Arial" w:hAnsi="Arial" w:cs="Arial"/>
        </w:rPr>
        <w:t xml:space="preserve">Lucey, T. (2009). </w:t>
      </w:r>
      <w:r w:rsidRPr="00C34846">
        <w:rPr>
          <w:rFonts w:ascii="Arial" w:hAnsi="Arial" w:cs="Arial"/>
          <w:i/>
          <w:iCs/>
        </w:rPr>
        <w:t xml:space="preserve">Costing </w:t>
      </w:r>
      <w:r w:rsidRPr="00C34846">
        <w:rPr>
          <w:rFonts w:ascii="Arial" w:hAnsi="Arial" w:cs="Arial"/>
        </w:rPr>
        <w:t>(7th ed.). Cengage Learning.</w:t>
      </w:r>
    </w:p>
    <w:p w14:paraId="12DDED60" w14:textId="77777777" w:rsidR="00C34846" w:rsidRPr="00C34846" w:rsidRDefault="00C34846" w:rsidP="00C34846">
      <w:pPr>
        <w:spacing w:line="480" w:lineRule="auto"/>
        <w:rPr>
          <w:rFonts w:ascii="Arial" w:hAnsi="Arial" w:cs="Arial"/>
        </w:rPr>
      </w:pPr>
      <w:r w:rsidRPr="00C34846">
        <w:rPr>
          <w:rFonts w:ascii="Arial" w:hAnsi="Arial" w:cs="Arial"/>
        </w:rPr>
        <w:t xml:space="preserve">Madushanka, K. H., &amp; Jathurika, M. (2018). The impact of liquidity ratios on profitability. </w:t>
      </w:r>
      <w:r w:rsidRPr="00C34846">
        <w:rPr>
          <w:rFonts w:ascii="Arial" w:hAnsi="Arial" w:cs="Arial"/>
          <w:i/>
          <w:iCs/>
        </w:rPr>
        <w:t>International Research Journal of Advanced Engineering and Science, 3(</w:t>
      </w:r>
      <w:r w:rsidRPr="00C34846">
        <w:rPr>
          <w:rFonts w:ascii="Arial" w:hAnsi="Arial" w:cs="Arial"/>
        </w:rPr>
        <w:t>4), 157–161.</w:t>
      </w:r>
    </w:p>
    <w:p w14:paraId="66E82635" w14:textId="39478726" w:rsidR="00C34846" w:rsidRPr="00C34846" w:rsidRDefault="00C34846" w:rsidP="00C34846">
      <w:pPr>
        <w:spacing w:line="480" w:lineRule="auto"/>
        <w:rPr>
          <w:rFonts w:ascii="Arial" w:hAnsi="Arial" w:cs="Arial"/>
        </w:rPr>
      </w:pPr>
      <w:r w:rsidRPr="00C34846">
        <w:rPr>
          <w:rFonts w:ascii="Arial" w:hAnsi="Arial" w:cs="Arial"/>
        </w:rPr>
        <w:t xml:space="preserve">McDonald’s Corporation. (2023). </w:t>
      </w:r>
      <w:r w:rsidRPr="00C34846">
        <w:rPr>
          <w:rFonts w:ascii="Arial" w:hAnsi="Arial" w:cs="Arial"/>
          <w:i/>
          <w:iCs/>
        </w:rPr>
        <w:t>McDonald’s Corporation 2023 Annual Report.</w:t>
      </w:r>
      <w:r w:rsidRPr="00C34846">
        <w:rPr>
          <w:rFonts w:ascii="Arial" w:hAnsi="Arial" w:cs="Arial"/>
        </w:rPr>
        <w:t xml:space="preserve"> McDonald’s Corporation. </w:t>
      </w:r>
      <w:hyperlink r:id="rId8" w:history="1">
        <w:r w:rsidRPr="007672A4">
          <w:rPr>
            <w:rStyle w:val="Hyperlink"/>
            <w:rFonts w:ascii="Arial" w:hAnsi="Arial" w:cs="Arial"/>
          </w:rPr>
          <w:t>https://static.poder360.com.br/2023/04/mcdonalds-resultados-2023.pdf</w:t>
        </w:r>
      </w:hyperlink>
      <w:r>
        <w:rPr>
          <w:rFonts w:ascii="Arial" w:hAnsi="Arial" w:cs="Arial"/>
        </w:rPr>
        <w:t xml:space="preserve"> </w:t>
      </w:r>
    </w:p>
    <w:p w14:paraId="730EB124" w14:textId="493A981D" w:rsidR="00C34846" w:rsidRPr="00C34846" w:rsidRDefault="00C34846" w:rsidP="00C34846">
      <w:pPr>
        <w:spacing w:line="480" w:lineRule="auto"/>
        <w:rPr>
          <w:rFonts w:ascii="Arial" w:hAnsi="Arial" w:cs="Arial"/>
        </w:rPr>
      </w:pPr>
      <w:r w:rsidRPr="00C34846">
        <w:rPr>
          <w:rFonts w:ascii="Arial" w:hAnsi="Arial" w:cs="Arial"/>
        </w:rPr>
        <w:t xml:space="preserve">McDonald’s Corporation. (2024). </w:t>
      </w:r>
      <w:r w:rsidRPr="00C34846">
        <w:rPr>
          <w:rFonts w:ascii="Arial" w:hAnsi="Arial" w:cs="Arial"/>
          <w:i/>
          <w:iCs/>
        </w:rPr>
        <w:t>McDonald’s 2024 Annual Report to Shareholders.</w:t>
      </w:r>
      <w:r w:rsidRPr="00C34846">
        <w:rPr>
          <w:rFonts w:ascii="Arial" w:hAnsi="Arial" w:cs="Arial"/>
        </w:rPr>
        <w:t xml:space="preserve"> McDonald’s Corporation. </w:t>
      </w:r>
      <w:hyperlink r:id="rId9" w:history="1">
        <w:r w:rsidRPr="007672A4">
          <w:rPr>
            <w:rStyle w:val="Hyperlink"/>
            <w:rFonts w:ascii="Arial" w:hAnsi="Arial" w:cs="Arial"/>
          </w:rPr>
          <w:t>https://corporate.mcdonalds.com/content/dam/sites/corp/nfl/pdf/McD%20-%202024%20Annual%20Report%20to%20Shareholders.pdf</w:t>
        </w:r>
      </w:hyperlink>
      <w:r>
        <w:rPr>
          <w:rFonts w:ascii="Arial" w:hAnsi="Arial" w:cs="Arial"/>
        </w:rPr>
        <w:t xml:space="preserve"> </w:t>
      </w:r>
    </w:p>
    <w:p w14:paraId="15AEB5E1" w14:textId="77777777" w:rsidR="00C34846" w:rsidRPr="00C34846" w:rsidRDefault="00C34846" w:rsidP="00C34846">
      <w:pPr>
        <w:spacing w:line="480" w:lineRule="auto"/>
        <w:rPr>
          <w:rFonts w:ascii="Arial" w:hAnsi="Arial" w:cs="Arial"/>
        </w:rPr>
      </w:pPr>
      <w:r w:rsidRPr="00C34846">
        <w:rPr>
          <w:rFonts w:ascii="Arial" w:hAnsi="Arial" w:cs="Arial"/>
        </w:rPr>
        <w:lastRenderedPageBreak/>
        <w:t xml:space="preserve">Rashid, C. A. (2018). Efficiency of financial ratios analysis for evaluating companies’ liquidity. </w:t>
      </w:r>
      <w:r w:rsidRPr="0077775E">
        <w:rPr>
          <w:rFonts w:ascii="Arial" w:hAnsi="Arial" w:cs="Arial"/>
          <w:i/>
          <w:iCs/>
        </w:rPr>
        <w:t>International Journal of Social Sciences &amp; Educational Studies, 4(</w:t>
      </w:r>
      <w:r w:rsidRPr="00C34846">
        <w:rPr>
          <w:rFonts w:ascii="Arial" w:hAnsi="Arial" w:cs="Arial"/>
        </w:rPr>
        <w:t>4), 110–123.</w:t>
      </w:r>
    </w:p>
    <w:p w14:paraId="6A843FB1" w14:textId="77777777" w:rsidR="00C34846" w:rsidRPr="00C34846" w:rsidRDefault="00C34846" w:rsidP="00C34846">
      <w:pPr>
        <w:spacing w:line="480" w:lineRule="auto"/>
        <w:rPr>
          <w:rFonts w:ascii="Arial" w:hAnsi="Arial" w:cs="Arial"/>
        </w:rPr>
      </w:pPr>
      <w:r w:rsidRPr="00C34846">
        <w:rPr>
          <w:rFonts w:ascii="Arial" w:hAnsi="Arial" w:cs="Arial"/>
        </w:rPr>
        <w:t xml:space="preserve">Shahid, M., Shafiq, H., Khan, A., Bari, R., Shahzad, N., Ch, I. S., &amp; Parveen, S. (2014). Financial exposure of McDonald’s corp. success as a market leader. </w:t>
      </w:r>
      <w:r w:rsidRPr="0077775E">
        <w:rPr>
          <w:rFonts w:ascii="Arial" w:hAnsi="Arial" w:cs="Arial"/>
          <w:i/>
          <w:iCs/>
        </w:rPr>
        <w:t>International Journal of Accounting and Financial Reporting, 4(</w:t>
      </w:r>
      <w:r w:rsidRPr="00C34846">
        <w:rPr>
          <w:rFonts w:ascii="Arial" w:hAnsi="Arial" w:cs="Arial"/>
        </w:rPr>
        <w:t>1), 338–356.</w:t>
      </w:r>
    </w:p>
    <w:p w14:paraId="6E8C6A06" w14:textId="77777777" w:rsidR="00C34846" w:rsidRPr="00C34846" w:rsidRDefault="00C34846" w:rsidP="00C34846">
      <w:pPr>
        <w:spacing w:line="480" w:lineRule="auto"/>
        <w:rPr>
          <w:rFonts w:ascii="Arial" w:hAnsi="Arial" w:cs="Arial"/>
        </w:rPr>
      </w:pPr>
      <w:r w:rsidRPr="00C34846">
        <w:rPr>
          <w:rFonts w:ascii="Arial" w:hAnsi="Arial" w:cs="Arial"/>
        </w:rPr>
        <w:t xml:space="preserve">Tang, Y. (2013). </w:t>
      </w:r>
      <w:r w:rsidRPr="0077775E">
        <w:rPr>
          <w:rFonts w:ascii="Arial" w:hAnsi="Arial" w:cs="Arial"/>
          <w:i/>
          <w:iCs/>
        </w:rPr>
        <w:t>Financial analysis of Yum! Company.</w:t>
      </w:r>
    </w:p>
    <w:p w14:paraId="054BC8C3" w14:textId="1BCC6AA2" w:rsidR="00C34846" w:rsidRPr="00E50EFF" w:rsidRDefault="00C34846" w:rsidP="00C34846">
      <w:pPr>
        <w:spacing w:line="480" w:lineRule="auto"/>
        <w:rPr>
          <w:rFonts w:ascii="Arial" w:hAnsi="Arial" w:cs="Arial"/>
        </w:rPr>
      </w:pPr>
      <w:r w:rsidRPr="00C34846">
        <w:rPr>
          <w:rFonts w:ascii="Arial" w:hAnsi="Arial" w:cs="Arial"/>
        </w:rPr>
        <w:t xml:space="preserve">Veneziano, C. N. (2013). </w:t>
      </w:r>
      <w:r w:rsidRPr="0077775E">
        <w:rPr>
          <w:rFonts w:ascii="Arial" w:hAnsi="Arial" w:cs="Arial"/>
          <w:i/>
          <w:iCs/>
        </w:rPr>
        <w:t>Restaurants: Do healthy menus mean positive financial performance?</w:t>
      </w:r>
      <w:r w:rsidRPr="00C34846">
        <w:rPr>
          <w:rFonts w:ascii="Arial" w:hAnsi="Arial" w:cs="Arial"/>
        </w:rPr>
        <w:t xml:space="preserve"> A case study of Chipotle Mexican Grill.</w:t>
      </w:r>
    </w:p>
    <w:p w14:paraId="662FCAC0" w14:textId="77777777" w:rsidR="00D95BB8" w:rsidRDefault="00D95BB8" w:rsidP="00D95BB8">
      <w:pPr>
        <w:spacing w:line="480" w:lineRule="auto"/>
        <w:rPr>
          <w:rFonts w:ascii="Arial Black" w:hAnsi="Arial Black" w:cs="Arial"/>
        </w:rPr>
      </w:pPr>
    </w:p>
    <w:p w14:paraId="6204FE32" w14:textId="77777777" w:rsidR="00D95BB8" w:rsidRDefault="00D95BB8" w:rsidP="00D95BB8">
      <w:pPr>
        <w:spacing w:line="480" w:lineRule="auto"/>
        <w:rPr>
          <w:rFonts w:ascii="Arial Black" w:hAnsi="Arial Black" w:cs="Arial"/>
        </w:rPr>
      </w:pPr>
    </w:p>
    <w:p w14:paraId="215C36B9" w14:textId="77777777" w:rsidR="00D95BB8" w:rsidRDefault="00D95BB8" w:rsidP="00D95BB8">
      <w:pPr>
        <w:spacing w:line="480" w:lineRule="auto"/>
        <w:rPr>
          <w:rFonts w:ascii="Arial Black" w:hAnsi="Arial Black" w:cs="Arial"/>
        </w:rPr>
      </w:pPr>
    </w:p>
    <w:p w14:paraId="0A111701" w14:textId="77777777" w:rsidR="00D95BB8" w:rsidRDefault="00D95BB8" w:rsidP="00D95BB8">
      <w:pPr>
        <w:spacing w:line="480" w:lineRule="auto"/>
        <w:rPr>
          <w:rFonts w:ascii="Arial Black" w:hAnsi="Arial Black" w:cs="Arial"/>
        </w:rPr>
      </w:pPr>
    </w:p>
    <w:p w14:paraId="08650BE6" w14:textId="77777777" w:rsidR="00D95BB8" w:rsidRDefault="00D95BB8" w:rsidP="00D95BB8">
      <w:pPr>
        <w:spacing w:line="480" w:lineRule="auto"/>
        <w:rPr>
          <w:rFonts w:ascii="Arial Black" w:hAnsi="Arial Black" w:cs="Arial"/>
        </w:rPr>
      </w:pPr>
    </w:p>
    <w:p w14:paraId="602150EC" w14:textId="77777777" w:rsidR="00D95BB8" w:rsidRDefault="00D95BB8" w:rsidP="00D95BB8">
      <w:pPr>
        <w:spacing w:line="480" w:lineRule="auto"/>
        <w:rPr>
          <w:rFonts w:ascii="Arial Black" w:hAnsi="Arial Black" w:cs="Arial"/>
        </w:rPr>
      </w:pPr>
    </w:p>
    <w:p w14:paraId="69613D88" w14:textId="77777777" w:rsidR="00D95BB8" w:rsidRDefault="00D95BB8" w:rsidP="00D95BB8">
      <w:pPr>
        <w:spacing w:line="480" w:lineRule="auto"/>
        <w:rPr>
          <w:rFonts w:ascii="Arial Black" w:hAnsi="Arial Black" w:cs="Arial"/>
        </w:rPr>
      </w:pPr>
    </w:p>
    <w:p w14:paraId="74E9D5E5" w14:textId="77777777" w:rsidR="00D95BB8" w:rsidRDefault="00D95BB8" w:rsidP="00D95BB8">
      <w:pPr>
        <w:spacing w:line="480" w:lineRule="auto"/>
        <w:rPr>
          <w:rFonts w:ascii="Arial Black" w:hAnsi="Arial Black" w:cs="Arial"/>
        </w:rPr>
      </w:pPr>
    </w:p>
    <w:p w14:paraId="56040E4A" w14:textId="77777777" w:rsidR="00D95BB8" w:rsidRDefault="00D95BB8" w:rsidP="00D95BB8">
      <w:pPr>
        <w:spacing w:line="480" w:lineRule="auto"/>
        <w:rPr>
          <w:rFonts w:ascii="Arial Black" w:hAnsi="Arial Black" w:cs="Arial"/>
        </w:rPr>
      </w:pPr>
    </w:p>
    <w:p w14:paraId="03B75B1C" w14:textId="77777777" w:rsidR="0077775E" w:rsidRDefault="0077775E" w:rsidP="00D95BB8">
      <w:pPr>
        <w:spacing w:line="480" w:lineRule="auto"/>
        <w:rPr>
          <w:rFonts w:ascii="Arial Black" w:hAnsi="Arial Black" w:cs="Arial"/>
        </w:rPr>
      </w:pPr>
    </w:p>
    <w:p w14:paraId="068B6C94" w14:textId="17FA9874" w:rsidR="00D95BB8" w:rsidRPr="0077775E" w:rsidRDefault="00D95BB8" w:rsidP="00D95BB8">
      <w:pPr>
        <w:spacing w:line="480" w:lineRule="auto"/>
        <w:rPr>
          <w:rFonts w:ascii="Arial Black" w:hAnsi="Arial Black" w:cs="Arial"/>
          <w:color w:val="4C94D8" w:themeColor="text2" w:themeTint="80"/>
        </w:rPr>
      </w:pPr>
      <w:r w:rsidRPr="0077775E">
        <w:rPr>
          <w:rFonts w:ascii="Arial Black" w:hAnsi="Arial Black" w:cs="Arial"/>
          <w:color w:val="4C94D8" w:themeColor="text2" w:themeTint="80"/>
        </w:rPr>
        <w:lastRenderedPageBreak/>
        <w:t xml:space="preserve">Appendix </w:t>
      </w:r>
    </w:p>
    <w:p w14:paraId="4E238295" w14:textId="1F7FD7ED" w:rsidR="00D95BB8" w:rsidRPr="0077775E" w:rsidRDefault="00D95BB8" w:rsidP="00D95BB8">
      <w:pPr>
        <w:spacing w:line="480" w:lineRule="auto"/>
        <w:rPr>
          <w:rFonts w:ascii="Arial Black" w:hAnsi="Arial Black" w:cs="Arial"/>
          <w:color w:val="4C94D8" w:themeColor="text2" w:themeTint="80"/>
        </w:rPr>
      </w:pPr>
      <w:r w:rsidRPr="0077775E">
        <w:rPr>
          <w:rFonts w:ascii="Arial Black" w:hAnsi="Arial Black" w:cs="Arial"/>
          <w:color w:val="4C94D8" w:themeColor="text2" w:themeTint="80"/>
        </w:rPr>
        <w:t xml:space="preserve">Current Ratio (Current Assets </w:t>
      </w:r>
      <w:r w:rsidRPr="0077775E">
        <w:rPr>
          <w:rFonts w:ascii="Arial Black" w:hAnsi="Arial Black" w:cs="Arial"/>
          <w:color w:val="4C94D8" w:themeColor="text2" w:themeTint="80"/>
        </w:rPr>
        <w:t>/</w:t>
      </w:r>
      <w:r w:rsidRPr="0077775E">
        <w:rPr>
          <w:rFonts w:ascii="Arial Black" w:hAnsi="Arial Black" w:cs="Arial"/>
          <w:color w:val="4C94D8" w:themeColor="text2" w:themeTint="80"/>
        </w:rPr>
        <w:t xml:space="preserve"> Current Liabilities)</w:t>
      </w:r>
    </w:p>
    <w:p w14:paraId="43556A97" w14:textId="51547FDB" w:rsidR="00D95BB8" w:rsidRPr="00D95BB8" w:rsidRDefault="00D95BB8" w:rsidP="00D95BB8">
      <w:pPr>
        <w:spacing w:line="480" w:lineRule="auto"/>
        <w:rPr>
          <w:rFonts w:ascii="Arial" w:hAnsi="Arial" w:cs="Arial"/>
        </w:rPr>
      </w:pPr>
      <w:r w:rsidRPr="00D95BB8">
        <w:rPr>
          <w:rFonts w:ascii="Arial" w:hAnsi="Arial" w:cs="Arial"/>
        </w:rPr>
        <w:t xml:space="preserve">– 2022: 5,424.2 </w:t>
      </w:r>
      <w:r>
        <w:rPr>
          <w:rFonts w:ascii="Arial" w:hAnsi="Arial" w:cs="Arial"/>
        </w:rPr>
        <w:t>/</w:t>
      </w:r>
      <w:r w:rsidRPr="00D95BB8">
        <w:rPr>
          <w:rFonts w:ascii="Arial" w:hAnsi="Arial" w:cs="Arial"/>
        </w:rPr>
        <w:t xml:space="preserve"> 3,802.1 = 1.43</w:t>
      </w:r>
    </w:p>
    <w:p w14:paraId="3EE7023D" w14:textId="4177A1FC" w:rsidR="00D95BB8" w:rsidRPr="00D95BB8" w:rsidRDefault="00D95BB8" w:rsidP="00D95BB8">
      <w:pPr>
        <w:spacing w:line="480" w:lineRule="auto"/>
        <w:rPr>
          <w:rFonts w:ascii="Arial" w:hAnsi="Arial" w:cs="Arial"/>
        </w:rPr>
      </w:pPr>
      <w:r w:rsidRPr="00D95BB8">
        <w:rPr>
          <w:rFonts w:ascii="Arial" w:hAnsi="Arial" w:cs="Arial"/>
        </w:rPr>
        <w:t xml:space="preserve">– 2023: 7,986.4 </w:t>
      </w:r>
      <w:r>
        <w:rPr>
          <w:rFonts w:ascii="Arial" w:hAnsi="Arial" w:cs="Arial"/>
        </w:rPr>
        <w:t>/</w:t>
      </w:r>
      <w:r w:rsidRPr="00D95BB8">
        <w:rPr>
          <w:rFonts w:ascii="Arial" w:hAnsi="Arial" w:cs="Arial"/>
        </w:rPr>
        <w:t xml:space="preserve"> 6,859.0 = 1.16 </w:t>
      </w:r>
    </w:p>
    <w:p w14:paraId="24E8FA8B" w14:textId="561BAAB5" w:rsidR="00D95BB8" w:rsidRPr="0077775E" w:rsidRDefault="00D95BB8" w:rsidP="00D95BB8">
      <w:pPr>
        <w:spacing w:line="480" w:lineRule="auto"/>
        <w:rPr>
          <w:rFonts w:ascii="Arial Black" w:hAnsi="Arial Black" w:cs="Arial"/>
          <w:color w:val="4C94D8" w:themeColor="text2" w:themeTint="80"/>
        </w:rPr>
      </w:pPr>
      <w:r w:rsidRPr="0077775E">
        <w:rPr>
          <w:rFonts w:ascii="Arial Black" w:hAnsi="Arial Black" w:cs="Arial"/>
          <w:color w:val="4C94D8" w:themeColor="text2" w:themeTint="80"/>
        </w:rPr>
        <w:t xml:space="preserve">Quick Ratio ((Cash + Receivables) </w:t>
      </w:r>
      <w:r w:rsidRPr="0077775E">
        <w:rPr>
          <w:rFonts w:ascii="Arial Black" w:hAnsi="Arial Black" w:cs="Arial"/>
          <w:color w:val="4C94D8" w:themeColor="text2" w:themeTint="80"/>
        </w:rPr>
        <w:t>/</w:t>
      </w:r>
      <w:r w:rsidRPr="0077775E">
        <w:rPr>
          <w:rFonts w:ascii="Arial Black" w:hAnsi="Arial Black" w:cs="Arial"/>
          <w:color w:val="4C94D8" w:themeColor="text2" w:themeTint="80"/>
        </w:rPr>
        <w:t xml:space="preserve"> Current Liabilities)</w:t>
      </w:r>
    </w:p>
    <w:p w14:paraId="18E06A16" w14:textId="3ADA9702" w:rsidR="00D95BB8" w:rsidRPr="00D95BB8" w:rsidRDefault="00D95BB8" w:rsidP="00D95BB8">
      <w:pPr>
        <w:spacing w:line="480" w:lineRule="auto"/>
        <w:rPr>
          <w:rFonts w:ascii="Arial" w:hAnsi="Arial" w:cs="Arial"/>
        </w:rPr>
      </w:pPr>
      <w:r w:rsidRPr="00D95BB8">
        <w:rPr>
          <w:rFonts w:ascii="Arial" w:hAnsi="Arial" w:cs="Arial"/>
        </w:rPr>
        <w:t xml:space="preserve">– 2022: (2,583.8 + 2,115.0) </w:t>
      </w:r>
      <w:r>
        <w:rPr>
          <w:rFonts w:ascii="Arial" w:hAnsi="Arial" w:cs="Arial"/>
        </w:rPr>
        <w:t>/</w:t>
      </w:r>
      <w:r w:rsidRPr="00D95BB8">
        <w:rPr>
          <w:rFonts w:ascii="Arial" w:hAnsi="Arial" w:cs="Arial"/>
        </w:rPr>
        <w:t xml:space="preserve"> 3,802.1 = 1.24</w:t>
      </w:r>
    </w:p>
    <w:p w14:paraId="74527B52" w14:textId="2127BAAE" w:rsidR="00D95BB8" w:rsidRPr="00D95BB8" w:rsidRDefault="00D95BB8" w:rsidP="00D95BB8">
      <w:pPr>
        <w:spacing w:line="480" w:lineRule="auto"/>
        <w:rPr>
          <w:rFonts w:ascii="Arial" w:hAnsi="Arial" w:cs="Arial"/>
        </w:rPr>
      </w:pPr>
      <w:r w:rsidRPr="00D95BB8">
        <w:rPr>
          <w:rFonts w:ascii="Arial" w:hAnsi="Arial" w:cs="Arial"/>
        </w:rPr>
        <w:t xml:space="preserve">– 2023: (4,579.3 + 2,488.0) </w:t>
      </w:r>
      <w:r>
        <w:rPr>
          <w:rFonts w:ascii="Arial" w:hAnsi="Arial" w:cs="Arial"/>
        </w:rPr>
        <w:t>/</w:t>
      </w:r>
      <w:r w:rsidRPr="00D95BB8">
        <w:rPr>
          <w:rFonts w:ascii="Arial" w:hAnsi="Arial" w:cs="Arial"/>
        </w:rPr>
        <w:t xml:space="preserve"> 6,859.0 = 1.03 </w:t>
      </w:r>
    </w:p>
    <w:p w14:paraId="322BE10F" w14:textId="7FEADEC7" w:rsidR="00D95BB8" w:rsidRPr="0077775E" w:rsidRDefault="00D95BB8" w:rsidP="00D95BB8">
      <w:pPr>
        <w:spacing w:line="480" w:lineRule="auto"/>
        <w:rPr>
          <w:rFonts w:ascii="Arial Black" w:hAnsi="Arial Black" w:cs="Arial"/>
          <w:color w:val="4C94D8" w:themeColor="text2" w:themeTint="80"/>
        </w:rPr>
      </w:pPr>
      <w:r w:rsidRPr="0077775E">
        <w:rPr>
          <w:rFonts w:ascii="Arial Black" w:hAnsi="Arial Black" w:cs="Arial"/>
          <w:color w:val="4C94D8" w:themeColor="text2" w:themeTint="80"/>
        </w:rPr>
        <w:t xml:space="preserve">Debt Ratio (Total Liabilities </w:t>
      </w:r>
      <w:r w:rsidRPr="0077775E">
        <w:rPr>
          <w:rFonts w:ascii="Arial Black" w:hAnsi="Arial Black" w:cs="Arial"/>
          <w:color w:val="4C94D8" w:themeColor="text2" w:themeTint="80"/>
        </w:rPr>
        <w:t>/</w:t>
      </w:r>
      <w:r w:rsidRPr="0077775E">
        <w:rPr>
          <w:rFonts w:ascii="Arial Black" w:hAnsi="Arial Black" w:cs="Arial"/>
          <w:color w:val="4C94D8" w:themeColor="text2" w:themeTint="80"/>
        </w:rPr>
        <w:t xml:space="preserve"> Total Assets)</w:t>
      </w:r>
    </w:p>
    <w:p w14:paraId="5865D251" w14:textId="02A47289" w:rsidR="00D95BB8" w:rsidRPr="00D95BB8" w:rsidRDefault="00D95BB8" w:rsidP="00D95BB8">
      <w:pPr>
        <w:spacing w:line="480" w:lineRule="auto"/>
        <w:rPr>
          <w:rFonts w:ascii="Arial" w:hAnsi="Arial" w:cs="Arial"/>
        </w:rPr>
      </w:pPr>
      <w:r w:rsidRPr="00D95BB8">
        <w:rPr>
          <w:rFonts w:ascii="Arial" w:hAnsi="Arial" w:cs="Arial"/>
        </w:rPr>
        <w:t xml:space="preserve">– 2022: 56,439.0 </w:t>
      </w:r>
      <w:r>
        <w:rPr>
          <w:rFonts w:ascii="Arial" w:hAnsi="Arial" w:cs="Arial"/>
        </w:rPr>
        <w:t>/</w:t>
      </w:r>
      <w:r w:rsidRPr="00D95BB8">
        <w:rPr>
          <w:rFonts w:ascii="Arial" w:hAnsi="Arial" w:cs="Arial"/>
        </w:rPr>
        <w:t xml:space="preserve"> 50,435.6 = 1.12 ×</w:t>
      </w:r>
    </w:p>
    <w:p w14:paraId="55424D68" w14:textId="70A4D75D" w:rsidR="00D95BB8" w:rsidRPr="00D95BB8" w:rsidRDefault="00D95BB8" w:rsidP="00D95BB8">
      <w:pPr>
        <w:spacing w:line="480" w:lineRule="auto"/>
        <w:rPr>
          <w:rFonts w:ascii="Arial" w:hAnsi="Arial" w:cs="Arial"/>
        </w:rPr>
      </w:pPr>
      <w:r w:rsidRPr="00D95BB8">
        <w:rPr>
          <w:rFonts w:ascii="Arial" w:hAnsi="Arial" w:cs="Arial"/>
        </w:rPr>
        <w:t xml:space="preserve">– 2023: 60,853.5 </w:t>
      </w:r>
      <w:r>
        <w:rPr>
          <w:rFonts w:ascii="Arial" w:hAnsi="Arial" w:cs="Arial"/>
        </w:rPr>
        <w:t>/</w:t>
      </w:r>
      <w:r w:rsidRPr="00D95BB8">
        <w:rPr>
          <w:rFonts w:ascii="Arial" w:hAnsi="Arial" w:cs="Arial"/>
        </w:rPr>
        <w:t xml:space="preserve"> 56,146.8 = 1.08 × </w:t>
      </w:r>
    </w:p>
    <w:p w14:paraId="07C5A04D" w14:textId="019A5248" w:rsidR="00D95BB8" w:rsidRPr="0077775E" w:rsidRDefault="00D95BB8" w:rsidP="00D95BB8">
      <w:pPr>
        <w:spacing w:line="480" w:lineRule="auto"/>
        <w:rPr>
          <w:rFonts w:ascii="Arial Black" w:hAnsi="Arial Black" w:cs="Arial"/>
          <w:color w:val="4C94D8" w:themeColor="text2" w:themeTint="80"/>
        </w:rPr>
      </w:pPr>
      <w:r w:rsidRPr="0077775E">
        <w:rPr>
          <w:rFonts w:ascii="Arial Black" w:hAnsi="Arial Black" w:cs="Arial"/>
          <w:color w:val="4C94D8" w:themeColor="text2" w:themeTint="80"/>
        </w:rPr>
        <w:t xml:space="preserve">Operating Margin (Operating Income </w:t>
      </w:r>
      <w:r w:rsidRPr="0077775E">
        <w:rPr>
          <w:rFonts w:ascii="Arial Black" w:hAnsi="Arial Black" w:cs="Arial"/>
          <w:color w:val="4C94D8" w:themeColor="text2" w:themeTint="80"/>
        </w:rPr>
        <w:t>/</w:t>
      </w:r>
      <w:r w:rsidRPr="0077775E">
        <w:rPr>
          <w:rFonts w:ascii="Arial Black" w:hAnsi="Arial Black" w:cs="Arial"/>
          <w:color w:val="4C94D8" w:themeColor="text2" w:themeTint="80"/>
        </w:rPr>
        <w:t xml:space="preserve"> Revenues)</w:t>
      </w:r>
    </w:p>
    <w:p w14:paraId="43A370A1" w14:textId="4C51F626" w:rsidR="00D95BB8" w:rsidRPr="00D95BB8" w:rsidRDefault="00D95BB8" w:rsidP="00D95BB8">
      <w:pPr>
        <w:spacing w:line="480" w:lineRule="auto"/>
        <w:rPr>
          <w:rFonts w:ascii="Arial" w:hAnsi="Arial" w:cs="Arial"/>
        </w:rPr>
      </w:pPr>
      <w:r w:rsidRPr="00D95BB8">
        <w:rPr>
          <w:rFonts w:ascii="Arial" w:hAnsi="Arial" w:cs="Arial"/>
        </w:rPr>
        <w:t xml:space="preserve">– 2022: 9,371.0 </w:t>
      </w:r>
      <w:r>
        <w:rPr>
          <w:rFonts w:ascii="Arial" w:hAnsi="Arial" w:cs="Arial"/>
        </w:rPr>
        <w:t>/</w:t>
      </w:r>
      <w:r w:rsidRPr="00D95BB8">
        <w:rPr>
          <w:rFonts w:ascii="Arial" w:hAnsi="Arial" w:cs="Arial"/>
        </w:rPr>
        <w:t xml:space="preserve"> 23,182.6 = 40.4%</w:t>
      </w:r>
    </w:p>
    <w:p w14:paraId="7024B557" w14:textId="291650C1" w:rsidR="00D95BB8" w:rsidRPr="00D95BB8" w:rsidRDefault="00D95BB8" w:rsidP="00D95BB8">
      <w:pPr>
        <w:spacing w:line="480" w:lineRule="auto"/>
        <w:rPr>
          <w:rFonts w:ascii="Arial" w:hAnsi="Arial" w:cs="Arial"/>
        </w:rPr>
      </w:pPr>
      <w:r w:rsidRPr="00D95BB8">
        <w:rPr>
          <w:rFonts w:ascii="Arial" w:hAnsi="Arial" w:cs="Arial"/>
        </w:rPr>
        <w:t xml:space="preserve">– 2023: 11,646.7 </w:t>
      </w:r>
      <w:r>
        <w:rPr>
          <w:rFonts w:ascii="Arial" w:hAnsi="Arial" w:cs="Arial"/>
        </w:rPr>
        <w:t>/</w:t>
      </w:r>
      <w:r w:rsidRPr="00D95BB8">
        <w:rPr>
          <w:rFonts w:ascii="Arial" w:hAnsi="Arial" w:cs="Arial"/>
        </w:rPr>
        <w:t xml:space="preserve"> 25,493.7 = 45.7% </w:t>
      </w:r>
    </w:p>
    <w:p w14:paraId="7F791AD3" w14:textId="150BE787" w:rsidR="00D95BB8" w:rsidRPr="0077775E" w:rsidRDefault="00D95BB8" w:rsidP="00D95BB8">
      <w:pPr>
        <w:spacing w:line="480" w:lineRule="auto"/>
        <w:rPr>
          <w:rFonts w:ascii="Arial Black" w:hAnsi="Arial Black" w:cs="Arial"/>
          <w:color w:val="4C94D8" w:themeColor="text2" w:themeTint="80"/>
        </w:rPr>
      </w:pPr>
      <w:r w:rsidRPr="0077775E">
        <w:rPr>
          <w:rFonts w:ascii="Arial Black" w:hAnsi="Arial Black" w:cs="Arial"/>
          <w:color w:val="4C94D8" w:themeColor="text2" w:themeTint="80"/>
        </w:rPr>
        <w:t xml:space="preserve">Net Profit Margin (Net Income </w:t>
      </w:r>
      <w:r w:rsidRPr="0077775E">
        <w:rPr>
          <w:rFonts w:ascii="Arial Black" w:hAnsi="Arial Black" w:cs="Arial"/>
          <w:color w:val="4C94D8" w:themeColor="text2" w:themeTint="80"/>
        </w:rPr>
        <w:t>/</w:t>
      </w:r>
      <w:r w:rsidRPr="0077775E">
        <w:rPr>
          <w:rFonts w:ascii="Arial Black" w:hAnsi="Arial Black" w:cs="Arial"/>
          <w:color w:val="4C94D8" w:themeColor="text2" w:themeTint="80"/>
        </w:rPr>
        <w:t xml:space="preserve"> Revenues)</w:t>
      </w:r>
    </w:p>
    <w:p w14:paraId="64071CEB" w14:textId="02B05098" w:rsidR="00D95BB8" w:rsidRPr="00D95BB8" w:rsidRDefault="00D95BB8" w:rsidP="00D95BB8">
      <w:pPr>
        <w:spacing w:line="480" w:lineRule="auto"/>
        <w:rPr>
          <w:rFonts w:ascii="Arial" w:hAnsi="Arial" w:cs="Arial"/>
        </w:rPr>
      </w:pPr>
      <w:r w:rsidRPr="00D95BB8">
        <w:rPr>
          <w:rFonts w:ascii="Arial" w:hAnsi="Arial" w:cs="Arial"/>
        </w:rPr>
        <w:t xml:space="preserve">– 2022: 6,177.4 </w:t>
      </w:r>
      <w:r>
        <w:rPr>
          <w:rFonts w:ascii="Arial" w:hAnsi="Arial" w:cs="Arial"/>
        </w:rPr>
        <w:t>/</w:t>
      </w:r>
      <w:r w:rsidRPr="00D95BB8">
        <w:rPr>
          <w:rFonts w:ascii="Arial" w:hAnsi="Arial" w:cs="Arial"/>
        </w:rPr>
        <w:t xml:space="preserve"> 23,182.6 = 26.6%</w:t>
      </w:r>
    </w:p>
    <w:p w14:paraId="7FED3E68" w14:textId="77777777" w:rsidR="00D95BB8" w:rsidRPr="00D95BB8" w:rsidRDefault="00D95BB8" w:rsidP="00D95BB8">
      <w:pPr>
        <w:spacing w:line="480" w:lineRule="auto"/>
        <w:rPr>
          <w:rFonts w:ascii="Arial" w:hAnsi="Arial" w:cs="Arial"/>
        </w:rPr>
      </w:pPr>
      <w:r w:rsidRPr="00D95BB8">
        <w:rPr>
          <w:rFonts w:ascii="Arial" w:hAnsi="Arial" w:cs="Arial"/>
        </w:rPr>
        <w:t xml:space="preserve">– 2023: 8,468.8 ÷ 25,493.7 = 33.2% </w:t>
      </w:r>
    </w:p>
    <w:p w14:paraId="0AFB18AD" w14:textId="3D4FF8F3" w:rsidR="00D95BB8" w:rsidRPr="0077775E" w:rsidRDefault="00D95BB8" w:rsidP="00D95BB8">
      <w:pPr>
        <w:spacing w:line="480" w:lineRule="auto"/>
        <w:rPr>
          <w:rFonts w:ascii="Arial Black" w:hAnsi="Arial Black" w:cs="Arial"/>
          <w:color w:val="4C94D8" w:themeColor="text2" w:themeTint="80"/>
        </w:rPr>
      </w:pPr>
      <w:r w:rsidRPr="0077775E">
        <w:rPr>
          <w:rFonts w:ascii="Arial Black" w:hAnsi="Arial Black" w:cs="Arial"/>
          <w:color w:val="4C94D8" w:themeColor="text2" w:themeTint="80"/>
        </w:rPr>
        <w:t xml:space="preserve">Interest Coverage (Operating Income </w:t>
      </w:r>
      <w:r w:rsidRPr="0077775E">
        <w:rPr>
          <w:rFonts w:ascii="Arial Black" w:hAnsi="Arial Black" w:cs="Arial"/>
          <w:color w:val="4C94D8" w:themeColor="text2" w:themeTint="80"/>
        </w:rPr>
        <w:t>/</w:t>
      </w:r>
      <w:r w:rsidRPr="0077775E">
        <w:rPr>
          <w:rFonts w:ascii="Arial Black" w:hAnsi="Arial Black" w:cs="Arial"/>
          <w:color w:val="4C94D8" w:themeColor="text2" w:themeTint="80"/>
        </w:rPr>
        <w:t xml:space="preserve"> Interest Expense)</w:t>
      </w:r>
    </w:p>
    <w:p w14:paraId="5DEE60A4" w14:textId="021EBA81" w:rsidR="00D95BB8" w:rsidRPr="00D95BB8" w:rsidRDefault="00D95BB8" w:rsidP="00D95BB8">
      <w:pPr>
        <w:spacing w:line="480" w:lineRule="auto"/>
        <w:rPr>
          <w:rFonts w:ascii="Arial" w:hAnsi="Arial" w:cs="Arial"/>
        </w:rPr>
      </w:pPr>
      <w:r w:rsidRPr="00D95BB8">
        <w:rPr>
          <w:rFonts w:ascii="Arial" w:hAnsi="Arial" w:cs="Arial"/>
        </w:rPr>
        <w:t xml:space="preserve">– 2022: 9,371.0 </w:t>
      </w:r>
      <w:r>
        <w:rPr>
          <w:rFonts w:ascii="Arial" w:hAnsi="Arial" w:cs="Arial"/>
        </w:rPr>
        <w:t>/</w:t>
      </w:r>
      <w:r w:rsidRPr="00D95BB8">
        <w:rPr>
          <w:rFonts w:ascii="Arial" w:hAnsi="Arial" w:cs="Arial"/>
        </w:rPr>
        <w:t xml:space="preserve"> 1,207.0 = 7.8 ×</w:t>
      </w:r>
    </w:p>
    <w:p w14:paraId="5ECAE04C" w14:textId="57EB7B6E" w:rsidR="00D95BB8" w:rsidRPr="00D95BB8" w:rsidRDefault="00D95BB8" w:rsidP="00D95BB8">
      <w:pPr>
        <w:spacing w:line="480" w:lineRule="auto"/>
        <w:rPr>
          <w:rFonts w:ascii="Arial" w:hAnsi="Arial" w:cs="Arial"/>
        </w:rPr>
      </w:pPr>
      <w:r w:rsidRPr="00D95BB8">
        <w:rPr>
          <w:rFonts w:ascii="Arial" w:hAnsi="Arial" w:cs="Arial"/>
        </w:rPr>
        <w:lastRenderedPageBreak/>
        <w:t xml:space="preserve">– 2023: 11,646.7 </w:t>
      </w:r>
      <w:r>
        <w:rPr>
          <w:rFonts w:ascii="Arial" w:hAnsi="Arial" w:cs="Arial"/>
        </w:rPr>
        <w:t>/</w:t>
      </w:r>
      <w:r w:rsidRPr="00D95BB8">
        <w:rPr>
          <w:rFonts w:ascii="Arial" w:hAnsi="Arial" w:cs="Arial"/>
        </w:rPr>
        <w:t xml:space="preserve"> 1,360.8 = 8.6 ×</w:t>
      </w:r>
    </w:p>
    <w:sectPr w:rsidR="00D95BB8" w:rsidRPr="00D95BB8" w:rsidSect="0077775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C783D" w14:textId="77777777" w:rsidR="00453EBB" w:rsidRDefault="00453EBB" w:rsidP="00E50EFF">
      <w:pPr>
        <w:spacing w:after="0" w:line="240" w:lineRule="auto"/>
      </w:pPr>
      <w:r>
        <w:separator/>
      </w:r>
    </w:p>
  </w:endnote>
  <w:endnote w:type="continuationSeparator" w:id="0">
    <w:p w14:paraId="52264B7A" w14:textId="77777777" w:rsidR="00453EBB" w:rsidRDefault="00453EBB" w:rsidP="00E50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0257920"/>
      <w:docPartObj>
        <w:docPartGallery w:val="Page Numbers (Bottom of Page)"/>
        <w:docPartUnique/>
      </w:docPartObj>
    </w:sdtPr>
    <w:sdtEndPr>
      <w:rPr>
        <w:noProof/>
      </w:rPr>
    </w:sdtEndPr>
    <w:sdtContent>
      <w:p w14:paraId="276E55B7" w14:textId="433F02FC" w:rsidR="00E50EFF" w:rsidRDefault="00E50E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9C9E0E" w14:textId="77777777" w:rsidR="00E50EFF" w:rsidRDefault="00E50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36BA8" w14:textId="77777777" w:rsidR="00453EBB" w:rsidRDefault="00453EBB" w:rsidP="00E50EFF">
      <w:pPr>
        <w:spacing w:after="0" w:line="240" w:lineRule="auto"/>
      </w:pPr>
      <w:r>
        <w:separator/>
      </w:r>
    </w:p>
  </w:footnote>
  <w:footnote w:type="continuationSeparator" w:id="0">
    <w:p w14:paraId="59F4D33E" w14:textId="77777777" w:rsidR="00453EBB" w:rsidRDefault="00453EBB" w:rsidP="00E50E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524E"/>
    <w:multiLevelType w:val="hybridMultilevel"/>
    <w:tmpl w:val="8EF26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30A0C"/>
    <w:multiLevelType w:val="hybridMultilevel"/>
    <w:tmpl w:val="231E8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44838"/>
    <w:multiLevelType w:val="hybridMultilevel"/>
    <w:tmpl w:val="92266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EC160A"/>
    <w:multiLevelType w:val="hybridMultilevel"/>
    <w:tmpl w:val="57305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597D8F"/>
    <w:multiLevelType w:val="hybridMultilevel"/>
    <w:tmpl w:val="45E4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0C69A1"/>
    <w:multiLevelType w:val="hybridMultilevel"/>
    <w:tmpl w:val="19981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3C350E"/>
    <w:multiLevelType w:val="hybridMultilevel"/>
    <w:tmpl w:val="16286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6229C1"/>
    <w:multiLevelType w:val="hybridMultilevel"/>
    <w:tmpl w:val="3B42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734376">
    <w:abstractNumId w:val="0"/>
  </w:num>
  <w:num w:numId="2" w16cid:durableId="839005152">
    <w:abstractNumId w:val="5"/>
  </w:num>
  <w:num w:numId="3" w16cid:durableId="710878830">
    <w:abstractNumId w:val="1"/>
  </w:num>
  <w:num w:numId="4" w16cid:durableId="1364017227">
    <w:abstractNumId w:val="4"/>
  </w:num>
  <w:num w:numId="5" w16cid:durableId="539245941">
    <w:abstractNumId w:val="7"/>
  </w:num>
  <w:num w:numId="6" w16cid:durableId="784890169">
    <w:abstractNumId w:val="6"/>
  </w:num>
  <w:num w:numId="7" w16cid:durableId="907762581">
    <w:abstractNumId w:val="3"/>
  </w:num>
  <w:num w:numId="8" w16cid:durableId="1971013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B8"/>
    <w:rsid w:val="00453EBB"/>
    <w:rsid w:val="0077775E"/>
    <w:rsid w:val="00852A3A"/>
    <w:rsid w:val="008F6BEE"/>
    <w:rsid w:val="00C34846"/>
    <w:rsid w:val="00D95BB8"/>
    <w:rsid w:val="00E50EFF"/>
    <w:rsid w:val="00EB5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027AC"/>
  <w15:chartTrackingRefBased/>
  <w15:docId w15:val="{1E72DE78-252B-42AA-A5D1-64B27A1A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5B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5B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5B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5B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5B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5B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B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B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B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B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5B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5B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5B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5B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5B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5B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5B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5BB8"/>
    <w:rPr>
      <w:rFonts w:eastAsiaTheme="majorEastAsia" w:cstheme="majorBidi"/>
      <w:color w:val="272727" w:themeColor="text1" w:themeTint="D8"/>
    </w:rPr>
  </w:style>
  <w:style w:type="paragraph" w:styleId="Title">
    <w:name w:val="Title"/>
    <w:basedOn w:val="Normal"/>
    <w:next w:val="Normal"/>
    <w:link w:val="TitleChar"/>
    <w:uiPriority w:val="10"/>
    <w:qFormat/>
    <w:rsid w:val="00D95B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B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5B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5B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BB8"/>
    <w:pPr>
      <w:spacing w:before="160"/>
      <w:jc w:val="center"/>
    </w:pPr>
    <w:rPr>
      <w:i/>
      <w:iCs/>
      <w:color w:val="404040" w:themeColor="text1" w:themeTint="BF"/>
    </w:rPr>
  </w:style>
  <w:style w:type="character" w:customStyle="1" w:styleId="QuoteChar">
    <w:name w:val="Quote Char"/>
    <w:basedOn w:val="DefaultParagraphFont"/>
    <w:link w:val="Quote"/>
    <w:uiPriority w:val="29"/>
    <w:rsid w:val="00D95BB8"/>
    <w:rPr>
      <w:i/>
      <w:iCs/>
      <w:color w:val="404040" w:themeColor="text1" w:themeTint="BF"/>
    </w:rPr>
  </w:style>
  <w:style w:type="paragraph" w:styleId="ListParagraph">
    <w:name w:val="List Paragraph"/>
    <w:basedOn w:val="Normal"/>
    <w:uiPriority w:val="34"/>
    <w:qFormat/>
    <w:rsid w:val="00D95BB8"/>
    <w:pPr>
      <w:ind w:left="720"/>
      <w:contextualSpacing/>
    </w:pPr>
  </w:style>
  <w:style w:type="character" w:styleId="IntenseEmphasis">
    <w:name w:val="Intense Emphasis"/>
    <w:basedOn w:val="DefaultParagraphFont"/>
    <w:uiPriority w:val="21"/>
    <w:qFormat/>
    <w:rsid w:val="00D95BB8"/>
    <w:rPr>
      <w:i/>
      <w:iCs/>
      <w:color w:val="0F4761" w:themeColor="accent1" w:themeShade="BF"/>
    </w:rPr>
  </w:style>
  <w:style w:type="paragraph" w:styleId="IntenseQuote">
    <w:name w:val="Intense Quote"/>
    <w:basedOn w:val="Normal"/>
    <w:next w:val="Normal"/>
    <w:link w:val="IntenseQuoteChar"/>
    <w:uiPriority w:val="30"/>
    <w:qFormat/>
    <w:rsid w:val="00D95B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5BB8"/>
    <w:rPr>
      <w:i/>
      <w:iCs/>
      <w:color w:val="0F4761" w:themeColor="accent1" w:themeShade="BF"/>
    </w:rPr>
  </w:style>
  <w:style w:type="character" w:styleId="IntenseReference">
    <w:name w:val="Intense Reference"/>
    <w:basedOn w:val="DefaultParagraphFont"/>
    <w:uiPriority w:val="32"/>
    <w:qFormat/>
    <w:rsid w:val="00D95BB8"/>
    <w:rPr>
      <w:b/>
      <w:bCs/>
      <w:smallCaps/>
      <w:color w:val="0F4761" w:themeColor="accent1" w:themeShade="BF"/>
      <w:spacing w:val="5"/>
    </w:rPr>
  </w:style>
  <w:style w:type="paragraph" w:styleId="Header">
    <w:name w:val="header"/>
    <w:basedOn w:val="Normal"/>
    <w:link w:val="HeaderChar"/>
    <w:uiPriority w:val="99"/>
    <w:unhideWhenUsed/>
    <w:rsid w:val="00E50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EFF"/>
  </w:style>
  <w:style w:type="paragraph" w:styleId="Footer">
    <w:name w:val="footer"/>
    <w:basedOn w:val="Normal"/>
    <w:link w:val="FooterChar"/>
    <w:uiPriority w:val="99"/>
    <w:unhideWhenUsed/>
    <w:rsid w:val="00E50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EFF"/>
  </w:style>
  <w:style w:type="character" w:styleId="Hyperlink">
    <w:name w:val="Hyperlink"/>
    <w:basedOn w:val="DefaultParagraphFont"/>
    <w:uiPriority w:val="99"/>
    <w:unhideWhenUsed/>
    <w:rsid w:val="00C34846"/>
    <w:rPr>
      <w:color w:val="467886" w:themeColor="hyperlink"/>
      <w:u w:val="single"/>
    </w:rPr>
  </w:style>
  <w:style w:type="character" w:styleId="UnresolvedMention">
    <w:name w:val="Unresolved Mention"/>
    <w:basedOn w:val="DefaultParagraphFont"/>
    <w:uiPriority w:val="99"/>
    <w:semiHidden/>
    <w:unhideWhenUsed/>
    <w:rsid w:val="00C34846"/>
    <w:rPr>
      <w:color w:val="605E5C"/>
      <w:shd w:val="clear" w:color="auto" w:fill="E1DFDD"/>
    </w:rPr>
  </w:style>
  <w:style w:type="paragraph" w:styleId="NoSpacing">
    <w:name w:val="No Spacing"/>
    <w:link w:val="NoSpacingChar"/>
    <w:uiPriority w:val="1"/>
    <w:qFormat/>
    <w:rsid w:val="0077775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7775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ic.poder360.com.br/2023/04/mcdonalds-resultados-202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rporate.mcdonalds.com/content/dam/sites/corp/nfl/pdf/McD%20-%202024%20Annual%20Report%20to%20Sharehold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2025-07-18T00:00:00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1996</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
  <dc:creator>Mirabela Voican (1907947)</dc:creator>
  <cp:keywords/>
  <dc:description/>
  <cp:lastModifiedBy>Mirabela Voican (1907947)</cp:lastModifiedBy>
  <cp:revision>2</cp:revision>
  <dcterms:created xsi:type="dcterms:W3CDTF">2025-07-11T20:41:00Z</dcterms:created>
  <dcterms:modified xsi:type="dcterms:W3CDTF">2025-07-11T20:41:00Z</dcterms:modified>
</cp:coreProperties>
</file>