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EE660" w14:textId="02421A30" w:rsidR="007F6D3F" w:rsidRDefault="007F6D3F" w:rsidP="007F6D3F">
      <w:pPr>
        <w:pStyle w:val="NormalWeb"/>
        <w:spacing w:before="0" w:beforeAutospacing="0" w:after="0" w:afterAutospacing="0"/>
        <w:ind w:left="-180" w:right="-334"/>
      </w:pPr>
      <w:r>
        <w:rPr>
          <w:noProof/>
        </w:rPr>
        <w:drawing>
          <wp:inline distT="0" distB="0" distL="0" distR="0" wp14:anchorId="5ADA65C4" wp14:editId="04D88A66">
            <wp:extent cx="1905000" cy="632460"/>
            <wp:effectExtent l="19050" t="19050" r="19050" b="15240"/>
            <wp:docPr id="1649459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A58A002" w14:textId="77777777" w:rsidR="007F6D3F" w:rsidRDefault="007F6D3F" w:rsidP="007F6D3F">
      <w:pPr>
        <w:pStyle w:val="NormalWeb"/>
        <w:spacing w:before="0" w:beforeAutospacing="0" w:after="0" w:afterAutospacing="0"/>
        <w:ind w:left="-180" w:right="-334"/>
      </w:pPr>
    </w:p>
    <w:p w14:paraId="24FF29DF" w14:textId="77777777" w:rsidR="007F6D3F" w:rsidRDefault="007F6D3F" w:rsidP="007F6D3F">
      <w:pPr>
        <w:pStyle w:val="NormalWeb"/>
        <w:spacing w:before="0" w:beforeAutospacing="0" w:after="0" w:afterAutospacing="0"/>
        <w:ind w:left="-180" w:right="-334"/>
      </w:pPr>
    </w:p>
    <w:p w14:paraId="6BF60BE1" w14:textId="77777777" w:rsidR="007F6D3F" w:rsidRDefault="007F6D3F" w:rsidP="007F6D3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9329599" w14:textId="77777777" w:rsidR="007F6D3F" w:rsidRPr="00230F35" w:rsidRDefault="007F6D3F" w:rsidP="007F6D3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4A1E6ED" w14:textId="77777777" w:rsidR="007F6D3F" w:rsidRPr="00230F35" w:rsidRDefault="007F6D3F" w:rsidP="007F6D3F">
      <w:pPr>
        <w:rPr>
          <w:rFonts w:ascii="Arial" w:hAnsi="Arial" w:cs="Arial"/>
          <w:sz w:val="28"/>
          <w:szCs w:val="28"/>
          <w:lang w:val="cy-GB"/>
        </w:rPr>
      </w:pPr>
    </w:p>
    <w:p w14:paraId="5224CB7E" w14:textId="77777777" w:rsidR="007F6D3F" w:rsidRDefault="007F6D3F" w:rsidP="007F6D3F">
      <w:pPr>
        <w:pStyle w:val="Heading3"/>
        <w:jc w:val="center"/>
        <w:rPr>
          <w:lang w:val="cy-GB"/>
        </w:rPr>
      </w:pPr>
      <w:r>
        <w:rPr>
          <w:lang w:val="cy-GB"/>
        </w:rPr>
        <w:t>THIS SHEET MUST BE THE FIRST PAGE OF THE ASSIGNMENT YOU ARE SUBMITTING  (DO NOT SEND AS A SEPARATE FILE)</w:t>
      </w:r>
    </w:p>
    <w:p w14:paraId="689F7FDB" w14:textId="77777777" w:rsidR="007F6D3F" w:rsidRDefault="007F6D3F" w:rsidP="007F6D3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F6D3F" w:rsidRPr="00230F35" w14:paraId="6BF5AF7D" w14:textId="77777777" w:rsidTr="004D73D4">
        <w:trPr>
          <w:trHeight w:val="614"/>
        </w:trPr>
        <w:tc>
          <w:tcPr>
            <w:tcW w:w="8856" w:type="dxa"/>
            <w:gridSpan w:val="5"/>
          </w:tcPr>
          <w:p w14:paraId="49F8E1A7" w14:textId="77777777" w:rsidR="007F6D3F" w:rsidRPr="00230F35"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F6D3F" w:rsidRPr="00230F35" w14:paraId="4ACFF02C" w14:textId="77777777" w:rsidTr="004D73D4">
        <w:trPr>
          <w:trHeight w:val="718"/>
        </w:trPr>
        <w:tc>
          <w:tcPr>
            <w:tcW w:w="8856" w:type="dxa"/>
            <w:gridSpan w:val="5"/>
          </w:tcPr>
          <w:p w14:paraId="4B5A36DC" w14:textId="2E4F6123" w:rsidR="007F6D3F"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Emily Nixon</w:t>
            </w:r>
          </w:p>
          <w:p w14:paraId="5EF777DA" w14:textId="77777777" w:rsidR="007F6D3F" w:rsidRPr="00230F35" w:rsidRDefault="007F6D3F" w:rsidP="004D73D4">
            <w:pPr>
              <w:pStyle w:val="NormalWeb"/>
              <w:spacing w:before="0" w:beforeAutospacing="0" w:after="0" w:afterAutospacing="0"/>
              <w:ind w:right="34"/>
              <w:rPr>
                <w:rFonts w:ascii="Arial" w:hAnsi="Arial" w:cs="Arial"/>
                <w:sz w:val="22"/>
                <w:szCs w:val="22"/>
              </w:rPr>
            </w:pPr>
          </w:p>
          <w:p w14:paraId="56BDCF8B" w14:textId="06A3E483" w:rsidR="007F6D3F" w:rsidRPr="00230F35"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Pr="004B1783">
                <w:rPr>
                  <w:rStyle w:val="Hyperlink"/>
                  <w:rFonts w:ascii="Arial" w:hAnsi="Arial" w:cs="Arial"/>
                  <w:sz w:val="22"/>
                  <w:szCs w:val="22"/>
                </w:rPr>
                <w:t>2212291@uwtsd.student.ac.uk</w:t>
              </w:r>
            </w:hyperlink>
            <w:r>
              <w:rPr>
                <w:rFonts w:ascii="Arial" w:hAnsi="Arial" w:cs="Arial"/>
                <w:sz w:val="22"/>
                <w:szCs w:val="22"/>
              </w:rPr>
              <w:t xml:space="preserve"> </w:t>
            </w:r>
          </w:p>
        </w:tc>
      </w:tr>
      <w:tr w:rsidR="007F6D3F" w:rsidRPr="00230F35" w14:paraId="2920C00D" w14:textId="77777777" w:rsidTr="004D73D4">
        <w:trPr>
          <w:trHeight w:val="849"/>
        </w:trPr>
        <w:tc>
          <w:tcPr>
            <w:tcW w:w="4788" w:type="dxa"/>
          </w:tcPr>
          <w:p w14:paraId="263D984F" w14:textId="444E480A" w:rsidR="007F6D3F" w:rsidRPr="00230F35"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7F6D3F">
              <w:rPr>
                <w:rFonts w:ascii="Arial" w:hAnsi="Arial" w:cs="Arial"/>
                <w:sz w:val="22"/>
                <w:szCs w:val="22"/>
              </w:rPr>
              <w:t>HPCA7014</w:t>
            </w:r>
          </w:p>
          <w:p w14:paraId="2408DDC0" w14:textId="77777777" w:rsidR="007F6D3F" w:rsidRPr="00230F35" w:rsidRDefault="007F6D3F" w:rsidP="004D73D4">
            <w:pPr>
              <w:pStyle w:val="NormalWeb"/>
              <w:spacing w:before="0" w:beforeAutospacing="0" w:after="0" w:afterAutospacing="0"/>
              <w:ind w:right="34"/>
              <w:rPr>
                <w:rFonts w:ascii="Arial" w:hAnsi="Arial" w:cs="Arial"/>
                <w:sz w:val="22"/>
                <w:szCs w:val="22"/>
              </w:rPr>
            </w:pPr>
          </w:p>
          <w:p w14:paraId="032FDA6E" w14:textId="6FBD7AB5" w:rsidR="007F6D3F"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5DDB72F8" w14:textId="77777777" w:rsidR="007F6D3F" w:rsidRDefault="007F6D3F" w:rsidP="004D73D4">
            <w:pPr>
              <w:pStyle w:val="NormalWeb"/>
              <w:spacing w:before="0" w:beforeAutospacing="0" w:after="0" w:afterAutospacing="0"/>
              <w:ind w:right="34"/>
              <w:rPr>
                <w:rFonts w:ascii="Arial" w:hAnsi="Arial" w:cs="Arial"/>
                <w:sz w:val="22"/>
                <w:szCs w:val="22"/>
              </w:rPr>
            </w:pPr>
          </w:p>
          <w:p w14:paraId="46D67919" w14:textId="77777777" w:rsidR="007F6D3F" w:rsidRPr="00230F35" w:rsidRDefault="007F6D3F" w:rsidP="004D73D4">
            <w:pPr>
              <w:pStyle w:val="NormalWeb"/>
              <w:spacing w:before="0" w:beforeAutospacing="0" w:after="0" w:afterAutospacing="0"/>
              <w:ind w:right="34"/>
              <w:rPr>
                <w:rFonts w:ascii="Arial" w:hAnsi="Arial" w:cs="Arial"/>
                <w:sz w:val="22"/>
                <w:szCs w:val="22"/>
              </w:rPr>
            </w:pPr>
          </w:p>
        </w:tc>
        <w:tc>
          <w:tcPr>
            <w:tcW w:w="2266" w:type="dxa"/>
            <w:gridSpan w:val="3"/>
          </w:tcPr>
          <w:p w14:paraId="3C26CDB9" w14:textId="77777777" w:rsidR="007F6D3F"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1F7F3D3" w14:textId="77777777" w:rsidR="007F6D3F" w:rsidRDefault="007F6D3F" w:rsidP="004D73D4">
            <w:pPr>
              <w:pStyle w:val="NormalWeb"/>
              <w:spacing w:before="0" w:beforeAutospacing="0" w:after="0" w:afterAutospacing="0"/>
              <w:ind w:right="34"/>
              <w:rPr>
                <w:rFonts w:ascii="Arial" w:hAnsi="Arial" w:cs="Arial"/>
                <w:sz w:val="22"/>
                <w:szCs w:val="22"/>
              </w:rPr>
            </w:pPr>
          </w:p>
          <w:p w14:paraId="2CF09F3B" w14:textId="5AE28E44" w:rsidR="007F6D3F" w:rsidRPr="00230F35" w:rsidRDefault="007F6D3F" w:rsidP="004D73D4">
            <w:pPr>
              <w:pStyle w:val="NormalWeb"/>
              <w:spacing w:before="0" w:beforeAutospacing="0" w:after="0" w:afterAutospacing="0"/>
              <w:ind w:right="34"/>
              <w:rPr>
                <w:rFonts w:ascii="Arial" w:hAnsi="Arial" w:cs="Arial"/>
                <w:sz w:val="22"/>
                <w:szCs w:val="22"/>
              </w:rPr>
            </w:pPr>
            <w:r>
              <w:rPr>
                <w:rFonts w:ascii="Arial" w:hAnsi="Arial" w:cs="Arial"/>
                <w:sz w:val="22"/>
                <w:szCs w:val="22"/>
              </w:rPr>
              <w:t>2212291</w:t>
            </w:r>
          </w:p>
        </w:tc>
        <w:tc>
          <w:tcPr>
            <w:tcW w:w="1802" w:type="dxa"/>
          </w:tcPr>
          <w:p w14:paraId="26196A89" w14:textId="77777777" w:rsidR="007F6D3F" w:rsidRPr="00230F35"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818C3EA" w14:textId="77777777" w:rsidR="007F6D3F" w:rsidRPr="00230F35" w:rsidRDefault="007F6D3F" w:rsidP="004D73D4">
            <w:pPr>
              <w:pStyle w:val="NormalWeb"/>
              <w:spacing w:before="0" w:beforeAutospacing="0" w:after="0" w:afterAutospacing="0"/>
              <w:ind w:right="34"/>
              <w:rPr>
                <w:rFonts w:ascii="Arial" w:hAnsi="Arial" w:cs="Arial"/>
                <w:sz w:val="22"/>
                <w:szCs w:val="22"/>
              </w:rPr>
            </w:pPr>
            <w:r w:rsidRPr="007F6D3F">
              <w:rPr>
                <w:rFonts w:ascii="Arial" w:hAnsi="Arial" w:cs="Arial"/>
                <w:b/>
                <w:bCs/>
                <w:sz w:val="22"/>
                <w:szCs w:val="22"/>
                <w:highlight w:val="yellow"/>
              </w:rPr>
              <w:t>Yes</w:t>
            </w:r>
            <w:r w:rsidRPr="00230F35">
              <w:rPr>
                <w:rFonts w:ascii="Arial" w:hAnsi="Arial" w:cs="Arial"/>
                <w:sz w:val="22"/>
                <w:szCs w:val="22"/>
              </w:rPr>
              <w:t>/No</w:t>
            </w:r>
          </w:p>
        </w:tc>
      </w:tr>
      <w:tr w:rsidR="007F6D3F" w:rsidRPr="00230F35" w14:paraId="0FF28126" w14:textId="77777777" w:rsidTr="004D73D4">
        <w:trPr>
          <w:trHeight w:val="1139"/>
        </w:trPr>
        <w:tc>
          <w:tcPr>
            <w:tcW w:w="8856" w:type="dxa"/>
            <w:gridSpan w:val="5"/>
          </w:tcPr>
          <w:p w14:paraId="5BEED946" w14:textId="5B3F7CB5" w:rsidR="007F6D3F" w:rsidRPr="007F6D3F"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5DF607F8" w14:textId="75124272" w:rsidR="007F6D3F" w:rsidRDefault="007F6D3F" w:rsidP="004D73D4">
            <w:pPr>
              <w:pStyle w:val="NormalWeb"/>
              <w:spacing w:before="0" w:beforeAutospacing="0" w:after="0" w:afterAutospacing="0"/>
              <w:ind w:right="34"/>
              <w:rPr>
                <w:rFonts w:ascii="Arial" w:hAnsi="Arial" w:cs="Arial"/>
                <w:sz w:val="22"/>
                <w:szCs w:val="22"/>
              </w:rPr>
            </w:pPr>
            <w:r w:rsidRPr="007F6D3F">
              <w:rPr>
                <w:rFonts w:ascii="Arial" w:hAnsi="Arial" w:cs="Arial"/>
                <w:sz w:val="22"/>
                <w:szCs w:val="22"/>
              </w:rPr>
              <w:t>Is sacred space a human construct or a natural phenomenon? Discuss this question through a research project with reference to the work of at least three theorists.</w:t>
            </w:r>
          </w:p>
          <w:p w14:paraId="0DADAFD7" w14:textId="77777777" w:rsidR="007F6D3F" w:rsidRDefault="007F6D3F" w:rsidP="004D73D4">
            <w:pPr>
              <w:pStyle w:val="NormalWeb"/>
              <w:spacing w:before="0" w:beforeAutospacing="0" w:after="0" w:afterAutospacing="0"/>
              <w:ind w:right="34"/>
              <w:rPr>
                <w:rFonts w:ascii="Arial" w:hAnsi="Arial" w:cs="Arial"/>
                <w:sz w:val="22"/>
                <w:szCs w:val="22"/>
              </w:rPr>
            </w:pPr>
          </w:p>
          <w:p w14:paraId="429CAF01" w14:textId="4D9C6431" w:rsidR="007F6D3F" w:rsidRPr="00230F35"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4</w:t>
            </w:r>
            <w:r w:rsidRPr="007F6D3F">
              <w:rPr>
                <w:rFonts w:ascii="Arial" w:hAnsi="Arial" w:cs="Arial"/>
                <w:sz w:val="22"/>
                <w:szCs w:val="22"/>
                <w:vertAlign w:val="superscript"/>
              </w:rPr>
              <w:t>th</w:t>
            </w:r>
            <w:r>
              <w:rPr>
                <w:rFonts w:ascii="Arial" w:hAnsi="Arial" w:cs="Arial"/>
                <w:sz w:val="22"/>
                <w:szCs w:val="22"/>
              </w:rPr>
              <w:t xml:space="preserve"> January 2024- Differentiated Deadline 18</w:t>
            </w:r>
            <w:r w:rsidRPr="007F6D3F">
              <w:rPr>
                <w:rFonts w:ascii="Arial" w:hAnsi="Arial" w:cs="Arial"/>
                <w:sz w:val="22"/>
                <w:szCs w:val="22"/>
                <w:vertAlign w:val="superscript"/>
              </w:rPr>
              <w:t>th</w:t>
            </w:r>
            <w:r>
              <w:rPr>
                <w:rFonts w:ascii="Arial" w:hAnsi="Arial" w:cs="Arial"/>
                <w:sz w:val="22"/>
                <w:szCs w:val="22"/>
              </w:rPr>
              <w:t xml:space="preserve"> January 2024</w:t>
            </w:r>
          </w:p>
        </w:tc>
      </w:tr>
      <w:tr w:rsidR="007F6D3F" w:rsidRPr="00230F35" w14:paraId="7979D50D" w14:textId="77777777" w:rsidTr="004D73D4">
        <w:trPr>
          <w:trHeight w:val="978"/>
        </w:trPr>
        <w:tc>
          <w:tcPr>
            <w:tcW w:w="8856" w:type="dxa"/>
            <w:gridSpan w:val="5"/>
            <w:tcBorders>
              <w:bottom w:val="single" w:sz="4" w:space="0" w:color="000000"/>
            </w:tcBorders>
          </w:tcPr>
          <w:p w14:paraId="655142BA" w14:textId="77777777" w:rsidR="007F6D3F" w:rsidRPr="00230F35" w:rsidRDefault="007F6D3F" w:rsidP="004D73D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7F6D3F" w:rsidRPr="00230F35" w14:paraId="4BCDD268" w14:textId="77777777" w:rsidTr="004D73D4">
        <w:trPr>
          <w:trHeight w:val="978"/>
        </w:trPr>
        <w:tc>
          <w:tcPr>
            <w:tcW w:w="8856" w:type="dxa"/>
            <w:gridSpan w:val="5"/>
            <w:shd w:val="clear" w:color="auto" w:fill="D9D9D9"/>
          </w:tcPr>
          <w:p w14:paraId="51EF3AC0" w14:textId="77777777" w:rsidR="007F6D3F" w:rsidRPr="00230F35"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1ADA84C" w14:textId="4479F7C1" w:rsidR="007F6D3F" w:rsidRDefault="007F6D3F" w:rsidP="004D73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EFNixon</w:t>
            </w:r>
            <w:r w:rsidRPr="00230F35">
              <w:rPr>
                <w:rFonts w:ascii="Arial" w:hAnsi="Arial" w:cs="Arial"/>
                <w:sz w:val="22"/>
                <w:szCs w:val="22"/>
              </w:rPr>
              <w:t>………………………………………………………</w:t>
            </w:r>
          </w:p>
          <w:p w14:paraId="5E1E4F90" w14:textId="615EB3F3" w:rsidR="007F6D3F" w:rsidRDefault="007F6D3F" w:rsidP="004D73D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4BDF2CFD" w14:textId="77777777" w:rsidR="007F6D3F" w:rsidRPr="00230F35" w:rsidRDefault="007F6D3F" w:rsidP="004D73D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F6D3F" w:rsidRPr="00230F35" w14:paraId="36C77F92" w14:textId="77777777" w:rsidTr="004D73D4">
        <w:trPr>
          <w:trHeight w:val="3972"/>
        </w:trPr>
        <w:tc>
          <w:tcPr>
            <w:tcW w:w="8856" w:type="dxa"/>
            <w:gridSpan w:val="5"/>
          </w:tcPr>
          <w:p w14:paraId="320DBA39" w14:textId="77777777" w:rsidR="007F6D3F" w:rsidRDefault="007F6D3F" w:rsidP="004D73D4">
            <w:pPr>
              <w:rPr>
                <w:rFonts w:ascii="Arial" w:hAnsi="Arial"/>
                <w:b/>
              </w:rPr>
            </w:pPr>
          </w:p>
          <w:p w14:paraId="53ADD966" w14:textId="77777777" w:rsidR="007F6D3F" w:rsidRPr="00116CE6" w:rsidRDefault="007F6D3F" w:rsidP="004D73D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F6D3F" w:rsidRPr="00116CE6" w14:paraId="14A5A875" w14:textId="77777777" w:rsidTr="004D73D4">
              <w:tc>
                <w:tcPr>
                  <w:tcW w:w="6970" w:type="dxa"/>
                </w:tcPr>
                <w:p w14:paraId="4F79FCD7" w14:textId="77777777" w:rsidR="007F6D3F" w:rsidRPr="00116CE6" w:rsidRDefault="007F6D3F" w:rsidP="004D73D4">
                  <w:pPr>
                    <w:rPr>
                      <w:rFonts w:ascii="Arial" w:hAnsi="Arial"/>
                      <w:sz w:val="20"/>
                      <w:szCs w:val="20"/>
                    </w:rPr>
                  </w:pPr>
                </w:p>
                <w:p w14:paraId="15E59555" w14:textId="77777777" w:rsidR="007F6D3F" w:rsidRPr="00116CE6" w:rsidRDefault="007F6D3F" w:rsidP="004D73D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39E8D76" w14:textId="77777777" w:rsidR="007F6D3F" w:rsidRPr="00116CE6" w:rsidRDefault="007F6D3F" w:rsidP="004D73D4">
                  <w:pPr>
                    <w:rPr>
                      <w:rFonts w:ascii="Arial" w:hAnsi="Arial"/>
                      <w:sz w:val="20"/>
                      <w:szCs w:val="20"/>
                    </w:rPr>
                  </w:pPr>
                </w:p>
              </w:tc>
            </w:tr>
            <w:tr w:rsidR="007F6D3F" w:rsidRPr="00116CE6" w14:paraId="7BFBC31D" w14:textId="77777777" w:rsidTr="004D73D4">
              <w:tc>
                <w:tcPr>
                  <w:tcW w:w="6970" w:type="dxa"/>
                </w:tcPr>
                <w:p w14:paraId="323C5A02" w14:textId="77777777" w:rsidR="007F6D3F" w:rsidRPr="00116CE6" w:rsidRDefault="007F6D3F" w:rsidP="004D73D4">
                  <w:pPr>
                    <w:rPr>
                      <w:rFonts w:ascii="Arial" w:hAnsi="Arial"/>
                      <w:sz w:val="20"/>
                      <w:szCs w:val="20"/>
                    </w:rPr>
                  </w:pPr>
                </w:p>
                <w:p w14:paraId="5055DFD5" w14:textId="77777777" w:rsidR="007F6D3F" w:rsidRPr="00116CE6" w:rsidRDefault="007F6D3F" w:rsidP="004D73D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978D7CF" w14:textId="77777777" w:rsidR="007F6D3F" w:rsidRPr="00116CE6" w:rsidRDefault="007F6D3F" w:rsidP="004D73D4">
                  <w:pPr>
                    <w:rPr>
                      <w:rFonts w:ascii="Arial" w:hAnsi="Arial"/>
                      <w:sz w:val="20"/>
                      <w:szCs w:val="20"/>
                    </w:rPr>
                  </w:pPr>
                </w:p>
              </w:tc>
            </w:tr>
            <w:tr w:rsidR="007F6D3F" w:rsidRPr="00116CE6" w14:paraId="64A33747" w14:textId="77777777" w:rsidTr="004D73D4">
              <w:tc>
                <w:tcPr>
                  <w:tcW w:w="6970" w:type="dxa"/>
                </w:tcPr>
                <w:p w14:paraId="0479221B" w14:textId="77777777" w:rsidR="007F6D3F" w:rsidRPr="00116CE6" w:rsidRDefault="007F6D3F" w:rsidP="004D73D4">
                  <w:pPr>
                    <w:rPr>
                      <w:rFonts w:ascii="Arial" w:hAnsi="Arial"/>
                      <w:sz w:val="20"/>
                      <w:szCs w:val="20"/>
                    </w:rPr>
                  </w:pPr>
                </w:p>
                <w:p w14:paraId="361E0EF2" w14:textId="77777777" w:rsidR="007F6D3F" w:rsidRPr="00116CE6" w:rsidRDefault="007F6D3F" w:rsidP="004D73D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30290A" w14:textId="77777777" w:rsidR="007F6D3F" w:rsidRPr="00116CE6" w:rsidRDefault="007F6D3F" w:rsidP="004D73D4">
                  <w:pPr>
                    <w:rPr>
                      <w:rFonts w:ascii="Arial" w:hAnsi="Arial"/>
                      <w:sz w:val="20"/>
                      <w:szCs w:val="20"/>
                    </w:rPr>
                  </w:pPr>
                </w:p>
              </w:tc>
            </w:tr>
            <w:tr w:rsidR="007F6D3F" w:rsidRPr="00116CE6" w14:paraId="73429001" w14:textId="77777777" w:rsidTr="004D73D4">
              <w:tc>
                <w:tcPr>
                  <w:tcW w:w="6970" w:type="dxa"/>
                </w:tcPr>
                <w:p w14:paraId="648C860B" w14:textId="77777777" w:rsidR="007F6D3F" w:rsidRDefault="007F6D3F" w:rsidP="004D73D4">
                  <w:pPr>
                    <w:rPr>
                      <w:rFonts w:ascii="Arial" w:hAnsi="Arial"/>
                      <w:sz w:val="20"/>
                      <w:szCs w:val="20"/>
                    </w:rPr>
                  </w:pPr>
                </w:p>
                <w:p w14:paraId="7DFF395F" w14:textId="77777777" w:rsidR="007F6D3F" w:rsidRPr="00022345" w:rsidRDefault="007F6D3F" w:rsidP="004D73D4">
                  <w:pPr>
                    <w:rPr>
                      <w:rFonts w:ascii="Arial" w:hAnsi="Arial"/>
                      <w:b/>
                      <w:sz w:val="20"/>
                      <w:szCs w:val="20"/>
                    </w:rPr>
                  </w:pPr>
                  <w:r w:rsidRPr="00022345">
                    <w:rPr>
                      <w:rFonts w:ascii="Arial" w:hAnsi="Arial"/>
                      <w:b/>
                      <w:sz w:val="20"/>
                      <w:szCs w:val="20"/>
                    </w:rPr>
                    <w:t>Final Mark</w:t>
                  </w:r>
                </w:p>
                <w:p w14:paraId="4348E87F" w14:textId="77777777" w:rsidR="007F6D3F" w:rsidRPr="00116CE6" w:rsidRDefault="007F6D3F" w:rsidP="004D73D4">
                  <w:pPr>
                    <w:rPr>
                      <w:rFonts w:ascii="Arial" w:hAnsi="Arial"/>
                      <w:sz w:val="20"/>
                      <w:szCs w:val="20"/>
                    </w:rPr>
                  </w:pPr>
                </w:p>
              </w:tc>
              <w:tc>
                <w:tcPr>
                  <w:tcW w:w="1660" w:type="dxa"/>
                </w:tcPr>
                <w:p w14:paraId="5F0C3B0F" w14:textId="77777777" w:rsidR="007F6D3F" w:rsidRPr="00116CE6" w:rsidRDefault="007F6D3F" w:rsidP="004D73D4">
                  <w:pPr>
                    <w:rPr>
                      <w:rFonts w:ascii="Arial" w:hAnsi="Arial"/>
                      <w:sz w:val="20"/>
                      <w:szCs w:val="20"/>
                    </w:rPr>
                  </w:pPr>
                </w:p>
              </w:tc>
            </w:tr>
          </w:tbl>
          <w:p w14:paraId="5B9B633C" w14:textId="77777777" w:rsidR="007F6D3F" w:rsidRDefault="007F6D3F" w:rsidP="004D73D4">
            <w:pPr>
              <w:pStyle w:val="NormalWeb"/>
              <w:spacing w:before="0" w:beforeAutospacing="0" w:after="0" w:afterAutospacing="0"/>
              <w:ind w:left="142" w:right="34"/>
              <w:rPr>
                <w:rFonts w:ascii="Arial" w:hAnsi="Arial" w:cs="Arial"/>
                <w:b/>
                <w:sz w:val="22"/>
                <w:szCs w:val="22"/>
              </w:rPr>
            </w:pPr>
          </w:p>
          <w:p w14:paraId="733ACBC9" w14:textId="77777777" w:rsidR="007F6D3F" w:rsidRPr="00230F35" w:rsidRDefault="007F6D3F" w:rsidP="004D73D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1A8D9CD" w14:textId="77777777" w:rsidR="007F6D3F" w:rsidRDefault="007F6D3F" w:rsidP="004D73D4">
            <w:pPr>
              <w:pStyle w:val="NormalWeb"/>
              <w:spacing w:before="0" w:beforeAutospacing="0" w:after="0" w:afterAutospacing="0"/>
              <w:rPr>
                <w:rFonts w:ascii="Arial" w:hAnsi="Arial" w:cs="Arial"/>
                <w:b/>
                <w:sz w:val="22"/>
                <w:szCs w:val="22"/>
              </w:rPr>
            </w:pPr>
          </w:p>
          <w:p w14:paraId="35B86A03" w14:textId="77777777" w:rsidR="007F6D3F" w:rsidRDefault="007F6D3F" w:rsidP="004D73D4">
            <w:pPr>
              <w:pStyle w:val="NormalWeb"/>
              <w:spacing w:before="0" w:beforeAutospacing="0" w:after="0" w:afterAutospacing="0"/>
              <w:rPr>
                <w:rFonts w:ascii="Arial" w:hAnsi="Arial" w:cs="Arial"/>
                <w:b/>
                <w:sz w:val="22"/>
                <w:szCs w:val="22"/>
              </w:rPr>
            </w:pPr>
          </w:p>
          <w:p w14:paraId="7EC7B513" w14:textId="77777777" w:rsidR="007F6D3F" w:rsidRDefault="007F6D3F" w:rsidP="004D73D4">
            <w:pPr>
              <w:pStyle w:val="NormalWeb"/>
              <w:spacing w:before="0" w:beforeAutospacing="0" w:after="0" w:afterAutospacing="0"/>
              <w:rPr>
                <w:rFonts w:ascii="Arial" w:hAnsi="Arial" w:cs="Arial"/>
                <w:b/>
                <w:sz w:val="22"/>
                <w:szCs w:val="22"/>
              </w:rPr>
            </w:pPr>
          </w:p>
          <w:p w14:paraId="4E7A9EC0" w14:textId="77777777" w:rsidR="007F6D3F" w:rsidRDefault="007F6D3F" w:rsidP="004D73D4">
            <w:pPr>
              <w:pStyle w:val="NormalWeb"/>
              <w:spacing w:before="0" w:beforeAutospacing="0" w:after="0" w:afterAutospacing="0"/>
              <w:rPr>
                <w:rFonts w:ascii="Arial" w:hAnsi="Arial" w:cs="Arial"/>
                <w:b/>
                <w:sz w:val="22"/>
                <w:szCs w:val="22"/>
              </w:rPr>
            </w:pPr>
          </w:p>
          <w:p w14:paraId="51290789" w14:textId="77777777" w:rsidR="007F6D3F" w:rsidRDefault="007F6D3F" w:rsidP="004D73D4">
            <w:pPr>
              <w:pStyle w:val="NormalWeb"/>
              <w:spacing w:before="0" w:beforeAutospacing="0" w:after="0" w:afterAutospacing="0"/>
              <w:rPr>
                <w:rFonts w:ascii="Arial" w:hAnsi="Arial" w:cs="Arial"/>
                <w:b/>
                <w:sz w:val="22"/>
                <w:szCs w:val="22"/>
              </w:rPr>
            </w:pPr>
          </w:p>
          <w:p w14:paraId="2E13002B" w14:textId="77777777" w:rsidR="007F6D3F" w:rsidRPr="00230F35" w:rsidRDefault="007F6D3F" w:rsidP="004D73D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9FA2C97" w14:textId="77777777" w:rsidR="007F6D3F" w:rsidRDefault="007F6D3F" w:rsidP="004D73D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D8D74D1" w14:textId="77777777" w:rsidR="007F6D3F" w:rsidRPr="00001C3B" w:rsidRDefault="007F6D3F" w:rsidP="004D73D4">
            <w:pPr>
              <w:pStyle w:val="NormalWeb"/>
              <w:rPr>
                <w:rFonts w:ascii="Arial" w:hAnsi="Arial" w:cs="Arial"/>
                <w:sz w:val="22"/>
                <w:szCs w:val="22"/>
              </w:rPr>
            </w:pPr>
          </w:p>
        </w:tc>
      </w:tr>
      <w:tr w:rsidR="007F6D3F" w:rsidRPr="00230F35" w14:paraId="336535AF" w14:textId="77777777" w:rsidTr="004D73D4">
        <w:trPr>
          <w:trHeight w:val="492"/>
        </w:trPr>
        <w:tc>
          <w:tcPr>
            <w:tcW w:w="6768" w:type="dxa"/>
            <w:gridSpan w:val="3"/>
          </w:tcPr>
          <w:p w14:paraId="1E75D171" w14:textId="77777777" w:rsidR="007F6D3F" w:rsidRPr="00230F35" w:rsidRDefault="007F6D3F" w:rsidP="004D73D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8F0A7E1" w14:textId="77777777" w:rsidR="007F6D3F" w:rsidRPr="00230F35" w:rsidRDefault="007F6D3F" w:rsidP="004D73D4">
            <w:pPr>
              <w:pStyle w:val="NormalWeb"/>
              <w:spacing w:after="0"/>
              <w:ind w:left="142" w:right="34"/>
              <w:rPr>
                <w:rFonts w:ascii="Arial" w:hAnsi="Arial" w:cs="Arial"/>
                <w:sz w:val="22"/>
                <w:szCs w:val="22"/>
              </w:rPr>
            </w:pPr>
            <w:r w:rsidRPr="00230F35">
              <w:rPr>
                <w:rFonts w:ascii="Arial" w:hAnsi="Arial" w:cs="Arial"/>
                <w:sz w:val="22"/>
                <w:szCs w:val="22"/>
              </w:rPr>
              <w:t>Date:</w:t>
            </w:r>
          </w:p>
        </w:tc>
      </w:tr>
      <w:tr w:rsidR="007F6D3F" w:rsidRPr="002F467C" w14:paraId="5C40DB84" w14:textId="77777777" w:rsidTr="004D73D4">
        <w:tc>
          <w:tcPr>
            <w:tcW w:w="8856" w:type="dxa"/>
            <w:gridSpan w:val="5"/>
          </w:tcPr>
          <w:p w14:paraId="4CC95756" w14:textId="77777777" w:rsidR="007F6D3F" w:rsidRPr="00230F35" w:rsidRDefault="007F6D3F" w:rsidP="004D73D4">
            <w:pPr>
              <w:pStyle w:val="NormalWeb"/>
              <w:spacing w:before="0" w:beforeAutospacing="0" w:after="0" w:afterAutospacing="0"/>
              <w:ind w:right="-334"/>
              <w:rPr>
                <w:rFonts w:ascii="Arial" w:hAnsi="Arial" w:cs="Arial"/>
                <w:bCs/>
                <w:i/>
                <w:sz w:val="22"/>
                <w:szCs w:val="22"/>
              </w:rPr>
            </w:pPr>
          </w:p>
          <w:p w14:paraId="63285322" w14:textId="77777777" w:rsidR="007F6D3F" w:rsidRPr="00230F35" w:rsidRDefault="007F6D3F" w:rsidP="004D73D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D0A37D7" w14:textId="77777777" w:rsidR="007F6D3F" w:rsidRPr="00230F35" w:rsidRDefault="007F6D3F" w:rsidP="004D73D4">
            <w:pPr>
              <w:pStyle w:val="NormalWeb"/>
              <w:spacing w:before="0" w:beforeAutospacing="0" w:after="0" w:afterAutospacing="0"/>
              <w:ind w:right="-334"/>
              <w:rPr>
                <w:rFonts w:ascii="Arial" w:hAnsi="Arial" w:cs="Arial"/>
                <w:b/>
                <w:bCs/>
                <w:sz w:val="22"/>
                <w:szCs w:val="22"/>
              </w:rPr>
            </w:pPr>
          </w:p>
          <w:p w14:paraId="2C0CE994"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669AEA2"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1F5D247E"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534DAC9F"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65E4281A"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7CE34D33"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3715A2FA"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541A17A0"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080947EB"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6718C056" w14:textId="77777777" w:rsidR="007F6D3F" w:rsidRDefault="007F6D3F" w:rsidP="004D73D4">
            <w:pPr>
              <w:pStyle w:val="NormalWeb"/>
              <w:spacing w:before="0" w:beforeAutospacing="0" w:after="0" w:afterAutospacing="0"/>
              <w:ind w:right="-334"/>
              <w:rPr>
                <w:rFonts w:ascii="Arial" w:hAnsi="Arial" w:cs="Arial"/>
                <w:bCs/>
                <w:sz w:val="22"/>
                <w:szCs w:val="22"/>
              </w:rPr>
            </w:pPr>
          </w:p>
          <w:p w14:paraId="3B978566"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3EE571F2"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03512D3B"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tc>
      </w:tr>
      <w:tr w:rsidR="007F6D3F" w:rsidRPr="002F467C" w14:paraId="2C9A18BD" w14:textId="77777777" w:rsidTr="004D73D4">
        <w:trPr>
          <w:trHeight w:val="720"/>
        </w:trPr>
        <w:tc>
          <w:tcPr>
            <w:tcW w:w="5211" w:type="dxa"/>
            <w:gridSpan w:val="2"/>
          </w:tcPr>
          <w:p w14:paraId="3F3241CE"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6134711"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F6D3F" w:rsidRPr="002F467C" w14:paraId="5100DBE2" w14:textId="77777777" w:rsidTr="004D73D4">
        <w:trPr>
          <w:trHeight w:val="720"/>
        </w:trPr>
        <w:tc>
          <w:tcPr>
            <w:tcW w:w="8856" w:type="dxa"/>
            <w:gridSpan w:val="5"/>
          </w:tcPr>
          <w:p w14:paraId="2EB3E207" w14:textId="77777777" w:rsidR="007F6D3F" w:rsidRPr="00B34964" w:rsidRDefault="007F6D3F" w:rsidP="004D73D4">
            <w:pPr>
              <w:rPr>
                <w:rFonts w:ascii="Arial" w:hAnsi="Arial" w:cs="Arial"/>
                <w:b/>
              </w:rPr>
            </w:pPr>
            <w:r w:rsidRPr="00B34964">
              <w:rPr>
                <w:rFonts w:ascii="Arial" w:hAnsi="Arial" w:cs="Arial"/>
                <w:b/>
              </w:rPr>
              <w:t>External Examiner’s comments (if relevant)</w:t>
            </w:r>
          </w:p>
          <w:p w14:paraId="45F2F871"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1531CEFC"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32DE5B69"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17659806"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2F85DF98"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3DDF93A6"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45302172"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627FD998"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5DCB8B7C" w14:textId="77777777" w:rsidR="007F6D3F" w:rsidRDefault="007F6D3F" w:rsidP="004D73D4">
            <w:pPr>
              <w:pStyle w:val="NormalWeb"/>
              <w:spacing w:before="0" w:beforeAutospacing="0" w:after="0" w:afterAutospacing="0"/>
              <w:ind w:right="-334"/>
              <w:rPr>
                <w:rFonts w:ascii="Arial" w:hAnsi="Arial" w:cs="Arial"/>
                <w:bCs/>
                <w:sz w:val="22"/>
                <w:szCs w:val="22"/>
              </w:rPr>
            </w:pPr>
          </w:p>
          <w:p w14:paraId="64B30A22"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p w14:paraId="43989E62" w14:textId="77777777" w:rsidR="007F6D3F" w:rsidRPr="00230F35" w:rsidRDefault="007F6D3F" w:rsidP="004D73D4">
            <w:pPr>
              <w:pStyle w:val="NormalWeb"/>
              <w:spacing w:before="0" w:beforeAutospacing="0" w:after="0" w:afterAutospacing="0"/>
              <w:ind w:right="-334"/>
              <w:rPr>
                <w:rFonts w:ascii="Arial" w:hAnsi="Arial" w:cs="Arial"/>
                <w:bCs/>
                <w:sz w:val="22"/>
                <w:szCs w:val="22"/>
              </w:rPr>
            </w:pPr>
          </w:p>
        </w:tc>
      </w:tr>
      <w:tr w:rsidR="007F6D3F" w:rsidRPr="002F467C" w14:paraId="6F976BE2" w14:textId="77777777" w:rsidTr="004D73D4">
        <w:trPr>
          <w:trHeight w:val="720"/>
        </w:trPr>
        <w:tc>
          <w:tcPr>
            <w:tcW w:w="5211" w:type="dxa"/>
            <w:gridSpan w:val="2"/>
          </w:tcPr>
          <w:p w14:paraId="2900557A" w14:textId="77777777" w:rsidR="007F6D3F" w:rsidRPr="00230F35" w:rsidRDefault="007F6D3F" w:rsidP="004D73D4">
            <w:pPr>
              <w:rPr>
                <w:rFonts w:ascii="Arial" w:hAnsi="Arial" w:cs="Arial"/>
              </w:rPr>
            </w:pPr>
            <w:r w:rsidRPr="00230F35">
              <w:rPr>
                <w:rFonts w:ascii="Arial" w:hAnsi="Arial" w:cs="Arial"/>
              </w:rPr>
              <w:lastRenderedPageBreak/>
              <w:t>External Examiner’s Signature:</w:t>
            </w:r>
          </w:p>
        </w:tc>
        <w:tc>
          <w:tcPr>
            <w:tcW w:w="3645" w:type="dxa"/>
            <w:gridSpan w:val="3"/>
          </w:tcPr>
          <w:p w14:paraId="0CDC0423" w14:textId="77777777" w:rsidR="007F6D3F" w:rsidRPr="00230F35" w:rsidRDefault="007F6D3F" w:rsidP="004D73D4">
            <w:pPr>
              <w:rPr>
                <w:rFonts w:ascii="Arial" w:hAnsi="Arial" w:cs="Arial"/>
              </w:rPr>
            </w:pPr>
            <w:r w:rsidRPr="00230F35">
              <w:rPr>
                <w:rFonts w:ascii="Arial" w:hAnsi="Arial" w:cs="Arial"/>
              </w:rPr>
              <w:t>Date:</w:t>
            </w:r>
          </w:p>
        </w:tc>
      </w:tr>
    </w:tbl>
    <w:p w14:paraId="1F12ADA5" w14:textId="77777777" w:rsidR="007F6D3F" w:rsidRDefault="007F6D3F" w:rsidP="007F6D3F">
      <w:pPr>
        <w:pStyle w:val="NormalWeb"/>
        <w:spacing w:before="0" w:beforeAutospacing="0" w:after="0" w:afterAutospacing="0"/>
        <w:ind w:right="-334"/>
        <w:rPr>
          <w:rFonts w:ascii="Trebuchet MS" w:hAnsi="Trebuchet MS" w:cs="Tahoma"/>
          <w:bCs/>
          <w:sz w:val="24"/>
          <w:szCs w:val="24"/>
        </w:rPr>
      </w:pPr>
    </w:p>
    <w:p w14:paraId="2A9C6630" w14:textId="77777777" w:rsidR="007F6D3F" w:rsidRDefault="007F6D3F" w:rsidP="007F6D3F">
      <w:pPr>
        <w:pStyle w:val="NormalWeb"/>
        <w:spacing w:before="0" w:beforeAutospacing="0" w:after="0" w:afterAutospacing="0"/>
        <w:ind w:right="-334"/>
        <w:rPr>
          <w:rFonts w:ascii="Trebuchet MS" w:hAnsi="Trebuchet MS" w:cs="Tahoma"/>
          <w:bCs/>
          <w:sz w:val="24"/>
          <w:szCs w:val="24"/>
        </w:rPr>
      </w:pPr>
    </w:p>
    <w:p w14:paraId="4D0911B5" w14:textId="77777777" w:rsidR="007F6D3F" w:rsidRDefault="007F6D3F" w:rsidP="007F6D3F">
      <w:pPr>
        <w:pStyle w:val="NormalWeb"/>
        <w:spacing w:before="0" w:beforeAutospacing="0" w:after="0" w:afterAutospacing="0"/>
        <w:ind w:right="-334"/>
        <w:rPr>
          <w:rFonts w:ascii="Trebuchet MS" w:hAnsi="Trebuchet MS" w:cs="Tahoma"/>
          <w:bCs/>
          <w:sz w:val="24"/>
          <w:szCs w:val="24"/>
        </w:rPr>
      </w:pPr>
    </w:p>
    <w:p w14:paraId="6357A2A5" w14:textId="77777777" w:rsidR="00AC64E0" w:rsidRDefault="00AC64E0" w:rsidP="00AC64E0">
      <w:pPr>
        <w:pStyle w:val="Title"/>
        <w:jc w:val="center"/>
        <w:rPr>
          <w:sz w:val="44"/>
          <w:szCs w:val="44"/>
        </w:rPr>
      </w:pPr>
    </w:p>
    <w:p w14:paraId="1DC8EF49" w14:textId="77777777" w:rsidR="00AC64E0" w:rsidRDefault="00AC64E0" w:rsidP="00AC64E0">
      <w:pPr>
        <w:pStyle w:val="Title"/>
        <w:jc w:val="center"/>
        <w:rPr>
          <w:sz w:val="44"/>
          <w:szCs w:val="44"/>
        </w:rPr>
      </w:pPr>
    </w:p>
    <w:p w14:paraId="03232FF0" w14:textId="77777777" w:rsidR="00AC64E0" w:rsidRDefault="00AC64E0" w:rsidP="00AC64E0">
      <w:pPr>
        <w:pStyle w:val="Title"/>
        <w:jc w:val="center"/>
        <w:rPr>
          <w:sz w:val="44"/>
          <w:szCs w:val="44"/>
        </w:rPr>
      </w:pPr>
    </w:p>
    <w:p w14:paraId="38B5F9AA" w14:textId="77777777" w:rsidR="00AC64E0" w:rsidRDefault="00AC64E0" w:rsidP="00AC64E0">
      <w:pPr>
        <w:pStyle w:val="Title"/>
        <w:jc w:val="center"/>
        <w:rPr>
          <w:sz w:val="44"/>
          <w:szCs w:val="44"/>
        </w:rPr>
      </w:pPr>
    </w:p>
    <w:p w14:paraId="4B5D1231" w14:textId="77777777" w:rsidR="00AC64E0" w:rsidRDefault="00AC64E0" w:rsidP="00AC64E0">
      <w:pPr>
        <w:pStyle w:val="Title"/>
        <w:jc w:val="center"/>
        <w:rPr>
          <w:sz w:val="44"/>
          <w:szCs w:val="44"/>
        </w:rPr>
      </w:pPr>
    </w:p>
    <w:p w14:paraId="3F1EAB45" w14:textId="77777777" w:rsidR="00AC64E0" w:rsidRDefault="00AC64E0" w:rsidP="00AC64E0">
      <w:pPr>
        <w:pStyle w:val="Title"/>
        <w:jc w:val="center"/>
        <w:rPr>
          <w:sz w:val="44"/>
          <w:szCs w:val="44"/>
        </w:rPr>
      </w:pPr>
    </w:p>
    <w:p w14:paraId="2CB041B6" w14:textId="77777777" w:rsidR="00AC64E0" w:rsidRDefault="00AC64E0" w:rsidP="00AC64E0">
      <w:pPr>
        <w:pStyle w:val="Title"/>
        <w:jc w:val="center"/>
        <w:rPr>
          <w:sz w:val="44"/>
          <w:szCs w:val="44"/>
        </w:rPr>
      </w:pPr>
    </w:p>
    <w:p w14:paraId="2296967D" w14:textId="77777777" w:rsidR="00AC64E0" w:rsidRDefault="00AC64E0" w:rsidP="00AC64E0">
      <w:pPr>
        <w:pStyle w:val="Title"/>
        <w:jc w:val="center"/>
        <w:rPr>
          <w:sz w:val="44"/>
          <w:szCs w:val="44"/>
        </w:rPr>
      </w:pPr>
    </w:p>
    <w:p w14:paraId="61BBFD0C" w14:textId="77777777" w:rsidR="00AC64E0" w:rsidRDefault="00AC64E0" w:rsidP="00AC64E0">
      <w:pPr>
        <w:pStyle w:val="Title"/>
        <w:jc w:val="center"/>
        <w:rPr>
          <w:sz w:val="44"/>
          <w:szCs w:val="44"/>
        </w:rPr>
      </w:pPr>
    </w:p>
    <w:p w14:paraId="6726A562" w14:textId="77777777" w:rsidR="00AC64E0" w:rsidRDefault="00AC64E0" w:rsidP="00AC64E0">
      <w:pPr>
        <w:pStyle w:val="Title"/>
        <w:jc w:val="center"/>
        <w:rPr>
          <w:sz w:val="44"/>
          <w:szCs w:val="44"/>
        </w:rPr>
      </w:pPr>
    </w:p>
    <w:p w14:paraId="2E012BAB" w14:textId="77777777" w:rsidR="00AC64E0" w:rsidRDefault="00AC64E0" w:rsidP="00AC64E0">
      <w:pPr>
        <w:pStyle w:val="Title"/>
        <w:jc w:val="center"/>
        <w:rPr>
          <w:sz w:val="44"/>
          <w:szCs w:val="44"/>
        </w:rPr>
      </w:pPr>
    </w:p>
    <w:p w14:paraId="3C30850B" w14:textId="77777777" w:rsidR="00AC64E0" w:rsidRDefault="00AC64E0" w:rsidP="00AC64E0">
      <w:pPr>
        <w:pStyle w:val="Title"/>
        <w:jc w:val="center"/>
        <w:rPr>
          <w:sz w:val="44"/>
          <w:szCs w:val="44"/>
        </w:rPr>
      </w:pPr>
    </w:p>
    <w:p w14:paraId="6515F91A" w14:textId="77777777" w:rsidR="00AC64E0" w:rsidRDefault="00AC64E0" w:rsidP="00AC64E0">
      <w:pPr>
        <w:pStyle w:val="Title"/>
        <w:jc w:val="center"/>
        <w:rPr>
          <w:sz w:val="44"/>
          <w:szCs w:val="44"/>
        </w:rPr>
      </w:pPr>
    </w:p>
    <w:p w14:paraId="4EB8B6DC" w14:textId="77777777" w:rsidR="00AC64E0" w:rsidRDefault="00AC64E0" w:rsidP="00AC64E0">
      <w:pPr>
        <w:pStyle w:val="Title"/>
        <w:jc w:val="center"/>
        <w:rPr>
          <w:sz w:val="44"/>
          <w:szCs w:val="44"/>
        </w:rPr>
      </w:pPr>
    </w:p>
    <w:p w14:paraId="3D56F33D" w14:textId="77777777" w:rsidR="00AC64E0" w:rsidRDefault="00AC64E0" w:rsidP="00AC64E0">
      <w:pPr>
        <w:pStyle w:val="Title"/>
        <w:jc w:val="center"/>
        <w:rPr>
          <w:sz w:val="44"/>
          <w:szCs w:val="44"/>
        </w:rPr>
      </w:pPr>
    </w:p>
    <w:p w14:paraId="5D9DA058" w14:textId="77777777" w:rsidR="00AC64E0" w:rsidRDefault="00AC64E0" w:rsidP="00AC64E0">
      <w:pPr>
        <w:pStyle w:val="Title"/>
        <w:jc w:val="center"/>
        <w:rPr>
          <w:sz w:val="44"/>
          <w:szCs w:val="44"/>
        </w:rPr>
      </w:pPr>
    </w:p>
    <w:p w14:paraId="112A3841" w14:textId="77777777" w:rsidR="00AC64E0" w:rsidRDefault="00AC64E0" w:rsidP="00AC64E0">
      <w:pPr>
        <w:pStyle w:val="Title"/>
        <w:jc w:val="center"/>
        <w:rPr>
          <w:sz w:val="44"/>
          <w:szCs w:val="44"/>
        </w:rPr>
      </w:pPr>
    </w:p>
    <w:p w14:paraId="36DB2077" w14:textId="762EFBF9" w:rsidR="00AC64E0" w:rsidRPr="00AC64E0" w:rsidRDefault="00AC64E0" w:rsidP="00BD72E4">
      <w:pPr>
        <w:pStyle w:val="Title"/>
        <w:spacing w:line="360" w:lineRule="auto"/>
        <w:jc w:val="center"/>
        <w:rPr>
          <w:sz w:val="44"/>
          <w:szCs w:val="44"/>
        </w:rPr>
      </w:pPr>
      <w:r w:rsidRPr="00AC64E0">
        <w:rPr>
          <w:sz w:val="44"/>
          <w:szCs w:val="44"/>
        </w:rPr>
        <w:lastRenderedPageBreak/>
        <w:t>From monastic life to vampire tourism: Is the source of sacredness at Whitby Abbey it</w:t>
      </w:r>
      <w:r w:rsidR="00C3457F">
        <w:rPr>
          <w:sz w:val="44"/>
          <w:szCs w:val="44"/>
        </w:rPr>
        <w:t>’</w:t>
      </w:r>
      <w:r w:rsidRPr="00AC64E0">
        <w:rPr>
          <w:sz w:val="44"/>
          <w:szCs w:val="44"/>
        </w:rPr>
        <w:t>s layered story with humans</w:t>
      </w:r>
      <w:r w:rsidR="00C542C5">
        <w:rPr>
          <w:sz w:val="44"/>
          <w:szCs w:val="44"/>
        </w:rPr>
        <w:t>,</w:t>
      </w:r>
      <w:r w:rsidRPr="00AC64E0">
        <w:rPr>
          <w:sz w:val="44"/>
          <w:szCs w:val="44"/>
        </w:rPr>
        <w:t xml:space="preserve"> or the landscape’s natural features and rhythms?</w:t>
      </w:r>
    </w:p>
    <w:p w14:paraId="38042371" w14:textId="77777777" w:rsidR="00AC64E0" w:rsidRDefault="00AC64E0" w:rsidP="00BD72E4">
      <w:pPr>
        <w:pStyle w:val="Heading1"/>
        <w:spacing w:line="360" w:lineRule="auto"/>
      </w:pPr>
    </w:p>
    <w:p w14:paraId="3996F166" w14:textId="0F793573" w:rsidR="00414FD3" w:rsidRDefault="00414FD3" w:rsidP="00BD72E4">
      <w:pPr>
        <w:pStyle w:val="Heading1"/>
        <w:spacing w:line="360" w:lineRule="auto"/>
      </w:pPr>
      <w:r>
        <w:t xml:space="preserve">Introduction </w:t>
      </w:r>
    </w:p>
    <w:p w14:paraId="29447F1B" w14:textId="0BF8F7F6" w:rsidR="00916D0D" w:rsidRDefault="00916D0D" w:rsidP="00BD72E4">
      <w:pPr>
        <w:spacing w:line="360" w:lineRule="auto"/>
        <w:jc w:val="both"/>
      </w:pPr>
      <w:r w:rsidRPr="009141C7">
        <w:t>The aim of this research is</w:t>
      </w:r>
      <w:r>
        <w:t xml:space="preserve"> to explore</w:t>
      </w:r>
      <w:r w:rsidRPr="002251FA">
        <w:t xml:space="preserve"> </w:t>
      </w:r>
      <w:r>
        <w:t>if</w:t>
      </w:r>
      <w:r w:rsidRPr="002251FA">
        <w:t xml:space="preserve"> sacred space</w:t>
      </w:r>
      <w:r w:rsidR="00C35A25">
        <w:t xml:space="preserve">s are </w:t>
      </w:r>
      <w:r w:rsidRPr="002251FA">
        <w:t>a human construct or a natural phenomenon</w:t>
      </w:r>
      <w:r>
        <w:t xml:space="preserve">. This will be discussed </w:t>
      </w:r>
      <w:r w:rsidR="00C35A25">
        <w:t>using</w:t>
      </w:r>
      <w:r>
        <w:t xml:space="preserve"> a case study of Whitby Abbey, through the question</w:t>
      </w:r>
      <w:r w:rsidR="00C35A25">
        <w:t>,</w:t>
      </w:r>
      <w:r>
        <w:t xml:space="preserve"> </w:t>
      </w:r>
      <w:r w:rsidR="00C35A25">
        <w:t>“</w:t>
      </w:r>
      <w:r>
        <w:t>From monastic life to vampire tourism: is the source of sacredness at Whitby Abbey it</w:t>
      </w:r>
      <w:r w:rsidR="00C3457F">
        <w:t>’</w:t>
      </w:r>
      <w:r>
        <w:t>s layered story with humans</w:t>
      </w:r>
      <w:r w:rsidR="006752A4">
        <w:t>,</w:t>
      </w:r>
      <w:r>
        <w:t xml:space="preserve"> or the landscape’s natural features and rhythms?</w:t>
      </w:r>
      <w:r w:rsidR="00C35A25">
        <w:t>”</w:t>
      </w:r>
    </w:p>
    <w:p w14:paraId="43CCFA1D" w14:textId="73D638B2" w:rsidR="00916D0D" w:rsidRDefault="00916D0D" w:rsidP="00BD72E4">
      <w:pPr>
        <w:spacing w:line="360" w:lineRule="auto"/>
        <w:jc w:val="both"/>
      </w:pPr>
      <w:r>
        <w:t>This research will take a phenomenological approach, exploring the question thematically, using two key complementary approaches. The themes will be considered within a robust literature review, followed by a discussion which aims to re-evaluate these themes following the results of field research at Whitby Abbey. The primary field research will include</w:t>
      </w:r>
      <w:r w:rsidR="005A3C80">
        <w:t>:</w:t>
      </w:r>
      <w:r>
        <w:t xml:space="preserve"> field notes, photos, videos from a recent visit and recollections from old visits. These themes include</w:t>
      </w:r>
      <w:r w:rsidR="006F6B9F">
        <w:t>:</w:t>
      </w:r>
      <w:r>
        <w:t xml:space="preserve"> </w:t>
      </w:r>
      <w:r w:rsidR="00D60510">
        <w:t xml:space="preserve">landscape in time and story, pilgrimage in high places and experiencing the elements. </w:t>
      </w:r>
    </w:p>
    <w:p w14:paraId="29A3F311" w14:textId="77777777" w:rsidR="00916D0D" w:rsidRDefault="00916D0D" w:rsidP="00BD72E4">
      <w:pPr>
        <w:pStyle w:val="Subtitle"/>
        <w:spacing w:line="360" w:lineRule="auto"/>
      </w:pPr>
      <w:r>
        <w:t>Academic Rationale</w:t>
      </w:r>
    </w:p>
    <w:p w14:paraId="11B0A66D" w14:textId="32BBEE44" w:rsidR="00916D0D" w:rsidRPr="00E12C37" w:rsidRDefault="00916D0D" w:rsidP="00BD72E4">
      <w:pPr>
        <w:spacing w:line="360" w:lineRule="auto"/>
      </w:pPr>
      <w:r>
        <w:t xml:space="preserve">This research will aim to unpick the complex tapestry of Whitby Abbey, through its history, folktales, human interactions and how these factors are directly connected to this unique sacred place. This project will endeavour to answer what makes Whitby Abbey a sacred place and in doing so, reflect on naturally occurring phenomenon vs. human construct. </w:t>
      </w:r>
      <w:r w:rsidR="003C0A8F">
        <w:t>T</w:t>
      </w:r>
      <w:r>
        <w:t xml:space="preserve">his research hopes to achieve a nuanced understanding of sacred space, place and landscape. </w:t>
      </w:r>
    </w:p>
    <w:p w14:paraId="40ED4F82" w14:textId="77777777" w:rsidR="00916D0D" w:rsidRDefault="00916D0D" w:rsidP="00BD72E4">
      <w:pPr>
        <w:pStyle w:val="Subtitle"/>
        <w:spacing w:line="360" w:lineRule="auto"/>
      </w:pPr>
      <w:r>
        <w:t>Location and Background</w:t>
      </w:r>
    </w:p>
    <w:p w14:paraId="6B0FF2A2" w14:textId="792F450A" w:rsidR="00916D0D" w:rsidRDefault="00916D0D" w:rsidP="00BD72E4">
      <w:pPr>
        <w:spacing w:line="360" w:lineRule="auto"/>
        <w:jc w:val="both"/>
      </w:pPr>
      <w:r>
        <w:t xml:space="preserve">Whitby Abbey is located in the small coastal town of Whitby on the North East Coast of England (See figure </w:t>
      </w:r>
      <w:r w:rsidR="00AE05DE">
        <w:t>1</w:t>
      </w:r>
      <w:r>
        <w:t xml:space="preserve">). The town is adjacent to the North Yorkshire Moors to the west and the North Sea to the east (See Figure </w:t>
      </w:r>
      <w:r w:rsidR="009B1F31">
        <w:t>2</w:t>
      </w:r>
      <w:r>
        <w:t xml:space="preserve">). Whitby marks to </w:t>
      </w:r>
      <w:r w:rsidR="009B1F31">
        <w:t xml:space="preserve">the </w:t>
      </w:r>
      <w:r>
        <w:t xml:space="preserve">point where the River Esk meets the North Sea (See Figure </w:t>
      </w:r>
      <w:r w:rsidR="009B1F31">
        <w:t>3</w:t>
      </w:r>
      <w:r>
        <w:t>)</w:t>
      </w:r>
      <w:r w:rsidR="006365D5">
        <w:t xml:space="preserve">. </w:t>
      </w:r>
      <w:r>
        <w:t xml:space="preserve">The </w:t>
      </w:r>
      <w:r>
        <w:lastRenderedPageBreak/>
        <w:t>Whitby coastline is Jurassic, embedded with ammonites, jet and other marine fossils, which bec</w:t>
      </w:r>
      <w:r w:rsidR="006365D5">
        <w:t>a</w:t>
      </w:r>
      <w:r>
        <w:t>me exposed over time as the waves erode</w:t>
      </w:r>
      <w:r w:rsidR="00237078">
        <w:t>d</w:t>
      </w:r>
      <w:r>
        <w:t xml:space="preserve"> the sandstone cliffs</w:t>
      </w:r>
      <w:r>
        <w:rPr>
          <w:rStyle w:val="FootnoteReference"/>
        </w:rPr>
        <w:footnoteReference w:id="1"/>
      </w:r>
      <w:r>
        <w:t xml:space="preserve">.  </w:t>
      </w:r>
    </w:p>
    <w:p w14:paraId="5DDC2AD5" w14:textId="77777777" w:rsidR="00916D0D" w:rsidRDefault="00916D0D" w:rsidP="00BD72E4">
      <w:pPr>
        <w:spacing w:line="360" w:lineRule="auto"/>
        <w:jc w:val="both"/>
      </w:pPr>
      <w:r>
        <w:rPr>
          <w:noProof/>
        </w:rPr>
        <w:drawing>
          <wp:inline distT="0" distB="0" distL="0" distR="0" wp14:anchorId="4DED4D80" wp14:editId="23C313C6">
            <wp:extent cx="4419600" cy="4109034"/>
            <wp:effectExtent l="0" t="0" r="0" b="6350"/>
            <wp:docPr id="728738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738605" name=""/>
                    <pic:cNvPicPr/>
                  </pic:nvPicPr>
                  <pic:blipFill rotWithShape="1">
                    <a:blip r:embed="rId10" cstate="hqprint">
                      <a:extLst>
                        <a:ext uri="{28A0092B-C50C-407E-A947-70E740481C1C}">
                          <a14:useLocalDpi xmlns:a14="http://schemas.microsoft.com/office/drawing/2010/main"/>
                        </a:ext>
                      </a:extLst>
                    </a:blip>
                    <a:srcRect/>
                    <a:stretch/>
                  </pic:blipFill>
                  <pic:spPr bwMode="auto">
                    <a:xfrm>
                      <a:off x="0" y="0"/>
                      <a:ext cx="4425632" cy="4114642"/>
                    </a:xfrm>
                    <a:prstGeom prst="rect">
                      <a:avLst/>
                    </a:prstGeom>
                    <a:ln>
                      <a:noFill/>
                    </a:ln>
                    <a:extLst>
                      <a:ext uri="{53640926-AAD7-44D8-BBD7-CCE9431645EC}">
                        <a14:shadowObscured xmlns:a14="http://schemas.microsoft.com/office/drawing/2010/main"/>
                      </a:ext>
                    </a:extLst>
                  </pic:spPr>
                </pic:pic>
              </a:graphicData>
            </a:graphic>
          </wp:inline>
        </w:drawing>
      </w:r>
    </w:p>
    <w:p w14:paraId="6264227D" w14:textId="7BA39788" w:rsidR="00916D0D" w:rsidRDefault="00916D0D" w:rsidP="003E2CF8">
      <w:pPr>
        <w:spacing w:line="360" w:lineRule="auto"/>
      </w:pPr>
      <w:r w:rsidRPr="003E2CF8">
        <w:t>Figure</w:t>
      </w:r>
      <w:r w:rsidR="003E2CF8">
        <w:t xml:space="preserve"> 1</w:t>
      </w:r>
      <w:r w:rsidR="00BD2D4A" w:rsidRPr="003E2CF8">
        <w:t>:</w:t>
      </w:r>
      <w:r w:rsidR="003E2CF8">
        <w:rPr>
          <w:u w:val="single"/>
        </w:rPr>
        <w:t xml:space="preserve"> </w:t>
      </w:r>
      <w:r w:rsidR="00CC22AF" w:rsidRPr="00CC22AF">
        <w:t>UK Map indicting location of Whitby Abbey</w:t>
      </w:r>
    </w:p>
    <w:p w14:paraId="569493EE" w14:textId="01257090" w:rsidR="003E2CF8" w:rsidRPr="00CC22AF" w:rsidRDefault="003E2CF8" w:rsidP="003E2CF8">
      <w:pPr>
        <w:spacing w:line="360" w:lineRule="auto"/>
        <w:rPr>
          <w:u w:val="single"/>
        </w:rPr>
      </w:pPr>
      <w:r>
        <w:t>Source: Google Maps, 2024</w:t>
      </w:r>
    </w:p>
    <w:p w14:paraId="368C11F1" w14:textId="77777777" w:rsidR="00916D0D" w:rsidRDefault="00916D0D" w:rsidP="00BD72E4">
      <w:pPr>
        <w:spacing w:line="360" w:lineRule="auto"/>
        <w:jc w:val="both"/>
      </w:pPr>
    </w:p>
    <w:p w14:paraId="3699200B" w14:textId="77777777" w:rsidR="00916D0D" w:rsidRDefault="00916D0D" w:rsidP="00BD72E4">
      <w:pPr>
        <w:spacing w:line="360" w:lineRule="auto"/>
        <w:jc w:val="both"/>
      </w:pPr>
      <w:r>
        <w:rPr>
          <w:noProof/>
        </w:rPr>
        <w:lastRenderedPageBreak/>
        <w:drawing>
          <wp:inline distT="0" distB="0" distL="0" distR="0" wp14:anchorId="0DDA5877" wp14:editId="0C80964A">
            <wp:extent cx="4757057" cy="2861213"/>
            <wp:effectExtent l="0" t="0" r="5715" b="0"/>
            <wp:docPr id="908754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754884" name=""/>
                    <pic:cNvPicPr/>
                  </pic:nvPicPr>
                  <pic:blipFill rotWithShape="1">
                    <a:blip r:embed="rId11" cstate="hqprint">
                      <a:extLst>
                        <a:ext uri="{28A0092B-C50C-407E-A947-70E740481C1C}">
                          <a14:useLocalDpi xmlns:a14="http://schemas.microsoft.com/office/drawing/2010/main"/>
                        </a:ext>
                      </a:extLst>
                    </a:blip>
                    <a:srcRect/>
                    <a:stretch/>
                  </pic:blipFill>
                  <pic:spPr bwMode="auto">
                    <a:xfrm>
                      <a:off x="0" y="0"/>
                      <a:ext cx="4771603" cy="2869962"/>
                    </a:xfrm>
                    <a:prstGeom prst="rect">
                      <a:avLst/>
                    </a:prstGeom>
                    <a:ln>
                      <a:noFill/>
                    </a:ln>
                    <a:extLst>
                      <a:ext uri="{53640926-AAD7-44D8-BBD7-CCE9431645EC}">
                        <a14:shadowObscured xmlns:a14="http://schemas.microsoft.com/office/drawing/2010/main"/>
                      </a:ext>
                    </a:extLst>
                  </pic:spPr>
                </pic:pic>
              </a:graphicData>
            </a:graphic>
          </wp:inline>
        </w:drawing>
      </w:r>
    </w:p>
    <w:p w14:paraId="21EFFABB" w14:textId="0B93A8EC" w:rsidR="003E2CF8" w:rsidRDefault="003E2CF8" w:rsidP="003E2CF8">
      <w:pPr>
        <w:spacing w:line="360" w:lineRule="auto"/>
      </w:pPr>
      <w:r w:rsidRPr="003E2CF8">
        <w:t>Figure</w:t>
      </w:r>
      <w:r>
        <w:t xml:space="preserve"> 2</w:t>
      </w:r>
      <w:r w:rsidRPr="003E2CF8">
        <w:t>:</w:t>
      </w:r>
      <w:r w:rsidRPr="00CC22AF">
        <w:t xml:space="preserve"> Map </w:t>
      </w:r>
      <w:r>
        <w:t>of the North Eastern English Coas</w:t>
      </w:r>
      <w:r w:rsidR="004D4484">
        <w:t>t</w:t>
      </w:r>
      <w:r>
        <w:t xml:space="preserve">, </w:t>
      </w:r>
      <w:r w:rsidRPr="00CC22AF">
        <w:t>indicting location of Whitby Abbey</w:t>
      </w:r>
      <w:r>
        <w:t xml:space="preserve"> </w:t>
      </w:r>
    </w:p>
    <w:p w14:paraId="0E72ADA8" w14:textId="77777777" w:rsidR="003E2CF8" w:rsidRPr="00CC22AF" w:rsidRDefault="003E2CF8" w:rsidP="003E2CF8">
      <w:pPr>
        <w:spacing w:line="360" w:lineRule="auto"/>
        <w:rPr>
          <w:u w:val="single"/>
        </w:rPr>
      </w:pPr>
      <w:r>
        <w:t>Source: Google Maps, 2024</w:t>
      </w:r>
    </w:p>
    <w:p w14:paraId="6297F5BB" w14:textId="77777777" w:rsidR="00916D0D" w:rsidRDefault="00916D0D" w:rsidP="00BD72E4">
      <w:pPr>
        <w:spacing w:line="360" w:lineRule="auto"/>
        <w:jc w:val="both"/>
      </w:pPr>
      <w:r>
        <w:rPr>
          <w:noProof/>
        </w:rPr>
        <w:drawing>
          <wp:inline distT="0" distB="0" distL="0" distR="0" wp14:anchorId="3C124C2E" wp14:editId="25015C80">
            <wp:extent cx="4245429" cy="3575696"/>
            <wp:effectExtent l="0" t="0" r="3175" b="5715"/>
            <wp:docPr id="137879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792870" name=""/>
                    <pic:cNvPicPr/>
                  </pic:nvPicPr>
                  <pic:blipFill rotWithShape="1">
                    <a:blip r:embed="rId12" cstate="hqprint">
                      <a:extLst>
                        <a:ext uri="{28A0092B-C50C-407E-A947-70E740481C1C}">
                          <a14:useLocalDpi xmlns:a14="http://schemas.microsoft.com/office/drawing/2010/main"/>
                        </a:ext>
                      </a:extLst>
                    </a:blip>
                    <a:srcRect/>
                    <a:stretch/>
                  </pic:blipFill>
                  <pic:spPr bwMode="auto">
                    <a:xfrm>
                      <a:off x="0" y="0"/>
                      <a:ext cx="4254776" cy="3583568"/>
                    </a:xfrm>
                    <a:prstGeom prst="rect">
                      <a:avLst/>
                    </a:prstGeom>
                    <a:ln>
                      <a:noFill/>
                    </a:ln>
                    <a:extLst>
                      <a:ext uri="{53640926-AAD7-44D8-BBD7-CCE9431645EC}">
                        <a14:shadowObscured xmlns:a14="http://schemas.microsoft.com/office/drawing/2010/main"/>
                      </a:ext>
                    </a:extLst>
                  </pic:spPr>
                </pic:pic>
              </a:graphicData>
            </a:graphic>
          </wp:inline>
        </w:drawing>
      </w:r>
    </w:p>
    <w:p w14:paraId="61F49F3F" w14:textId="50BB8520" w:rsidR="000C19F0" w:rsidRDefault="000C19F0" w:rsidP="000C19F0">
      <w:pPr>
        <w:spacing w:line="360" w:lineRule="auto"/>
      </w:pPr>
      <w:r w:rsidRPr="003E2CF8">
        <w:t>Figure</w:t>
      </w:r>
      <w:r>
        <w:t xml:space="preserve"> 3</w:t>
      </w:r>
      <w:r w:rsidRPr="003E2CF8">
        <w:t>:</w:t>
      </w:r>
      <w:r>
        <w:rPr>
          <w:u w:val="single"/>
        </w:rPr>
        <w:t xml:space="preserve"> </w:t>
      </w:r>
      <w:r>
        <w:t>Map of Whitby</w:t>
      </w:r>
      <w:r w:rsidR="0087698E">
        <w:t xml:space="preserve"> town</w:t>
      </w:r>
    </w:p>
    <w:p w14:paraId="008E2EC6" w14:textId="77777777" w:rsidR="000C19F0" w:rsidRPr="00CC22AF" w:rsidRDefault="000C19F0" w:rsidP="000C19F0">
      <w:pPr>
        <w:spacing w:line="360" w:lineRule="auto"/>
        <w:rPr>
          <w:u w:val="single"/>
        </w:rPr>
      </w:pPr>
      <w:r>
        <w:t>Source: Google Maps, 2024</w:t>
      </w:r>
    </w:p>
    <w:p w14:paraId="18A8ED16" w14:textId="66961BAC" w:rsidR="00916D0D" w:rsidRDefault="00916D0D" w:rsidP="00BD72E4">
      <w:pPr>
        <w:spacing w:line="360" w:lineRule="auto"/>
        <w:jc w:val="both"/>
      </w:pPr>
      <w:r>
        <w:lastRenderedPageBreak/>
        <w:t>Whitby Abbey was first constructed in 657AD by King Oswui of Northumbria on the East Cliff above the town</w:t>
      </w:r>
      <w:r>
        <w:rPr>
          <w:rStyle w:val="FootnoteReference"/>
        </w:rPr>
        <w:footnoteReference w:id="2"/>
      </w:r>
      <w:r w:rsidR="009F60F1">
        <w:t xml:space="preserve"> however t</w:t>
      </w:r>
      <w:r>
        <w:t>he original Abbey was however “laid to waste”</w:t>
      </w:r>
      <w:r w:rsidR="00381424">
        <w:rPr>
          <w:rStyle w:val="FootnoteReference"/>
        </w:rPr>
        <w:footnoteReference w:id="3"/>
      </w:r>
      <w:r>
        <w:t xml:space="preserve"> in the</w:t>
      </w:r>
      <w:r w:rsidR="000E22C0">
        <w:t xml:space="preserve"> </w:t>
      </w:r>
      <w:r>
        <w:t>by Viking invaders. In the early 12</w:t>
      </w:r>
      <w:r w:rsidRPr="00ED0472">
        <w:rPr>
          <w:vertAlign w:val="superscript"/>
        </w:rPr>
        <w:t>th</w:t>
      </w:r>
      <w:r>
        <w:t xml:space="preserve"> </w:t>
      </w:r>
      <w:r w:rsidR="000E22C0">
        <w:t>Century CE,</w:t>
      </w:r>
      <w:r>
        <w:t xml:space="preserve"> a Benedictine Monastery was built on the site of the original Abbey and these are the remains which can be seen today</w:t>
      </w:r>
      <w:r>
        <w:rPr>
          <w:rStyle w:val="FootnoteReference"/>
        </w:rPr>
        <w:footnoteReference w:id="4"/>
      </w:r>
      <w:r>
        <w:t xml:space="preserve">. The Abbey was </w:t>
      </w:r>
      <w:r w:rsidR="001A7DC5">
        <w:t xml:space="preserve">then </w:t>
      </w:r>
      <w:r>
        <w:t xml:space="preserve">destroyed during Henry VIII’s dissolution of the monasteries. </w:t>
      </w:r>
    </w:p>
    <w:p w14:paraId="239C2D00" w14:textId="6F78260E" w:rsidR="00916D0D" w:rsidRDefault="00916D0D" w:rsidP="00BD72E4">
      <w:pPr>
        <w:spacing w:line="360" w:lineRule="auto"/>
        <w:jc w:val="both"/>
      </w:pPr>
      <w:r>
        <w:t>In 2019 the Abbey was recognised as the top English Heritage site in Yorkshire with over 150,000 visitors to the site annually.</w:t>
      </w:r>
      <w:r>
        <w:rPr>
          <w:rStyle w:val="FootnoteReference"/>
        </w:rPr>
        <w:footnoteReference w:id="5"/>
      </w:r>
      <w:r>
        <w:t xml:space="preserve"> </w:t>
      </w:r>
      <w:r w:rsidR="003840CB">
        <w:t>Many drawn by the</w:t>
      </w:r>
      <w:r>
        <w:t xml:space="preserve"> 1897, Bram Stoker novel Dracula which </w:t>
      </w:r>
      <w:r w:rsidR="00C97D0D">
        <w:t xml:space="preserve">featured </w:t>
      </w:r>
      <w:r>
        <w:t>Whitby Abbey</w:t>
      </w:r>
      <w:r w:rsidR="00C97D0D">
        <w:t xml:space="preserve">. </w:t>
      </w:r>
    </w:p>
    <w:p w14:paraId="3C4FC2D5" w14:textId="4E8CAAFC" w:rsidR="00414FD3" w:rsidRDefault="00916D0D" w:rsidP="00BD72E4">
      <w:pPr>
        <w:spacing w:line="360" w:lineRule="auto"/>
        <w:jc w:val="both"/>
      </w:pPr>
      <w:r>
        <w:t xml:space="preserve"> </w:t>
      </w:r>
    </w:p>
    <w:p w14:paraId="176BF686" w14:textId="77777777" w:rsidR="00EE1CD4" w:rsidRDefault="00EE1CD4" w:rsidP="00BD72E4">
      <w:pPr>
        <w:pStyle w:val="Heading1"/>
        <w:spacing w:line="360" w:lineRule="auto"/>
        <w:sectPr w:rsidR="00EE1CD4" w:rsidSect="00D97837">
          <w:headerReference w:type="default" r:id="rId13"/>
          <w:footerReference w:type="default" r:id="rId14"/>
          <w:pgSz w:w="11906" w:h="16838"/>
          <w:pgMar w:top="1440" w:right="1440" w:bottom="1440" w:left="1440" w:header="708" w:footer="708" w:gutter="0"/>
          <w:cols w:space="708"/>
          <w:docGrid w:linePitch="360"/>
        </w:sectPr>
      </w:pPr>
    </w:p>
    <w:p w14:paraId="1DA42B3D" w14:textId="77777777" w:rsidR="0050238E" w:rsidRDefault="0050238E" w:rsidP="00BD72E4">
      <w:pPr>
        <w:pStyle w:val="Heading1"/>
        <w:spacing w:line="360" w:lineRule="auto"/>
      </w:pPr>
      <w:r w:rsidRPr="00385996">
        <w:lastRenderedPageBreak/>
        <w:t>Methodology</w:t>
      </w:r>
    </w:p>
    <w:p w14:paraId="3E1B8E3D" w14:textId="77777777" w:rsidR="0050238E" w:rsidRDefault="0050238E" w:rsidP="00BD72E4">
      <w:pPr>
        <w:pStyle w:val="Subtitle"/>
        <w:spacing w:line="360" w:lineRule="auto"/>
      </w:pPr>
      <w:r>
        <w:t>Introduction</w:t>
      </w:r>
    </w:p>
    <w:p w14:paraId="422C9426" w14:textId="77777777" w:rsidR="0050238E" w:rsidRDefault="0050238E" w:rsidP="00BD72E4">
      <w:pPr>
        <w:spacing w:line="360" w:lineRule="auto"/>
        <w:jc w:val="both"/>
      </w:pPr>
      <w:r>
        <w:t xml:space="preserve">A phenomenological approach will be taken throughout this project to gain an embodied understanding on sacred space through the Whitby Abbey site. This research is divided into two parts, the first will comprise of a robust literature review, critically analysing a wide range of sources following the themes outlined within the introduction. The literature review will aim to explore key theorists within the study of sacred space. The second part will explore the results of first-hand </w:t>
      </w:r>
      <w:r w:rsidRPr="00F41E93">
        <w:t>primary field work conducted during a site visit on 29</w:t>
      </w:r>
      <w:r w:rsidRPr="00F41E93">
        <w:rPr>
          <w:vertAlign w:val="superscript"/>
        </w:rPr>
        <w:t>th</w:t>
      </w:r>
      <w:r w:rsidRPr="00F41E93">
        <w:t xml:space="preserve"> October 2023</w:t>
      </w:r>
      <w:r>
        <w:t xml:space="preserve"> and recollections of visits in previous years, in the form of a discussion in conjunction with the literature review. </w:t>
      </w:r>
    </w:p>
    <w:p w14:paraId="433C556A" w14:textId="77777777" w:rsidR="0050238E" w:rsidRDefault="0050238E" w:rsidP="00BD72E4">
      <w:pPr>
        <w:pStyle w:val="Subtitle"/>
        <w:spacing w:line="360" w:lineRule="auto"/>
      </w:pPr>
      <w:r>
        <w:t xml:space="preserve">Reflexive consideration </w:t>
      </w:r>
    </w:p>
    <w:p w14:paraId="7CA594A7" w14:textId="77777777" w:rsidR="0050238E" w:rsidRPr="00AC4B8B" w:rsidRDefault="0050238E" w:rsidP="00CA792B">
      <w:pPr>
        <w:spacing w:line="360" w:lineRule="auto"/>
        <w:jc w:val="both"/>
      </w:pPr>
      <w:r>
        <w:t>In researching this project, my identity and background may impact the perspective of my research. I am a neurodiverse person, my ADHD affects how I experience the world, in particular my sensory experience. This may perhaps lead my first-hand research to differ from the experiences of neurotypical people taking observations within the same space. I was raised as Christian within the Church of England denomination however became agnostic and later atheist in adulthood. I am a White-British, woman in my early 30s, it will be important to consider how my views may be influenced due to my age and gender.</w:t>
      </w:r>
    </w:p>
    <w:p w14:paraId="7744C001" w14:textId="77777777" w:rsidR="0050238E" w:rsidRDefault="0050238E" w:rsidP="00BD72E4">
      <w:pPr>
        <w:pStyle w:val="Subtitle"/>
        <w:spacing w:line="360" w:lineRule="auto"/>
      </w:pPr>
      <w:r>
        <w:t>Phenomenological Approach</w:t>
      </w:r>
    </w:p>
    <w:p w14:paraId="2386D196" w14:textId="03D4D9B2" w:rsidR="0050238E" w:rsidRDefault="0050238E" w:rsidP="00CA792B">
      <w:pPr>
        <w:tabs>
          <w:tab w:val="left" w:pos="1452"/>
        </w:tabs>
        <w:spacing w:line="360" w:lineRule="auto"/>
        <w:jc w:val="both"/>
        <w:rPr>
          <w:rStyle w:val="s1"/>
          <w:rFonts w:cstheme="minorHAnsi"/>
        </w:rPr>
      </w:pPr>
      <w:r>
        <w:t>When taking a phenomenological approach, a key factor for successful interpretation of place is participation</w:t>
      </w:r>
      <w:r w:rsidRPr="00A579FE">
        <w:t>. Bender argues that is it only through “being-in-the-world”</w:t>
      </w:r>
      <w:r w:rsidR="0075549B">
        <w:rPr>
          <w:rStyle w:val="FootnoteReference"/>
        </w:rPr>
        <w:footnoteReference w:id="6"/>
      </w:r>
      <w:r w:rsidR="0075549B" w:rsidRPr="00A579FE">
        <w:t xml:space="preserve"> </w:t>
      </w:r>
      <w:r w:rsidRPr="00A579FE">
        <w:t>and experiencing it, that we can truly understand landscape and place</w:t>
      </w:r>
      <w:r>
        <w:t xml:space="preserve">. Our experiences must be embodied through </w:t>
      </w:r>
      <w:r w:rsidRPr="00802C01">
        <w:rPr>
          <w:rFonts w:cstheme="minorHAnsi"/>
        </w:rPr>
        <w:t>participation and movement within the landscape. Casey further supports this approach in stating that, “</w:t>
      </w:r>
      <w:r w:rsidRPr="00802C01">
        <w:rPr>
          <w:rStyle w:val="s1"/>
          <w:rFonts w:asciiTheme="minorHAnsi" w:hAnsiTheme="minorHAnsi" w:cstheme="minorHAnsi"/>
          <w:sz w:val="22"/>
          <w:szCs w:val="22"/>
        </w:rPr>
        <w:t>there is no knowing or sensing a place, except by being in that place, and to be in a place is to be in a position to perceive it.”</w:t>
      </w:r>
      <w:r w:rsidRPr="00802C01">
        <w:rPr>
          <w:rStyle w:val="FootnoteReference"/>
          <w:rFonts w:cstheme="minorHAnsi"/>
        </w:rPr>
        <w:footnoteReference w:id="7"/>
      </w:r>
      <w:r w:rsidRPr="00802C01">
        <w:rPr>
          <w:rStyle w:val="s1"/>
          <w:rFonts w:asciiTheme="minorHAnsi" w:hAnsiTheme="minorHAnsi" w:cstheme="minorHAnsi"/>
          <w:sz w:val="22"/>
          <w:szCs w:val="22"/>
        </w:rPr>
        <w:t xml:space="preserve"> Without spending time within a place, for Casey</w:t>
      </w:r>
      <w:r w:rsidR="000518A7">
        <w:rPr>
          <w:rStyle w:val="s1"/>
          <w:rFonts w:asciiTheme="minorHAnsi" w:hAnsiTheme="minorHAnsi" w:cstheme="minorHAnsi"/>
          <w:sz w:val="22"/>
          <w:szCs w:val="22"/>
        </w:rPr>
        <w:t xml:space="preserve">, </w:t>
      </w:r>
      <w:r w:rsidRPr="00802C01">
        <w:rPr>
          <w:rStyle w:val="s1"/>
          <w:rFonts w:asciiTheme="minorHAnsi" w:hAnsiTheme="minorHAnsi" w:cstheme="minorHAnsi"/>
          <w:sz w:val="22"/>
          <w:szCs w:val="22"/>
        </w:rPr>
        <w:t>it would be impossible to gain a truly nuanced grasp of it.</w:t>
      </w:r>
      <w:r>
        <w:rPr>
          <w:rStyle w:val="s1"/>
          <w:rFonts w:cstheme="minorHAnsi"/>
        </w:rPr>
        <w:t xml:space="preserve"> </w:t>
      </w:r>
    </w:p>
    <w:p w14:paraId="06233EA3" w14:textId="298593AC" w:rsidR="0050238E" w:rsidRDefault="0050238E" w:rsidP="008E15C4">
      <w:pPr>
        <w:spacing w:line="360" w:lineRule="auto"/>
        <w:jc w:val="both"/>
        <w:rPr>
          <w:rFonts w:cstheme="minorHAnsi"/>
        </w:rPr>
      </w:pPr>
      <w:r>
        <w:rPr>
          <w:rStyle w:val="apple-converted-space"/>
          <w:rFonts w:cstheme="minorHAnsi"/>
        </w:rPr>
        <w:lastRenderedPageBreak/>
        <w:t xml:space="preserve">Tilley asserts that goal of phenomenology of landscape is to describe </w:t>
      </w:r>
      <w:r>
        <w:t>“…the world as faithfully as possible…”</w:t>
      </w:r>
      <w:r>
        <w:rPr>
          <w:rStyle w:val="FootnoteReference"/>
        </w:rPr>
        <w:footnoteReference w:id="8"/>
      </w:r>
      <w:r>
        <w:t xml:space="preserve"> </w:t>
      </w:r>
      <w:r>
        <w:rPr>
          <w:rStyle w:val="apple-converted-space"/>
          <w:rFonts w:cstheme="minorHAnsi"/>
        </w:rPr>
        <w:t xml:space="preserve">In order to achieve this, a range of mediums will be used to present my field research, such as the recording of my experiences of the field visit and memories of previous visits, through the taking journals of my observations and pictures and videos, taken using my iPhone. Through these methods, the research aims to explore if sacred space is naturally occurring or of human construction. </w:t>
      </w:r>
      <w:r>
        <w:rPr>
          <w:rFonts w:cstheme="minorHAnsi"/>
        </w:rPr>
        <w:t xml:space="preserve">The benefit to undertaking a phenomenological approach is the ability to explore the </w:t>
      </w:r>
      <w:r w:rsidRPr="0039708B">
        <w:rPr>
          <w:rFonts w:cstheme="minorHAnsi"/>
        </w:rPr>
        <w:t>“…interplay of both ecological creativity and cultural perception working together…”</w:t>
      </w:r>
      <w:r>
        <w:rPr>
          <w:rStyle w:val="FootnoteReference"/>
          <w:rFonts w:cstheme="minorHAnsi"/>
        </w:rPr>
        <w:footnoteReference w:id="9"/>
      </w:r>
      <w:r w:rsidRPr="0039708B">
        <w:rPr>
          <w:rFonts w:cstheme="minorHAnsi"/>
        </w:rPr>
        <w:t xml:space="preserve"> </w:t>
      </w:r>
      <w:r>
        <w:rPr>
          <w:rFonts w:cstheme="minorHAnsi"/>
        </w:rPr>
        <w:t xml:space="preserve">The combination of photos and videos will be used to give a more inclusive sensory profile of Whitby Abbey. </w:t>
      </w:r>
      <w:r w:rsidRPr="00F41EFD">
        <w:rPr>
          <w:rFonts w:cstheme="minorHAnsi"/>
        </w:rPr>
        <w:t>Ingold reflects on</w:t>
      </w:r>
      <w:r>
        <w:rPr>
          <w:rFonts w:cstheme="minorHAnsi"/>
        </w:rPr>
        <w:t xml:space="preserve"> an example of this, through</w:t>
      </w:r>
      <w:r w:rsidRPr="00F41EFD">
        <w:rPr>
          <w:rFonts w:cstheme="minorHAnsi"/>
        </w:rPr>
        <w:t xml:space="preserve"> the variation of experience in the human perception of sound versus light. </w:t>
      </w:r>
      <w:r>
        <w:rPr>
          <w:rFonts w:cstheme="minorHAnsi"/>
        </w:rPr>
        <w:t>When within a space o</w:t>
      </w:r>
      <w:r w:rsidRPr="00F41EFD">
        <w:rPr>
          <w:rFonts w:cstheme="minorHAnsi"/>
        </w:rPr>
        <w:t>ur ears cannot be closed to auditory experiences, in the same way as we may choose to close our eyes to close out visual experiences from our mind.</w:t>
      </w:r>
      <w:r w:rsidRPr="00F41EFD">
        <w:rPr>
          <w:rStyle w:val="FootnoteReference"/>
          <w:rFonts w:cstheme="minorHAnsi"/>
        </w:rPr>
        <w:footnoteReference w:id="10"/>
      </w:r>
      <w:r>
        <w:rPr>
          <w:rFonts w:cstheme="minorHAnsi"/>
        </w:rPr>
        <w:t xml:space="preserve"> Sounds are an element to landscape which are often missed or lack comment but when within the landscape are inescapable. </w:t>
      </w:r>
      <w:r w:rsidRPr="0039708B">
        <w:rPr>
          <w:rFonts w:cstheme="minorHAnsi"/>
        </w:rPr>
        <w:t xml:space="preserve">Marshall </w:t>
      </w:r>
      <w:r>
        <w:rPr>
          <w:rFonts w:cstheme="minorHAnsi"/>
        </w:rPr>
        <w:t>correctly comm</w:t>
      </w:r>
      <w:r w:rsidR="00BD142E">
        <w:rPr>
          <w:rFonts w:cstheme="minorHAnsi"/>
        </w:rPr>
        <w:t>ents</w:t>
      </w:r>
      <w:r>
        <w:rPr>
          <w:rFonts w:cstheme="minorHAnsi"/>
        </w:rPr>
        <w:t xml:space="preserve"> on the </w:t>
      </w:r>
      <w:r w:rsidRPr="0039708B">
        <w:rPr>
          <w:rFonts w:cstheme="minorHAnsi"/>
        </w:rPr>
        <w:t xml:space="preserve">“…acoustic engagement and environmental sounds…” </w:t>
      </w:r>
      <w:r>
        <w:rPr>
          <w:rFonts w:cstheme="minorHAnsi"/>
        </w:rPr>
        <w:t>which affect both the</w:t>
      </w:r>
      <w:r w:rsidRPr="0039708B">
        <w:rPr>
          <w:rFonts w:cstheme="minorHAnsi"/>
        </w:rPr>
        <w:t xml:space="preserve"> “body and mind.”</w:t>
      </w:r>
      <w:r>
        <w:rPr>
          <w:rStyle w:val="FootnoteReference"/>
          <w:rFonts w:cstheme="minorHAnsi"/>
        </w:rPr>
        <w:footnoteReference w:id="11"/>
      </w:r>
      <w:r>
        <w:rPr>
          <w:rFonts w:cstheme="minorHAnsi"/>
        </w:rPr>
        <w:t xml:space="preserve"> Without undertaking first-hand research, observations of this nature may be missed.</w:t>
      </w:r>
    </w:p>
    <w:p w14:paraId="2665DA47" w14:textId="798F096B" w:rsidR="0030272D" w:rsidRPr="0030272D" w:rsidRDefault="0050238E" w:rsidP="00BA63C6">
      <w:pPr>
        <w:spacing w:line="360" w:lineRule="auto"/>
        <w:jc w:val="both"/>
      </w:pPr>
      <w:r>
        <w:t>Phenomenology</w:t>
      </w:r>
      <w:r w:rsidR="002654ED">
        <w:t xml:space="preserve"> however,</w:t>
      </w:r>
      <w:r>
        <w:t xml:space="preserve"> inevitably present</w:t>
      </w:r>
      <w:r w:rsidR="00BA2046">
        <w:t>s</w:t>
      </w:r>
      <w:r>
        <w:t xml:space="preserve"> its challenges. Reliance on the first-hand experiences of the researcher, may lead to “…inevitably select[ing] out…what we deem to be important according to our values and concerns.”</w:t>
      </w:r>
      <w:r>
        <w:rPr>
          <w:rStyle w:val="FootnoteReference"/>
        </w:rPr>
        <w:footnoteReference w:id="12"/>
      </w:r>
      <w:r>
        <w:t xml:space="preserve"> Another potential limitation of this method </w:t>
      </w:r>
      <w:r w:rsidR="009A073F">
        <w:t>it</w:t>
      </w:r>
      <w:r>
        <w:t xml:space="preserve">s purely qualitative nature, offering no breadth of experiences from a range of visitors or any potential for analysis of quantitative data. An awareness of this potential issue as well as the research within the literature review will aim to counteract this as much as possible. </w:t>
      </w:r>
    </w:p>
    <w:p w14:paraId="23DD355E" w14:textId="77777777" w:rsidR="00EE1CD4" w:rsidRDefault="00EE1CD4" w:rsidP="00BD72E4">
      <w:pPr>
        <w:pStyle w:val="Heading1"/>
        <w:spacing w:line="360" w:lineRule="auto"/>
        <w:sectPr w:rsidR="00EE1CD4" w:rsidSect="00D97837">
          <w:pgSz w:w="11906" w:h="16838"/>
          <w:pgMar w:top="1440" w:right="1440" w:bottom="1440" w:left="1440" w:header="708" w:footer="708" w:gutter="0"/>
          <w:cols w:space="708"/>
          <w:docGrid w:linePitch="360"/>
        </w:sectPr>
      </w:pPr>
    </w:p>
    <w:p w14:paraId="446B2530" w14:textId="75724D91" w:rsidR="00414FD3" w:rsidRDefault="00414FD3" w:rsidP="00BD72E4">
      <w:pPr>
        <w:pStyle w:val="Heading1"/>
        <w:spacing w:line="360" w:lineRule="auto"/>
      </w:pPr>
      <w:r>
        <w:lastRenderedPageBreak/>
        <w:t xml:space="preserve">Literature Review </w:t>
      </w:r>
    </w:p>
    <w:p w14:paraId="05D02569" w14:textId="71F35E92" w:rsidR="00AB21DD" w:rsidRDefault="00AB21DD" w:rsidP="00BD72E4">
      <w:pPr>
        <w:pStyle w:val="Subtitle"/>
        <w:spacing w:line="360" w:lineRule="auto"/>
      </w:pPr>
      <w:r>
        <w:t>Sacred Space</w:t>
      </w:r>
    </w:p>
    <w:p w14:paraId="1D37D6CF" w14:textId="0CE10846" w:rsidR="00AB21DD" w:rsidRDefault="00AB21DD" w:rsidP="00BD72E4">
      <w:pPr>
        <w:spacing w:line="360" w:lineRule="auto"/>
        <w:jc w:val="both"/>
      </w:pPr>
      <w:r>
        <w:t>When considering the whether sacred space is a human construct or natural</w:t>
      </w:r>
      <w:r w:rsidR="00606A24">
        <w:t xml:space="preserve">ly </w:t>
      </w:r>
      <w:r>
        <w:t>occurring, “a major issue is…whether [sacredness]… resides in an individual’s mind and/or in the sacred place itself</w:t>
      </w:r>
      <w:r w:rsidR="00606A24">
        <w:t>.</w:t>
      </w:r>
      <w:r>
        <w:t>”</w:t>
      </w:r>
      <w:r>
        <w:rPr>
          <w:rStyle w:val="FootnoteReference"/>
        </w:rPr>
        <w:footnoteReference w:id="13"/>
      </w:r>
      <w:r>
        <w:t xml:space="preserve"> The theories of Durkheim and Eliade assist in determining the origin of sacred space. </w:t>
      </w:r>
      <w:r w:rsidR="009B0FCC">
        <w:t xml:space="preserve">Idinopulos &amp; Wilson </w:t>
      </w:r>
      <w:r w:rsidR="00F079CD">
        <w:t xml:space="preserve">state that </w:t>
      </w:r>
      <w:r>
        <w:t>Durkheim considers sacredness a</w:t>
      </w:r>
      <w:r w:rsidR="00F079CD">
        <w:t xml:space="preserve">s </w:t>
      </w:r>
      <w:r w:rsidR="00F079CD" w:rsidRPr="00AE2672">
        <w:t>wholly</w:t>
      </w:r>
      <w:r w:rsidRPr="00AE2672">
        <w:t xml:space="preserve"> human and social </w:t>
      </w:r>
      <w:r w:rsidR="00F079CD" w:rsidRPr="00AE2672">
        <w:t>in nature</w:t>
      </w:r>
      <w:r w:rsidRPr="00AE2672">
        <w:t>.</w:t>
      </w:r>
      <w:r w:rsidRPr="00AE2672">
        <w:rPr>
          <w:rStyle w:val="FootnoteReference"/>
        </w:rPr>
        <w:footnoteReference w:id="14"/>
      </w:r>
      <w:r>
        <w:t xml:space="preserve"> At first glance, Whitby Abbey’s construction and its long history and function as a place of monastic worship and religious significance, could support Durkheim’s theory that sacred space is of human construct. Durkheim strongly asserts that sacredness can only be maintained for as long as a group continue repeated ritual actions.</w:t>
      </w:r>
      <w:r>
        <w:rPr>
          <w:rStyle w:val="FootnoteReference"/>
        </w:rPr>
        <w:footnoteReference w:id="15"/>
      </w:r>
      <w:r>
        <w:t xml:space="preserve">  Therefore it could be argued than upon its destruction during the dissolution of the monasteries it ceased to be a sacred place. This is where Durkheim’s theories fall short in explaining the phenomena and sacredness of Whitby Abbey</w:t>
      </w:r>
      <w:r w:rsidR="009E5326">
        <w:t>.</w:t>
      </w:r>
      <w:r>
        <w:t xml:space="preserve"> </w:t>
      </w:r>
      <w:r w:rsidR="009E5326">
        <w:t>W</w:t>
      </w:r>
      <w:r>
        <w:t xml:space="preserve">hile the human aspects of formal religious practice are significant, Whitby Abbey’s draw </w:t>
      </w:r>
      <w:r w:rsidR="00A377B6">
        <w:t>continues</w:t>
      </w:r>
      <w:r>
        <w:t>, long after formal religious ritual ceas</w:t>
      </w:r>
      <w:r w:rsidR="00684BF2">
        <w:t>ed</w:t>
      </w:r>
      <w:r>
        <w:t>. Eliade however offers a different perspective, considering sacredness to burst directly from the landscape in the form of heirophanies.</w:t>
      </w:r>
      <w:r>
        <w:rPr>
          <w:rStyle w:val="FootnoteReference"/>
        </w:rPr>
        <w:footnoteReference w:id="16"/>
      </w:r>
      <w:r>
        <w:t xml:space="preserve"> Human activity may indicate a more easily recognisable form of sacredness, through repeated rituals, activities, pilgrimage, forms of dress etc but sacredness is neither caused, maintained or dependent upon the activities of people. Through its history and stories, Whitby Abbey seems saturated with what Rudolf Otto calls experiences of the Numinous, an experience with the other or the uncanny. </w:t>
      </w:r>
      <w:r w:rsidRPr="005B4499">
        <w:t>Otto describes th</w:t>
      </w:r>
      <w:r>
        <w:t>e</w:t>
      </w:r>
      <w:r w:rsidRPr="005B4499">
        <w:t xml:space="preserve"> mysterium tremendum</w:t>
      </w:r>
      <w:r>
        <w:t xml:space="preserve">, which particularly fits with the Abbey, </w:t>
      </w:r>
      <w:r w:rsidRPr="005B4499">
        <w:t>both unnerving</w:t>
      </w:r>
      <w:r>
        <w:t xml:space="preserve"> </w:t>
      </w:r>
      <w:r w:rsidRPr="005B4499">
        <w:t>and enthralling</w:t>
      </w:r>
      <w:r>
        <w:t>,</w:t>
      </w:r>
      <w:r w:rsidRPr="005B4499">
        <w:t xml:space="preserve"> inspir</w:t>
      </w:r>
      <w:r>
        <w:t xml:space="preserve">ing </w:t>
      </w:r>
      <w:r w:rsidRPr="005B4499">
        <w:t>both wonder</w:t>
      </w:r>
      <w:r>
        <w:t xml:space="preserve"> a</w:t>
      </w:r>
      <w:r w:rsidRPr="005B4499">
        <w:t>nd trepidation</w:t>
      </w:r>
      <w:r w:rsidR="007230FD">
        <w:t xml:space="preserve">. Nabulsi characterises </w:t>
      </w:r>
      <w:r w:rsidR="004F2C84">
        <w:t xml:space="preserve">Otto’s theory, </w:t>
      </w:r>
      <w:r w:rsidR="007230FD">
        <w:t xml:space="preserve">as </w:t>
      </w:r>
      <w:r>
        <w:t>a paradoxical “</w:t>
      </w:r>
      <w:r w:rsidRPr="005B4499">
        <w:t>desire to approach and to flee. The encounter with the uncanny evokes powerful emotional reactions in the human creature.</w:t>
      </w:r>
      <w:r>
        <w:t xml:space="preserve">” </w:t>
      </w:r>
      <w:r>
        <w:rPr>
          <w:rStyle w:val="FootnoteReference"/>
        </w:rPr>
        <w:footnoteReference w:id="17"/>
      </w:r>
      <w:r>
        <w:t xml:space="preserve"> These are </w:t>
      </w:r>
      <w:r>
        <w:lastRenderedPageBreak/>
        <w:t>particularly represented by</w:t>
      </w:r>
      <w:r w:rsidR="00053DBC">
        <w:t xml:space="preserve"> Dracula and</w:t>
      </w:r>
      <w:r>
        <w:t xml:space="preserve"> the ghost stories </w:t>
      </w:r>
      <w:r w:rsidR="006D5A0F">
        <w:t>of the Abbey</w:t>
      </w:r>
      <w:r w:rsidR="00B5211D">
        <w:t xml:space="preserve">, drawing visitors </w:t>
      </w:r>
      <w:r>
        <w:t>wishing t</w:t>
      </w:r>
      <w:r w:rsidR="00053DBC">
        <w:t xml:space="preserve">o </w:t>
      </w:r>
      <w:r>
        <w:t xml:space="preserve">encounter these experiences </w:t>
      </w:r>
      <w:r w:rsidR="00B5211D">
        <w:t>themselves</w:t>
      </w:r>
      <w:r w:rsidR="00B84305">
        <w:t>.</w:t>
      </w:r>
      <w:r>
        <w:t xml:space="preserve"> </w:t>
      </w:r>
    </w:p>
    <w:p w14:paraId="17F7A8DD" w14:textId="77777777" w:rsidR="0066556B" w:rsidRDefault="00AB21DD" w:rsidP="00BD72E4">
      <w:pPr>
        <w:pStyle w:val="Subtitle"/>
        <w:spacing w:line="360" w:lineRule="auto"/>
      </w:pPr>
      <w:r>
        <w:t>Landscape in time and story</w:t>
      </w:r>
      <w:bookmarkStart w:id="6" w:name="_Hlk156343944"/>
      <w:r>
        <w:t>:</w:t>
      </w:r>
      <w:r w:rsidR="0066556B">
        <w:t xml:space="preserve"> Part One</w:t>
      </w:r>
    </w:p>
    <w:p w14:paraId="4B221D09" w14:textId="0A3E6D66" w:rsidR="00AB21DD" w:rsidRPr="003E2F0A" w:rsidRDefault="00AB21DD" w:rsidP="00BD72E4">
      <w:pPr>
        <w:pStyle w:val="Subtitle"/>
        <w:spacing w:line="360" w:lineRule="auto"/>
      </w:pPr>
      <w:r>
        <w:t>Memory/connection to the past</w:t>
      </w:r>
    </w:p>
    <w:p w14:paraId="76C0CC24" w14:textId="3D5F2551" w:rsidR="00AB21DD" w:rsidRDefault="00AB21DD" w:rsidP="00BD72E4">
      <w:pPr>
        <w:spacing w:line="360" w:lineRule="auto"/>
        <w:jc w:val="both"/>
      </w:pPr>
      <w:r>
        <w:t>A common theme within the literature surrounding landscape is its impact upon the way in which people experience time. This may be in the way time is perceived, for example through experiences which may make it appear particularly fast or slow, or in the way it offers a place in which humans can connect with a different time. One way in which this is clear is through memory and how that is represented through traditions of oral storytelling, folklore and mythology connected to the landscape.</w:t>
      </w:r>
      <w:r>
        <w:rPr>
          <w:rStyle w:val="FootnoteReference"/>
        </w:rPr>
        <w:footnoteReference w:id="18"/>
      </w:r>
      <w:r>
        <w:t xml:space="preserve"> Over time places </w:t>
      </w:r>
      <w:r w:rsidRPr="0069532E">
        <w:t>“gather experiences and histories</w:t>
      </w:r>
      <w:r>
        <w:t xml:space="preserve">… [and are] full of </w:t>
      </w:r>
      <w:r w:rsidRPr="0069532E">
        <w:t>memories…”</w:t>
      </w:r>
      <w:r>
        <w:rPr>
          <w:rStyle w:val="FootnoteReference"/>
        </w:rPr>
        <w:footnoteReference w:id="19"/>
      </w:r>
      <w:r>
        <w:t xml:space="preserve"> Memories then become physically embodied as people move through the </w:t>
      </w:r>
      <w:r w:rsidR="000A07A7">
        <w:t>sacred space</w:t>
      </w:r>
      <w:r>
        <w:t>, re-enacting the stories, igniting its memories and “re-enchanting” the landscape. Such forms of inscription upon landscape</w:t>
      </w:r>
      <w:r w:rsidR="000A07A7">
        <w:t>,</w:t>
      </w:r>
      <w:r>
        <w:t xml:space="preserve"> forge collective identity through shared traditions and memory which we may call heritage</w:t>
      </w:r>
      <w:r w:rsidR="000A07A7">
        <w:t xml:space="preserve">. </w:t>
      </w:r>
    </w:p>
    <w:p w14:paraId="5D648B2B" w14:textId="3F964D11" w:rsidR="00AB21DD" w:rsidRDefault="00AB21DD" w:rsidP="00BD72E4">
      <w:pPr>
        <w:spacing w:line="360" w:lineRule="auto"/>
        <w:jc w:val="both"/>
      </w:pPr>
      <w:r>
        <w:t xml:space="preserve">Within sacred spaces, the humans can feel a connection to times beyond human timescales and something larger than themselves, crossing into a liminal space through acts of participation. </w:t>
      </w:r>
      <w:bookmarkEnd w:id="6"/>
      <w:r>
        <w:t>Levy Bruhl argues that within participation occurrences are altered to act outside of their usual time frames, “…the mythical world with its own time and its fluidity is a world no less objective than that of ordinary experience.”</w:t>
      </w:r>
      <w:r>
        <w:rPr>
          <w:rStyle w:val="FootnoteReference"/>
        </w:rPr>
        <w:footnoteReference w:id="20"/>
      </w:r>
      <w:r>
        <w:t xml:space="preserve"> In this way, the experience of time within scared spaces may be in some way distorted</w:t>
      </w:r>
      <w:r w:rsidR="005D472F">
        <w:t>.</w:t>
      </w:r>
    </w:p>
    <w:p w14:paraId="1639AFD9" w14:textId="136095FC" w:rsidR="00AB21DD" w:rsidRDefault="00AB21DD" w:rsidP="00BD72E4">
      <w:pPr>
        <w:spacing w:line="360" w:lineRule="auto"/>
        <w:jc w:val="both"/>
      </w:pPr>
      <w:r>
        <w:t>Casey argues that place is forged through these human interactions, made upon neutral Space “onto which… Culture and history can be inscribed.”</w:t>
      </w:r>
      <w:r>
        <w:rPr>
          <w:rStyle w:val="FootnoteReference"/>
        </w:rPr>
        <w:footnoteReference w:id="21"/>
      </w:r>
      <w:r>
        <w:t xml:space="preserve"> Although Casey presents interesting ideas, he does at times fail to give enough emphasis to the agency of the landscape. It is important to acknowledge that the natural features of the space are significant and do not require human intervention to make them so. Ingold’s Lines: A Brief History, brings together the notion of a multilayered world through a great exploration of the lines which are created over time and which may then cross, layering the power of place through the human and non-human paths, stories and events. These lines extend further into </w:t>
      </w:r>
      <w:r>
        <w:lastRenderedPageBreak/>
        <w:t>“ghostly lines,” those which cannot be seen with the naked eye but are there influencing the power of the place, for example the lines which connect stars for constellations or those connecting places to the polar circles via latitude and longitude.</w:t>
      </w:r>
      <w:r>
        <w:rPr>
          <w:rStyle w:val="FootnoteReference"/>
        </w:rPr>
        <w:footnoteReference w:id="22"/>
      </w:r>
      <w:r>
        <w:t xml:space="preserve"> </w:t>
      </w:r>
    </w:p>
    <w:p w14:paraId="4C0D1472" w14:textId="62DEF6F3" w:rsidR="0066556B" w:rsidRDefault="0066556B" w:rsidP="00BD72E4">
      <w:pPr>
        <w:pStyle w:val="Subtitle"/>
        <w:spacing w:line="360" w:lineRule="auto"/>
      </w:pPr>
      <w:r>
        <w:t>Landscape in time and story: Part Two</w:t>
      </w:r>
    </w:p>
    <w:p w14:paraId="3E1BC6D0" w14:textId="77777777" w:rsidR="00AB21DD" w:rsidRPr="00ED6CE0" w:rsidRDefault="00AB21DD" w:rsidP="00BD72E4">
      <w:pPr>
        <w:pStyle w:val="Subtitle"/>
        <w:spacing w:line="360" w:lineRule="auto"/>
        <w:jc w:val="both"/>
      </w:pPr>
      <w:r>
        <w:t>St Hilda</w:t>
      </w:r>
    </w:p>
    <w:p w14:paraId="4AA6EF21" w14:textId="5C48AEF4" w:rsidR="00AB21DD" w:rsidRDefault="00AB21DD" w:rsidP="00BD72E4">
      <w:pPr>
        <w:spacing w:line="360" w:lineRule="auto"/>
        <w:jc w:val="both"/>
      </w:pPr>
      <w:r>
        <w:t xml:space="preserve">The Whitby myth of St Hilda particularly highlights the connection of the physical attributes of landscape, time, historical figures and mythology, intertwined to a specific location to form </w:t>
      </w:r>
      <w:r w:rsidR="00F907D5">
        <w:t>it</w:t>
      </w:r>
      <w:r w:rsidR="00FD4187">
        <w:t>’</w:t>
      </w:r>
      <w:r w:rsidR="00F907D5">
        <w:t>s</w:t>
      </w:r>
      <w:r>
        <w:t xml:space="preserve"> identity. Tilley describes this phenomenon as “…storied landscapes” which have become “humanized and encultured as they become saturated…[and] intertwined with topography and human intentionality.”</w:t>
      </w:r>
      <w:r>
        <w:rPr>
          <w:rStyle w:val="FootnoteReference"/>
        </w:rPr>
        <w:footnoteReference w:id="23"/>
      </w:r>
      <w:r>
        <w:t xml:space="preserve"> In the tale, of St Hilda and the stonesnakes, Whitby is said to be plagued with snakes, which frighten and harm the people of Whitby. The story claims that the nuns went to St Hilda, the first Abbess of Whitby Abbey in 7</w:t>
      </w:r>
      <w:r w:rsidRPr="00D75897">
        <w:rPr>
          <w:vertAlign w:val="superscript"/>
        </w:rPr>
        <w:t>th</w:t>
      </w:r>
      <w:r>
        <w:t xml:space="preserve"> Century, for help, who quoted scripture and threw the snakes from the cliff, saying, “…you would deign to remove the hateful infestation of snakes hence, and bid them forever to inhabit the seaside cliffs…”</w:t>
      </w:r>
      <w:r>
        <w:rPr>
          <w:rStyle w:val="FootnoteReference"/>
        </w:rPr>
        <w:footnoteReference w:id="24"/>
      </w:r>
      <w:r>
        <w:t xml:space="preserve"> From that moment on, the snakes turned to stone and were destined to remain forever in the cliffs of Whitby. </w:t>
      </w:r>
    </w:p>
    <w:p w14:paraId="7C05BFF2" w14:textId="62FA964B" w:rsidR="006C18C3" w:rsidRPr="006C18C3" w:rsidRDefault="006C18C3" w:rsidP="006C18C3">
      <w:r>
        <w:rPr>
          <w:noProof/>
        </w:rPr>
        <w:lastRenderedPageBreak/>
        <w:drawing>
          <wp:anchor distT="0" distB="0" distL="114300" distR="114300" simplePos="0" relativeHeight="251658240" behindDoc="1" locked="0" layoutInCell="1" allowOverlap="1" wp14:anchorId="7579C280" wp14:editId="7C4A79EA">
            <wp:simplePos x="0" y="0"/>
            <wp:positionH relativeFrom="column">
              <wp:posOffset>-36871</wp:posOffset>
            </wp:positionH>
            <wp:positionV relativeFrom="paragraph">
              <wp:posOffset>153015</wp:posOffset>
            </wp:positionV>
            <wp:extent cx="3333750" cy="5191125"/>
            <wp:effectExtent l="0" t="0" r="0" b="9525"/>
            <wp:wrapTight wrapText="bothSides">
              <wp:wrapPolygon edited="0">
                <wp:start x="0" y="0"/>
                <wp:lineTo x="0" y="21560"/>
                <wp:lineTo x="21477" y="21560"/>
                <wp:lineTo x="21477" y="0"/>
                <wp:lineTo x="0" y="0"/>
              </wp:wrapPolygon>
            </wp:wrapTight>
            <wp:docPr id="1853050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33750" cy="5191125"/>
                    </a:xfrm>
                    <a:prstGeom prst="rect">
                      <a:avLst/>
                    </a:prstGeom>
                    <a:noFill/>
                  </pic:spPr>
                </pic:pic>
              </a:graphicData>
            </a:graphic>
            <wp14:sizeRelH relativeFrom="page">
              <wp14:pctWidth>0</wp14:pctWidth>
            </wp14:sizeRelH>
            <wp14:sizeRelV relativeFrom="page">
              <wp14:pctHeight>0</wp14:pctHeight>
            </wp14:sizeRelV>
          </wp:anchor>
        </w:drawing>
      </w:r>
    </w:p>
    <w:p w14:paraId="6BA63ADE" w14:textId="13942343" w:rsidR="006C18C3" w:rsidRPr="006C18C3" w:rsidRDefault="006C18C3" w:rsidP="006C18C3"/>
    <w:p w14:paraId="5AAF3A4B" w14:textId="02E7A518" w:rsidR="006C18C3" w:rsidRPr="006C18C3" w:rsidRDefault="006C18C3" w:rsidP="006C18C3"/>
    <w:p w14:paraId="5E281C96" w14:textId="5B6351E2" w:rsidR="006C18C3" w:rsidRPr="006C18C3" w:rsidRDefault="006C18C3" w:rsidP="006C18C3"/>
    <w:p w14:paraId="2337F290" w14:textId="77777777" w:rsidR="006C18C3" w:rsidRPr="006C18C3" w:rsidRDefault="006C18C3" w:rsidP="006C18C3"/>
    <w:p w14:paraId="11946EFA" w14:textId="677A8985" w:rsidR="006C18C3" w:rsidRDefault="006C18C3" w:rsidP="006C18C3"/>
    <w:p w14:paraId="660E1598" w14:textId="455F5BC2" w:rsidR="006C18C3" w:rsidRDefault="006C18C3" w:rsidP="006C18C3">
      <w:pPr>
        <w:tabs>
          <w:tab w:val="left" w:pos="2915"/>
        </w:tabs>
      </w:pPr>
      <w:r>
        <w:tab/>
      </w:r>
    </w:p>
    <w:p w14:paraId="2D2A5FF1" w14:textId="77777777" w:rsidR="006C18C3" w:rsidRDefault="006C18C3" w:rsidP="006C18C3">
      <w:pPr>
        <w:tabs>
          <w:tab w:val="left" w:pos="2915"/>
        </w:tabs>
      </w:pPr>
    </w:p>
    <w:p w14:paraId="1BE4CDEB" w14:textId="77777777" w:rsidR="006C18C3" w:rsidRPr="006C18C3" w:rsidRDefault="006C18C3" w:rsidP="006C18C3"/>
    <w:p w14:paraId="5F9C92FE" w14:textId="77777777" w:rsidR="006C18C3" w:rsidRPr="006C18C3" w:rsidRDefault="006C18C3" w:rsidP="006C18C3"/>
    <w:p w14:paraId="22D3F068" w14:textId="77777777" w:rsidR="006C18C3" w:rsidRPr="006C18C3" w:rsidRDefault="006C18C3" w:rsidP="006C18C3"/>
    <w:p w14:paraId="0C7954B9" w14:textId="77777777" w:rsidR="006C18C3" w:rsidRPr="006C18C3" w:rsidRDefault="006C18C3" w:rsidP="006C18C3"/>
    <w:p w14:paraId="0441CE72" w14:textId="77777777" w:rsidR="006C18C3" w:rsidRPr="006C18C3" w:rsidRDefault="006C18C3" w:rsidP="006C18C3"/>
    <w:p w14:paraId="0179AB19" w14:textId="77777777" w:rsidR="006C18C3" w:rsidRPr="006C18C3" w:rsidRDefault="006C18C3" w:rsidP="006C18C3"/>
    <w:p w14:paraId="6F330AA0" w14:textId="77777777" w:rsidR="006C18C3" w:rsidRPr="006C18C3" w:rsidRDefault="006C18C3" w:rsidP="006C18C3"/>
    <w:p w14:paraId="638E589C" w14:textId="77777777" w:rsidR="006C18C3" w:rsidRPr="006C18C3" w:rsidRDefault="006C18C3" w:rsidP="006C18C3"/>
    <w:p w14:paraId="45B9CE0F" w14:textId="77777777" w:rsidR="006C18C3" w:rsidRPr="006C18C3" w:rsidRDefault="006C18C3" w:rsidP="006C18C3"/>
    <w:p w14:paraId="49FDEA2B" w14:textId="77777777" w:rsidR="006C18C3" w:rsidRPr="006C18C3" w:rsidRDefault="006C18C3" w:rsidP="006C18C3"/>
    <w:p w14:paraId="731C5121" w14:textId="77777777" w:rsidR="006C18C3" w:rsidRPr="006C18C3" w:rsidRDefault="006C18C3" w:rsidP="006C18C3"/>
    <w:p w14:paraId="52964C3C" w14:textId="77777777" w:rsidR="006C18C3" w:rsidRDefault="006C18C3" w:rsidP="006C18C3"/>
    <w:p w14:paraId="324723F3" w14:textId="582F74A2" w:rsidR="006C18C3" w:rsidRDefault="006C18C3" w:rsidP="006C18C3">
      <w:r>
        <w:t>Figure 4: Whitby Coat of Arms</w:t>
      </w:r>
    </w:p>
    <w:p w14:paraId="1DAD9892" w14:textId="1980C553" w:rsidR="00EF6757" w:rsidRPr="006C18C3" w:rsidRDefault="00EF6757" w:rsidP="006C18C3">
      <w:r>
        <w:t xml:space="preserve">Source: Online </w:t>
      </w:r>
      <w:r w:rsidR="008814B2">
        <w:t>[</w:t>
      </w:r>
      <w:hyperlink r:id="rId16" w:history="1">
        <w:r w:rsidRPr="00EF6757">
          <w:rPr>
            <w:rStyle w:val="Hyperlink"/>
          </w:rPr>
          <w:t>Whitby Coat of Arms</w:t>
        </w:r>
      </w:hyperlink>
      <w:r w:rsidR="008814B2">
        <w:t>] Accessed: 2024</w:t>
      </w:r>
    </w:p>
    <w:p w14:paraId="32A44D4E" w14:textId="23574333" w:rsidR="00CF3434" w:rsidRDefault="00AD3A4C" w:rsidP="00BD72E4">
      <w:pPr>
        <w:spacing w:line="360" w:lineRule="auto"/>
        <w:jc w:val="both"/>
      </w:pPr>
      <w:r>
        <w:rPr>
          <w:noProof/>
        </w:rPr>
        <w:lastRenderedPageBreak/>
        <w:drawing>
          <wp:inline distT="0" distB="0" distL="0" distR="0" wp14:anchorId="65B9D344" wp14:editId="7DB859B2">
            <wp:extent cx="3433106" cy="7366020"/>
            <wp:effectExtent l="0" t="0" r="0" b="6350"/>
            <wp:docPr id="2127025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45344" cy="7392278"/>
                    </a:xfrm>
                    <a:prstGeom prst="rect">
                      <a:avLst/>
                    </a:prstGeom>
                    <a:noFill/>
                  </pic:spPr>
                </pic:pic>
              </a:graphicData>
            </a:graphic>
          </wp:inline>
        </w:drawing>
      </w:r>
    </w:p>
    <w:p w14:paraId="05ABEC9C" w14:textId="42B2966B" w:rsidR="00AD3A4C" w:rsidRDefault="00AD3A4C" w:rsidP="00BD72E4">
      <w:pPr>
        <w:spacing w:line="360" w:lineRule="auto"/>
        <w:jc w:val="both"/>
      </w:pPr>
      <w:r>
        <w:t xml:space="preserve">Figure </w:t>
      </w:r>
      <w:r w:rsidR="002F0806">
        <w:t>5</w:t>
      </w:r>
      <w:r>
        <w:t xml:space="preserve">: </w:t>
      </w:r>
      <w:r w:rsidR="00C6770A">
        <w:t>Monument to St. Hilda, located in St. Mary’s Church, Whitby</w:t>
      </w:r>
    </w:p>
    <w:p w14:paraId="2F9F1E9A" w14:textId="19689D49" w:rsidR="00C6770A" w:rsidRDefault="00C6770A" w:rsidP="00BD72E4">
      <w:pPr>
        <w:spacing w:line="360" w:lineRule="auto"/>
        <w:jc w:val="both"/>
      </w:pPr>
      <w:r>
        <w:t xml:space="preserve">Source: </w:t>
      </w:r>
      <w:r w:rsidR="006871C9">
        <w:t>Online [</w:t>
      </w:r>
      <w:r w:rsidR="00DE0FA9" w:rsidRPr="00DE0FA9">
        <w:t>https://www.worldhistory.org/image/10483/st-hilda-monument-whitby/#google_vignette</w:t>
      </w:r>
      <w:r w:rsidR="00DE0FA9">
        <w:t xml:space="preserve">] Accessed: </w:t>
      </w:r>
      <w:r w:rsidR="00F0394A">
        <w:t>2023</w:t>
      </w:r>
    </w:p>
    <w:p w14:paraId="0130AF77" w14:textId="0F229D42" w:rsidR="00AB21DD" w:rsidRDefault="00AB21DD" w:rsidP="00BD72E4">
      <w:pPr>
        <w:spacing w:line="360" w:lineRule="auto"/>
        <w:jc w:val="both"/>
      </w:pPr>
      <w:r>
        <w:lastRenderedPageBreak/>
        <w:t>The myth surrounding St Hilda and the stonesnakes, which is first documented in written form from around 15</w:t>
      </w:r>
      <w:r w:rsidRPr="00DE107C">
        <w:rPr>
          <w:vertAlign w:val="superscript"/>
        </w:rPr>
        <w:t>th</w:t>
      </w:r>
      <w:r>
        <w:t xml:space="preserve"> Century</w:t>
      </w:r>
      <w:r w:rsidR="00EC2701">
        <w:t xml:space="preserve"> </w:t>
      </w:r>
      <w:r w:rsidR="00490902">
        <w:t>CE</w:t>
      </w:r>
      <w:r>
        <w:t xml:space="preserve"> (although it is believed it may have been told orally for some time before this)</w:t>
      </w:r>
      <w:r>
        <w:rPr>
          <w:rStyle w:val="FootnoteReference"/>
        </w:rPr>
        <w:footnoteReference w:id="25"/>
      </w:r>
      <w:r>
        <w:t>, perfectly demonstrates “folkloric aetiology of observed geological and palaeontological phenomena…”</w:t>
      </w:r>
      <w:r>
        <w:rPr>
          <w:rStyle w:val="FootnoteReference"/>
        </w:rPr>
        <w:footnoteReference w:id="26"/>
      </w:r>
      <w:r>
        <w:t xml:space="preserve"> within Whitby Abbey.  The ammonite fossils, which are abundant along the Whitby coastline have become entangled with St Hilda, the Abbey and the Whitby identity. This can be seen in f</w:t>
      </w:r>
      <w:r w:rsidRPr="008814B2">
        <w:t>igure</w:t>
      </w:r>
      <w:r w:rsidR="00F0394A">
        <w:t xml:space="preserve"> </w:t>
      </w:r>
      <w:r w:rsidR="006C18C3">
        <w:t>4</w:t>
      </w:r>
      <w:r>
        <w:t>, the Whitby coat of arms which features the ammonites, which</w:t>
      </w:r>
      <w:r w:rsidR="00836551">
        <w:t xml:space="preserve"> </w:t>
      </w:r>
      <w:r>
        <w:t>sometimes include snake heads</w:t>
      </w:r>
      <w:r>
        <w:rPr>
          <w:rStyle w:val="FootnoteReference"/>
        </w:rPr>
        <w:footnoteReference w:id="27"/>
      </w:r>
      <w:r>
        <w:t xml:space="preserve">. In </w:t>
      </w:r>
      <w:r w:rsidRPr="002F0806">
        <w:t>figure</w:t>
      </w:r>
      <w:r>
        <w:t xml:space="preserve"> </w:t>
      </w:r>
      <w:r w:rsidR="002F0806">
        <w:t xml:space="preserve">5, </w:t>
      </w:r>
      <w:r>
        <w:t xml:space="preserve">a stone monument found in St Marys Church on the East Cliff, next to Whitby Abbey, depicts St Hilda with curled up snakes beneath her feet. Through an act of religious miracle or magic, life has been frozen in time within the rocks, under the ground of Whitby and in this way, as Ingold so aptly puts it </w:t>
      </w:r>
      <w:r w:rsidRPr="0012783B">
        <w:t>“</w:t>
      </w:r>
      <w:r>
        <w:t>…</w:t>
      </w:r>
      <w:r w:rsidRPr="0012783B">
        <w:t>the landscape tells – or rather is – a story</w:t>
      </w:r>
      <w:r>
        <w:t>.”</w:t>
      </w:r>
      <w:r>
        <w:rPr>
          <w:rStyle w:val="FootnoteReference"/>
        </w:rPr>
        <w:footnoteReference w:id="28"/>
      </w:r>
    </w:p>
    <w:p w14:paraId="43C81FFA" w14:textId="77777777" w:rsidR="00AB21DD" w:rsidRPr="00D16826" w:rsidRDefault="00AB21DD" w:rsidP="00BD72E4">
      <w:pPr>
        <w:pStyle w:val="Subtitle"/>
        <w:spacing w:line="360" w:lineRule="auto"/>
      </w:pPr>
      <w:r>
        <w:t>Pilgrimage in High Places</w:t>
      </w:r>
    </w:p>
    <w:p w14:paraId="6F7F990E" w14:textId="71BD5166" w:rsidR="00AB21DD" w:rsidRDefault="00AB21DD" w:rsidP="00BD72E4">
      <w:pPr>
        <w:spacing w:line="360" w:lineRule="auto"/>
        <w:jc w:val="both"/>
      </w:pPr>
      <w:bookmarkStart w:id="7" w:name="_Hlk156343913"/>
      <w:r>
        <w:t xml:space="preserve">Eliade characterises sacred spaces as the “…threshold…that distinguishes and opposes two worlds.” </w:t>
      </w:r>
      <w:r>
        <w:rPr>
          <w:rStyle w:val="FootnoteReference"/>
        </w:rPr>
        <w:footnoteReference w:id="29"/>
      </w:r>
      <w:r>
        <w:t xml:space="preserve"> When considering sacred high places, setting the boundaries of sacredness becomes clearer and more defined. People are drawn to high places, be it cliff tops, skyscrapers or mountains</w:t>
      </w:r>
      <w:r w:rsidR="00EE6AE8">
        <w:t xml:space="preserve">; </w:t>
      </w:r>
      <w:r>
        <w:t xml:space="preserve">the experience of viewing a high place or being within or upon a high place is powerful. Whitby Abbey is marked out as a sacred place in </w:t>
      </w:r>
      <w:r w:rsidRPr="00FF2C24">
        <w:t>part due to its height. The positioning of the Abbey above the town on the East clifftop “set [it] apart”</w:t>
      </w:r>
      <w:r w:rsidRPr="00FF2C24">
        <w:rPr>
          <w:rStyle w:val="FootnoteTextChar"/>
          <w:sz w:val="22"/>
          <w:szCs w:val="22"/>
        </w:rPr>
        <w:t xml:space="preserve"> </w:t>
      </w:r>
      <w:r w:rsidRPr="00FF2C24">
        <w:rPr>
          <w:rStyle w:val="FootnoteReference"/>
        </w:rPr>
        <w:footnoteReference w:id="30"/>
      </w:r>
      <w:r w:rsidRPr="00FF2C24">
        <w:rPr>
          <w:rStyle w:val="FootnoteTextChar"/>
          <w:sz w:val="22"/>
          <w:szCs w:val="22"/>
        </w:rPr>
        <w:t xml:space="preserve"> from the profane life beneath.</w:t>
      </w:r>
      <w:r>
        <w:rPr>
          <w:rStyle w:val="FootnoteTextChar"/>
        </w:rPr>
        <w:t xml:space="preserve"> </w:t>
      </w:r>
      <w:r>
        <w:t>This is particularly enhanced in natural high places where, “…the full force of nature’s elements exposes our body and mind to a range of physical and emotional effects…”</w:t>
      </w:r>
      <w:r>
        <w:rPr>
          <w:rStyle w:val="FootnoteReference"/>
        </w:rPr>
        <w:footnoteReference w:id="31"/>
      </w:r>
      <w:r>
        <w:t xml:space="preserve"> The journey necessary to visit sacred high places, innately involves a level of physical exertion and an embodiment of the pilgrimage which can be felt exerting “…its influence…on the muscles and sinews, the lungs and the heart.”</w:t>
      </w:r>
      <w:r>
        <w:rPr>
          <w:rStyle w:val="FootnoteReference"/>
        </w:rPr>
        <w:footnoteReference w:id="32"/>
      </w:r>
      <w:r>
        <w:t xml:space="preserve"> </w:t>
      </w:r>
    </w:p>
    <w:p w14:paraId="0D1F8E39" w14:textId="4FED7AB4" w:rsidR="00AB21DD" w:rsidRPr="00DB2FEA" w:rsidRDefault="00AB21DD" w:rsidP="0091326D">
      <w:pPr>
        <w:spacing w:line="360" w:lineRule="auto"/>
        <w:jc w:val="both"/>
      </w:pPr>
      <w:r>
        <w:lastRenderedPageBreak/>
        <w:t>This is supported by Casey’s theories of the relationships between body, place and motion. He states that, “part of the power of place, its very dynamism, is found in its encouragement of motion in its midst.”</w:t>
      </w:r>
      <w:r>
        <w:rPr>
          <w:rStyle w:val="FootnoteReference"/>
        </w:rPr>
        <w:footnoteReference w:id="33"/>
      </w:r>
      <w:r>
        <w:t xml:space="preserve"> Within a sacred place, people may stay in that place, move within the place or move in-between places.</w:t>
      </w:r>
      <w:r w:rsidRPr="00AC5C67">
        <w:rPr>
          <w:rStyle w:val="FootnoteReference"/>
        </w:rPr>
        <w:footnoteReference w:id="34"/>
      </w:r>
      <w:r>
        <w:t xml:space="preserve"> Understanding motion with sacred space is important for a more in-depth understanding of the significance of experience and time within the space. As outlined within the methodology, participation is key to experience within </w:t>
      </w:r>
      <w:r w:rsidR="00FB736F">
        <w:t xml:space="preserve">a </w:t>
      </w:r>
      <w:r>
        <w:t>sacred place.</w:t>
      </w:r>
      <w:r>
        <w:rPr>
          <w:rStyle w:val="FootnoteReference"/>
        </w:rPr>
        <w:footnoteReference w:id="35"/>
      </w:r>
      <w:r>
        <w:t xml:space="preserve"> It could be argued that this is experiential, through physical acts and sensory experiences before even emotion. Acts of pilgrimage, religious or secular, then allow for physical participation, combined with the sensory experience of high places, Whitby Abbey’s location becomes a key factor in what marks it out as a sacred space.  </w:t>
      </w:r>
      <w:bookmarkEnd w:id="7"/>
    </w:p>
    <w:p w14:paraId="0E9FD5FC" w14:textId="77777777" w:rsidR="00AB21DD" w:rsidRDefault="00AB21DD" w:rsidP="00BD72E4">
      <w:pPr>
        <w:pStyle w:val="Subtitle"/>
        <w:spacing w:line="360" w:lineRule="auto"/>
      </w:pPr>
      <w:r>
        <w:t>Experiencing the Elements</w:t>
      </w:r>
    </w:p>
    <w:p w14:paraId="24E0DDA5" w14:textId="387E1E56" w:rsidR="00AB21DD" w:rsidRPr="006C0B59" w:rsidRDefault="00AB21DD" w:rsidP="00BD72E4">
      <w:pPr>
        <w:pStyle w:val="p1"/>
        <w:spacing w:line="360" w:lineRule="auto"/>
        <w:jc w:val="both"/>
        <w:rPr>
          <w:rFonts w:asciiTheme="minorHAnsi" w:hAnsiTheme="minorHAnsi" w:cstheme="minorHAnsi"/>
          <w:sz w:val="22"/>
          <w:szCs w:val="22"/>
        </w:rPr>
      </w:pPr>
      <w:r w:rsidRPr="00D149AD">
        <w:rPr>
          <w:rStyle w:val="s1"/>
          <w:rFonts w:asciiTheme="minorHAnsi" w:hAnsiTheme="minorHAnsi" w:cstheme="minorHAnsi"/>
          <w:sz w:val="22"/>
          <w:szCs w:val="22"/>
        </w:rPr>
        <w:t xml:space="preserve">Ingold </w:t>
      </w:r>
      <w:r w:rsidRPr="00D149AD">
        <w:rPr>
          <w:rStyle w:val="apple-converted-space"/>
          <w:rFonts w:asciiTheme="minorHAnsi" w:hAnsiTheme="minorHAnsi" w:cstheme="minorHAnsi"/>
          <w:sz w:val="22"/>
          <w:szCs w:val="22"/>
        </w:rPr>
        <w:t>strongly outlines that</w:t>
      </w:r>
      <w:r w:rsidRPr="00D149AD">
        <w:rPr>
          <w:rFonts w:asciiTheme="minorHAnsi" w:hAnsiTheme="minorHAnsi" w:cstheme="minorHAnsi"/>
          <w:sz w:val="22"/>
          <w:szCs w:val="22"/>
        </w:rPr>
        <w:t xml:space="preserve"> </w:t>
      </w:r>
      <w:r w:rsidRPr="00D149AD">
        <w:rPr>
          <w:rStyle w:val="s1"/>
          <w:rFonts w:asciiTheme="minorHAnsi" w:hAnsiTheme="minorHAnsi" w:cstheme="minorHAnsi"/>
          <w:sz w:val="22"/>
          <w:szCs w:val="22"/>
        </w:rPr>
        <w:t>“A place owes its character to the experiences it affords to those who spend time there – to the sights, sounds and indeed smells that constitute its specific ambience. And…the kind of activities, in which its inhabitants engage.”</w:t>
      </w:r>
      <w:r w:rsidRPr="00D149AD">
        <w:rPr>
          <w:rStyle w:val="FootnoteReference"/>
          <w:rFonts w:asciiTheme="minorHAnsi" w:hAnsiTheme="minorHAnsi" w:cstheme="minorHAnsi"/>
          <w:sz w:val="22"/>
          <w:szCs w:val="22"/>
        </w:rPr>
        <w:footnoteReference w:id="36"/>
      </w:r>
      <w:r>
        <w:rPr>
          <w:rStyle w:val="s1"/>
          <w:rFonts w:asciiTheme="minorHAnsi" w:hAnsiTheme="minorHAnsi" w:cstheme="minorHAnsi"/>
          <w:sz w:val="22"/>
          <w:szCs w:val="22"/>
        </w:rPr>
        <w:t xml:space="preserve"> In doing so, Ingold clearly highlights the role of experience, time and engagement, but also the sensory elements which give a uniqueness to each specific place</w:t>
      </w:r>
      <w:r w:rsidRPr="0053472D">
        <w:rPr>
          <w:rStyle w:val="s1"/>
          <w:rFonts w:asciiTheme="minorHAnsi" w:hAnsiTheme="minorHAnsi" w:cstheme="minorHAnsi"/>
          <w:sz w:val="22"/>
          <w:szCs w:val="22"/>
        </w:rPr>
        <w:t>.</w:t>
      </w:r>
      <w:r>
        <w:rPr>
          <w:rStyle w:val="s1"/>
          <w:rFonts w:asciiTheme="minorHAnsi" w:hAnsiTheme="minorHAnsi" w:cstheme="minorHAnsi"/>
          <w:sz w:val="22"/>
          <w:szCs w:val="22"/>
        </w:rPr>
        <w:t xml:space="preserve"> These are also described as, </w:t>
      </w:r>
      <w:r w:rsidRPr="0053472D">
        <w:rPr>
          <w:rFonts w:asciiTheme="minorHAnsi" w:hAnsiTheme="minorHAnsi" w:cstheme="minorHAnsi"/>
          <w:sz w:val="22"/>
          <w:szCs w:val="22"/>
        </w:rPr>
        <w:t>“…touchscapes, visionscapes, soundscapes, smellscapes and tastescapes</w:t>
      </w:r>
      <w:r>
        <w:rPr>
          <w:rFonts w:asciiTheme="minorHAnsi" w:hAnsiTheme="minorHAnsi" w:cstheme="minorHAnsi"/>
          <w:sz w:val="22"/>
          <w:szCs w:val="22"/>
        </w:rPr>
        <w:t xml:space="preserve">... [which] </w:t>
      </w:r>
      <w:r w:rsidRPr="0053472D">
        <w:rPr>
          <w:rFonts w:asciiTheme="minorHAnsi" w:hAnsiTheme="minorHAnsi" w:cstheme="minorHAnsi"/>
          <w:sz w:val="22"/>
          <w:szCs w:val="22"/>
        </w:rPr>
        <w:t>intersec</w:t>
      </w:r>
      <w:r>
        <w:rPr>
          <w:rFonts w:asciiTheme="minorHAnsi" w:hAnsiTheme="minorHAnsi" w:cstheme="minorHAnsi"/>
          <w:sz w:val="22"/>
          <w:szCs w:val="22"/>
        </w:rPr>
        <w:t>t…</w:t>
      </w:r>
      <w:r w:rsidRPr="0053472D">
        <w:rPr>
          <w:rFonts w:asciiTheme="minorHAnsi" w:hAnsiTheme="minorHAnsi" w:cstheme="minorHAnsi"/>
          <w:sz w:val="22"/>
          <w:szCs w:val="22"/>
        </w:rPr>
        <w:t>bodily experience to create a synaesthetic understanding.”</w:t>
      </w:r>
      <w:r w:rsidRPr="0053472D">
        <w:rPr>
          <w:rStyle w:val="FootnoteReference"/>
          <w:rFonts w:asciiTheme="minorHAnsi" w:hAnsiTheme="minorHAnsi" w:cstheme="minorHAnsi"/>
          <w:sz w:val="22"/>
          <w:szCs w:val="22"/>
        </w:rPr>
        <w:footnoteReference w:id="37"/>
      </w:r>
      <w:r>
        <w:rPr>
          <w:rFonts w:asciiTheme="minorHAnsi" w:hAnsiTheme="minorHAnsi" w:cstheme="minorHAnsi"/>
          <w:sz w:val="22"/>
          <w:szCs w:val="22"/>
        </w:rPr>
        <w:t xml:space="preserve"> Understanding of sacred place that can be gained through sensory engagement with the landscape, considering the various elements which affect experience and are specific to that place. This shows the potential significance of the natural phenomenon in the occurrence of sacred space.  </w:t>
      </w:r>
      <w:r w:rsidRPr="00CA65F8">
        <w:rPr>
          <w:rFonts w:asciiTheme="minorHAnsi" w:hAnsiTheme="minorHAnsi" w:cstheme="minorHAnsi"/>
          <w:sz w:val="22"/>
          <w:szCs w:val="22"/>
        </w:rPr>
        <w:t>Aristotle’s views combine the concepts of the “experience of place”</w:t>
      </w:r>
      <w:r w:rsidRPr="00CA65F8">
        <w:rPr>
          <w:rStyle w:val="FootnoteReference"/>
          <w:rFonts w:asciiTheme="minorHAnsi" w:hAnsiTheme="minorHAnsi" w:cstheme="minorHAnsi"/>
          <w:sz w:val="22"/>
          <w:szCs w:val="22"/>
        </w:rPr>
        <w:t xml:space="preserve"> </w:t>
      </w:r>
      <w:r w:rsidRPr="00CA65F8">
        <w:rPr>
          <w:rStyle w:val="FootnoteReference"/>
          <w:rFonts w:asciiTheme="minorHAnsi" w:hAnsiTheme="minorHAnsi" w:cstheme="minorHAnsi"/>
          <w:sz w:val="22"/>
          <w:szCs w:val="22"/>
        </w:rPr>
        <w:footnoteReference w:id="38"/>
      </w:r>
      <w:r w:rsidRPr="00CA65F8">
        <w:rPr>
          <w:rStyle w:val="FootnoteReference"/>
          <w:rFonts w:asciiTheme="minorHAnsi" w:hAnsiTheme="minorHAnsi" w:cstheme="minorHAnsi"/>
          <w:sz w:val="22"/>
          <w:szCs w:val="22"/>
        </w:rPr>
        <w:t xml:space="preserve"> </w:t>
      </w:r>
      <w:r w:rsidRPr="00CA65F8">
        <w:rPr>
          <w:rFonts w:asciiTheme="minorHAnsi" w:hAnsiTheme="minorHAnsi" w:cstheme="minorHAnsi"/>
          <w:sz w:val="22"/>
          <w:szCs w:val="22"/>
        </w:rPr>
        <w:t>with movement.</w:t>
      </w:r>
      <w:r>
        <w:t xml:space="preserve"> </w:t>
      </w:r>
      <w:r w:rsidRPr="006C0B59">
        <w:rPr>
          <w:rFonts w:asciiTheme="minorHAnsi" w:hAnsiTheme="minorHAnsi" w:cstheme="minorHAnsi"/>
          <w:sz w:val="22"/>
          <w:szCs w:val="22"/>
        </w:rPr>
        <w:t>Through an understanding that all elements, including those making up the body may have a proper place, the body can be understood as being influenced by the power of place, drawn to places by “…a form of phenomenological gravity…”</w:t>
      </w:r>
      <w:r w:rsidRPr="006C0B59">
        <w:rPr>
          <w:rStyle w:val="FootnoteReference"/>
          <w:rFonts w:asciiTheme="minorHAnsi" w:hAnsiTheme="minorHAnsi" w:cstheme="minorHAnsi"/>
          <w:sz w:val="22"/>
          <w:szCs w:val="22"/>
        </w:rPr>
        <w:footnoteReference w:id="39"/>
      </w:r>
      <w:r w:rsidRPr="006C0B59">
        <w:rPr>
          <w:rFonts w:asciiTheme="minorHAnsi" w:hAnsiTheme="minorHAnsi" w:cstheme="minorHAnsi"/>
          <w:sz w:val="22"/>
          <w:szCs w:val="22"/>
        </w:rPr>
        <w:t xml:space="preserve"> where humans can experience stillness. </w:t>
      </w:r>
    </w:p>
    <w:p w14:paraId="61A3C626" w14:textId="77777777" w:rsidR="00AB21DD" w:rsidRDefault="00AB21DD" w:rsidP="00BD72E4">
      <w:pPr>
        <w:spacing w:line="360" w:lineRule="auto"/>
        <w:jc w:val="both"/>
      </w:pPr>
    </w:p>
    <w:p w14:paraId="785523F2" w14:textId="77777777" w:rsidR="00EE1CD4" w:rsidRDefault="00EE1CD4" w:rsidP="00BD72E4">
      <w:pPr>
        <w:pStyle w:val="Heading1"/>
        <w:spacing w:line="360" w:lineRule="auto"/>
        <w:sectPr w:rsidR="00EE1CD4" w:rsidSect="00D97837">
          <w:pgSz w:w="11906" w:h="16838"/>
          <w:pgMar w:top="1440" w:right="1440" w:bottom="1440" w:left="1440" w:header="708" w:footer="708" w:gutter="0"/>
          <w:cols w:space="708"/>
          <w:docGrid w:linePitch="360"/>
        </w:sectPr>
      </w:pPr>
    </w:p>
    <w:p w14:paraId="651973E9" w14:textId="77777777" w:rsidR="0047221D" w:rsidRDefault="0047221D" w:rsidP="00BD72E4">
      <w:pPr>
        <w:pStyle w:val="Heading1"/>
        <w:spacing w:line="360" w:lineRule="auto"/>
      </w:pPr>
      <w:r>
        <w:lastRenderedPageBreak/>
        <w:t xml:space="preserve">Field Work and Discussion </w:t>
      </w:r>
    </w:p>
    <w:p w14:paraId="1C80A663" w14:textId="77777777" w:rsidR="0047221D" w:rsidRDefault="0047221D" w:rsidP="00BD72E4">
      <w:pPr>
        <w:pStyle w:val="Subtitle"/>
        <w:spacing w:line="360" w:lineRule="auto"/>
      </w:pPr>
      <w:r>
        <w:t xml:space="preserve">Landscape in time and story: </w:t>
      </w:r>
    </w:p>
    <w:p w14:paraId="0E7BD74B" w14:textId="061BF1EC" w:rsidR="0047221D" w:rsidRDefault="00913C57" w:rsidP="00BD72E4">
      <w:pPr>
        <w:pStyle w:val="Subtitle"/>
        <w:spacing w:line="360" w:lineRule="auto"/>
      </w:pPr>
      <w:r>
        <w:t>M</w:t>
      </w:r>
      <w:r w:rsidR="0047221D">
        <w:t>emory/Connection to the past</w:t>
      </w:r>
    </w:p>
    <w:p w14:paraId="3FFF1BFB" w14:textId="26FBF976" w:rsidR="0047221D" w:rsidRPr="009B5D12" w:rsidRDefault="0047221D" w:rsidP="00BD72E4">
      <w:pPr>
        <w:spacing w:line="360" w:lineRule="auto"/>
        <w:jc w:val="both"/>
      </w:pPr>
      <w:r>
        <w:t xml:space="preserve">The journey to Whitby gave me a sense of the isolation of the area </w:t>
      </w:r>
      <w:r w:rsidR="00E40B37">
        <w:t>(</w:t>
      </w:r>
      <w:r w:rsidRPr="00E40B37">
        <w:t>see figure</w:t>
      </w:r>
      <w:r w:rsidR="00E40B37">
        <w:t>s 2 &amp; 6</w:t>
      </w:r>
      <w:r>
        <w:t>)</w:t>
      </w:r>
      <w:r w:rsidR="000E7FAA">
        <w:t>.</w:t>
      </w:r>
      <w:r>
        <w:t xml:space="preserve"> </w:t>
      </w:r>
      <w:r w:rsidR="004A77F1">
        <w:t>T</w:t>
      </w:r>
      <w:r>
        <w:t xml:space="preserve">his entire area </w:t>
      </w:r>
      <w:r w:rsidR="004A77F1">
        <w:t>seemed</w:t>
      </w:r>
      <w:r>
        <w:t xml:space="preserve"> vastly apart from mundane cityscapes, as suggested as a key feature of sacred space by Durkheim within the Literature Review</w:t>
      </w:r>
      <w:r>
        <w:rPr>
          <w:rStyle w:val="FootnoteReference"/>
        </w:rPr>
        <w:footnoteReference w:id="40"/>
      </w:r>
      <w:r>
        <w:t>. I found this journey and separation from my usual city surrounding, encouraged a shift in my mindset to a relaxed openness, usually unavailable to me. The North York Moors were unencumbered by the human activity and w</w:t>
      </w:r>
      <w:r w:rsidR="003C7100">
        <w:t>ere</w:t>
      </w:r>
      <w:r>
        <w:t xml:space="preserve"> instead flourishing with plant and animal life. Driving through the moors in Autumn, the heather was a brownish-grey however I felt myself flooded by nostalgic memories of sheep freely wandering and grazing on bright purple heather during trips throughout my childhood and of journeys made without maps and by memory only. The many occasions seemed merged together outside of time, leaving only images and feelings. This was a space to observe</w:t>
      </w:r>
      <w:r w:rsidR="00247607">
        <w:t xml:space="preserve"> and </w:t>
      </w:r>
      <w:r>
        <w:t>travel through but not one for human settlement or consumption. This made clear the power of the journey to a sacred place and of the place’s surrounding location. There was memory entrenched in and triggered by motion through this space, toward the sacred space ahead, as can be seen outlined within Casey’s connection between body and motion.</w:t>
      </w:r>
      <w:r w:rsidRPr="00AC5C67">
        <w:rPr>
          <w:rStyle w:val="FootnoteReference"/>
        </w:rPr>
        <w:footnoteReference w:id="41"/>
      </w:r>
    </w:p>
    <w:p w14:paraId="7E56EB76" w14:textId="77777777" w:rsidR="00E40B37" w:rsidRDefault="00E40B37" w:rsidP="00BD72E4">
      <w:pPr>
        <w:pStyle w:val="Subtitle"/>
        <w:spacing w:line="360" w:lineRule="auto"/>
      </w:pPr>
    </w:p>
    <w:p w14:paraId="351DA399" w14:textId="344EAD93" w:rsidR="00E40B37" w:rsidRPr="00916E9D" w:rsidRDefault="00E40B37" w:rsidP="00BD72E4">
      <w:pPr>
        <w:pStyle w:val="Subtitle"/>
        <w:spacing w:line="360" w:lineRule="auto"/>
        <w:rPr>
          <w:color w:val="000000" w:themeColor="text1"/>
        </w:rPr>
      </w:pPr>
      <w:r w:rsidRPr="00916E9D">
        <w:rPr>
          <w:noProof/>
          <w:color w:val="000000" w:themeColor="text1"/>
        </w:rPr>
        <w:lastRenderedPageBreak/>
        <w:drawing>
          <wp:anchor distT="0" distB="0" distL="114300" distR="114300" simplePos="0" relativeHeight="251660288" behindDoc="0" locked="0" layoutInCell="1" allowOverlap="1" wp14:anchorId="02FC55B0" wp14:editId="6D92233B">
            <wp:simplePos x="0" y="0"/>
            <wp:positionH relativeFrom="column">
              <wp:posOffset>-44245</wp:posOffset>
            </wp:positionH>
            <wp:positionV relativeFrom="paragraph">
              <wp:posOffset>430</wp:posOffset>
            </wp:positionV>
            <wp:extent cx="3771265" cy="5029200"/>
            <wp:effectExtent l="0" t="0" r="63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71265" cy="5029200"/>
                    </a:xfrm>
                    <a:prstGeom prst="rect">
                      <a:avLst/>
                    </a:prstGeom>
                  </pic:spPr>
                </pic:pic>
              </a:graphicData>
            </a:graphic>
            <wp14:sizeRelH relativeFrom="margin">
              <wp14:pctWidth>0</wp14:pctWidth>
            </wp14:sizeRelH>
            <wp14:sizeRelV relativeFrom="margin">
              <wp14:pctHeight>0</wp14:pctHeight>
            </wp14:sizeRelV>
          </wp:anchor>
        </w:drawing>
      </w:r>
      <w:r w:rsidRPr="00916E9D">
        <w:rPr>
          <w:color w:val="000000" w:themeColor="text1"/>
        </w:rPr>
        <w:t xml:space="preserve">Figure 6: </w:t>
      </w:r>
      <w:r w:rsidR="00916E9D" w:rsidRPr="00916E9D">
        <w:rPr>
          <w:color w:val="000000" w:themeColor="text1"/>
        </w:rPr>
        <w:t>Whitby Abbey</w:t>
      </w:r>
    </w:p>
    <w:p w14:paraId="7B75DB35" w14:textId="43A8DC93" w:rsidR="00E40B37" w:rsidRDefault="00916E9D" w:rsidP="009B1992">
      <w:r>
        <w:t>Source: Emily Nixon, 2023</w:t>
      </w:r>
    </w:p>
    <w:p w14:paraId="109EC6EB" w14:textId="77777777" w:rsidR="009B1992" w:rsidRDefault="009B1992" w:rsidP="009B1992"/>
    <w:p w14:paraId="36731867" w14:textId="0B1C8852" w:rsidR="0047221D" w:rsidRDefault="0047221D" w:rsidP="00BD72E4">
      <w:pPr>
        <w:pStyle w:val="Subtitle"/>
        <w:spacing w:line="360" w:lineRule="auto"/>
      </w:pPr>
      <w:r>
        <w:t xml:space="preserve">St Hilda </w:t>
      </w:r>
    </w:p>
    <w:p w14:paraId="787BFA36" w14:textId="6B62CB6C" w:rsidR="0047221D" w:rsidRDefault="0047221D" w:rsidP="00BD72E4">
      <w:pPr>
        <w:spacing w:line="360" w:lineRule="auto"/>
        <w:jc w:val="both"/>
      </w:pPr>
      <w:r>
        <w:t>What is clear within the landscape is the pull of the sea and a strong feeling of ancientness. An awareness of those who have come before, not just humans but also Jurassic wildlife, gives this place a sense of gravitas. The structure of the Abbey tells its own story, gothic archways and windows irrevocably physically altered by the history of the Abbey. There was a human quietness within the structure, a shift in behaviour, marking this out as a special place, constructed and destroyed by humans. Otto’s sense of the numinous is palpable here,</w:t>
      </w:r>
      <w:r>
        <w:rPr>
          <w:rStyle w:val="FootnoteReference"/>
        </w:rPr>
        <w:footnoteReference w:id="42"/>
      </w:r>
      <w:r>
        <w:t xml:space="preserve"> something which is uncanny and outside of time. I felt removed from myself and connected with the past. As I moved within the place, there were reminders of stillness, from the grave site at St Mary’s Church</w:t>
      </w:r>
      <w:r w:rsidR="00DC6EE2">
        <w:t xml:space="preserve"> </w:t>
      </w:r>
      <w:r w:rsidR="0081276C">
        <w:t>(Figure 8)</w:t>
      </w:r>
      <w:r>
        <w:t xml:space="preserve"> just outside the Abbey and in </w:t>
      </w:r>
      <w:r>
        <w:lastRenderedPageBreak/>
        <w:t>the imagery of fossils on the monuments (</w:t>
      </w:r>
      <w:r w:rsidR="00916E9D">
        <w:t xml:space="preserve">See </w:t>
      </w:r>
      <w:r w:rsidRPr="00916E9D">
        <w:t>Figure</w:t>
      </w:r>
      <w:r w:rsidR="00916E9D">
        <w:t xml:space="preserve"> 5</w:t>
      </w:r>
      <w:r>
        <w:t>) and of the carved snake-headed ammonites within the Whitby Abbey Museum (</w:t>
      </w:r>
      <w:r w:rsidR="009B1992">
        <w:t>Figure 7</w:t>
      </w:r>
      <w:r>
        <w:t xml:space="preserve">).  These physical markers of life frozen in death, indicated the power of time within the landscape itself. This strongly supports Eliades view of sacredness as coming from within the landscape. </w:t>
      </w:r>
    </w:p>
    <w:p w14:paraId="344CA578" w14:textId="4E6FB603" w:rsidR="000634D6" w:rsidRPr="000634D6" w:rsidRDefault="000634D6" w:rsidP="000634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634D6">
        <w:rPr>
          <w:rFonts w:ascii="Times New Roman" w:eastAsia="Times New Roman" w:hAnsi="Times New Roman" w:cs="Times New Roman"/>
          <w:noProof/>
          <w:kern w:val="0"/>
          <w:sz w:val="24"/>
          <w:szCs w:val="24"/>
          <w:lang w:eastAsia="en-GB"/>
          <w14:ligatures w14:val="none"/>
        </w:rPr>
        <w:drawing>
          <wp:inline distT="0" distB="0" distL="0" distR="0" wp14:anchorId="01910A81" wp14:editId="4B1A62E2">
            <wp:extent cx="4082068" cy="3149359"/>
            <wp:effectExtent l="9207" t="0" r="4128" b="4127"/>
            <wp:docPr id="225861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4163" t="7225" r="46977" b="52803"/>
                    <a:stretch/>
                  </pic:blipFill>
                  <pic:spPr bwMode="auto">
                    <a:xfrm rot="5400000">
                      <a:off x="0" y="0"/>
                      <a:ext cx="4091669" cy="3156766"/>
                    </a:xfrm>
                    <a:prstGeom prst="rect">
                      <a:avLst/>
                    </a:prstGeom>
                    <a:noFill/>
                    <a:ln>
                      <a:noFill/>
                    </a:ln>
                    <a:extLst>
                      <a:ext uri="{53640926-AAD7-44D8-BBD7-CCE9431645EC}">
                        <a14:shadowObscured xmlns:a14="http://schemas.microsoft.com/office/drawing/2010/main"/>
                      </a:ext>
                    </a:extLst>
                  </pic:spPr>
                </pic:pic>
              </a:graphicData>
            </a:graphic>
          </wp:inline>
        </w:drawing>
      </w:r>
    </w:p>
    <w:p w14:paraId="4232AA04" w14:textId="4E6C6898" w:rsidR="009B1992" w:rsidRPr="00DC6EE2" w:rsidRDefault="009B1992" w:rsidP="00BD72E4">
      <w:pPr>
        <w:spacing w:line="360" w:lineRule="auto"/>
        <w:jc w:val="both"/>
      </w:pPr>
      <w:r w:rsidRPr="00DC6EE2">
        <w:t>Figure 7: Ammonite</w:t>
      </w:r>
      <w:r w:rsidR="00DC6EE2" w:rsidRPr="00DC6EE2">
        <w:t xml:space="preserve"> Fossil, carved with snake head at Whitby Abbey Museum</w:t>
      </w:r>
    </w:p>
    <w:p w14:paraId="6A871675" w14:textId="293B95F0" w:rsidR="00DC6EE2" w:rsidRPr="00DC6EE2" w:rsidRDefault="00DC6EE2" w:rsidP="00BD72E4">
      <w:pPr>
        <w:spacing w:line="360" w:lineRule="auto"/>
        <w:jc w:val="both"/>
      </w:pPr>
      <w:r w:rsidRPr="00DC6EE2">
        <w:t>Source: Emily Nixon, 2023</w:t>
      </w:r>
    </w:p>
    <w:p w14:paraId="2633A5F6" w14:textId="77777777" w:rsidR="009B1992" w:rsidRDefault="009B1992" w:rsidP="00BD72E4">
      <w:pPr>
        <w:spacing w:line="360" w:lineRule="auto"/>
        <w:jc w:val="both"/>
        <w:rPr>
          <w:highlight w:val="cyan"/>
        </w:rPr>
      </w:pPr>
    </w:p>
    <w:p w14:paraId="160AFDAE" w14:textId="77777777" w:rsidR="009B1992" w:rsidRDefault="009B1992" w:rsidP="00BD72E4">
      <w:pPr>
        <w:spacing w:line="360" w:lineRule="auto"/>
        <w:jc w:val="both"/>
        <w:rPr>
          <w:highlight w:val="cyan"/>
        </w:rPr>
      </w:pPr>
    </w:p>
    <w:p w14:paraId="6B497F3B" w14:textId="77777777" w:rsidR="009B1992" w:rsidRDefault="009B1992" w:rsidP="00BD72E4">
      <w:pPr>
        <w:spacing w:line="360" w:lineRule="auto"/>
        <w:jc w:val="both"/>
        <w:rPr>
          <w:highlight w:val="cyan"/>
        </w:rPr>
      </w:pPr>
    </w:p>
    <w:p w14:paraId="7022B4C9" w14:textId="77777777" w:rsidR="009B1992" w:rsidRDefault="009B1992" w:rsidP="00BD72E4">
      <w:pPr>
        <w:spacing w:line="360" w:lineRule="auto"/>
        <w:jc w:val="both"/>
        <w:rPr>
          <w:highlight w:val="cyan"/>
        </w:rPr>
      </w:pPr>
    </w:p>
    <w:p w14:paraId="15535536" w14:textId="2B55F6E3" w:rsidR="00862658" w:rsidRPr="00862658" w:rsidRDefault="00862658" w:rsidP="0086265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62658">
        <w:rPr>
          <w:rFonts w:ascii="Times New Roman" w:eastAsia="Times New Roman" w:hAnsi="Times New Roman" w:cs="Times New Roman"/>
          <w:noProof/>
          <w:kern w:val="0"/>
          <w:sz w:val="24"/>
          <w:szCs w:val="24"/>
          <w:lang w:eastAsia="en-GB"/>
          <w14:ligatures w14:val="none"/>
        </w:rPr>
        <w:lastRenderedPageBreak/>
        <w:drawing>
          <wp:inline distT="0" distB="0" distL="0" distR="0" wp14:anchorId="38BBBD20" wp14:editId="14917584">
            <wp:extent cx="5731510" cy="4297045"/>
            <wp:effectExtent l="0" t="6668" r="0" b="0"/>
            <wp:docPr id="18002443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p>
    <w:p w14:paraId="388261F9" w14:textId="153C0CBD" w:rsidR="0047221D" w:rsidRDefault="00862658" w:rsidP="00BD72E4">
      <w:pPr>
        <w:spacing w:line="360" w:lineRule="auto"/>
        <w:jc w:val="both"/>
      </w:pPr>
      <w:r>
        <w:t>Figure 8: St Mary’s church burial site, adj</w:t>
      </w:r>
      <w:r w:rsidR="00AC631D">
        <w:t>acent to Whitby Abbey on the East Clifftops</w:t>
      </w:r>
    </w:p>
    <w:p w14:paraId="07EF6716" w14:textId="4BD788E1" w:rsidR="00AC631D" w:rsidRDefault="00AC631D" w:rsidP="00BD72E4">
      <w:pPr>
        <w:spacing w:line="360" w:lineRule="auto"/>
        <w:jc w:val="both"/>
      </w:pPr>
      <w:r>
        <w:t>Source: Emily Nixon, 2023</w:t>
      </w:r>
    </w:p>
    <w:p w14:paraId="085AE9C3" w14:textId="77777777" w:rsidR="00AC631D" w:rsidRPr="001B647A" w:rsidRDefault="00AC631D" w:rsidP="00BD72E4">
      <w:pPr>
        <w:spacing w:line="360" w:lineRule="auto"/>
        <w:jc w:val="both"/>
      </w:pPr>
    </w:p>
    <w:p w14:paraId="7CF55ED3" w14:textId="77777777" w:rsidR="0047221D" w:rsidRPr="00A95508" w:rsidRDefault="0047221D" w:rsidP="00BD72E4">
      <w:pPr>
        <w:pStyle w:val="Subtitle"/>
        <w:spacing w:line="360" w:lineRule="auto"/>
      </w:pPr>
      <w:r>
        <w:t>Pilgrimage in High Places</w:t>
      </w:r>
    </w:p>
    <w:p w14:paraId="6C43CEE5" w14:textId="1BDC69BC" w:rsidR="0047221D" w:rsidRDefault="0047221D" w:rsidP="00BD72E4">
      <w:pPr>
        <w:spacing w:line="360" w:lineRule="auto"/>
        <w:jc w:val="both"/>
      </w:pPr>
      <w:r>
        <w:t>I was struck by the significance of height even before my arrival at Whitby Abbey. The high place of the East Clifftop, made higher still by the gothic, dark architecture of the Abbey, is still breathtaking, despite having seen it many times during my life</w:t>
      </w:r>
      <w:r w:rsidR="005507B9">
        <w:t xml:space="preserve"> (See Figure 6)</w:t>
      </w:r>
      <w:r>
        <w:t xml:space="preserve">. </w:t>
      </w:r>
      <w:r w:rsidR="00770FCE">
        <w:t>I f</w:t>
      </w:r>
      <w:r>
        <w:t xml:space="preserve">elt physically </w:t>
      </w:r>
      <w:r w:rsidR="004505A9">
        <w:t xml:space="preserve">exerted </w:t>
      </w:r>
      <w:r>
        <w:t xml:space="preserve">while climbing the 199 steps to reach the Abbey. A feeling in my muscles and chest, which as Tilley suggested, can only be taken so far in memory and which to experience it, must be embodied within movement in </w:t>
      </w:r>
      <w:r>
        <w:lastRenderedPageBreak/>
        <w:t>the space</w:t>
      </w:r>
      <w:r>
        <w:rPr>
          <w:rStyle w:val="FootnoteReference"/>
        </w:rPr>
        <w:footnoteReference w:id="43"/>
      </w:r>
      <w:r>
        <w:t xml:space="preserve">. The power it took </w:t>
      </w:r>
      <w:r w:rsidR="00DA13AD">
        <w:t xml:space="preserve">to </w:t>
      </w:r>
      <w:r>
        <w:t>build and the demonstration of power undertaken in its destruction, giv</w:t>
      </w:r>
      <w:r w:rsidR="00DA13AD">
        <w:t>es</w:t>
      </w:r>
      <w:r>
        <w:t xml:space="preserve"> a particular significance to the story of its height. </w:t>
      </w:r>
      <w:r w:rsidR="002A1F96">
        <w:t xml:space="preserve">The ability to look back down upon Whitby (see figure 9) and </w:t>
      </w:r>
      <w:r w:rsidR="005B4A2E">
        <w:t xml:space="preserve">from within the Abbey to look up to the heights of the </w:t>
      </w:r>
      <w:r w:rsidR="00782371">
        <w:t>structure’s</w:t>
      </w:r>
      <w:r w:rsidR="005B4A2E">
        <w:t xml:space="preserve"> ceilings (see figure</w:t>
      </w:r>
      <w:r w:rsidR="00DF4AA8">
        <w:t>s</w:t>
      </w:r>
      <w:r w:rsidR="005B4A2E">
        <w:t xml:space="preserve"> 10</w:t>
      </w:r>
      <w:r w:rsidR="00DF4AA8">
        <w:t xml:space="preserve"> and 11</w:t>
      </w:r>
      <w:r w:rsidR="005B4A2E">
        <w:t>)</w:t>
      </w:r>
      <w:r w:rsidR="005C0711">
        <w:t xml:space="preserve"> </w:t>
      </w:r>
      <w:r w:rsidR="001843DC">
        <w:t xml:space="preserve">provide </w:t>
      </w:r>
      <w:r w:rsidR="000F4D63">
        <w:t xml:space="preserve">a </w:t>
      </w:r>
      <w:r w:rsidR="0078091E">
        <w:t xml:space="preserve">perspective of your own </w:t>
      </w:r>
      <w:r w:rsidR="003C69C3">
        <w:t xml:space="preserve">position in relation to the world. </w:t>
      </w:r>
    </w:p>
    <w:p w14:paraId="3F16616F" w14:textId="56D1EA80" w:rsidR="005B4A2E" w:rsidRDefault="00782371" w:rsidP="00BD72E4">
      <w:pPr>
        <w:spacing w:line="360" w:lineRule="auto"/>
        <w:jc w:val="both"/>
      </w:pPr>
      <w:r>
        <w:rPr>
          <w:noProof/>
        </w:rPr>
        <w:drawing>
          <wp:anchor distT="0" distB="0" distL="114300" distR="114300" simplePos="0" relativeHeight="251661312" behindDoc="1" locked="0" layoutInCell="1" allowOverlap="1" wp14:anchorId="76134FB1" wp14:editId="3A63B4F6">
            <wp:simplePos x="0" y="0"/>
            <wp:positionH relativeFrom="column">
              <wp:posOffset>0</wp:posOffset>
            </wp:positionH>
            <wp:positionV relativeFrom="paragraph">
              <wp:posOffset>18025</wp:posOffset>
            </wp:positionV>
            <wp:extent cx="2840990" cy="3785870"/>
            <wp:effectExtent l="0" t="0" r="0" b="5080"/>
            <wp:wrapTight wrapText="bothSides">
              <wp:wrapPolygon edited="0">
                <wp:start x="0" y="0"/>
                <wp:lineTo x="0" y="21520"/>
                <wp:lineTo x="21436" y="21520"/>
                <wp:lineTo x="21436" y="0"/>
                <wp:lineTo x="0" y="0"/>
              </wp:wrapPolygon>
            </wp:wrapTight>
            <wp:docPr id="18076329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40990" cy="3785870"/>
                    </a:xfrm>
                    <a:prstGeom prst="rect">
                      <a:avLst/>
                    </a:prstGeom>
                    <a:noFill/>
                  </pic:spPr>
                </pic:pic>
              </a:graphicData>
            </a:graphic>
            <wp14:sizeRelH relativeFrom="page">
              <wp14:pctWidth>0</wp14:pctWidth>
            </wp14:sizeRelH>
            <wp14:sizeRelV relativeFrom="page">
              <wp14:pctHeight>0</wp14:pctHeight>
            </wp14:sizeRelV>
          </wp:anchor>
        </w:drawing>
      </w:r>
    </w:p>
    <w:p w14:paraId="182C85F6" w14:textId="75230858" w:rsidR="00782371" w:rsidRDefault="00782371" w:rsidP="00BD72E4">
      <w:pPr>
        <w:spacing w:line="360" w:lineRule="auto"/>
        <w:jc w:val="both"/>
      </w:pPr>
    </w:p>
    <w:p w14:paraId="6E183197" w14:textId="01B34E5D" w:rsidR="00782371" w:rsidRDefault="00782371" w:rsidP="00BD72E4">
      <w:pPr>
        <w:spacing w:line="360" w:lineRule="auto"/>
        <w:jc w:val="both"/>
      </w:pPr>
    </w:p>
    <w:p w14:paraId="1DB2FFF5" w14:textId="77777777" w:rsidR="00782371" w:rsidRDefault="00782371" w:rsidP="00BD72E4">
      <w:pPr>
        <w:spacing w:line="360" w:lineRule="auto"/>
        <w:jc w:val="both"/>
      </w:pPr>
    </w:p>
    <w:p w14:paraId="0B7F0F24" w14:textId="77777777" w:rsidR="00782371" w:rsidRDefault="00782371" w:rsidP="00BD72E4">
      <w:pPr>
        <w:spacing w:line="360" w:lineRule="auto"/>
        <w:jc w:val="both"/>
      </w:pPr>
    </w:p>
    <w:p w14:paraId="290036E5" w14:textId="77777777" w:rsidR="00782371" w:rsidRDefault="00782371" w:rsidP="00BD72E4">
      <w:pPr>
        <w:spacing w:line="360" w:lineRule="auto"/>
        <w:jc w:val="both"/>
      </w:pPr>
    </w:p>
    <w:p w14:paraId="1A6DB9B1" w14:textId="77777777" w:rsidR="00782371" w:rsidRDefault="00782371" w:rsidP="00BD72E4">
      <w:pPr>
        <w:spacing w:line="360" w:lineRule="auto"/>
        <w:jc w:val="both"/>
      </w:pPr>
    </w:p>
    <w:p w14:paraId="71855405" w14:textId="77777777" w:rsidR="00782371" w:rsidRDefault="00782371" w:rsidP="00BD72E4">
      <w:pPr>
        <w:spacing w:line="360" w:lineRule="auto"/>
        <w:jc w:val="both"/>
      </w:pPr>
    </w:p>
    <w:p w14:paraId="5F5B578B" w14:textId="77777777" w:rsidR="00782371" w:rsidRDefault="00782371" w:rsidP="00BD72E4">
      <w:pPr>
        <w:spacing w:line="360" w:lineRule="auto"/>
        <w:jc w:val="both"/>
      </w:pPr>
    </w:p>
    <w:p w14:paraId="3032B65A" w14:textId="77777777" w:rsidR="00782371" w:rsidRDefault="00782371" w:rsidP="00BD72E4">
      <w:pPr>
        <w:spacing w:line="360" w:lineRule="auto"/>
        <w:jc w:val="both"/>
      </w:pPr>
    </w:p>
    <w:p w14:paraId="6B78020A" w14:textId="77777777" w:rsidR="00782371" w:rsidRDefault="00782371" w:rsidP="00BD72E4">
      <w:pPr>
        <w:spacing w:line="360" w:lineRule="auto"/>
        <w:jc w:val="both"/>
      </w:pPr>
    </w:p>
    <w:p w14:paraId="0B7AE10C" w14:textId="4F302F1F" w:rsidR="00782371" w:rsidRDefault="00782371" w:rsidP="00BD72E4">
      <w:pPr>
        <w:spacing w:line="360" w:lineRule="auto"/>
        <w:jc w:val="both"/>
      </w:pPr>
      <w:r>
        <w:t>Figure 9: View from the top of the 199 Steps to the Abbey, looking down upon Whitby</w:t>
      </w:r>
    </w:p>
    <w:p w14:paraId="5A12BE03" w14:textId="50754785" w:rsidR="00782371" w:rsidRDefault="00782371" w:rsidP="00BD72E4">
      <w:pPr>
        <w:spacing w:line="360" w:lineRule="auto"/>
        <w:jc w:val="both"/>
      </w:pPr>
      <w:r>
        <w:t>Source: Emily Nixon, 2023</w:t>
      </w:r>
    </w:p>
    <w:p w14:paraId="0DF1B9CB" w14:textId="77777777" w:rsidR="00782371" w:rsidRDefault="00782371" w:rsidP="00BD72E4">
      <w:pPr>
        <w:spacing w:line="360" w:lineRule="auto"/>
        <w:jc w:val="both"/>
      </w:pPr>
    </w:p>
    <w:p w14:paraId="50821753" w14:textId="77777777" w:rsidR="00782371" w:rsidRDefault="00782371" w:rsidP="00BD72E4">
      <w:pPr>
        <w:spacing w:line="360" w:lineRule="auto"/>
        <w:jc w:val="both"/>
      </w:pPr>
    </w:p>
    <w:p w14:paraId="1350DD55" w14:textId="60325EBA" w:rsidR="00782371" w:rsidRDefault="00DF4AA8" w:rsidP="00BD72E4">
      <w:pPr>
        <w:spacing w:line="360" w:lineRule="auto"/>
        <w:jc w:val="both"/>
      </w:pPr>
      <w:r>
        <w:rPr>
          <w:noProof/>
        </w:rPr>
        <w:lastRenderedPageBreak/>
        <w:drawing>
          <wp:inline distT="0" distB="0" distL="0" distR="0" wp14:anchorId="456AC51E" wp14:editId="0ECCFF21">
            <wp:extent cx="3858573" cy="5147187"/>
            <wp:effectExtent l="0" t="0" r="8890" b="0"/>
            <wp:docPr id="14863104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867262" cy="5158777"/>
                    </a:xfrm>
                    <a:prstGeom prst="rect">
                      <a:avLst/>
                    </a:prstGeom>
                    <a:noFill/>
                  </pic:spPr>
                </pic:pic>
              </a:graphicData>
            </a:graphic>
          </wp:inline>
        </w:drawing>
      </w:r>
    </w:p>
    <w:p w14:paraId="47F49B49" w14:textId="66E154CE" w:rsidR="00DF4AA8" w:rsidRDefault="00DF4AA8" w:rsidP="00BD72E4">
      <w:pPr>
        <w:spacing w:line="360" w:lineRule="auto"/>
        <w:jc w:val="both"/>
      </w:pPr>
      <w:r>
        <w:t xml:space="preserve">Figure 10: </w:t>
      </w:r>
      <w:r w:rsidR="00930780">
        <w:t>View from within Whitby Abbey</w:t>
      </w:r>
    </w:p>
    <w:p w14:paraId="477DD10B" w14:textId="31484518" w:rsidR="00930780" w:rsidRDefault="00930780" w:rsidP="00BD72E4">
      <w:pPr>
        <w:spacing w:line="360" w:lineRule="auto"/>
        <w:jc w:val="both"/>
      </w:pPr>
      <w:r>
        <w:t>Source: Emily Nixon, 2023</w:t>
      </w:r>
    </w:p>
    <w:p w14:paraId="67AB82A5" w14:textId="77777777" w:rsidR="00930780" w:rsidRDefault="00930780" w:rsidP="00BD72E4">
      <w:pPr>
        <w:spacing w:line="360" w:lineRule="auto"/>
        <w:jc w:val="both"/>
      </w:pPr>
    </w:p>
    <w:p w14:paraId="13E6628A" w14:textId="20556B6D" w:rsidR="00930780" w:rsidRDefault="00930780" w:rsidP="00BD72E4">
      <w:pPr>
        <w:spacing w:line="360" w:lineRule="auto"/>
        <w:jc w:val="both"/>
      </w:pPr>
      <w:r>
        <w:rPr>
          <w:noProof/>
        </w:rPr>
        <w:lastRenderedPageBreak/>
        <w:drawing>
          <wp:inline distT="0" distB="0" distL="0" distR="0" wp14:anchorId="06EB9A4A" wp14:editId="18701EAC">
            <wp:extent cx="4261485" cy="5688330"/>
            <wp:effectExtent l="0" t="0" r="5715" b="7620"/>
            <wp:docPr id="3099215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61485" cy="5688330"/>
                    </a:xfrm>
                    <a:prstGeom prst="rect">
                      <a:avLst/>
                    </a:prstGeom>
                    <a:noFill/>
                  </pic:spPr>
                </pic:pic>
              </a:graphicData>
            </a:graphic>
          </wp:inline>
        </w:drawing>
      </w:r>
    </w:p>
    <w:p w14:paraId="31238C67" w14:textId="13CC513A" w:rsidR="00DF4AA8" w:rsidRDefault="00FC29F7" w:rsidP="00BD72E4">
      <w:pPr>
        <w:spacing w:line="360" w:lineRule="auto"/>
        <w:jc w:val="both"/>
      </w:pPr>
      <w:r>
        <w:t>Figure 11: Looking up within Whitby Abbey</w:t>
      </w:r>
    </w:p>
    <w:p w14:paraId="6FB00846" w14:textId="4F3CFAD8" w:rsidR="00FC29F7" w:rsidRDefault="00FC29F7" w:rsidP="00BD72E4">
      <w:pPr>
        <w:spacing w:line="360" w:lineRule="auto"/>
        <w:jc w:val="both"/>
      </w:pPr>
      <w:r>
        <w:t>Source: Emily Nixon, 2023</w:t>
      </w:r>
    </w:p>
    <w:p w14:paraId="748A1060" w14:textId="77777777" w:rsidR="00FC29F7" w:rsidRPr="005455EE" w:rsidRDefault="00FC29F7" w:rsidP="00BD72E4">
      <w:pPr>
        <w:spacing w:line="360" w:lineRule="auto"/>
        <w:jc w:val="both"/>
      </w:pPr>
    </w:p>
    <w:p w14:paraId="006505FB" w14:textId="1834E8F9" w:rsidR="0047221D" w:rsidRDefault="0047221D" w:rsidP="00BD72E4">
      <w:pPr>
        <w:spacing w:line="360" w:lineRule="auto"/>
        <w:jc w:val="both"/>
      </w:pPr>
      <w:r w:rsidRPr="000939DF">
        <w:t>Durkheim</w:t>
      </w:r>
      <w:r w:rsidR="0057310C">
        <w:t>’s</w:t>
      </w:r>
      <w:r w:rsidRPr="000939DF">
        <w:t xml:space="preserve"> suggest</w:t>
      </w:r>
      <w:r>
        <w:t xml:space="preserve">ion </w:t>
      </w:r>
      <w:r w:rsidRPr="000939DF">
        <w:t>th</w:t>
      </w:r>
      <w:r>
        <w:t>at when</w:t>
      </w:r>
      <w:r w:rsidRPr="000939DF">
        <w:t xml:space="preserve"> relig</w:t>
      </w:r>
      <w:r>
        <w:t>ious ritual</w:t>
      </w:r>
      <w:r w:rsidRPr="000939DF">
        <w:t xml:space="preserve"> ends, so does the sacred </w:t>
      </w:r>
      <w:r w:rsidR="00365062">
        <w:t xml:space="preserve">nature of the </w:t>
      </w:r>
      <w:r w:rsidRPr="000939DF">
        <w:t>space</w:t>
      </w:r>
      <w:r>
        <w:t>, seems far too reductive in the case of Whitby Abbey</w:t>
      </w:r>
      <w:r w:rsidRPr="000939DF">
        <w:t>.</w:t>
      </w:r>
      <w:r>
        <w:rPr>
          <w:rStyle w:val="FootnoteReference"/>
        </w:rPr>
        <w:footnoteReference w:id="44"/>
      </w:r>
      <w:r w:rsidRPr="000939DF">
        <w:t xml:space="preserve"> During my experiences, it was very clear that a form of secular pilgrimage to the site still took place. Though this is largely referred to as tourism, there are some key differences which could suggest that Whitby Abbey remains a sacred place of pilgrimage. </w:t>
      </w:r>
      <w:r>
        <w:t>Visitors to the Abbey often ritualis</w:t>
      </w:r>
      <w:r w:rsidR="00D260D8">
        <w:t>e</w:t>
      </w:r>
      <w:r>
        <w:t xml:space="preserve"> visits using goth and steam punk </w:t>
      </w:r>
      <w:r w:rsidR="00D260D8">
        <w:t>culture</w:t>
      </w:r>
      <w:r>
        <w:t>,</w:t>
      </w:r>
      <w:r w:rsidR="00D260D8">
        <w:t xml:space="preserve"> to</w:t>
      </w:r>
      <w:r>
        <w:t xml:space="preserve"> hav</w:t>
      </w:r>
      <w:r w:rsidR="00D260D8">
        <w:t>e</w:t>
      </w:r>
      <w:r>
        <w:t xml:space="preserve"> experiential embodied experience at the site</w:t>
      </w:r>
      <w:r w:rsidR="00D260D8">
        <w:t xml:space="preserve">. This </w:t>
      </w:r>
      <w:r>
        <w:t>demonstrat</w:t>
      </w:r>
      <w:r w:rsidR="00D260D8">
        <w:t>es the</w:t>
      </w:r>
      <w:r>
        <w:t xml:space="preserve"> key relationships with narrative through the </w:t>
      </w:r>
      <w:r>
        <w:lastRenderedPageBreak/>
        <w:t>folklore, ghost stories and Dracula narrative’s connection with Whitby. I attended on the weekend before Halloween, during what is commonly referred to as a ‘Goth Weekend.’ I felt I had crossed a threshold into a special, sacred place to which people pilgrimaged, altering behaviour and dress to mark out its sacredness, within their own cultural community. This appeared to support Eliade’s suggestion that the non-religious could experience sacredness.</w:t>
      </w:r>
      <w:r>
        <w:rPr>
          <w:rStyle w:val="FootnoteReference"/>
        </w:rPr>
        <w:footnoteReference w:id="45"/>
      </w:r>
      <w:r>
        <w:t xml:space="preserve"> It is </w:t>
      </w:r>
      <w:r w:rsidR="003474F1">
        <w:t>the</w:t>
      </w:r>
      <w:r>
        <w:t xml:space="preserve"> very numinous nature of Whitby Abbey that resonates with the gothic themes and stories, which modern communities have now been drawn to. The Abbey act</w:t>
      </w:r>
      <w:r w:rsidR="005B33AB">
        <w:t xml:space="preserve">s </w:t>
      </w:r>
      <w:r>
        <w:t xml:space="preserve">as a liminal space removed from the profane, offering a portal to the past and a window to life and inevitably death. </w:t>
      </w:r>
    </w:p>
    <w:p w14:paraId="3EA3191E" w14:textId="77777777" w:rsidR="0047221D" w:rsidRDefault="0047221D" w:rsidP="00BD72E4">
      <w:pPr>
        <w:spacing w:line="360" w:lineRule="auto"/>
      </w:pPr>
    </w:p>
    <w:p w14:paraId="120770D0" w14:textId="77777777" w:rsidR="0047221D" w:rsidRDefault="0047221D" w:rsidP="00BD72E4">
      <w:pPr>
        <w:pStyle w:val="Subtitle"/>
        <w:spacing w:line="360" w:lineRule="auto"/>
      </w:pPr>
      <w:r>
        <w:t xml:space="preserve">Experiencing the Elements </w:t>
      </w:r>
    </w:p>
    <w:p w14:paraId="427FA66B" w14:textId="77777777" w:rsidR="0047221D" w:rsidRDefault="0047221D" w:rsidP="00BD72E4">
      <w:pPr>
        <w:spacing w:line="360" w:lineRule="auto"/>
        <w:rPr>
          <w:rStyle w:val="SubtleEmphasis"/>
        </w:rPr>
      </w:pPr>
      <w:r>
        <w:rPr>
          <w:rStyle w:val="SubtleEmphasis"/>
        </w:rPr>
        <w:t>Water and Air</w:t>
      </w:r>
    </w:p>
    <w:p w14:paraId="70235110" w14:textId="6F102BA2" w:rsidR="00363D43" w:rsidRDefault="0047221D" w:rsidP="00BD72E4">
      <w:pPr>
        <w:spacing w:line="360" w:lineRule="auto"/>
        <w:jc w:val="both"/>
      </w:pPr>
      <w:r>
        <w:t>Although the visual experience of the Abbey is awe-inspiring, as Tilley suggested</w:t>
      </w:r>
      <w:r w:rsidR="00B74F39">
        <w:t>,</w:t>
      </w:r>
      <w:r>
        <w:t xml:space="preserve"> it was the entire combination of sensory experiences which were significant</w:t>
      </w:r>
      <w:r w:rsidR="00B74F39">
        <w:rPr>
          <w:rStyle w:val="FootnoteReference"/>
        </w:rPr>
        <w:footnoteReference w:id="46"/>
      </w:r>
      <w:r>
        <w:t>. The sound and feel of the air and water were all encompassing. It was lightly raining and the combination of wind and rain, appeared as though the water was dancing in the sky. The air engulfed me by the sound of the wind whipping around my body, pulling me forward towards the sea, where the waves</w:t>
      </w:r>
      <w:r w:rsidR="00B74F39">
        <w:t xml:space="preserve"> were</w:t>
      </w:r>
      <w:r>
        <w:t xml:space="preserve"> crashing beneath. The wind was cold but not uncomfortably so, I could feel the air and light rain moving and hitting the skin on my face constantly. With each breath, the cold air filled my lungs and I could smell and taste the salt from the sea water in the air. There was a freshness to the air and power in the strength of the wind. Even the structure and materials of the Abbey appeared affected by the elements surrounding them and as Ingold suggested</w:t>
      </w:r>
      <w:r w:rsidR="00730D6F">
        <w:t xml:space="preserve">, the place </w:t>
      </w:r>
      <w:r>
        <w:t>ow</w:t>
      </w:r>
      <w:r w:rsidR="00DD4C1E">
        <w:t>es</w:t>
      </w:r>
      <w:r>
        <w:t xml:space="preserve"> its character to these elements.</w:t>
      </w:r>
      <w:r w:rsidRPr="00D149AD">
        <w:rPr>
          <w:rStyle w:val="FootnoteReference"/>
          <w:rFonts w:cstheme="minorHAnsi"/>
        </w:rPr>
        <w:footnoteReference w:id="47"/>
      </w:r>
    </w:p>
    <w:p w14:paraId="0C497A2B" w14:textId="77777777" w:rsidR="006447A3" w:rsidRDefault="006447A3" w:rsidP="00540049">
      <w:pPr>
        <w:jc w:val="both"/>
      </w:pPr>
    </w:p>
    <w:p w14:paraId="2D4B7DF2" w14:textId="0196ABCD" w:rsidR="00540049" w:rsidRDefault="00000000" w:rsidP="00540049">
      <w:pPr>
        <w:jc w:val="both"/>
      </w:pPr>
      <w:hyperlink r:id="rId24" w:history="1">
        <w:r w:rsidR="00540049" w:rsidRPr="00EF683A">
          <w:rPr>
            <w:rStyle w:val="Hyperlink"/>
          </w:rPr>
          <w:t>Sounds of Wind and Rain- Whitby Abbey 29/10/23</w:t>
        </w:r>
      </w:hyperlink>
    </w:p>
    <w:p w14:paraId="2AF5A86F" w14:textId="4B0D39EC" w:rsidR="00540049" w:rsidRDefault="00F1046B" w:rsidP="00BD72E4">
      <w:pPr>
        <w:spacing w:line="360" w:lineRule="auto"/>
        <w:jc w:val="both"/>
        <w:rPr>
          <w:color w:val="404040" w:themeColor="text1" w:themeTint="BF"/>
        </w:rPr>
      </w:pPr>
      <w:r>
        <w:rPr>
          <w:color w:val="404040" w:themeColor="text1" w:themeTint="BF"/>
        </w:rPr>
        <w:t>Figure</w:t>
      </w:r>
      <w:r w:rsidR="0051371F">
        <w:rPr>
          <w:color w:val="404040" w:themeColor="text1" w:themeTint="BF"/>
        </w:rPr>
        <w:t xml:space="preserve"> 12</w:t>
      </w:r>
      <w:r>
        <w:rPr>
          <w:color w:val="404040" w:themeColor="text1" w:themeTint="BF"/>
        </w:rPr>
        <w:t>: Video and sound of air and water at Whitby</w:t>
      </w:r>
    </w:p>
    <w:p w14:paraId="79A2308A" w14:textId="7C67C0CB" w:rsidR="00F1046B" w:rsidRDefault="00F1046B" w:rsidP="00BD72E4">
      <w:pPr>
        <w:spacing w:line="360" w:lineRule="auto"/>
        <w:jc w:val="both"/>
        <w:rPr>
          <w:color w:val="404040" w:themeColor="text1" w:themeTint="BF"/>
        </w:rPr>
      </w:pPr>
      <w:r>
        <w:rPr>
          <w:color w:val="404040" w:themeColor="text1" w:themeTint="BF"/>
        </w:rPr>
        <w:t xml:space="preserve">Source: </w:t>
      </w:r>
      <w:r w:rsidR="00363D43">
        <w:rPr>
          <w:color w:val="404040" w:themeColor="text1" w:themeTint="BF"/>
        </w:rPr>
        <w:t>Emily Nixon, 2023</w:t>
      </w:r>
    </w:p>
    <w:p w14:paraId="5C334A78" w14:textId="77777777" w:rsidR="0051371F" w:rsidRDefault="0051371F" w:rsidP="00BD72E4">
      <w:pPr>
        <w:spacing w:line="360" w:lineRule="auto"/>
        <w:jc w:val="both"/>
        <w:rPr>
          <w:color w:val="404040" w:themeColor="text1" w:themeTint="BF"/>
        </w:rPr>
      </w:pPr>
    </w:p>
    <w:p w14:paraId="01DE631A" w14:textId="77777777" w:rsidR="0051371F" w:rsidRDefault="0051371F" w:rsidP="00BD72E4">
      <w:pPr>
        <w:spacing w:line="360" w:lineRule="auto"/>
        <w:jc w:val="both"/>
        <w:rPr>
          <w:color w:val="404040" w:themeColor="text1" w:themeTint="BF"/>
        </w:rPr>
      </w:pPr>
    </w:p>
    <w:p w14:paraId="429F5CD3" w14:textId="77777777" w:rsidR="00363D43" w:rsidRPr="00F1046B" w:rsidRDefault="00363D43" w:rsidP="00BD72E4">
      <w:pPr>
        <w:spacing w:line="360" w:lineRule="auto"/>
        <w:jc w:val="both"/>
        <w:rPr>
          <w:color w:val="404040" w:themeColor="text1" w:themeTint="BF"/>
        </w:rPr>
      </w:pPr>
    </w:p>
    <w:p w14:paraId="5E5B0A3E" w14:textId="4B91FB75" w:rsidR="007E0376" w:rsidRDefault="0047221D" w:rsidP="00BD72E4">
      <w:pPr>
        <w:spacing w:line="360" w:lineRule="auto"/>
        <w:jc w:val="both"/>
      </w:pPr>
      <w:r>
        <w:t xml:space="preserve">The voice of the water was clearest, every step was determined by the rain, from the sound of the water and mud as I walked through the landscape but also requiring a carefulness and awareness of my steps due to the slippiness of the ground and stone within the abbey. There was a sense of the water reclaiming the space as its own. Demanding an awareness of its presence and a reminder of the waves reclaiming the land from the shoreline beneath, the rain de-stablishing the land and eroding the stone from above. I found myself particularly drawn to the direction of the sea and even once inside the Abbey Structure. The experience of the elements overshadowed the overall </w:t>
      </w:r>
      <w:r w:rsidR="00E72EA5">
        <w:t xml:space="preserve">impact of the </w:t>
      </w:r>
      <w:r>
        <w:t xml:space="preserve">structure. </w:t>
      </w:r>
    </w:p>
    <w:p w14:paraId="2CAA960F" w14:textId="77777777" w:rsidR="0047221D" w:rsidRDefault="0047221D" w:rsidP="00BD72E4">
      <w:pPr>
        <w:spacing w:line="360" w:lineRule="auto"/>
        <w:rPr>
          <w:rStyle w:val="SubtleEmphasis"/>
        </w:rPr>
      </w:pPr>
      <w:r>
        <w:rPr>
          <w:rStyle w:val="SubtleEmphasis"/>
        </w:rPr>
        <w:t>Water and Stone</w:t>
      </w:r>
    </w:p>
    <w:p w14:paraId="15EF0B66" w14:textId="0AE1149A" w:rsidR="00EE1CD4" w:rsidRDefault="0047221D" w:rsidP="00EE1CD4">
      <w:pPr>
        <w:spacing w:line="360" w:lineRule="auto"/>
        <w:jc w:val="both"/>
      </w:pPr>
      <w:r>
        <w:t xml:space="preserve">My attention was drawn to the interactions between the stone of the Abbey and water. From the ceilings rain ran through, the stone directing the waters path and the water carving its way to find paths even through stone. </w:t>
      </w:r>
      <w:r>
        <w:rPr>
          <w:rStyle w:val="SubtleEmphasis"/>
          <w:i w:val="0"/>
          <w:iCs w:val="0"/>
        </w:rPr>
        <w:t xml:space="preserve">The </w:t>
      </w:r>
      <w:r>
        <w:t>water carves its way through the stone of the Abbey, eroding its surface and leaving intricate patterns, pitting and waves throughout the stone columns. Despite the apparent stillness of the</w:t>
      </w:r>
      <w:r w:rsidR="00DE6105">
        <w:t xml:space="preserve"> stone</w:t>
      </w:r>
      <w:r>
        <w:t xml:space="preserve"> from a distance, as in figure</w:t>
      </w:r>
      <w:r w:rsidR="007E0376">
        <w:t xml:space="preserve"> 13</w:t>
      </w:r>
      <w:r>
        <w:t>, up close, the rocks, through the</w:t>
      </w:r>
      <w:r w:rsidR="008672F5">
        <w:t>ir</w:t>
      </w:r>
      <w:r>
        <w:t xml:space="preserve"> relationship with water have gained movement within its own sense of time</w:t>
      </w:r>
      <w:r>
        <w:rPr>
          <w:rStyle w:val="FootnoteReference"/>
        </w:rPr>
        <w:footnoteReference w:id="48"/>
      </w:r>
      <w:r>
        <w:t xml:space="preserve">. In this place, everything within the land, sea and sky then is interconnected through the unseen force of gravity. I could not see the moon, yet here there is a constant awareness of its presence in the tides. </w:t>
      </w:r>
      <w:r w:rsidRPr="003803A2">
        <w:t>Aristotle’s</w:t>
      </w:r>
      <w:r>
        <w:t xml:space="preserve"> theories of proper place, outlined by Brady a “phenomenological gravity”</w:t>
      </w:r>
      <w:r w:rsidRPr="006C0B59">
        <w:rPr>
          <w:rStyle w:val="FootnoteReference"/>
          <w:rFonts w:cstheme="minorHAnsi"/>
        </w:rPr>
        <w:footnoteReference w:id="49"/>
      </w:r>
      <w:r w:rsidRPr="006C0B59">
        <w:rPr>
          <w:rFonts w:cstheme="minorHAnsi"/>
        </w:rPr>
        <w:t xml:space="preserve"> </w:t>
      </w:r>
      <w:r>
        <w:t xml:space="preserve"> can be seen expressed, not only be people </w:t>
      </w:r>
      <w:r w:rsidR="00FA06CF">
        <w:t xml:space="preserve">but </w:t>
      </w:r>
      <w:r>
        <w:t xml:space="preserve">also by the materials within it. The waves, which are a part of the soundscape of Whitby, which cause the sea to erode the coastline- exposing fossils frozen in time and bringing the Jurassic seabed back into its place in the water. These stones appear as a microcosm of this force, the humanly constructed site being drawn back to the land by the water. </w:t>
      </w:r>
    </w:p>
    <w:p w14:paraId="230A07C9" w14:textId="77777777" w:rsidR="00EE1CD4" w:rsidRDefault="00EE1CD4" w:rsidP="00EE1CD4">
      <w:pPr>
        <w:pStyle w:val="Heading1"/>
      </w:pPr>
    </w:p>
    <w:p w14:paraId="1C2AA5B1" w14:textId="77777777" w:rsidR="007E0376" w:rsidRDefault="007E0376" w:rsidP="007E0376">
      <w:pPr>
        <w:rPr>
          <w:noProof/>
        </w:rPr>
      </w:pPr>
      <w:r>
        <w:rPr>
          <w:noProof/>
        </w:rPr>
        <w:drawing>
          <wp:inline distT="0" distB="0" distL="0" distR="0" wp14:anchorId="42BE7358" wp14:editId="48BEDC05">
            <wp:extent cx="4889090" cy="5139621"/>
            <wp:effectExtent l="0" t="0" r="6985" b="4445"/>
            <wp:docPr id="9060526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98486" cy="5149498"/>
                    </a:xfrm>
                    <a:prstGeom prst="rect">
                      <a:avLst/>
                    </a:prstGeom>
                    <a:noFill/>
                  </pic:spPr>
                </pic:pic>
              </a:graphicData>
            </a:graphic>
          </wp:inline>
        </w:drawing>
      </w:r>
    </w:p>
    <w:p w14:paraId="009CD56A" w14:textId="6375A371" w:rsidR="00CD3E39" w:rsidRDefault="00CD3E39" w:rsidP="00CD3E39">
      <w:pPr>
        <w:tabs>
          <w:tab w:val="left" w:pos="3890"/>
        </w:tabs>
        <w:rPr>
          <w:noProof/>
        </w:rPr>
      </w:pPr>
      <w:r>
        <w:rPr>
          <w:noProof/>
        </w:rPr>
        <w:tab/>
      </w:r>
    </w:p>
    <w:p w14:paraId="0D48AB56" w14:textId="77777777" w:rsidR="00CD3E39" w:rsidRDefault="00CD3E39" w:rsidP="00CD3E39">
      <w:pPr>
        <w:tabs>
          <w:tab w:val="left" w:pos="3890"/>
        </w:tabs>
      </w:pPr>
      <w:r>
        <w:t>Figure 13: The effect of water on the Whitby Abbey stone</w:t>
      </w:r>
    </w:p>
    <w:p w14:paraId="4F718783" w14:textId="6B451EAB" w:rsidR="00CD3E39" w:rsidRPr="00CD3E39" w:rsidRDefault="00CD3E39" w:rsidP="00CD3E39">
      <w:pPr>
        <w:tabs>
          <w:tab w:val="left" w:pos="3890"/>
        </w:tabs>
        <w:sectPr w:rsidR="00CD3E39" w:rsidRPr="00CD3E39" w:rsidSect="00D97837">
          <w:pgSz w:w="11906" w:h="16838"/>
          <w:pgMar w:top="1440" w:right="1440" w:bottom="1440" w:left="1440" w:header="708" w:footer="708" w:gutter="0"/>
          <w:cols w:space="708"/>
          <w:docGrid w:linePitch="360"/>
        </w:sectPr>
      </w:pPr>
      <w:r>
        <w:t>Sourc</w:t>
      </w:r>
      <w:r w:rsidR="00DC30F9">
        <w:t>e: Emily Nixon, 2023</w:t>
      </w:r>
      <w:r>
        <w:tab/>
      </w:r>
    </w:p>
    <w:p w14:paraId="5B5BC237" w14:textId="796795E9" w:rsidR="0030272D" w:rsidRDefault="004B6E68" w:rsidP="00EE1CD4">
      <w:pPr>
        <w:pStyle w:val="Heading1"/>
      </w:pPr>
      <w:r>
        <w:lastRenderedPageBreak/>
        <w:t>C</w:t>
      </w:r>
      <w:r w:rsidR="00414FD3">
        <w:t>onclusion</w:t>
      </w:r>
    </w:p>
    <w:p w14:paraId="6699A5F6" w14:textId="77777777" w:rsidR="00673A0F" w:rsidRDefault="00673A0F" w:rsidP="00673A0F">
      <w:pPr>
        <w:spacing w:line="360" w:lineRule="auto"/>
        <w:jc w:val="both"/>
      </w:pPr>
      <w:r w:rsidRPr="008A74C0">
        <w:t xml:space="preserve">To </w:t>
      </w:r>
      <w:r>
        <w:t>c</w:t>
      </w:r>
      <w:r w:rsidRPr="008A74C0">
        <w:t xml:space="preserve">onclude, </w:t>
      </w:r>
      <w:r>
        <w:t>Whitby Abbey is a site with a complexly interwoven culture of human events, activities and natural features which mark it out as a sacred space. The site was explored as a sacred space, using a phenomenological approach, through the themes of: landscape in time and story, pilgrimage in high places and experiencing the elements.</w:t>
      </w:r>
    </w:p>
    <w:p w14:paraId="2F80BEB0" w14:textId="43D06895" w:rsidR="00673A0F" w:rsidRPr="00A35B7E" w:rsidRDefault="00673A0F" w:rsidP="00673A0F">
      <w:pPr>
        <w:spacing w:line="360" w:lineRule="auto"/>
        <w:jc w:val="both"/>
      </w:pPr>
      <w:r>
        <w:t>The human construction of sacred space can be seen in structures, folklore, the activities which take place there and within the human identity of the town beneath. Like embers, sacredness has been nurtured at this site for long periods by humans but arguably as evidenced by its Jurassic fossils, the Whitby landscape as we know it, has been millions of years in the making. The natural features of the landscape, are quite literally the bedrock which supports this sacred space and has drawn humans to the site over the centuries. Inspiring religious activity, accounts of sacred experiences, experiences of the uncanny and generations of storytelling. The story of landscape and humans is entangled together and what may at first seem like an altering character at Whitby Abbey, is instead a growing complex tapestry. As tourism has increased, instead of ceasing to be sacred</w:t>
      </w:r>
      <w:r w:rsidR="00CD3617">
        <w:t>,</w:t>
      </w:r>
      <w:r>
        <w:t xml:space="preserve"> the Abbey has gained a new community, layering the Abbey with new culture and stories. </w:t>
      </w:r>
    </w:p>
    <w:p w14:paraId="79202420" w14:textId="2D48E39D" w:rsidR="00673A0F" w:rsidRDefault="00673A0F" w:rsidP="00673A0F">
      <w:pPr>
        <w:spacing w:line="360" w:lineRule="auto"/>
        <w:jc w:val="both"/>
      </w:pPr>
      <w:r w:rsidRPr="006F54A2">
        <w:t>Spending time within the site,</w:t>
      </w:r>
      <w:r>
        <w:t xml:space="preserve"> it is clear that</w:t>
      </w:r>
      <w:r w:rsidRPr="006F54A2">
        <w:t xml:space="preserve"> </w:t>
      </w:r>
      <w:r>
        <w:t xml:space="preserve">it’s high location and surroundings offer a space completely open to the elements and removed of the usual constraints of time. To </w:t>
      </w:r>
      <w:r w:rsidRPr="006F54A2">
        <w:t>understand the true significance of Whitby</w:t>
      </w:r>
      <w:r>
        <w:t xml:space="preserve"> Abbey’s location and it’s unique geographical personality, it is critical to spend time there. Stories have allowed for an embedding of memory but it is movement and an embodied experience within the landscape which offers the feeling of the numinous through interactions with the landscape, materials and elements of the Abbey site.  </w:t>
      </w:r>
    </w:p>
    <w:p w14:paraId="6116D6AF" w14:textId="77777777" w:rsidR="00673A0F" w:rsidRDefault="00673A0F" w:rsidP="00673A0F">
      <w:pPr>
        <w:spacing w:line="360" w:lineRule="auto"/>
        <w:jc w:val="both"/>
      </w:pPr>
      <w:r w:rsidRPr="00CE7A5E">
        <w:t xml:space="preserve">Whitby Abbey highlights how both human constructs and natural phenomena have the potential to create sacred space. </w:t>
      </w:r>
      <w:r>
        <w:t xml:space="preserve">The layering of human activities and the draw of landscape bring together the perfect recipe for intriguing human visitors and providing them with the conditions necessary for experiences of sacredness. </w:t>
      </w:r>
    </w:p>
    <w:p w14:paraId="41C1F731" w14:textId="77777777" w:rsidR="00314A72" w:rsidRDefault="00314A72" w:rsidP="00673A0F">
      <w:pPr>
        <w:spacing w:line="360" w:lineRule="auto"/>
        <w:jc w:val="both"/>
      </w:pPr>
    </w:p>
    <w:p w14:paraId="0EAEFE05" w14:textId="61F98208" w:rsidR="00314A72" w:rsidRPr="00CE7A5E" w:rsidRDefault="00314A72" w:rsidP="00673A0F">
      <w:pPr>
        <w:spacing w:line="360" w:lineRule="auto"/>
        <w:jc w:val="both"/>
      </w:pPr>
      <w:r>
        <w:t>Word Count: 529</w:t>
      </w:r>
      <w:r w:rsidR="00E32424">
        <w:t>7</w:t>
      </w:r>
    </w:p>
    <w:p w14:paraId="67875C09" w14:textId="77777777" w:rsidR="00BD72E4" w:rsidRDefault="00BD72E4" w:rsidP="00BD72E4">
      <w:pPr>
        <w:pStyle w:val="Heading1"/>
        <w:spacing w:line="360" w:lineRule="auto"/>
      </w:pPr>
    </w:p>
    <w:p w14:paraId="67356462" w14:textId="77777777" w:rsidR="00BD72E4" w:rsidRDefault="00BD72E4" w:rsidP="00BD72E4">
      <w:pPr>
        <w:pStyle w:val="Heading1"/>
        <w:spacing w:line="360" w:lineRule="auto"/>
      </w:pPr>
    </w:p>
    <w:p w14:paraId="1FA62B00" w14:textId="77777777" w:rsidR="00BD72E4" w:rsidRDefault="00BD72E4" w:rsidP="00BD72E4">
      <w:pPr>
        <w:pStyle w:val="Heading1"/>
        <w:spacing w:line="360" w:lineRule="auto"/>
      </w:pPr>
    </w:p>
    <w:p w14:paraId="72A0C925" w14:textId="77777777" w:rsidR="00BD72E4" w:rsidRDefault="00BD72E4" w:rsidP="00BD72E4">
      <w:pPr>
        <w:pStyle w:val="Heading1"/>
        <w:spacing w:line="360" w:lineRule="auto"/>
      </w:pPr>
    </w:p>
    <w:p w14:paraId="3C02EF6D" w14:textId="77777777" w:rsidR="00BD72E4" w:rsidRDefault="00BD72E4" w:rsidP="00BD72E4">
      <w:pPr>
        <w:pStyle w:val="Heading1"/>
        <w:spacing w:line="360" w:lineRule="auto"/>
      </w:pPr>
    </w:p>
    <w:p w14:paraId="6341768E" w14:textId="77777777" w:rsidR="00BD72E4" w:rsidRDefault="00BD72E4" w:rsidP="00BD72E4">
      <w:pPr>
        <w:pStyle w:val="Heading1"/>
        <w:spacing w:line="360" w:lineRule="auto"/>
      </w:pPr>
    </w:p>
    <w:p w14:paraId="589B7457" w14:textId="77777777" w:rsidR="00BD72E4" w:rsidRDefault="00BD72E4" w:rsidP="00BD72E4">
      <w:pPr>
        <w:pStyle w:val="Heading1"/>
        <w:spacing w:line="360" w:lineRule="auto"/>
      </w:pPr>
    </w:p>
    <w:p w14:paraId="2F060549" w14:textId="77777777" w:rsidR="00BD72E4" w:rsidRDefault="00BD72E4" w:rsidP="00BD72E4">
      <w:pPr>
        <w:pStyle w:val="Heading1"/>
        <w:spacing w:line="360" w:lineRule="auto"/>
      </w:pPr>
    </w:p>
    <w:p w14:paraId="0F6E74E7" w14:textId="77777777" w:rsidR="00BD72E4" w:rsidRDefault="00BD72E4" w:rsidP="00BD72E4">
      <w:pPr>
        <w:pStyle w:val="Heading1"/>
        <w:spacing w:line="360" w:lineRule="auto"/>
      </w:pPr>
    </w:p>
    <w:p w14:paraId="39D17148" w14:textId="77777777" w:rsidR="00BD72E4" w:rsidRDefault="00BD72E4" w:rsidP="00BD72E4">
      <w:pPr>
        <w:pStyle w:val="Heading1"/>
        <w:spacing w:line="360" w:lineRule="auto"/>
      </w:pPr>
    </w:p>
    <w:p w14:paraId="49F3D725" w14:textId="77777777" w:rsidR="00BD72E4" w:rsidRDefault="00BD72E4" w:rsidP="00BD72E4">
      <w:pPr>
        <w:pStyle w:val="Heading1"/>
        <w:spacing w:line="360" w:lineRule="auto"/>
      </w:pPr>
    </w:p>
    <w:p w14:paraId="2B12BA68" w14:textId="77777777" w:rsidR="00BD72E4" w:rsidRDefault="00BD72E4" w:rsidP="00BD72E4">
      <w:pPr>
        <w:pStyle w:val="Heading1"/>
        <w:spacing w:line="360" w:lineRule="auto"/>
      </w:pPr>
    </w:p>
    <w:p w14:paraId="16DC6F3D" w14:textId="77777777" w:rsidR="00BD72E4" w:rsidRDefault="00BD72E4" w:rsidP="00BD72E4">
      <w:pPr>
        <w:pStyle w:val="Heading1"/>
        <w:spacing w:line="360" w:lineRule="auto"/>
      </w:pPr>
    </w:p>
    <w:p w14:paraId="359977A2" w14:textId="77777777" w:rsidR="00BD72E4" w:rsidRDefault="00BD72E4" w:rsidP="00BD72E4">
      <w:pPr>
        <w:pStyle w:val="Heading1"/>
        <w:spacing w:line="360" w:lineRule="auto"/>
      </w:pPr>
    </w:p>
    <w:p w14:paraId="1822FA1F" w14:textId="77777777" w:rsidR="00BD72E4" w:rsidRDefault="00BD72E4" w:rsidP="00BD72E4">
      <w:pPr>
        <w:pStyle w:val="Heading1"/>
        <w:spacing w:line="360" w:lineRule="auto"/>
      </w:pPr>
    </w:p>
    <w:p w14:paraId="51688DD9" w14:textId="77777777" w:rsidR="00EE1CD4" w:rsidRDefault="00EE1CD4" w:rsidP="00BD72E4">
      <w:pPr>
        <w:pStyle w:val="Heading1"/>
        <w:spacing w:line="360" w:lineRule="auto"/>
        <w:sectPr w:rsidR="00EE1CD4" w:rsidSect="00D97837">
          <w:pgSz w:w="11906" w:h="16838"/>
          <w:pgMar w:top="1440" w:right="1440" w:bottom="1440" w:left="1440" w:header="708" w:footer="708" w:gutter="0"/>
          <w:cols w:space="708"/>
          <w:docGrid w:linePitch="360"/>
        </w:sectPr>
      </w:pPr>
    </w:p>
    <w:p w14:paraId="5D4BB0AF" w14:textId="10E2318F" w:rsidR="0030272D" w:rsidRDefault="0030272D" w:rsidP="00BD72E4">
      <w:pPr>
        <w:pStyle w:val="Heading1"/>
        <w:spacing w:line="360" w:lineRule="auto"/>
      </w:pPr>
      <w:r>
        <w:lastRenderedPageBreak/>
        <w:t>Bibliography</w:t>
      </w:r>
    </w:p>
    <w:p w14:paraId="025AC987" w14:textId="11DCE984" w:rsidR="002C73E1" w:rsidRPr="005E6D11" w:rsidRDefault="0030272D" w:rsidP="00BD72E4">
      <w:pPr>
        <w:spacing w:line="360" w:lineRule="auto"/>
      </w:pPr>
      <w:r>
        <w:t xml:space="preserve"> Casey, E. ‘How to get from space to place in a fairly short stretch of time: phenomenological prolegomena’</w:t>
      </w:r>
      <w:r w:rsidR="00ED5D5B">
        <w:t xml:space="preserve"> i</w:t>
      </w:r>
      <w:r>
        <w:t xml:space="preserve">n </w:t>
      </w:r>
      <w:r w:rsidR="000E4074" w:rsidRPr="000E4074">
        <w:rPr>
          <w:i/>
          <w:iCs/>
        </w:rPr>
        <w:t>Senses of Place</w:t>
      </w:r>
      <w:r w:rsidR="00B92D3A">
        <w:t xml:space="preserve">, ed. </w:t>
      </w:r>
      <w:r>
        <w:t xml:space="preserve">S. Feld and K.H. Basso, </w:t>
      </w:r>
      <w:r w:rsidR="00B92D3A">
        <w:t>(</w:t>
      </w:r>
      <w:r>
        <w:t xml:space="preserve">Santa Fe: School of American Research, </w:t>
      </w:r>
      <w:r w:rsidR="00B92D3A">
        <w:t xml:space="preserve">1996) </w:t>
      </w:r>
      <w:r>
        <w:t>pp:13-52</w:t>
      </w:r>
    </w:p>
    <w:p w14:paraId="38593ED1" w14:textId="3AF5A396" w:rsidR="00B05CC6" w:rsidRDefault="00B05CC6" w:rsidP="00BD72E4">
      <w:pPr>
        <w:spacing w:line="360" w:lineRule="auto"/>
        <w:rPr>
          <w:rFonts w:cstheme="minorHAnsi"/>
          <w:color w:val="000000" w:themeColor="text1"/>
          <w:shd w:val="clear" w:color="auto" w:fill="FFFFFF"/>
        </w:rPr>
      </w:pPr>
      <w:r w:rsidRPr="00B05CC6">
        <w:rPr>
          <w:rFonts w:cstheme="minorHAnsi"/>
          <w:color w:val="000000" w:themeColor="text1"/>
          <w:shd w:val="clear" w:color="auto" w:fill="FFFFFF"/>
        </w:rPr>
        <w:t>Bender, B</w:t>
      </w:r>
      <w:r w:rsidR="00B0123F">
        <w:rPr>
          <w:rFonts w:cstheme="minorHAnsi"/>
          <w:color w:val="000000" w:themeColor="text1"/>
          <w:shd w:val="clear" w:color="auto" w:fill="FFFFFF"/>
        </w:rPr>
        <w:t>.</w:t>
      </w:r>
      <w:r w:rsidRPr="00B05CC6">
        <w:rPr>
          <w:rFonts w:cstheme="minorHAnsi"/>
          <w:color w:val="000000" w:themeColor="text1"/>
          <w:shd w:val="clear" w:color="auto" w:fill="FFFFFF"/>
        </w:rPr>
        <w:t xml:space="preserve"> </w:t>
      </w:r>
      <w:r w:rsidRPr="00B05CC6">
        <w:rPr>
          <w:rFonts w:cstheme="minorHAnsi"/>
          <w:i/>
          <w:iCs/>
          <w:color w:val="000000" w:themeColor="text1"/>
          <w:shd w:val="clear" w:color="auto" w:fill="FFFFFF"/>
        </w:rPr>
        <w:t>Stonehenge: Making Space</w:t>
      </w:r>
      <w:r w:rsidRPr="00B05CC6">
        <w:rPr>
          <w:rFonts w:cstheme="minorHAnsi"/>
          <w:color w:val="000000" w:themeColor="text1"/>
          <w:shd w:val="clear" w:color="auto" w:fill="FFFFFF"/>
        </w:rPr>
        <w:t>, (Oxford:</w:t>
      </w:r>
      <w:r w:rsidR="001E3AAB">
        <w:rPr>
          <w:rFonts w:cstheme="minorHAnsi"/>
          <w:color w:val="000000" w:themeColor="text1"/>
          <w:shd w:val="clear" w:color="auto" w:fill="FFFFFF"/>
        </w:rPr>
        <w:t xml:space="preserve"> </w:t>
      </w:r>
      <w:r w:rsidRPr="00B05CC6">
        <w:rPr>
          <w:rFonts w:cstheme="minorHAnsi"/>
          <w:color w:val="000000" w:themeColor="text1"/>
          <w:shd w:val="clear" w:color="auto" w:fill="FFFFFF"/>
        </w:rPr>
        <w:t xml:space="preserve">Berg, 1998) </w:t>
      </w:r>
      <w:r w:rsidR="0017528C">
        <w:rPr>
          <w:rFonts w:cstheme="minorHAnsi"/>
          <w:color w:val="000000" w:themeColor="text1"/>
          <w:shd w:val="clear" w:color="auto" w:fill="FFFFFF"/>
        </w:rPr>
        <w:t>pp:</w:t>
      </w:r>
      <w:r w:rsidRPr="00B05CC6">
        <w:rPr>
          <w:rFonts w:cstheme="minorHAnsi"/>
          <w:color w:val="000000" w:themeColor="text1"/>
          <w:shd w:val="clear" w:color="auto" w:fill="FFFFFF"/>
        </w:rPr>
        <w:t>97-131</w:t>
      </w:r>
    </w:p>
    <w:p w14:paraId="4F0972EE" w14:textId="45411606" w:rsidR="00CA0717" w:rsidRPr="00C20AC8" w:rsidRDefault="00CA0717" w:rsidP="00CA0717">
      <w:r>
        <w:t xml:space="preserve">Bender, B. ‘Time and Landscape,’ </w:t>
      </w:r>
      <w:r w:rsidRPr="002D231F">
        <w:rPr>
          <w:i/>
          <w:iCs/>
        </w:rPr>
        <w:t>Current Anthropology</w:t>
      </w:r>
      <w:r>
        <w:t>, 43: Supplement (2002) pp. s103-s112.</w:t>
      </w:r>
    </w:p>
    <w:p w14:paraId="6BBE2B13" w14:textId="73820FC5" w:rsidR="00FE0BF1" w:rsidRPr="00FE0BF1" w:rsidRDefault="00FE0BF1" w:rsidP="00BD72E4">
      <w:pPr>
        <w:spacing w:line="360" w:lineRule="auto"/>
      </w:pPr>
      <w:r>
        <w:t>Brady, B</w:t>
      </w:r>
      <w:r w:rsidR="00B0123F">
        <w:t>.</w:t>
      </w:r>
      <w:r>
        <w:t xml:space="preserve"> ‘</w:t>
      </w:r>
      <w:r w:rsidRPr="00E037B6">
        <w:t>Mountain talk of kings and dragons, the Brecon Beacons</w:t>
      </w:r>
      <w:r>
        <w:t xml:space="preserve">’ in </w:t>
      </w:r>
      <w:r w:rsidRPr="0000265F">
        <w:rPr>
          <w:i/>
          <w:iCs/>
        </w:rPr>
        <w:t>Space, Place and Religious Landscapes: Living Mountains</w:t>
      </w:r>
      <w:r w:rsidRPr="0000265F">
        <w:t>, ed. By Darrelyn Gunzburg &amp; Bernadette Brady</w:t>
      </w:r>
      <w:r>
        <w:t xml:space="preserve"> (London: Bloomsbury Academic, 2021) pp:173-190</w:t>
      </w:r>
    </w:p>
    <w:p w14:paraId="3D09DF30" w14:textId="71005650" w:rsidR="0017528C" w:rsidRDefault="0017528C" w:rsidP="00BD72E4">
      <w:pPr>
        <w:spacing w:line="360" w:lineRule="auto"/>
        <w:jc w:val="both"/>
      </w:pPr>
      <w:r>
        <w:t>Cannon, J</w:t>
      </w:r>
      <w:r w:rsidR="00B0123F">
        <w:t>.</w:t>
      </w:r>
      <w:r>
        <w:t xml:space="preserve"> ‘</w:t>
      </w:r>
      <w:r w:rsidRPr="0000265F">
        <w:t>Time and place at Brentor: Exploring an encounter with a sacred mountain</w:t>
      </w:r>
      <w:r>
        <w:t xml:space="preserve">’, in </w:t>
      </w:r>
      <w:r w:rsidRPr="0000265F">
        <w:rPr>
          <w:i/>
          <w:iCs/>
        </w:rPr>
        <w:t>Space, Place and Religious Landscapes: Living Mountains</w:t>
      </w:r>
      <w:r w:rsidRPr="0000265F">
        <w:t>, ed. By Darrelyn Gunzburg &amp; Bernadette Brady</w:t>
      </w:r>
      <w:r>
        <w:t xml:space="preserve"> (London: Bloomsbury Academic, 2021), pp: 71-98</w:t>
      </w:r>
    </w:p>
    <w:p w14:paraId="17256E63" w14:textId="253412C3" w:rsidR="00123BED" w:rsidRDefault="00123BED" w:rsidP="00BD72E4">
      <w:pPr>
        <w:spacing w:line="360" w:lineRule="auto"/>
      </w:pPr>
      <w:r w:rsidRPr="00CD3A70">
        <w:t>Doyle, A, I. ‘A miracle of St Hilda in a migrating manuscript’</w:t>
      </w:r>
      <w:r>
        <w:t xml:space="preserve"> In </w:t>
      </w:r>
      <w:r w:rsidRPr="00BD6435">
        <w:rPr>
          <w:i/>
          <w:iCs/>
        </w:rPr>
        <w:t>Crossing Boundaries: Interdisciplinary Approaches to the Art, Material Culture, Language and Literature of the Early Medieval World</w:t>
      </w:r>
      <w:r>
        <w:t>, ed. By Eric Cambridge &amp; Jane Hawkes, (Oxbow Books, 2017) pp1-9</w:t>
      </w:r>
    </w:p>
    <w:p w14:paraId="310B8A50" w14:textId="718E37A4" w:rsidR="00D63CB9" w:rsidRDefault="00D63CB9" w:rsidP="00BD72E4">
      <w:pPr>
        <w:spacing w:line="360" w:lineRule="auto"/>
      </w:pPr>
      <w:r>
        <w:t xml:space="preserve">Durkheim, E. </w:t>
      </w:r>
      <w:r w:rsidRPr="00D63CB9">
        <w:rPr>
          <w:i/>
          <w:iCs/>
        </w:rPr>
        <w:t>The Elementary Forms of Religious Life</w:t>
      </w:r>
      <w:r>
        <w:t>, trans. Karen E. Fields, (New York: Free Press, 1995) [1st edn.., Les Formes élémentaires de la vie religieuse, Paris; F. Alcan 1912] pp: xliii-li, 1-13, 70-83.</w:t>
      </w:r>
    </w:p>
    <w:p w14:paraId="29DDF6D4" w14:textId="56862A85" w:rsidR="00F46FC5" w:rsidRDefault="00F46FC5" w:rsidP="00BD72E4">
      <w:pPr>
        <w:spacing w:line="360" w:lineRule="auto"/>
      </w:pPr>
      <w:r>
        <w:t xml:space="preserve">Eliade, M. </w:t>
      </w:r>
      <w:r w:rsidRPr="00F46FC5">
        <w:rPr>
          <w:i/>
          <w:iCs/>
        </w:rPr>
        <w:t>The Sacred and the Profane</w:t>
      </w:r>
      <w:r>
        <w:t xml:space="preserve">, (New York: Harcourt Brace, 1959) pp. 20-65 </w:t>
      </w:r>
    </w:p>
    <w:p w14:paraId="129629E7" w14:textId="5CECE0AF" w:rsidR="00E81122" w:rsidRPr="00E81122" w:rsidRDefault="00E81122" w:rsidP="00BD72E4">
      <w:pPr>
        <w:spacing w:line="360" w:lineRule="auto"/>
        <w:rPr>
          <w:lang w:val="fr-FR"/>
        </w:rPr>
      </w:pPr>
      <w:r w:rsidRPr="00AA5BE1">
        <w:t xml:space="preserve">Fields, Karen, 'Translator's Introduction: Religion as an Eminently Social Thing' in Durkheim, Emile, </w:t>
      </w:r>
      <w:r w:rsidRPr="00AA5BE1">
        <w:rPr>
          <w:i/>
          <w:iCs/>
        </w:rPr>
        <w:t>The Elementary Forms of Religious Life</w:t>
      </w:r>
      <w:r w:rsidRPr="00AA5BE1">
        <w:t xml:space="preserve">, trans. </w:t>
      </w:r>
      <w:r w:rsidRPr="00EF04F7">
        <w:rPr>
          <w:lang w:val="fr-FR"/>
        </w:rPr>
        <w:t>Karen E. Fields, (New York: Free Press, 1995) [1st edn.., Les Formes élémentaires de la vie religieuse, Paris; F. Alcan 1912], pp. xvii-xxxiii</w:t>
      </w:r>
    </w:p>
    <w:p w14:paraId="2304DA30" w14:textId="6CBBBB39" w:rsidR="00435EDE" w:rsidRDefault="00435EDE" w:rsidP="00BD72E4">
      <w:pPr>
        <w:spacing w:line="360" w:lineRule="auto"/>
        <w:jc w:val="both"/>
      </w:pPr>
      <w:r>
        <w:t>Gunzburg, D &amp; Brady, B</w:t>
      </w:r>
      <w:r w:rsidR="00B0123F">
        <w:t>.</w:t>
      </w:r>
      <w:r>
        <w:t xml:space="preserve"> ‘Introduction’ in </w:t>
      </w:r>
      <w:r w:rsidRPr="0000265F">
        <w:rPr>
          <w:i/>
          <w:iCs/>
        </w:rPr>
        <w:t>Space, Place and Religious Landscapes: Living Mountains</w:t>
      </w:r>
      <w:r w:rsidRPr="0000265F">
        <w:t>, ed. By Darrelyn Gunzburg &amp; Bernadette Brady</w:t>
      </w:r>
      <w:r>
        <w:t xml:space="preserve"> (London: Bloomsbury Academic, 2021) pp:1-10</w:t>
      </w:r>
    </w:p>
    <w:p w14:paraId="2F4D20F8" w14:textId="671B8DF9" w:rsidR="00B87039" w:rsidRPr="00B87039" w:rsidRDefault="00B87039" w:rsidP="00BD72E4">
      <w:pPr>
        <w:spacing w:line="360" w:lineRule="auto"/>
        <w:rPr>
          <w:rFonts w:cstheme="minorHAnsi"/>
        </w:rPr>
      </w:pPr>
      <w:r w:rsidRPr="00CC70C0">
        <w:rPr>
          <w:rFonts w:cstheme="minorHAnsi"/>
        </w:rPr>
        <w:t xml:space="preserve">Idinopulos &amp; Wilson, ‘Preface’ in </w:t>
      </w:r>
      <w:r w:rsidRPr="00CC70C0">
        <w:rPr>
          <w:rFonts w:cstheme="minorHAnsi"/>
          <w:i/>
          <w:iCs/>
        </w:rPr>
        <w:t>Reappraising Dukheim for the Study and Teaching of Religion Today</w:t>
      </w:r>
      <w:r w:rsidRPr="00CC70C0">
        <w:rPr>
          <w:rFonts w:cstheme="minorHAnsi"/>
        </w:rPr>
        <w:t>, ed.by Idinopulos &amp; Wilson (Boston: Brill, 2001) pp: x-xix</w:t>
      </w:r>
    </w:p>
    <w:p w14:paraId="5581815E" w14:textId="08B18A34" w:rsidR="00F46FC5" w:rsidRDefault="00F46FC5" w:rsidP="00BD72E4">
      <w:pPr>
        <w:spacing w:line="360" w:lineRule="auto"/>
      </w:pPr>
      <w:r>
        <w:t xml:space="preserve">Ingold, T. ‘The Temporality of Landscape’, </w:t>
      </w:r>
      <w:r w:rsidRPr="00F46FC5">
        <w:rPr>
          <w:i/>
          <w:iCs/>
        </w:rPr>
        <w:t>World Archaeology</w:t>
      </w:r>
      <w:r>
        <w:t>, (25:2, 1993) pp:152-174</w:t>
      </w:r>
    </w:p>
    <w:p w14:paraId="54CD2688" w14:textId="34F6CB42" w:rsidR="00F46FC5" w:rsidRPr="00435EDE" w:rsidRDefault="00F46FC5" w:rsidP="00BD72E4">
      <w:pPr>
        <w:spacing w:line="360" w:lineRule="auto"/>
      </w:pPr>
      <w:r>
        <w:t>Ingold, T. ‘Culture on the Ground: The World Perceived Through the Feet’</w:t>
      </w:r>
      <w:r w:rsidRPr="006B30CE">
        <w:rPr>
          <w:i/>
          <w:iCs/>
        </w:rPr>
        <w:t>, Journal of Material Culture</w:t>
      </w:r>
      <w:r>
        <w:t>, (9:3, 2004) pp:315-340</w:t>
      </w:r>
    </w:p>
    <w:p w14:paraId="569891DB" w14:textId="059712B2" w:rsidR="009C184E" w:rsidRPr="009C184E" w:rsidRDefault="009C184E" w:rsidP="00BD72E4">
      <w:pPr>
        <w:spacing w:line="360" w:lineRule="auto"/>
        <w:jc w:val="both"/>
        <w:rPr>
          <w:rFonts w:cstheme="minorHAnsi"/>
        </w:rPr>
      </w:pPr>
      <w:r w:rsidRPr="0039708B">
        <w:rPr>
          <w:rFonts w:cstheme="minorHAnsi"/>
        </w:rPr>
        <w:lastRenderedPageBreak/>
        <w:t>Ingold, T</w:t>
      </w:r>
      <w:r w:rsidR="00B0123F">
        <w:rPr>
          <w:rFonts w:cstheme="minorHAnsi"/>
        </w:rPr>
        <w:t>.</w:t>
      </w:r>
      <w:r w:rsidRPr="0039708B">
        <w:rPr>
          <w:rFonts w:cstheme="minorHAnsi"/>
        </w:rPr>
        <w:t xml:space="preserve"> </w:t>
      </w:r>
      <w:r>
        <w:rPr>
          <w:rFonts w:cstheme="minorHAnsi"/>
        </w:rPr>
        <w:t>‘</w:t>
      </w:r>
      <w:r w:rsidRPr="0039708B">
        <w:rPr>
          <w:rFonts w:cstheme="minorHAnsi"/>
        </w:rPr>
        <w:t>The eye of the storm: visual perception and the weather,</w:t>
      </w:r>
      <w:r>
        <w:rPr>
          <w:rFonts w:cstheme="minorHAnsi"/>
        </w:rPr>
        <w:t>’</w:t>
      </w:r>
      <w:r w:rsidRPr="0039708B">
        <w:rPr>
          <w:rFonts w:cstheme="minorHAnsi"/>
        </w:rPr>
        <w:t xml:space="preserve"> </w:t>
      </w:r>
      <w:r w:rsidRPr="004C1258">
        <w:rPr>
          <w:rFonts w:cstheme="minorHAnsi"/>
          <w:i/>
          <w:iCs/>
        </w:rPr>
        <w:t>Visual Studies</w:t>
      </w:r>
      <w:r w:rsidRPr="0039708B">
        <w:rPr>
          <w:rFonts w:cstheme="minorHAnsi"/>
        </w:rPr>
        <w:t xml:space="preserve">, 20:2, </w:t>
      </w:r>
      <w:r>
        <w:rPr>
          <w:rFonts w:cstheme="minorHAnsi"/>
        </w:rPr>
        <w:t xml:space="preserve">(2005) </w:t>
      </w:r>
      <w:r w:rsidR="0017528C">
        <w:rPr>
          <w:rFonts w:cstheme="minorHAnsi"/>
        </w:rPr>
        <w:t>pp:</w:t>
      </w:r>
      <w:r w:rsidRPr="0039708B">
        <w:rPr>
          <w:rFonts w:cstheme="minorHAnsi"/>
        </w:rPr>
        <w:t>97-104</w:t>
      </w:r>
    </w:p>
    <w:p w14:paraId="234BD3E2" w14:textId="44B6E4D5" w:rsidR="007C0703" w:rsidRDefault="007C0703" w:rsidP="00BD72E4">
      <w:pPr>
        <w:spacing w:line="360" w:lineRule="auto"/>
      </w:pPr>
      <w:r>
        <w:t xml:space="preserve">Ingold, T, </w:t>
      </w:r>
      <w:r w:rsidRPr="001E3AAB">
        <w:rPr>
          <w:i/>
          <w:iCs/>
        </w:rPr>
        <w:t>Lines: A Brief History</w:t>
      </w:r>
      <w:r>
        <w:t xml:space="preserve">, (London: Routledge, 2016) </w:t>
      </w:r>
      <w:r w:rsidR="0017528C">
        <w:t>pp:</w:t>
      </w:r>
      <w:r>
        <w:t xml:space="preserve">1-5, </w:t>
      </w:r>
      <w:r w:rsidR="0017528C">
        <w:t>pp:</w:t>
      </w:r>
      <w:r>
        <w:t xml:space="preserve">40-73 </w:t>
      </w:r>
    </w:p>
    <w:p w14:paraId="634E9DC5" w14:textId="70FD63B8" w:rsidR="00E3778E" w:rsidRDefault="00E3778E" w:rsidP="00BD72E4">
      <w:pPr>
        <w:spacing w:line="360" w:lineRule="auto"/>
      </w:pPr>
      <w:r>
        <w:t xml:space="preserve">Lévy-Bruhl, </w:t>
      </w:r>
      <w:r w:rsidR="00DB3778">
        <w:t xml:space="preserve">L. </w:t>
      </w:r>
      <w:r w:rsidRPr="00DB3778">
        <w:rPr>
          <w:i/>
          <w:iCs/>
        </w:rPr>
        <w:t>The notebooks on primitive mentality</w:t>
      </w:r>
      <w:r>
        <w:t xml:space="preserve"> trans. Peter Riviére (San Francisco: Harper &amp; Row Publishers, 1975)</w:t>
      </w:r>
    </w:p>
    <w:p w14:paraId="2332B5FF" w14:textId="177CDB97" w:rsidR="00AA7216" w:rsidRPr="00AA7216" w:rsidRDefault="00AA7216" w:rsidP="00BD72E4">
      <w:pPr>
        <w:spacing w:line="360" w:lineRule="auto"/>
      </w:pPr>
      <w:bookmarkStart w:id="8" w:name="_Hlk156493887"/>
      <w:r w:rsidRPr="0039708B">
        <w:rPr>
          <w:rFonts w:cstheme="minorHAnsi"/>
        </w:rPr>
        <w:t>Marshall, C</w:t>
      </w:r>
      <w:r>
        <w:rPr>
          <w:rFonts w:cstheme="minorHAnsi"/>
        </w:rPr>
        <w:t>. ‘</w:t>
      </w:r>
      <w:r w:rsidRPr="0039708B">
        <w:rPr>
          <w:rFonts w:cstheme="minorHAnsi"/>
        </w:rPr>
        <w:t>Breaking the Sound Barrier – New Directions for Complexity, Transformation and Reconstructive Practice in Experimental Neolithic Archaeoacoustics,</w:t>
      </w:r>
      <w:r>
        <w:rPr>
          <w:rFonts w:cstheme="minorHAnsi"/>
        </w:rPr>
        <w:t>’</w:t>
      </w:r>
      <w:r w:rsidRPr="0039708B">
        <w:rPr>
          <w:rFonts w:cstheme="minorHAnsi"/>
        </w:rPr>
        <w:t xml:space="preserve"> </w:t>
      </w:r>
      <w:r>
        <w:rPr>
          <w:rFonts w:cstheme="minorHAnsi"/>
        </w:rPr>
        <w:t xml:space="preserve">in </w:t>
      </w:r>
      <w:r w:rsidRPr="004C1258">
        <w:rPr>
          <w:rFonts w:cstheme="minorHAnsi"/>
          <w:i/>
          <w:iCs/>
        </w:rPr>
        <w:t>Experimentation and Interpretation: The Use of Experimental Archaeology in the Study of the Past</w:t>
      </w:r>
      <w:r w:rsidRPr="0039708B">
        <w:rPr>
          <w:rFonts w:cstheme="minorHAnsi"/>
        </w:rPr>
        <w:t>,</w:t>
      </w:r>
      <w:r>
        <w:rPr>
          <w:rFonts w:cstheme="minorHAnsi"/>
        </w:rPr>
        <w:t xml:space="preserve"> ed</w:t>
      </w:r>
      <w:r w:rsidR="00CA5ABA">
        <w:rPr>
          <w:rFonts w:cstheme="minorHAnsi"/>
        </w:rPr>
        <w:t>. By</w:t>
      </w:r>
      <w:r w:rsidRPr="0039708B">
        <w:rPr>
          <w:rFonts w:cstheme="minorHAnsi"/>
        </w:rPr>
        <w:t xml:space="preserve"> Millson </w:t>
      </w:r>
      <w:r>
        <w:rPr>
          <w:rFonts w:cstheme="minorHAnsi"/>
        </w:rPr>
        <w:t>(</w:t>
      </w:r>
      <w:r w:rsidRPr="0039708B">
        <w:rPr>
          <w:rFonts w:cstheme="minorHAnsi"/>
        </w:rPr>
        <w:t>Oxford: Oxbow Books,</w:t>
      </w:r>
      <w:r>
        <w:rPr>
          <w:rFonts w:cstheme="minorHAnsi"/>
        </w:rPr>
        <w:t xml:space="preserve"> 2010)</w:t>
      </w:r>
      <w:r w:rsidRPr="0039708B">
        <w:rPr>
          <w:rFonts w:cstheme="minorHAnsi"/>
        </w:rPr>
        <w:t xml:space="preserve"> pp: 46-60</w:t>
      </w:r>
    </w:p>
    <w:bookmarkEnd w:id="8"/>
    <w:p w14:paraId="0C1FD1B2" w14:textId="39CEB1DF" w:rsidR="001322E0" w:rsidRDefault="001322E0" w:rsidP="00BD72E4">
      <w:pPr>
        <w:spacing w:line="360" w:lineRule="auto"/>
      </w:pPr>
      <w:r>
        <w:t>Martin</w:t>
      </w:r>
      <w:r w:rsidR="00D71C77">
        <w:t>,</w:t>
      </w:r>
      <w:r>
        <w:t xml:space="preserve"> ‘</w:t>
      </w:r>
      <w:r w:rsidRPr="00484969">
        <w:t>Illuminating the noble ruin</w:t>
      </w:r>
      <w:r>
        <w:t xml:space="preserve">’ </w:t>
      </w:r>
      <w:r>
        <w:rPr>
          <w:i/>
          <w:iCs/>
        </w:rPr>
        <w:t xml:space="preserve">Country Life, </w:t>
      </w:r>
      <w:r w:rsidRPr="002122A9">
        <w:t xml:space="preserve">Issue:17th April (2019) </w:t>
      </w:r>
      <w:r w:rsidR="0017528C">
        <w:t>pp:</w:t>
      </w:r>
      <w:r w:rsidRPr="002122A9">
        <w:t>56-59</w:t>
      </w:r>
    </w:p>
    <w:p w14:paraId="71348249" w14:textId="7C8F9603" w:rsidR="000C1AEA" w:rsidRDefault="000C1AEA" w:rsidP="00BD72E4">
      <w:pPr>
        <w:spacing w:line="360" w:lineRule="auto"/>
      </w:pPr>
      <w:r>
        <w:t xml:space="preserve">Nabulsi, R. ‘Rudolf Otto and the Fearful Numinous: Jacob and Moses Wrestle with the Dangerous Divine; An Investigation of Genesis 32:22-33 and Exodus 4:24-26’,  </w:t>
      </w:r>
      <w:r w:rsidRPr="006D27FB">
        <w:rPr>
          <w:i/>
          <w:iCs/>
        </w:rPr>
        <w:t>Biblical Theology Bulletin</w:t>
      </w:r>
      <w:r>
        <w:rPr>
          <w:i/>
          <w:iCs/>
        </w:rPr>
        <w:t>,</w:t>
      </w:r>
      <w:r>
        <w:t xml:space="preserve"> 53:2, 84 – 95 (p.85)</w:t>
      </w:r>
    </w:p>
    <w:p w14:paraId="1F191532" w14:textId="7734179A" w:rsidR="00D2624C" w:rsidRDefault="00D2624C" w:rsidP="00BD72E4">
      <w:pPr>
        <w:spacing w:line="360" w:lineRule="auto"/>
      </w:pPr>
      <w:r w:rsidRPr="00D2624C">
        <w:t>Pfister, L, F</w:t>
      </w:r>
      <w:r w:rsidR="00B0123F">
        <w:t>.</w:t>
      </w:r>
      <w:r w:rsidRPr="00D2624C">
        <w:t xml:space="preserve"> ‘Ubication: a phenomenological study about making spaces sacred’ </w:t>
      </w:r>
      <w:r w:rsidRPr="00D2624C">
        <w:rPr>
          <w:i/>
          <w:iCs/>
        </w:rPr>
        <w:t>Int. Commun. Chin. Cult,</w:t>
      </w:r>
      <w:r w:rsidRPr="00D2624C">
        <w:t xml:space="preserve"> 4:3 (2017) </w:t>
      </w:r>
      <w:r w:rsidR="0017528C">
        <w:t>pp:</w:t>
      </w:r>
      <w:r w:rsidRPr="00D2624C">
        <w:t>393–411</w:t>
      </w:r>
    </w:p>
    <w:p w14:paraId="22C7AEB0" w14:textId="6B9F323B" w:rsidR="00C20AC8" w:rsidRDefault="00C20AC8" w:rsidP="00BD72E4">
      <w:pPr>
        <w:spacing w:line="360" w:lineRule="auto"/>
        <w:jc w:val="both"/>
      </w:pPr>
      <w:r>
        <w:t xml:space="preserve">Prendergast, ‘The Archaeology of Height- Cultural meaning in the relativity of Irish megalithic tomb siting’, in </w:t>
      </w:r>
      <w:r w:rsidRPr="0000265F">
        <w:rPr>
          <w:i/>
          <w:iCs/>
        </w:rPr>
        <w:t>Space, Place and Religious Landscapes: Living Mountains</w:t>
      </w:r>
      <w:r w:rsidRPr="0000265F">
        <w:t>, ed. By Darrelyn Gunzburg &amp; Bernadette Brady</w:t>
      </w:r>
      <w:r>
        <w:t xml:space="preserve"> (London: Bloomsbury Academic, 2021) pp:13-42</w:t>
      </w:r>
    </w:p>
    <w:p w14:paraId="75462023" w14:textId="2695B651" w:rsidR="008E73DF" w:rsidRPr="008E73DF" w:rsidRDefault="008E73DF" w:rsidP="00BD72E4">
      <w:pPr>
        <w:pStyle w:val="FootnoteText"/>
        <w:spacing w:line="360" w:lineRule="auto"/>
        <w:rPr>
          <w:rFonts w:cstheme="minorHAnsi"/>
          <w:sz w:val="22"/>
          <w:szCs w:val="22"/>
        </w:rPr>
      </w:pPr>
      <w:r w:rsidRPr="00CC70C0">
        <w:rPr>
          <w:rFonts w:cstheme="minorHAnsi"/>
          <w:sz w:val="22"/>
          <w:szCs w:val="22"/>
        </w:rPr>
        <w:t xml:space="preserve">Rennie, Bryan, ‘Mircea Eliade and the Perception of the Sacred in the Profane: Intention, Reduction, and Cognitive Theory’, </w:t>
      </w:r>
      <w:r w:rsidRPr="00CC70C0">
        <w:rPr>
          <w:rFonts w:cstheme="minorHAnsi"/>
          <w:i/>
          <w:iCs/>
          <w:sz w:val="22"/>
          <w:szCs w:val="22"/>
        </w:rPr>
        <w:t xml:space="preserve">Temenos, </w:t>
      </w:r>
      <w:r w:rsidRPr="00CC70C0">
        <w:rPr>
          <w:rFonts w:cstheme="minorHAnsi"/>
          <w:sz w:val="22"/>
          <w:szCs w:val="22"/>
        </w:rPr>
        <w:t>43.1 (2007), pp.73-98</w:t>
      </w:r>
    </w:p>
    <w:p w14:paraId="1A7EB3DF" w14:textId="21E6CF20" w:rsidR="006B30CE" w:rsidRDefault="006B30CE" w:rsidP="00BD72E4">
      <w:pPr>
        <w:spacing w:line="360" w:lineRule="auto"/>
      </w:pPr>
      <w:r>
        <w:t xml:space="preserve">Tilley, C. </w:t>
      </w:r>
      <w:r w:rsidRPr="00696553">
        <w:rPr>
          <w:i/>
          <w:iCs/>
        </w:rPr>
        <w:t>A Phenomenology of Landscape: Places, Paths and Monuments</w:t>
      </w:r>
      <w:r>
        <w:t>, (Oxford: Berg, 1994) pp:7-34</w:t>
      </w:r>
    </w:p>
    <w:p w14:paraId="38104708" w14:textId="1CD4A309" w:rsidR="00D2624C" w:rsidRDefault="00D2624C" w:rsidP="00BD72E4">
      <w:pPr>
        <w:spacing w:line="360" w:lineRule="auto"/>
        <w:jc w:val="both"/>
      </w:pPr>
      <w:r w:rsidRPr="00D2624C">
        <w:t>Tilley, C, ‘The powers of rocks: topography and monument construction on Bodmin Moor</w:t>
      </w:r>
      <w:r>
        <w:t xml:space="preserve">,’ </w:t>
      </w:r>
      <w:r w:rsidRPr="001F1098">
        <w:rPr>
          <w:i/>
          <w:iCs/>
        </w:rPr>
        <w:t>World Archaeology</w:t>
      </w:r>
      <w:r>
        <w:t xml:space="preserve">, 28:2 (1996) </w:t>
      </w:r>
      <w:r w:rsidR="0017528C">
        <w:t>pp:</w:t>
      </w:r>
      <w:r>
        <w:t>161-176</w:t>
      </w:r>
    </w:p>
    <w:p w14:paraId="32260F53" w14:textId="7BAD568F" w:rsidR="002C73E1" w:rsidRDefault="002C73E1" w:rsidP="00BD72E4">
      <w:pPr>
        <w:spacing w:line="360" w:lineRule="auto"/>
      </w:pPr>
      <w:r>
        <w:t xml:space="preserve">Tilley, C. ‘Introduction: Identity, Place, Landscape and Heritage,’ </w:t>
      </w:r>
      <w:r w:rsidRPr="002C73E1">
        <w:rPr>
          <w:i/>
          <w:iCs/>
        </w:rPr>
        <w:t>Journal of material culture</w:t>
      </w:r>
      <w:r>
        <w:t>, 11:1-2 (2006) pp. 7-32.</w:t>
      </w:r>
    </w:p>
    <w:p w14:paraId="7B64FCA5" w14:textId="7EE4B665" w:rsidR="00435EDE" w:rsidRPr="00D2624C" w:rsidRDefault="00435EDE" w:rsidP="00BD72E4">
      <w:pPr>
        <w:spacing w:line="360" w:lineRule="auto"/>
        <w:jc w:val="both"/>
      </w:pPr>
      <w:r>
        <w:t>Tilley, C</w:t>
      </w:r>
      <w:r w:rsidR="00B0123F">
        <w:t>.</w:t>
      </w:r>
      <w:r>
        <w:t xml:space="preserve"> ‘Foreword’ in </w:t>
      </w:r>
      <w:r w:rsidRPr="0000265F">
        <w:rPr>
          <w:i/>
          <w:iCs/>
        </w:rPr>
        <w:t>Space, Place and Religious Landscapes: Living Mountains</w:t>
      </w:r>
      <w:r w:rsidRPr="0000265F">
        <w:t>, ed. By Darrelyn Gunzburg &amp; Bernadette Brady</w:t>
      </w:r>
      <w:r>
        <w:t xml:space="preserve"> (London: Bloomsbury Academic, 2021) pp: xiv-xvii</w:t>
      </w:r>
    </w:p>
    <w:p w14:paraId="1E5709CD" w14:textId="65EEB3C0" w:rsidR="001322E0" w:rsidRDefault="002122A9" w:rsidP="00BD72E4">
      <w:pPr>
        <w:spacing w:line="360" w:lineRule="auto"/>
      </w:pPr>
      <w:r w:rsidRPr="00417386">
        <w:t>Waudby, Carolyn</w:t>
      </w:r>
      <w:r w:rsidR="00B0123F">
        <w:t>.</w:t>
      </w:r>
      <w:r w:rsidRPr="00417386">
        <w:t xml:space="preserve"> ‘Whitby: "The Town of a Magic Dream"’ </w:t>
      </w:r>
      <w:r w:rsidRPr="00417386">
        <w:rPr>
          <w:i/>
          <w:iCs/>
        </w:rPr>
        <w:t>Fortean Times; London</w:t>
      </w:r>
      <w:r w:rsidRPr="00417386">
        <w:t>, Issue: 357, (2017) 38-43</w:t>
      </w:r>
    </w:p>
    <w:p w14:paraId="79752097" w14:textId="77777777" w:rsidR="001E6FA3" w:rsidRDefault="001E6FA3" w:rsidP="0030272D"/>
    <w:sectPr w:rsidR="001E6F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1E638" w14:textId="77777777" w:rsidR="00D97837" w:rsidRDefault="00D97837" w:rsidP="00AC64E0">
      <w:pPr>
        <w:spacing w:after="0" w:line="240" w:lineRule="auto"/>
      </w:pPr>
      <w:r>
        <w:separator/>
      </w:r>
    </w:p>
  </w:endnote>
  <w:endnote w:type="continuationSeparator" w:id="0">
    <w:p w14:paraId="4B872AE5" w14:textId="77777777" w:rsidR="00D97837" w:rsidRDefault="00D97837" w:rsidP="00AC6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130434"/>
      <w:docPartObj>
        <w:docPartGallery w:val="Page Numbers (Bottom of Page)"/>
        <w:docPartUnique/>
      </w:docPartObj>
    </w:sdtPr>
    <w:sdtEndPr>
      <w:rPr>
        <w:noProof/>
      </w:rPr>
    </w:sdtEndPr>
    <w:sdtContent>
      <w:p w14:paraId="51083FAC" w14:textId="69FAC30A" w:rsidR="00AC64E0" w:rsidRDefault="00AC64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12BEBC" w14:textId="77777777" w:rsidR="00AC64E0" w:rsidRDefault="00AC6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79B6F" w14:textId="77777777" w:rsidR="00D97837" w:rsidRDefault="00D97837" w:rsidP="00AC64E0">
      <w:pPr>
        <w:spacing w:after="0" w:line="240" w:lineRule="auto"/>
      </w:pPr>
      <w:r>
        <w:separator/>
      </w:r>
    </w:p>
  </w:footnote>
  <w:footnote w:type="continuationSeparator" w:id="0">
    <w:p w14:paraId="775E976B" w14:textId="77777777" w:rsidR="00D97837" w:rsidRDefault="00D97837" w:rsidP="00AC64E0">
      <w:pPr>
        <w:spacing w:after="0" w:line="240" w:lineRule="auto"/>
      </w:pPr>
      <w:r>
        <w:continuationSeparator/>
      </w:r>
    </w:p>
  </w:footnote>
  <w:footnote w:id="1">
    <w:p w14:paraId="0D685AD8" w14:textId="62EC97AC" w:rsidR="004D2F2D" w:rsidRDefault="00916D0D" w:rsidP="004D2F2D">
      <w:r>
        <w:rPr>
          <w:rStyle w:val="FootnoteReference"/>
        </w:rPr>
        <w:footnoteRef/>
      </w:r>
      <w:r>
        <w:t xml:space="preserve"> </w:t>
      </w:r>
      <w:r w:rsidR="004D2F2D" w:rsidRPr="00417386">
        <w:t xml:space="preserve">Waudby, Carolyn, ‘Whitby: "The Town of a Magic Dream"’ </w:t>
      </w:r>
      <w:r w:rsidR="004D2F2D" w:rsidRPr="00417386">
        <w:rPr>
          <w:i/>
          <w:iCs/>
        </w:rPr>
        <w:t>Fortean Times; London</w:t>
      </w:r>
      <w:r w:rsidR="004D2F2D" w:rsidRPr="00417386">
        <w:t>, Issue: 357, (2017) 38-43.</w:t>
      </w:r>
      <w:r w:rsidR="004D2F2D">
        <w:t xml:space="preserve"> </w:t>
      </w:r>
      <w:r w:rsidR="00724713">
        <w:t>(p</w:t>
      </w:r>
      <w:r w:rsidR="004D2F2D">
        <w:t>.</w:t>
      </w:r>
      <w:r w:rsidR="00724713">
        <w:t xml:space="preserve"> </w:t>
      </w:r>
      <w:r w:rsidR="004D2F2D">
        <w:t>38</w:t>
      </w:r>
      <w:r w:rsidR="00724713">
        <w:t>)</w:t>
      </w:r>
      <w:r w:rsidR="001E034F">
        <w:t>.</w:t>
      </w:r>
    </w:p>
    <w:p w14:paraId="67187FBC" w14:textId="7771CCDC" w:rsidR="00916D0D" w:rsidRDefault="00916D0D" w:rsidP="004D2F2D"/>
  </w:footnote>
  <w:footnote w:id="2">
    <w:p w14:paraId="31E94DA1" w14:textId="26F552EE" w:rsidR="00916D0D" w:rsidRPr="00CA792B" w:rsidRDefault="00916D0D" w:rsidP="004D2F2D">
      <w:pPr>
        <w:spacing w:line="240" w:lineRule="auto"/>
        <w:rPr>
          <w:i/>
          <w:iCs/>
          <w:sz w:val="20"/>
          <w:szCs w:val="20"/>
        </w:rPr>
      </w:pPr>
      <w:r w:rsidRPr="00CA792B">
        <w:rPr>
          <w:rStyle w:val="FootnoteReference"/>
          <w:sz w:val="20"/>
          <w:szCs w:val="20"/>
        </w:rPr>
        <w:footnoteRef/>
      </w:r>
      <w:r w:rsidRPr="00CA792B">
        <w:rPr>
          <w:sz w:val="20"/>
          <w:szCs w:val="20"/>
        </w:rPr>
        <w:t xml:space="preserve"> </w:t>
      </w:r>
      <w:r w:rsidR="006E6F6C" w:rsidRPr="00CA792B">
        <w:rPr>
          <w:sz w:val="20"/>
          <w:szCs w:val="20"/>
        </w:rPr>
        <w:t>Martin</w:t>
      </w:r>
      <w:r w:rsidR="00D45012" w:rsidRPr="00CA792B">
        <w:rPr>
          <w:sz w:val="20"/>
          <w:szCs w:val="20"/>
        </w:rPr>
        <w:t>,</w:t>
      </w:r>
      <w:r w:rsidR="006E6F6C" w:rsidRPr="00CA792B">
        <w:rPr>
          <w:sz w:val="20"/>
          <w:szCs w:val="20"/>
        </w:rPr>
        <w:t xml:space="preserve"> ‘Illuminating the noble ruin’ </w:t>
      </w:r>
      <w:r w:rsidR="006E6F6C" w:rsidRPr="00CA792B">
        <w:rPr>
          <w:i/>
          <w:iCs/>
          <w:sz w:val="20"/>
          <w:szCs w:val="20"/>
        </w:rPr>
        <w:t xml:space="preserve">Country Life, </w:t>
      </w:r>
      <w:r w:rsidR="006E6F6C" w:rsidRPr="00CA792B">
        <w:rPr>
          <w:sz w:val="20"/>
          <w:szCs w:val="20"/>
        </w:rPr>
        <w:t>Issue:17th April (2019) pp:56-59</w:t>
      </w:r>
      <w:r w:rsidR="000F1C01" w:rsidRPr="00CA792B">
        <w:rPr>
          <w:i/>
          <w:iCs/>
          <w:sz w:val="20"/>
          <w:szCs w:val="20"/>
        </w:rPr>
        <w:t xml:space="preserve"> </w:t>
      </w:r>
      <w:r w:rsidR="000F1C01" w:rsidRPr="00CA792B">
        <w:rPr>
          <w:sz w:val="20"/>
          <w:szCs w:val="20"/>
        </w:rPr>
        <w:t>(</w:t>
      </w:r>
      <w:r w:rsidRPr="00CA792B">
        <w:rPr>
          <w:sz w:val="20"/>
          <w:szCs w:val="20"/>
        </w:rPr>
        <w:t>P.58</w:t>
      </w:r>
      <w:r w:rsidR="000F1C01" w:rsidRPr="00CA792B">
        <w:rPr>
          <w:sz w:val="20"/>
          <w:szCs w:val="20"/>
        </w:rPr>
        <w:t>)</w:t>
      </w:r>
    </w:p>
  </w:footnote>
  <w:footnote w:id="3">
    <w:p w14:paraId="04AD29A3" w14:textId="6F64226E" w:rsidR="00381424" w:rsidRPr="00CA792B" w:rsidRDefault="00381424" w:rsidP="004D2F2D">
      <w:pPr>
        <w:spacing w:line="240" w:lineRule="auto"/>
        <w:rPr>
          <w:sz w:val="20"/>
          <w:szCs w:val="20"/>
        </w:rPr>
      </w:pPr>
      <w:r w:rsidRPr="00CA792B">
        <w:rPr>
          <w:rStyle w:val="FootnoteReference"/>
          <w:sz w:val="20"/>
          <w:szCs w:val="20"/>
        </w:rPr>
        <w:footnoteRef/>
      </w:r>
      <w:r w:rsidR="00D45012" w:rsidRPr="00CA792B">
        <w:rPr>
          <w:sz w:val="20"/>
          <w:szCs w:val="20"/>
        </w:rPr>
        <w:t>Martin, ‘Illuminating the noble ruin</w:t>
      </w:r>
      <w:r w:rsidR="004D2F2D" w:rsidRPr="00CA792B">
        <w:rPr>
          <w:sz w:val="20"/>
          <w:szCs w:val="20"/>
        </w:rPr>
        <w:t>,</w:t>
      </w:r>
      <w:r w:rsidR="00D45012" w:rsidRPr="00CA792B">
        <w:rPr>
          <w:sz w:val="20"/>
          <w:szCs w:val="20"/>
        </w:rPr>
        <w:t xml:space="preserve">’ </w:t>
      </w:r>
      <w:r w:rsidR="004D2F2D" w:rsidRPr="00CA792B">
        <w:rPr>
          <w:sz w:val="20"/>
          <w:szCs w:val="20"/>
        </w:rPr>
        <w:t>p</w:t>
      </w:r>
      <w:r w:rsidRPr="00CA792B">
        <w:rPr>
          <w:sz w:val="20"/>
          <w:szCs w:val="20"/>
        </w:rPr>
        <w:t>.58</w:t>
      </w:r>
      <w:r w:rsidR="004D2F2D" w:rsidRPr="00CA792B">
        <w:rPr>
          <w:sz w:val="20"/>
          <w:szCs w:val="20"/>
        </w:rPr>
        <w:t>.</w:t>
      </w:r>
    </w:p>
  </w:footnote>
  <w:footnote w:id="4">
    <w:p w14:paraId="65CA1000" w14:textId="5EE4DCF5" w:rsidR="004D2F2D" w:rsidRPr="00CA792B" w:rsidRDefault="00916D0D" w:rsidP="004D2F2D">
      <w:pPr>
        <w:pStyle w:val="FootnoteText"/>
      </w:pPr>
      <w:r w:rsidRPr="00CA792B">
        <w:rPr>
          <w:rStyle w:val="FootnoteReference"/>
        </w:rPr>
        <w:footnoteRef/>
      </w:r>
      <w:r w:rsidRPr="00CA792B">
        <w:t xml:space="preserve"> </w:t>
      </w:r>
      <w:r w:rsidR="004D2F2D" w:rsidRPr="00CA792B">
        <w:t>Martin, ‘Illuminating the noble ruin,’ p.58.</w:t>
      </w:r>
    </w:p>
  </w:footnote>
  <w:footnote w:id="5">
    <w:p w14:paraId="4915ADF9" w14:textId="307AA3F0" w:rsidR="00916D0D" w:rsidRPr="00CA792B" w:rsidRDefault="00916D0D" w:rsidP="004D2F2D">
      <w:pPr>
        <w:spacing w:line="240" w:lineRule="auto"/>
        <w:rPr>
          <w:sz w:val="20"/>
          <w:szCs w:val="20"/>
        </w:rPr>
      </w:pPr>
      <w:r w:rsidRPr="00CA792B">
        <w:rPr>
          <w:rStyle w:val="FootnoteReference"/>
          <w:sz w:val="20"/>
          <w:szCs w:val="20"/>
        </w:rPr>
        <w:footnoteRef/>
      </w:r>
      <w:r w:rsidRPr="00CA792B">
        <w:rPr>
          <w:sz w:val="20"/>
          <w:szCs w:val="20"/>
        </w:rPr>
        <w:t xml:space="preserve"> </w:t>
      </w:r>
      <w:r w:rsidR="004D2F2D" w:rsidRPr="00CA792B">
        <w:rPr>
          <w:sz w:val="20"/>
          <w:szCs w:val="20"/>
        </w:rPr>
        <w:t>Martin, ‘Illuminating the noble ruin,’ p.57.</w:t>
      </w:r>
    </w:p>
  </w:footnote>
  <w:footnote w:id="6">
    <w:p w14:paraId="6B78DBC1" w14:textId="7A3B038D" w:rsidR="0075549B" w:rsidRPr="00CA0717" w:rsidRDefault="0075549B" w:rsidP="00333250">
      <w:pPr>
        <w:rPr>
          <w:sz w:val="20"/>
          <w:szCs w:val="20"/>
        </w:rPr>
      </w:pPr>
      <w:r>
        <w:rPr>
          <w:rStyle w:val="FootnoteReference"/>
        </w:rPr>
        <w:footnoteRef/>
      </w:r>
      <w:r>
        <w:t xml:space="preserve"> </w:t>
      </w:r>
      <w:r w:rsidR="00333250" w:rsidRPr="00CA0717">
        <w:rPr>
          <w:sz w:val="20"/>
          <w:szCs w:val="20"/>
        </w:rPr>
        <w:t xml:space="preserve">Bender, B. ‘Time and Landscape,’ </w:t>
      </w:r>
      <w:r w:rsidR="00333250" w:rsidRPr="00CA0717">
        <w:rPr>
          <w:i/>
          <w:iCs/>
          <w:sz w:val="20"/>
          <w:szCs w:val="20"/>
        </w:rPr>
        <w:t>Current Anthropology</w:t>
      </w:r>
      <w:r w:rsidR="00333250" w:rsidRPr="00CA0717">
        <w:rPr>
          <w:sz w:val="20"/>
          <w:szCs w:val="20"/>
        </w:rPr>
        <w:t>, 43: Supplement (2002) s103-s112 (p.</w:t>
      </w:r>
      <w:r w:rsidR="00CA0717" w:rsidRPr="00CA0717">
        <w:rPr>
          <w:sz w:val="20"/>
          <w:szCs w:val="20"/>
        </w:rPr>
        <w:t>s108)</w:t>
      </w:r>
    </w:p>
  </w:footnote>
  <w:footnote w:id="7">
    <w:p w14:paraId="30E78ECF" w14:textId="625C9247" w:rsidR="0050238E" w:rsidRPr="00CA0717" w:rsidRDefault="0050238E" w:rsidP="0050238E">
      <w:pPr>
        <w:pStyle w:val="FootnoteText"/>
      </w:pPr>
      <w:r w:rsidRPr="00CA0717">
        <w:rPr>
          <w:rStyle w:val="FootnoteReference"/>
        </w:rPr>
        <w:footnoteRef/>
      </w:r>
      <w:r w:rsidRPr="00CA0717">
        <w:t xml:space="preserve"> </w:t>
      </w:r>
      <w:r w:rsidR="00917079" w:rsidRPr="00CA0717">
        <w:t xml:space="preserve">Casey, E. ‘How to get from space to place in a fairly short stretch of time: phenomenological prolegomena’ in </w:t>
      </w:r>
      <w:r w:rsidR="00917079" w:rsidRPr="00CA0717">
        <w:rPr>
          <w:i/>
          <w:iCs/>
        </w:rPr>
        <w:t>Senses of Place</w:t>
      </w:r>
      <w:r w:rsidR="00917079" w:rsidRPr="00CA0717">
        <w:t>, ed. S. Feld and K.H. Basso, (Santa Fe: School of American Research, 1996) 13-52 (</w:t>
      </w:r>
      <w:r w:rsidRPr="00CA0717">
        <w:t>p.18</w:t>
      </w:r>
      <w:r w:rsidR="00917079" w:rsidRPr="00CA0717">
        <w:t>)</w:t>
      </w:r>
    </w:p>
  </w:footnote>
  <w:footnote w:id="8">
    <w:p w14:paraId="3E5E7411" w14:textId="639173F2" w:rsidR="0050238E" w:rsidRPr="00CA0717" w:rsidRDefault="0050238E" w:rsidP="00394FD8">
      <w:pPr>
        <w:jc w:val="both"/>
        <w:rPr>
          <w:sz w:val="20"/>
          <w:szCs w:val="20"/>
        </w:rPr>
      </w:pPr>
      <w:r w:rsidRPr="00CA0717">
        <w:rPr>
          <w:rStyle w:val="FootnoteReference"/>
          <w:sz w:val="20"/>
          <w:szCs w:val="20"/>
        </w:rPr>
        <w:footnoteRef/>
      </w:r>
      <w:r w:rsidRPr="00CA0717">
        <w:rPr>
          <w:sz w:val="20"/>
          <w:szCs w:val="20"/>
        </w:rPr>
        <w:t xml:space="preserve"> </w:t>
      </w:r>
      <w:r w:rsidR="00394FD8" w:rsidRPr="00CA0717">
        <w:rPr>
          <w:sz w:val="20"/>
          <w:szCs w:val="20"/>
        </w:rPr>
        <w:t xml:space="preserve">Tilley, C. ‘Foreword’ in </w:t>
      </w:r>
      <w:r w:rsidR="00394FD8" w:rsidRPr="00CA0717">
        <w:rPr>
          <w:i/>
          <w:iCs/>
          <w:sz w:val="20"/>
          <w:szCs w:val="20"/>
        </w:rPr>
        <w:t>Space, Place and Religious Landscapes: Living Mountains</w:t>
      </w:r>
      <w:r w:rsidR="00394FD8" w:rsidRPr="00CA0717">
        <w:rPr>
          <w:sz w:val="20"/>
          <w:szCs w:val="20"/>
        </w:rPr>
        <w:t>, ed. By Darrelyn Gunzburg &amp; Bernadette Brady (London: Bloomsbury Academic, 2021) xiv-xvii (p. xvi)</w:t>
      </w:r>
    </w:p>
  </w:footnote>
  <w:footnote w:id="9">
    <w:p w14:paraId="75497325" w14:textId="1E84DA20" w:rsidR="0050238E" w:rsidRPr="00CA5ABA" w:rsidRDefault="0050238E" w:rsidP="00CA5ABA">
      <w:r w:rsidRPr="00CA0717">
        <w:rPr>
          <w:rStyle w:val="FootnoteReference"/>
          <w:sz w:val="20"/>
          <w:szCs w:val="20"/>
        </w:rPr>
        <w:footnoteRef/>
      </w:r>
      <w:r w:rsidRPr="00CA0717">
        <w:rPr>
          <w:sz w:val="20"/>
          <w:szCs w:val="20"/>
        </w:rPr>
        <w:t xml:space="preserve"> </w:t>
      </w:r>
      <w:r w:rsidR="00CA5ABA" w:rsidRPr="00CA0717">
        <w:rPr>
          <w:rFonts w:cstheme="minorHAnsi"/>
          <w:sz w:val="20"/>
          <w:szCs w:val="20"/>
        </w:rPr>
        <w:t xml:space="preserve">Marshall, C. ‘Breaking the Sound Barrier – New Directions for Complexity, Transformation and Reconstructive Practice in Experimental Neolithic Archaeoacoustics,’ in </w:t>
      </w:r>
      <w:r w:rsidR="00CA5ABA" w:rsidRPr="00CA0717">
        <w:rPr>
          <w:rFonts w:cstheme="minorHAnsi"/>
          <w:i/>
          <w:iCs/>
          <w:sz w:val="20"/>
          <w:szCs w:val="20"/>
        </w:rPr>
        <w:t>Experimentation and Interpretation: The Use of Experimental Archaeology in the Study of the Past</w:t>
      </w:r>
      <w:r w:rsidR="00CA5ABA" w:rsidRPr="00CA0717">
        <w:rPr>
          <w:rFonts w:cstheme="minorHAnsi"/>
          <w:sz w:val="20"/>
          <w:szCs w:val="20"/>
        </w:rPr>
        <w:t>, ed. By Millson (Oxford: Oxb</w:t>
      </w:r>
      <w:r w:rsidR="008E73DF" w:rsidRPr="00CA0717">
        <w:rPr>
          <w:rFonts w:cstheme="minorHAnsi"/>
          <w:sz w:val="20"/>
          <w:szCs w:val="20"/>
        </w:rPr>
        <w:t>o</w:t>
      </w:r>
      <w:r w:rsidR="00CA5ABA" w:rsidRPr="00CA0717">
        <w:rPr>
          <w:rFonts w:cstheme="minorHAnsi"/>
          <w:sz w:val="20"/>
          <w:szCs w:val="20"/>
        </w:rPr>
        <w:t>w Books, 2010) 46-60</w:t>
      </w:r>
      <w:r w:rsidR="00CA5ABA" w:rsidRPr="00CA0717">
        <w:rPr>
          <w:sz w:val="20"/>
          <w:szCs w:val="20"/>
        </w:rPr>
        <w:t xml:space="preserve"> (</w:t>
      </w:r>
      <w:r w:rsidRPr="00CA0717">
        <w:rPr>
          <w:rFonts w:cstheme="minorHAnsi"/>
          <w:sz w:val="20"/>
          <w:szCs w:val="20"/>
        </w:rPr>
        <w:t>p.54</w:t>
      </w:r>
      <w:r w:rsidR="00CA5ABA" w:rsidRPr="00CA0717">
        <w:rPr>
          <w:rFonts w:cstheme="minorHAnsi"/>
          <w:sz w:val="20"/>
          <w:szCs w:val="20"/>
        </w:rPr>
        <w:t>)</w:t>
      </w:r>
    </w:p>
  </w:footnote>
  <w:footnote w:id="10">
    <w:p w14:paraId="4C9DF224" w14:textId="28ED6A31" w:rsidR="0050238E" w:rsidRPr="00CA5ABA" w:rsidRDefault="0050238E" w:rsidP="00CA5ABA">
      <w:pPr>
        <w:jc w:val="both"/>
        <w:rPr>
          <w:rFonts w:cstheme="minorHAnsi"/>
        </w:rPr>
      </w:pPr>
      <w:r>
        <w:rPr>
          <w:rStyle w:val="FootnoteReference"/>
        </w:rPr>
        <w:footnoteRef/>
      </w:r>
      <w:r>
        <w:t xml:space="preserve"> </w:t>
      </w:r>
      <w:r w:rsidR="00BE2E7A" w:rsidRPr="0039708B">
        <w:rPr>
          <w:rFonts w:cstheme="minorHAnsi"/>
        </w:rPr>
        <w:t>Ingold, T</w:t>
      </w:r>
      <w:r w:rsidR="00BE2E7A">
        <w:rPr>
          <w:rFonts w:cstheme="minorHAnsi"/>
        </w:rPr>
        <w:t>.</w:t>
      </w:r>
      <w:r w:rsidR="00BE2E7A" w:rsidRPr="0039708B">
        <w:rPr>
          <w:rFonts w:cstheme="minorHAnsi"/>
        </w:rPr>
        <w:t xml:space="preserve"> </w:t>
      </w:r>
      <w:r w:rsidR="00BE2E7A">
        <w:rPr>
          <w:rFonts w:cstheme="minorHAnsi"/>
        </w:rPr>
        <w:t>‘</w:t>
      </w:r>
      <w:r w:rsidR="00BE2E7A" w:rsidRPr="0039708B">
        <w:rPr>
          <w:rFonts w:cstheme="minorHAnsi"/>
        </w:rPr>
        <w:t>The eye of the storm: visual perception and the weather,</w:t>
      </w:r>
      <w:r w:rsidR="00BE2E7A">
        <w:rPr>
          <w:rFonts w:cstheme="minorHAnsi"/>
        </w:rPr>
        <w:t>’</w:t>
      </w:r>
      <w:r w:rsidR="00BE2E7A" w:rsidRPr="0039708B">
        <w:rPr>
          <w:rFonts w:cstheme="minorHAnsi"/>
        </w:rPr>
        <w:t xml:space="preserve"> </w:t>
      </w:r>
      <w:r w:rsidR="00BE2E7A" w:rsidRPr="004C1258">
        <w:rPr>
          <w:rFonts w:cstheme="minorHAnsi"/>
          <w:i/>
          <w:iCs/>
        </w:rPr>
        <w:t>Visual Studies</w:t>
      </w:r>
      <w:r w:rsidR="00BE2E7A" w:rsidRPr="0039708B">
        <w:rPr>
          <w:rFonts w:cstheme="minorHAnsi"/>
        </w:rPr>
        <w:t xml:space="preserve">, 20:2, </w:t>
      </w:r>
      <w:r w:rsidR="00BE2E7A">
        <w:rPr>
          <w:rFonts w:cstheme="minorHAnsi"/>
        </w:rPr>
        <w:t xml:space="preserve">(2005) </w:t>
      </w:r>
      <w:r w:rsidR="00BE2E7A" w:rsidRPr="0039708B">
        <w:rPr>
          <w:rFonts w:cstheme="minorHAnsi"/>
        </w:rPr>
        <w:t>97-104</w:t>
      </w:r>
      <w:r w:rsidR="00BE2E7A">
        <w:rPr>
          <w:rFonts w:cstheme="minorHAnsi"/>
        </w:rPr>
        <w:t xml:space="preserve"> (</w:t>
      </w:r>
      <w:r>
        <w:rPr>
          <w:rFonts w:cstheme="minorHAnsi"/>
        </w:rPr>
        <w:t>p.99</w:t>
      </w:r>
      <w:r w:rsidR="00BE2E7A">
        <w:rPr>
          <w:rFonts w:cstheme="minorHAnsi"/>
        </w:rPr>
        <w:t>)</w:t>
      </w:r>
    </w:p>
  </w:footnote>
  <w:footnote w:id="11">
    <w:p w14:paraId="768F3E1A" w14:textId="66850339" w:rsidR="0050238E" w:rsidRDefault="0050238E" w:rsidP="00874C21">
      <w:r>
        <w:rPr>
          <w:rStyle w:val="FootnoteReference"/>
        </w:rPr>
        <w:footnoteRef/>
      </w:r>
      <w:r>
        <w:t xml:space="preserve"> </w:t>
      </w:r>
      <w:r w:rsidR="00CA5ABA" w:rsidRPr="0039708B">
        <w:rPr>
          <w:rFonts w:cstheme="minorHAnsi"/>
        </w:rPr>
        <w:t>Marshall, C</w:t>
      </w:r>
      <w:r w:rsidR="00CA5ABA">
        <w:rPr>
          <w:rFonts w:cstheme="minorHAnsi"/>
        </w:rPr>
        <w:t>. ‘</w:t>
      </w:r>
      <w:r w:rsidR="00CA5ABA" w:rsidRPr="0039708B">
        <w:rPr>
          <w:rFonts w:cstheme="minorHAnsi"/>
        </w:rPr>
        <w:t>Breaking the Sound Barrier – New Directions for Complexity, Transformation and Reconstructive Practice in Experimental Neolithic Archaeoacoustics,</w:t>
      </w:r>
      <w:r w:rsidR="00CA5ABA">
        <w:rPr>
          <w:rFonts w:cstheme="minorHAnsi"/>
        </w:rPr>
        <w:t>’</w:t>
      </w:r>
      <w:r w:rsidR="00CA5ABA" w:rsidRPr="0039708B">
        <w:rPr>
          <w:rFonts w:cstheme="minorHAnsi"/>
        </w:rPr>
        <w:t xml:space="preserve"> </w:t>
      </w:r>
      <w:r>
        <w:rPr>
          <w:rFonts w:cstheme="minorHAnsi"/>
        </w:rPr>
        <w:t>p.54</w:t>
      </w:r>
    </w:p>
  </w:footnote>
  <w:footnote w:id="12">
    <w:p w14:paraId="704E656D" w14:textId="17B89063" w:rsidR="0050238E" w:rsidRDefault="0050238E" w:rsidP="0050238E">
      <w:pPr>
        <w:pStyle w:val="FootnoteText"/>
      </w:pPr>
      <w:r>
        <w:rPr>
          <w:rStyle w:val="FootnoteReference"/>
        </w:rPr>
        <w:footnoteRef/>
      </w:r>
      <w:r>
        <w:t xml:space="preserve"> </w:t>
      </w:r>
      <w:r w:rsidR="00874C21">
        <w:t xml:space="preserve">Tilley, C. ‘Foreword’ </w:t>
      </w:r>
      <w:r w:rsidRPr="001D4D92">
        <w:t>p</w:t>
      </w:r>
      <w:r w:rsidR="001D4D92" w:rsidRPr="001D4D92">
        <w:t>:</w:t>
      </w:r>
      <w:r w:rsidRPr="001D4D92">
        <w:t xml:space="preserve"> xvi</w:t>
      </w:r>
    </w:p>
  </w:footnote>
  <w:footnote w:id="13">
    <w:p w14:paraId="03A3A2EE" w14:textId="03AB761D" w:rsidR="00AB21DD" w:rsidRDefault="00AB21DD" w:rsidP="00AB21DD">
      <w:r>
        <w:rPr>
          <w:rStyle w:val="FootnoteReference"/>
        </w:rPr>
        <w:footnoteRef/>
      </w:r>
      <w:r>
        <w:t xml:space="preserve"> </w:t>
      </w:r>
      <w:r w:rsidR="00AE1B40" w:rsidRPr="00D2624C">
        <w:t>Pfister, L, F</w:t>
      </w:r>
      <w:r w:rsidR="00AE1B40">
        <w:t>.</w:t>
      </w:r>
      <w:r w:rsidR="00AE1B40" w:rsidRPr="00D2624C">
        <w:t xml:space="preserve"> ‘Ubication: a phenomenological study about making spaces sacred’ </w:t>
      </w:r>
      <w:r w:rsidR="00AE1B40" w:rsidRPr="00D2624C">
        <w:rPr>
          <w:i/>
          <w:iCs/>
        </w:rPr>
        <w:t>Int. Commun. Chin. Cult,</w:t>
      </w:r>
      <w:r w:rsidR="00AE1B40" w:rsidRPr="00D2624C">
        <w:t xml:space="preserve"> 4:3 (2017) 393–411</w:t>
      </w:r>
      <w:r w:rsidR="00160A0D">
        <w:t xml:space="preserve"> (</w:t>
      </w:r>
      <w:r>
        <w:t>p.1</w:t>
      </w:r>
      <w:r w:rsidR="00160A0D">
        <w:t>)</w:t>
      </w:r>
    </w:p>
  </w:footnote>
  <w:footnote w:id="14">
    <w:p w14:paraId="37AE2E46" w14:textId="04D84A34" w:rsidR="00AB21DD" w:rsidRPr="00365658" w:rsidRDefault="00AB21DD" w:rsidP="00AB21DD">
      <w:pPr>
        <w:rPr>
          <w:rFonts w:cstheme="minorHAnsi"/>
        </w:rPr>
      </w:pPr>
      <w:r w:rsidRPr="00B87039">
        <w:rPr>
          <w:rStyle w:val="FootnoteReference"/>
          <w:rFonts w:cstheme="minorHAnsi"/>
        </w:rPr>
        <w:footnoteRef/>
      </w:r>
      <w:r w:rsidR="00AE2672" w:rsidRPr="00B87039">
        <w:rPr>
          <w:rFonts w:cstheme="minorHAnsi"/>
        </w:rPr>
        <w:t>I</w:t>
      </w:r>
      <w:r w:rsidR="00AE2672" w:rsidRPr="00CC70C0">
        <w:rPr>
          <w:rFonts w:cstheme="minorHAnsi"/>
        </w:rPr>
        <w:t xml:space="preserve">dinopulos &amp; Wilson, ‘Preface’ in </w:t>
      </w:r>
      <w:r w:rsidR="00AE2672" w:rsidRPr="00CC70C0">
        <w:rPr>
          <w:rFonts w:cstheme="minorHAnsi"/>
          <w:i/>
          <w:iCs/>
        </w:rPr>
        <w:t>Reappraising Dukheim for the Study and Teaching of Religion Today</w:t>
      </w:r>
      <w:r w:rsidR="00AE2672" w:rsidRPr="00CC70C0">
        <w:rPr>
          <w:rFonts w:cstheme="minorHAnsi"/>
        </w:rPr>
        <w:t>, ed.by Idinopulos &amp; Wilson (Boston: Brill, 2001) x-xix</w:t>
      </w:r>
      <w:r w:rsidR="00B87039">
        <w:rPr>
          <w:rFonts w:cstheme="minorHAnsi"/>
        </w:rPr>
        <w:t xml:space="preserve"> (</w:t>
      </w:r>
      <w:r w:rsidRPr="00B87039">
        <w:rPr>
          <w:rFonts w:cstheme="minorHAnsi"/>
        </w:rPr>
        <w:t>pp.x</w:t>
      </w:r>
      <w:r w:rsidR="00B87039" w:rsidRPr="00B87039">
        <w:rPr>
          <w:rFonts w:cstheme="minorHAnsi"/>
        </w:rPr>
        <w:t>)</w:t>
      </w:r>
    </w:p>
  </w:footnote>
  <w:footnote w:id="15">
    <w:p w14:paraId="3031F48B" w14:textId="7BE17888" w:rsidR="00AB21DD" w:rsidRPr="00E81122" w:rsidRDefault="00AB21DD" w:rsidP="00E81122">
      <w:pPr>
        <w:rPr>
          <w:lang w:val="fr-FR"/>
        </w:rPr>
      </w:pPr>
      <w:r>
        <w:rPr>
          <w:rStyle w:val="FootnoteReference"/>
        </w:rPr>
        <w:footnoteRef/>
      </w:r>
      <w:r>
        <w:t xml:space="preserve"> </w:t>
      </w:r>
      <w:r w:rsidR="00E81122" w:rsidRPr="00AA5BE1">
        <w:t xml:space="preserve">Fields, Karen, 'Translator's Introduction: Religion as an Eminently Social Thing' in Durkheim, Emile, </w:t>
      </w:r>
      <w:r w:rsidR="00E81122" w:rsidRPr="00AA5BE1">
        <w:rPr>
          <w:i/>
          <w:iCs/>
        </w:rPr>
        <w:t>The Elementary Forms of Religious Life</w:t>
      </w:r>
      <w:r w:rsidR="00E81122" w:rsidRPr="00AA5BE1">
        <w:t xml:space="preserve">, trans. </w:t>
      </w:r>
      <w:r w:rsidR="00E81122" w:rsidRPr="00EF04F7">
        <w:rPr>
          <w:lang w:val="fr-FR"/>
        </w:rPr>
        <w:t>Karen E. Fields, (New York: Free Press, 1995) [1st edn.., Les Formes élémentaires de la vie religieuse, Paris; F. Alcan 1912]</w:t>
      </w:r>
      <w:r w:rsidR="00E81122">
        <w:rPr>
          <w:lang w:val="fr-FR"/>
        </w:rPr>
        <w:t xml:space="preserve"> </w:t>
      </w:r>
      <w:r w:rsidR="00E81122" w:rsidRPr="00EF04F7">
        <w:rPr>
          <w:lang w:val="fr-FR"/>
        </w:rPr>
        <w:t>xvii-xxxiii</w:t>
      </w:r>
      <w:r w:rsidR="00E81122">
        <w:rPr>
          <w:lang w:val="fr-FR"/>
        </w:rPr>
        <w:t xml:space="preserve"> (</w:t>
      </w:r>
      <w:r>
        <w:t>p.xlvi-v</w:t>
      </w:r>
      <w:r w:rsidR="00E81122">
        <w:t>)</w:t>
      </w:r>
    </w:p>
  </w:footnote>
  <w:footnote w:id="16">
    <w:p w14:paraId="077F4C6B" w14:textId="77777777" w:rsidR="00AB21DD" w:rsidRPr="003A186A" w:rsidRDefault="00AB21DD" w:rsidP="00AB21DD">
      <w:pPr>
        <w:pStyle w:val="FootnoteText"/>
        <w:rPr>
          <w:rFonts w:cstheme="minorHAnsi"/>
          <w:sz w:val="22"/>
          <w:szCs w:val="22"/>
        </w:rPr>
      </w:pPr>
      <w:r>
        <w:rPr>
          <w:rStyle w:val="FootnoteReference"/>
        </w:rPr>
        <w:footnoteRef/>
      </w:r>
      <w:r w:rsidRPr="00CC70C0">
        <w:rPr>
          <w:rFonts w:cstheme="minorHAnsi"/>
          <w:sz w:val="22"/>
          <w:szCs w:val="22"/>
        </w:rPr>
        <w:t xml:space="preserve">Rennie, Bryan, ‘Mircea Eliade and the Perception of the Sacred in the Profane: Intention, Reduction, and Cognitive Theory’, </w:t>
      </w:r>
      <w:r w:rsidRPr="00CC70C0">
        <w:rPr>
          <w:rFonts w:cstheme="minorHAnsi"/>
          <w:i/>
          <w:iCs/>
          <w:sz w:val="22"/>
          <w:szCs w:val="22"/>
        </w:rPr>
        <w:t xml:space="preserve">Temenos, </w:t>
      </w:r>
      <w:r w:rsidRPr="00CC70C0">
        <w:rPr>
          <w:rFonts w:cstheme="minorHAnsi"/>
          <w:sz w:val="22"/>
          <w:szCs w:val="22"/>
        </w:rPr>
        <w:t>43.1 (2007), pp.</w:t>
      </w:r>
      <w:r>
        <w:rPr>
          <w:rFonts w:cstheme="minorHAnsi"/>
          <w:sz w:val="22"/>
          <w:szCs w:val="22"/>
        </w:rPr>
        <w:t>82</w:t>
      </w:r>
    </w:p>
  </w:footnote>
  <w:footnote w:id="17">
    <w:p w14:paraId="39A36922" w14:textId="55170367" w:rsidR="00AB21DD" w:rsidRDefault="00AB21DD" w:rsidP="000C1AEA">
      <w:r>
        <w:rPr>
          <w:rStyle w:val="FootnoteReference"/>
        </w:rPr>
        <w:footnoteRef/>
      </w:r>
      <w:r w:rsidR="000C1AEA">
        <w:t xml:space="preserve">Nabulsi, R. ‘Rudolf Otto and the Fearful Numinous: Jacob and Moses Wrestle with the Dangerous Divine; An Investigation of Genesis 32:22-33 and Exodus 4:24-26’, </w:t>
      </w:r>
      <w:r w:rsidR="000C1AEA" w:rsidRPr="006D27FB">
        <w:rPr>
          <w:i/>
          <w:iCs/>
        </w:rPr>
        <w:t>Biblical Theology Bulletin</w:t>
      </w:r>
      <w:r w:rsidR="000C1AEA">
        <w:rPr>
          <w:i/>
          <w:iCs/>
        </w:rPr>
        <w:t>,</w:t>
      </w:r>
      <w:r w:rsidR="000C1AEA">
        <w:t xml:space="preserve"> 53:2, 84 – 95 (p.85)</w:t>
      </w:r>
    </w:p>
  </w:footnote>
  <w:footnote w:id="18">
    <w:p w14:paraId="54524743" w14:textId="01DA1D60" w:rsidR="00AB21DD" w:rsidRPr="00274D59" w:rsidRDefault="00AB21DD" w:rsidP="00274D59">
      <w:pPr>
        <w:jc w:val="both"/>
        <w:rPr>
          <w:sz w:val="20"/>
          <w:szCs w:val="20"/>
        </w:rPr>
      </w:pPr>
      <w:r>
        <w:rPr>
          <w:rStyle w:val="FootnoteReference"/>
        </w:rPr>
        <w:footnoteRef/>
      </w:r>
      <w:r>
        <w:t xml:space="preserve"> </w:t>
      </w:r>
      <w:r w:rsidR="00EC23A9" w:rsidRPr="00274D59">
        <w:rPr>
          <w:sz w:val="20"/>
          <w:szCs w:val="20"/>
        </w:rPr>
        <w:t xml:space="preserve">Cannon, J. ‘Time and place at Brentor: Exploring an encounter with a sacred mountain’, in </w:t>
      </w:r>
      <w:r w:rsidR="00EC23A9" w:rsidRPr="00274D59">
        <w:rPr>
          <w:i/>
          <w:iCs/>
          <w:sz w:val="20"/>
          <w:szCs w:val="20"/>
        </w:rPr>
        <w:t>Space, Place and Religious Landscapes: Living Mountains</w:t>
      </w:r>
      <w:r w:rsidR="00EC23A9" w:rsidRPr="00274D59">
        <w:rPr>
          <w:sz w:val="20"/>
          <w:szCs w:val="20"/>
        </w:rPr>
        <w:t>, ed. By Darrelyn Gunzburg &amp; Bernadette Brady (London: Bloomsbury Academic, 2021), 71-98 (p. 91)</w:t>
      </w:r>
    </w:p>
  </w:footnote>
  <w:footnote w:id="19">
    <w:p w14:paraId="7384AAC1" w14:textId="4D55E14C" w:rsidR="00AB21DD" w:rsidRPr="00274D59" w:rsidRDefault="00AB21DD" w:rsidP="00AB21DD">
      <w:pPr>
        <w:pStyle w:val="FootnoteText"/>
      </w:pPr>
      <w:r w:rsidRPr="00274D59">
        <w:rPr>
          <w:rStyle w:val="FootnoteReference"/>
        </w:rPr>
        <w:footnoteRef/>
      </w:r>
      <w:r w:rsidRPr="00274D59">
        <w:t xml:space="preserve"> </w:t>
      </w:r>
      <w:r w:rsidR="00986195" w:rsidRPr="00274D59">
        <w:t>Casey, E. ‘How to get from space to place in a fairly short stretch of time: phenomenological prolegomena’ p.24</w:t>
      </w:r>
    </w:p>
  </w:footnote>
  <w:footnote w:id="20">
    <w:p w14:paraId="4397B103" w14:textId="1A7F7277" w:rsidR="00AB21DD" w:rsidRPr="00274D59" w:rsidRDefault="00AB21DD" w:rsidP="00AB21DD">
      <w:pPr>
        <w:pStyle w:val="FootnoteText"/>
      </w:pPr>
      <w:r w:rsidRPr="00274D59">
        <w:rPr>
          <w:rStyle w:val="FootnoteReference"/>
        </w:rPr>
        <w:footnoteRef/>
      </w:r>
      <w:r w:rsidRPr="00274D59">
        <w:t xml:space="preserve"> </w:t>
      </w:r>
      <w:r w:rsidR="00A72ABC" w:rsidRPr="00274D59">
        <w:t>Lévy-Bruhl,</w:t>
      </w:r>
      <w:r w:rsidR="00DB3778" w:rsidRPr="00274D59">
        <w:t xml:space="preserve"> L,</w:t>
      </w:r>
      <w:r w:rsidR="00A72ABC" w:rsidRPr="00274D59">
        <w:t xml:space="preserve"> </w:t>
      </w:r>
      <w:r w:rsidR="00A72ABC" w:rsidRPr="00274D59">
        <w:rPr>
          <w:i/>
          <w:iCs/>
        </w:rPr>
        <w:t>The notebooks on primitive mentality</w:t>
      </w:r>
      <w:r w:rsidR="00A72ABC" w:rsidRPr="00274D59">
        <w:t xml:space="preserve"> trans. Peter Riviére (San Francisco: Harper &amp; Row Publishers, 1975)</w:t>
      </w:r>
      <w:r w:rsidR="00694298" w:rsidRPr="00274D59">
        <w:t xml:space="preserve"> (p.62)</w:t>
      </w:r>
    </w:p>
  </w:footnote>
  <w:footnote w:id="21">
    <w:p w14:paraId="2D6EA685" w14:textId="613AD61F" w:rsidR="00AB21DD" w:rsidRDefault="00AB21DD" w:rsidP="00AB21DD">
      <w:pPr>
        <w:jc w:val="both"/>
      </w:pPr>
      <w:r w:rsidRPr="00274D59">
        <w:rPr>
          <w:rStyle w:val="FootnoteReference"/>
          <w:sz w:val="20"/>
          <w:szCs w:val="20"/>
        </w:rPr>
        <w:footnoteRef/>
      </w:r>
      <w:r w:rsidRPr="00274D59">
        <w:rPr>
          <w:sz w:val="20"/>
          <w:szCs w:val="20"/>
        </w:rPr>
        <w:t xml:space="preserve"> </w:t>
      </w:r>
      <w:r w:rsidR="00FE5068" w:rsidRPr="00274D59">
        <w:rPr>
          <w:sz w:val="20"/>
          <w:szCs w:val="20"/>
        </w:rPr>
        <w:t xml:space="preserve">Casey, E. ‘How to get from space to place in a fairly short stretch of time: phenomenological prolegomena’ </w:t>
      </w:r>
      <w:r w:rsidRPr="00274D59">
        <w:rPr>
          <w:sz w:val="20"/>
          <w:szCs w:val="20"/>
        </w:rPr>
        <w:t>p.14</w:t>
      </w:r>
    </w:p>
  </w:footnote>
  <w:footnote w:id="22">
    <w:p w14:paraId="08F6FB69" w14:textId="0954DB66" w:rsidR="00AB21DD" w:rsidRDefault="00AB21DD" w:rsidP="00986195">
      <w:r>
        <w:rPr>
          <w:rStyle w:val="FootnoteReference"/>
        </w:rPr>
        <w:footnoteRef/>
      </w:r>
      <w:r>
        <w:t xml:space="preserve"> </w:t>
      </w:r>
      <w:r w:rsidR="00986195">
        <w:t xml:space="preserve">Ingold, T, </w:t>
      </w:r>
      <w:r w:rsidR="00986195" w:rsidRPr="001E3AAB">
        <w:rPr>
          <w:i/>
          <w:iCs/>
        </w:rPr>
        <w:t>Lines: A Brief History</w:t>
      </w:r>
      <w:r w:rsidR="00986195">
        <w:t>, (London: Routledge, 2016) 40-73 (</w:t>
      </w:r>
      <w:r w:rsidR="00DA3A15">
        <w:t>p.50)</w:t>
      </w:r>
    </w:p>
  </w:footnote>
  <w:footnote w:id="23">
    <w:p w14:paraId="06179C60" w14:textId="34719D6A" w:rsidR="00AB21DD" w:rsidRDefault="00AB21DD" w:rsidP="00DA3A15">
      <w:r>
        <w:rPr>
          <w:rStyle w:val="FootnoteReference"/>
        </w:rPr>
        <w:footnoteRef/>
      </w:r>
      <w:r>
        <w:t xml:space="preserve"> </w:t>
      </w:r>
      <w:r w:rsidR="00DA3A15">
        <w:t xml:space="preserve">Tilley, C. </w:t>
      </w:r>
      <w:r w:rsidR="00DA3A15" w:rsidRPr="00696553">
        <w:rPr>
          <w:i/>
          <w:iCs/>
        </w:rPr>
        <w:t>A Phenomenology of Landscape: Places, Paths and Monuments</w:t>
      </w:r>
      <w:r w:rsidR="00DA3A15">
        <w:t>, (Oxford: Berg, 1994) 7-34</w:t>
      </w:r>
      <w:r w:rsidR="006A257B">
        <w:t xml:space="preserve"> (</w:t>
      </w:r>
      <w:r>
        <w:t>p.24</w:t>
      </w:r>
      <w:r w:rsidR="006A257B">
        <w:t>)</w:t>
      </w:r>
    </w:p>
    <w:p w14:paraId="52D6CF50" w14:textId="77777777" w:rsidR="00AB21DD" w:rsidRDefault="00AB21DD" w:rsidP="00AB21DD">
      <w:pPr>
        <w:pStyle w:val="FootnoteText"/>
      </w:pPr>
    </w:p>
  </w:footnote>
  <w:footnote w:id="24">
    <w:p w14:paraId="15DC11FF" w14:textId="6D046238" w:rsidR="00AB21DD" w:rsidRDefault="00AB21DD" w:rsidP="00123BED">
      <w:r>
        <w:rPr>
          <w:rStyle w:val="FootnoteReference"/>
        </w:rPr>
        <w:footnoteRef/>
      </w:r>
      <w:r>
        <w:t xml:space="preserve"> </w:t>
      </w:r>
      <w:r w:rsidR="00123BED" w:rsidRPr="00CD3A70">
        <w:t>Doyle, A, I. ‘A miracle of St Hilda in a migrating manuscript’</w:t>
      </w:r>
      <w:r w:rsidR="00123BED">
        <w:t xml:space="preserve"> In </w:t>
      </w:r>
      <w:r w:rsidR="00123BED" w:rsidRPr="00BD6435">
        <w:rPr>
          <w:i/>
          <w:iCs/>
        </w:rPr>
        <w:t>Crossing Boundaries: Interdisciplinary Approaches to the Art, Material Culture, Language and Literature of the Early Medieval World</w:t>
      </w:r>
      <w:r w:rsidR="00123BED">
        <w:t>, ed. By Eric Cambridge &amp; Jane Hawkes, (Oxbow Books, 2017) 1-9 (</w:t>
      </w:r>
      <w:r>
        <w:t>p</w:t>
      </w:r>
      <w:r w:rsidR="00123BED">
        <w:t xml:space="preserve">. </w:t>
      </w:r>
      <w:r>
        <w:t>8</w:t>
      </w:r>
      <w:r w:rsidR="00123BED">
        <w:t>)</w:t>
      </w:r>
    </w:p>
  </w:footnote>
  <w:footnote w:id="25">
    <w:p w14:paraId="36AB26A0" w14:textId="4B7F57F1" w:rsidR="00AB21DD" w:rsidRDefault="00AB21DD" w:rsidP="00CE3E7D">
      <w:r>
        <w:rPr>
          <w:rStyle w:val="FootnoteReference"/>
        </w:rPr>
        <w:footnoteRef/>
      </w:r>
      <w:r w:rsidR="00CE3E7D">
        <w:t xml:space="preserve"> </w:t>
      </w:r>
      <w:r w:rsidR="00CE3E7D" w:rsidRPr="00CD3A70">
        <w:t>Doyle, A, I. ‘A miracle of St Hilda in a migrating manuscript’</w:t>
      </w:r>
      <w:r>
        <w:t xml:space="preserve"> pp.1-2</w:t>
      </w:r>
    </w:p>
  </w:footnote>
  <w:footnote w:id="26">
    <w:p w14:paraId="5EF58A6F" w14:textId="7E5C4FC6" w:rsidR="00AB21DD" w:rsidRDefault="00AB21DD" w:rsidP="00AB21DD">
      <w:pPr>
        <w:pStyle w:val="FootnoteText"/>
      </w:pPr>
      <w:r>
        <w:rPr>
          <w:rStyle w:val="FootnoteReference"/>
        </w:rPr>
        <w:footnoteRef/>
      </w:r>
      <w:r>
        <w:t xml:space="preserve"> </w:t>
      </w:r>
      <w:r w:rsidR="00CE3E7D" w:rsidRPr="00CD3A70">
        <w:t>Doyle, A, I. ‘A miracle of St Hilda in a migrating manuscript’</w:t>
      </w:r>
      <w:r w:rsidR="00CE3E7D">
        <w:t xml:space="preserve"> pp.1</w:t>
      </w:r>
    </w:p>
  </w:footnote>
  <w:footnote w:id="27">
    <w:p w14:paraId="252F3124" w14:textId="032EF07F" w:rsidR="00AB21DD" w:rsidRDefault="00AB21DD" w:rsidP="00CE3E7D">
      <w:r>
        <w:rPr>
          <w:rStyle w:val="FootnoteReference"/>
        </w:rPr>
        <w:footnoteRef/>
      </w:r>
      <w:r>
        <w:t xml:space="preserve"> </w:t>
      </w:r>
      <w:r w:rsidR="00CE3E7D" w:rsidRPr="00CD3A70">
        <w:t>Doyle, A, I. ‘A miracle of St Hilda in a migrating manuscript’</w:t>
      </w:r>
      <w:r w:rsidR="00CE3E7D">
        <w:t xml:space="preserve"> pp.1-2</w:t>
      </w:r>
    </w:p>
  </w:footnote>
  <w:footnote w:id="28">
    <w:p w14:paraId="1E7CFDC2" w14:textId="0DD6BA1D" w:rsidR="00AB21DD" w:rsidRDefault="00AB21DD" w:rsidP="001341F1">
      <w:r>
        <w:rPr>
          <w:rStyle w:val="FootnoteReference"/>
        </w:rPr>
        <w:footnoteRef/>
      </w:r>
      <w:r>
        <w:t xml:space="preserve"> </w:t>
      </w:r>
      <w:r w:rsidR="001341F1">
        <w:t xml:space="preserve">Ingold, T. ‘The Temporality of Landscape’, </w:t>
      </w:r>
      <w:r w:rsidR="001341F1" w:rsidRPr="00F46FC5">
        <w:rPr>
          <w:i/>
          <w:iCs/>
        </w:rPr>
        <w:t>World Archaeology</w:t>
      </w:r>
      <w:r w:rsidR="001341F1">
        <w:t>, (25:2, 1993) 152-174 (</w:t>
      </w:r>
      <w:r>
        <w:t>p</w:t>
      </w:r>
      <w:r w:rsidR="001341F1">
        <w:t>.</w:t>
      </w:r>
      <w:r>
        <w:t>152</w:t>
      </w:r>
      <w:r w:rsidR="001341F1">
        <w:t>)</w:t>
      </w:r>
    </w:p>
  </w:footnote>
  <w:footnote w:id="29">
    <w:p w14:paraId="3C1FC07C" w14:textId="40F70D8F" w:rsidR="00AB21DD" w:rsidRDefault="00AB21DD" w:rsidP="00354F5C">
      <w:r>
        <w:rPr>
          <w:rStyle w:val="FootnoteReference"/>
        </w:rPr>
        <w:footnoteRef/>
      </w:r>
      <w:r>
        <w:t xml:space="preserve"> </w:t>
      </w:r>
      <w:r w:rsidR="00354F5C">
        <w:t xml:space="preserve">Eliade, M. </w:t>
      </w:r>
      <w:r w:rsidR="00354F5C" w:rsidRPr="00F46FC5">
        <w:rPr>
          <w:i/>
          <w:iCs/>
        </w:rPr>
        <w:t>The Sacred and the Profane</w:t>
      </w:r>
      <w:r w:rsidR="00354F5C">
        <w:t>, (New York: Harcourt Brace, 1959) 20-65 (</w:t>
      </w:r>
      <w:r>
        <w:t>p.25</w:t>
      </w:r>
      <w:r w:rsidR="00354F5C">
        <w:t>)</w:t>
      </w:r>
    </w:p>
  </w:footnote>
  <w:footnote w:id="30">
    <w:p w14:paraId="29283A0D" w14:textId="2EAB5EBF" w:rsidR="00AB21DD" w:rsidRPr="00354F5C" w:rsidRDefault="00AB21DD" w:rsidP="00AB21DD">
      <w:r>
        <w:rPr>
          <w:rStyle w:val="FootnoteReference"/>
        </w:rPr>
        <w:footnoteRef/>
      </w:r>
      <w:r>
        <w:t xml:space="preserve"> </w:t>
      </w:r>
      <w:r w:rsidR="00354F5C">
        <w:t xml:space="preserve">Durkheim, E. </w:t>
      </w:r>
      <w:r w:rsidR="00354F5C" w:rsidRPr="00D63CB9">
        <w:rPr>
          <w:i/>
          <w:iCs/>
        </w:rPr>
        <w:t>The Elementary Forms of Religious Life</w:t>
      </w:r>
      <w:r w:rsidR="00354F5C">
        <w:t>, trans. Karen E. Fields, (New York: Free Press, 1995) [1st edn.., Les Formes élémentaires de la vie religieuse, Paris; F. Alcan 1912] xliii-li, 1-13, 70-83,</w:t>
      </w:r>
      <w:r w:rsidRPr="00EF04F7">
        <w:rPr>
          <w:lang w:val="fr-FR"/>
        </w:rPr>
        <w:t xml:space="preserve"> 303</w:t>
      </w:r>
      <w:r w:rsidR="00417DC3">
        <w:rPr>
          <w:lang w:val="fr-FR"/>
        </w:rPr>
        <w:t xml:space="preserve"> (p.303)</w:t>
      </w:r>
    </w:p>
  </w:footnote>
  <w:footnote w:id="31">
    <w:p w14:paraId="6A5795D0" w14:textId="1732D649" w:rsidR="00AB21DD" w:rsidRDefault="00AB21DD" w:rsidP="001341F1">
      <w:pPr>
        <w:jc w:val="both"/>
      </w:pPr>
      <w:r>
        <w:rPr>
          <w:rStyle w:val="FootnoteReference"/>
        </w:rPr>
        <w:footnoteRef/>
      </w:r>
      <w:r>
        <w:t xml:space="preserve"> </w:t>
      </w:r>
      <w:r w:rsidR="003C3149">
        <w:t xml:space="preserve">Prendergast, ‘The Archaeology of Height- Cultural meaning in the relativity of Irish megalithic tomb siting’, in </w:t>
      </w:r>
      <w:r w:rsidR="003C3149" w:rsidRPr="0000265F">
        <w:rPr>
          <w:i/>
          <w:iCs/>
        </w:rPr>
        <w:t>Space, Place and Religious Landscapes: Living Mountains</w:t>
      </w:r>
      <w:r w:rsidR="003C3149" w:rsidRPr="0000265F">
        <w:t>, ed. By Darrelyn Gunzburg &amp; Bernadette Brady</w:t>
      </w:r>
      <w:r w:rsidR="003C3149">
        <w:t xml:space="preserve"> (London: Bloomsbury Academic, 2021) 13-42</w:t>
      </w:r>
      <w:r w:rsidR="00034D88">
        <w:t xml:space="preserve"> (</w:t>
      </w:r>
      <w:r>
        <w:t>p.</w:t>
      </w:r>
      <w:r w:rsidR="00034D88">
        <w:t xml:space="preserve"> </w:t>
      </w:r>
      <w:r>
        <w:t>26</w:t>
      </w:r>
      <w:r w:rsidR="00034D88">
        <w:t>).</w:t>
      </w:r>
    </w:p>
  </w:footnote>
  <w:footnote w:id="32">
    <w:p w14:paraId="1D53B892" w14:textId="28FD28B4" w:rsidR="00AB21DD" w:rsidRDefault="00AB21DD" w:rsidP="00417DC3">
      <w:pPr>
        <w:jc w:val="both"/>
      </w:pPr>
      <w:r>
        <w:rPr>
          <w:rStyle w:val="FootnoteReference"/>
        </w:rPr>
        <w:footnoteRef/>
      </w:r>
      <w:r>
        <w:t xml:space="preserve"> </w:t>
      </w:r>
      <w:r w:rsidR="00417DC3">
        <w:t xml:space="preserve">Tilley, C. ‘Foreword’ </w:t>
      </w:r>
      <w:r w:rsidR="00417DC3" w:rsidRPr="001D4D92">
        <w:t>p: xvi</w:t>
      </w:r>
      <w:r w:rsidR="00417DC3">
        <w:t>i</w:t>
      </w:r>
    </w:p>
  </w:footnote>
  <w:footnote w:id="33">
    <w:p w14:paraId="2FDC8910" w14:textId="61B5DD89" w:rsidR="00AB21DD" w:rsidRDefault="00AB21DD" w:rsidP="00AB21DD">
      <w:pPr>
        <w:pStyle w:val="FootnoteText"/>
      </w:pPr>
      <w:r>
        <w:rPr>
          <w:rStyle w:val="FootnoteReference"/>
        </w:rPr>
        <w:footnoteRef/>
      </w:r>
      <w:r>
        <w:t xml:space="preserve"> </w:t>
      </w:r>
      <w:r w:rsidR="00ED75EA">
        <w:t>Casey, E. ‘How to get from space to place in a fairly short stretch of time: phenomenological prolegomena’ p.23</w:t>
      </w:r>
    </w:p>
  </w:footnote>
  <w:footnote w:id="34">
    <w:p w14:paraId="3A83045A" w14:textId="1C0EDC43" w:rsidR="00AB21DD" w:rsidRDefault="00AB21DD" w:rsidP="00ED75EA">
      <w:pPr>
        <w:pStyle w:val="FootnoteText"/>
      </w:pPr>
      <w:r>
        <w:rPr>
          <w:rStyle w:val="FootnoteReference"/>
        </w:rPr>
        <w:footnoteRef/>
      </w:r>
      <w:r>
        <w:t xml:space="preserve"> </w:t>
      </w:r>
      <w:r w:rsidR="00ED75EA">
        <w:t xml:space="preserve">Casey, E. ‘How to get from space to place in a fairly short stretch of time: phenomenological prolegomena’ </w:t>
      </w:r>
      <w:r>
        <w:t>p.23</w:t>
      </w:r>
    </w:p>
  </w:footnote>
  <w:footnote w:id="35">
    <w:p w14:paraId="4F4ACCDB" w14:textId="563318F2" w:rsidR="00AB21DD" w:rsidRPr="002E3C37" w:rsidRDefault="00AB21DD" w:rsidP="00AB21DD">
      <w:pPr>
        <w:pStyle w:val="FootnoteText"/>
      </w:pPr>
      <w:r>
        <w:rPr>
          <w:rStyle w:val="FootnoteReference"/>
        </w:rPr>
        <w:footnoteRef/>
      </w:r>
      <w:r>
        <w:t xml:space="preserve"> </w:t>
      </w:r>
      <w:r w:rsidR="002E3C37" w:rsidRPr="002E3C37">
        <w:t>Lévy-Bruhl, ‘The notebooks on primitive mentality’ p.2-3</w:t>
      </w:r>
    </w:p>
  </w:footnote>
  <w:footnote w:id="36">
    <w:p w14:paraId="03A1D770" w14:textId="769D3CA7" w:rsidR="00AB21DD" w:rsidRPr="002E3C37" w:rsidRDefault="00AB21DD" w:rsidP="00AB21DD">
      <w:pPr>
        <w:pStyle w:val="FootnoteText"/>
      </w:pPr>
      <w:r w:rsidRPr="002E3C37">
        <w:rPr>
          <w:rStyle w:val="FootnoteReference"/>
        </w:rPr>
        <w:footnoteRef/>
      </w:r>
      <w:r w:rsidRPr="002E3C37">
        <w:t xml:space="preserve"> </w:t>
      </w:r>
      <w:r w:rsidR="00ED75EA" w:rsidRPr="002E3C37">
        <w:t>Ingold, T. ‘The Temporality of Landscape’ p.154</w:t>
      </w:r>
    </w:p>
  </w:footnote>
  <w:footnote w:id="37">
    <w:p w14:paraId="69A6CE4D" w14:textId="2704614E" w:rsidR="00AB21DD" w:rsidRPr="002E3C37" w:rsidRDefault="00AB21DD" w:rsidP="00ED75EA">
      <w:pPr>
        <w:jc w:val="both"/>
        <w:rPr>
          <w:sz w:val="20"/>
          <w:szCs w:val="20"/>
        </w:rPr>
      </w:pPr>
      <w:r w:rsidRPr="002E3C37">
        <w:rPr>
          <w:rStyle w:val="FootnoteReference"/>
          <w:sz w:val="20"/>
          <w:szCs w:val="20"/>
        </w:rPr>
        <w:footnoteRef/>
      </w:r>
      <w:r w:rsidRPr="002E3C37">
        <w:rPr>
          <w:sz w:val="20"/>
          <w:szCs w:val="20"/>
        </w:rPr>
        <w:t xml:space="preserve"> </w:t>
      </w:r>
      <w:r w:rsidR="00ED75EA" w:rsidRPr="002E3C37">
        <w:rPr>
          <w:sz w:val="20"/>
          <w:szCs w:val="20"/>
        </w:rPr>
        <w:t>Tilley, C. ‘Foreword’ p: xvii</w:t>
      </w:r>
    </w:p>
  </w:footnote>
  <w:footnote w:id="38">
    <w:p w14:paraId="4B34EF5F" w14:textId="2238575C" w:rsidR="00AB21DD" w:rsidRPr="002E3C37" w:rsidRDefault="00AB21DD" w:rsidP="002E3C37">
      <w:pPr>
        <w:rPr>
          <w:sz w:val="20"/>
          <w:szCs w:val="20"/>
        </w:rPr>
      </w:pPr>
      <w:r w:rsidRPr="002E3C37">
        <w:rPr>
          <w:rStyle w:val="FootnoteReference"/>
          <w:sz w:val="20"/>
          <w:szCs w:val="20"/>
        </w:rPr>
        <w:footnoteRef/>
      </w:r>
      <w:r w:rsidRPr="002E3C37">
        <w:rPr>
          <w:sz w:val="20"/>
          <w:szCs w:val="20"/>
        </w:rPr>
        <w:t xml:space="preserve"> </w:t>
      </w:r>
      <w:r w:rsidR="00ED75EA" w:rsidRPr="002E3C37">
        <w:rPr>
          <w:sz w:val="20"/>
          <w:szCs w:val="20"/>
        </w:rPr>
        <w:t xml:space="preserve">Brady, B. ‘Mountain talk of kings and dragons, the Brecon Beacons’ in </w:t>
      </w:r>
      <w:r w:rsidR="00ED75EA" w:rsidRPr="002E3C37">
        <w:rPr>
          <w:i/>
          <w:iCs/>
          <w:sz w:val="20"/>
          <w:szCs w:val="20"/>
        </w:rPr>
        <w:t>Space, Place and Religious Landscapes: Living Mountains</w:t>
      </w:r>
      <w:r w:rsidR="00ED75EA" w:rsidRPr="002E3C37">
        <w:rPr>
          <w:sz w:val="20"/>
          <w:szCs w:val="20"/>
        </w:rPr>
        <w:t>, ed. By Darrelyn Gunzburg &amp; Bernadette Brady (London: Bloomsbury Academic, 2021) 173-190 (p</w:t>
      </w:r>
      <w:r w:rsidRPr="002E3C37">
        <w:rPr>
          <w:sz w:val="20"/>
          <w:szCs w:val="20"/>
        </w:rPr>
        <w:t>.183</w:t>
      </w:r>
      <w:r w:rsidR="00ED75EA" w:rsidRPr="002E3C37">
        <w:rPr>
          <w:sz w:val="20"/>
          <w:szCs w:val="20"/>
        </w:rPr>
        <w:t>)</w:t>
      </w:r>
    </w:p>
  </w:footnote>
  <w:footnote w:id="39">
    <w:p w14:paraId="169A5752" w14:textId="39EEBB7B" w:rsidR="00AB21DD" w:rsidRDefault="00AB21DD" w:rsidP="00AC3847">
      <w:pPr>
        <w:jc w:val="both"/>
      </w:pPr>
      <w:r w:rsidRPr="002E3C37">
        <w:rPr>
          <w:rStyle w:val="FootnoteReference"/>
          <w:sz w:val="20"/>
          <w:szCs w:val="20"/>
        </w:rPr>
        <w:footnoteRef/>
      </w:r>
      <w:r w:rsidRPr="002E3C37">
        <w:rPr>
          <w:sz w:val="20"/>
          <w:szCs w:val="20"/>
        </w:rPr>
        <w:t xml:space="preserve"> </w:t>
      </w:r>
      <w:r w:rsidR="00AC3847" w:rsidRPr="002E3C37">
        <w:rPr>
          <w:sz w:val="20"/>
          <w:szCs w:val="20"/>
        </w:rPr>
        <w:t>Brady, B. ‘Mountain talk of kings and dragons, the Brecon Beacons’ p</w:t>
      </w:r>
      <w:r w:rsidRPr="002E3C37">
        <w:rPr>
          <w:sz w:val="20"/>
          <w:szCs w:val="20"/>
        </w:rPr>
        <w:t>.183</w:t>
      </w:r>
    </w:p>
  </w:footnote>
  <w:footnote w:id="40">
    <w:p w14:paraId="19EC4413" w14:textId="326F6DA3" w:rsidR="0047221D" w:rsidRPr="002E3C37" w:rsidRDefault="0047221D" w:rsidP="0047221D">
      <w:pPr>
        <w:rPr>
          <w:sz w:val="20"/>
          <w:szCs w:val="20"/>
          <w:lang w:val="fr-FR"/>
        </w:rPr>
      </w:pPr>
      <w:r w:rsidRPr="002E3C37">
        <w:rPr>
          <w:rStyle w:val="FootnoteReference"/>
          <w:sz w:val="20"/>
          <w:szCs w:val="20"/>
        </w:rPr>
        <w:footnoteRef/>
      </w:r>
      <w:r w:rsidRPr="002E3C37">
        <w:rPr>
          <w:sz w:val="20"/>
          <w:szCs w:val="20"/>
        </w:rPr>
        <w:t xml:space="preserve"> Durkheim, Emile, </w:t>
      </w:r>
      <w:r w:rsidR="00BF27F7" w:rsidRPr="002E3C37">
        <w:rPr>
          <w:sz w:val="20"/>
          <w:szCs w:val="20"/>
        </w:rPr>
        <w:t>‘</w:t>
      </w:r>
      <w:r w:rsidRPr="002E3C37">
        <w:rPr>
          <w:sz w:val="20"/>
          <w:szCs w:val="20"/>
        </w:rPr>
        <w:t>The Elementary Forms of Religious Life</w:t>
      </w:r>
      <w:r w:rsidR="00BF27F7" w:rsidRPr="002E3C37">
        <w:rPr>
          <w:sz w:val="20"/>
          <w:szCs w:val="20"/>
        </w:rPr>
        <w:t>’</w:t>
      </w:r>
      <w:r w:rsidRPr="002E3C37">
        <w:rPr>
          <w:sz w:val="20"/>
          <w:szCs w:val="20"/>
        </w:rPr>
        <w:t xml:space="preserve">, </w:t>
      </w:r>
      <w:r w:rsidRPr="002E3C37">
        <w:rPr>
          <w:sz w:val="20"/>
          <w:szCs w:val="20"/>
          <w:lang w:val="fr-FR"/>
        </w:rPr>
        <w:t>p. 303</w:t>
      </w:r>
    </w:p>
  </w:footnote>
  <w:footnote w:id="41">
    <w:p w14:paraId="17FC506A" w14:textId="5B1763D3" w:rsidR="0047221D" w:rsidRPr="002E3C37" w:rsidRDefault="0047221D" w:rsidP="0047221D">
      <w:pPr>
        <w:jc w:val="both"/>
        <w:rPr>
          <w:sz w:val="20"/>
          <w:szCs w:val="20"/>
        </w:rPr>
      </w:pPr>
      <w:r w:rsidRPr="002E3C37">
        <w:rPr>
          <w:rStyle w:val="FootnoteReference"/>
          <w:sz w:val="20"/>
          <w:szCs w:val="20"/>
        </w:rPr>
        <w:footnoteRef/>
      </w:r>
      <w:r w:rsidRPr="002E3C37">
        <w:rPr>
          <w:sz w:val="20"/>
          <w:szCs w:val="20"/>
        </w:rPr>
        <w:t xml:space="preserve"> </w:t>
      </w:r>
      <w:r w:rsidR="00BE3D09" w:rsidRPr="002E3C37">
        <w:rPr>
          <w:sz w:val="20"/>
          <w:szCs w:val="20"/>
        </w:rPr>
        <w:t>Casey, E. ‘How to get from space to place in a fairly short stretch of time: phenomenological prolegomena’ p.2</w:t>
      </w:r>
      <w:r w:rsidRPr="002E3C37">
        <w:rPr>
          <w:sz w:val="20"/>
          <w:szCs w:val="20"/>
        </w:rPr>
        <w:t>3</w:t>
      </w:r>
    </w:p>
  </w:footnote>
  <w:footnote w:id="42">
    <w:p w14:paraId="45A5BF3C" w14:textId="08503AD2" w:rsidR="0047221D" w:rsidRDefault="0047221D" w:rsidP="0047221D">
      <w:pPr>
        <w:pStyle w:val="FootnoteText"/>
      </w:pPr>
      <w:r w:rsidRPr="002E3C37">
        <w:rPr>
          <w:rStyle w:val="FootnoteReference"/>
        </w:rPr>
        <w:footnoteRef/>
      </w:r>
      <w:r w:rsidR="00BE3D09" w:rsidRPr="002E3C37">
        <w:t>Nabulsi, R. ‘Rudolf Otto and the Fearful Numinous: Jacob and Moses Wrestle with the Dangerous Divine; An Investigation of Genesis 32:22-33 and Exodus 4:24-26</w:t>
      </w:r>
      <w:r w:rsidR="00CE3531" w:rsidRPr="002E3C37">
        <w:t>’ p.85</w:t>
      </w:r>
    </w:p>
  </w:footnote>
  <w:footnote w:id="43">
    <w:p w14:paraId="1CF43B12" w14:textId="46D91FC8" w:rsidR="0047221D" w:rsidRPr="00CE3531" w:rsidRDefault="0047221D" w:rsidP="00CE3531">
      <w:pPr>
        <w:jc w:val="both"/>
        <w:rPr>
          <w:sz w:val="20"/>
          <w:szCs w:val="20"/>
        </w:rPr>
      </w:pPr>
      <w:r>
        <w:rPr>
          <w:rStyle w:val="FootnoteReference"/>
        </w:rPr>
        <w:footnoteRef/>
      </w:r>
      <w:r>
        <w:t xml:space="preserve"> </w:t>
      </w:r>
      <w:r w:rsidR="00CE3531" w:rsidRPr="00CE3531">
        <w:rPr>
          <w:sz w:val="20"/>
          <w:szCs w:val="20"/>
        </w:rPr>
        <w:t>Tilley, C. ‘Foreword’ p: xvii</w:t>
      </w:r>
    </w:p>
  </w:footnote>
  <w:footnote w:id="44">
    <w:p w14:paraId="608AEE57" w14:textId="79FD7B66" w:rsidR="0047221D" w:rsidRPr="00CE3531" w:rsidRDefault="0047221D" w:rsidP="0047221D">
      <w:pPr>
        <w:pStyle w:val="FootnoteText"/>
      </w:pPr>
      <w:r w:rsidRPr="00CE3531">
        <w:rPr>
          <w:rStyle w:val="FootnoteReference"/>
        </w:rPr>
        <w:footnoteRef/>
      </w:r>
      <w:r w:rsidRPr="00CE3531">
        <w:t xml:space="preserve"> Fields, </w:t>
      </w:r>
      <w:r w:rsidR="00CE3531" w:rsidRPr="00CE3531">
        <w:t>‘</w:t>
      </w:r>
      <w:r w:rsidRPr="00CE3531">
        <w:rPr>
          <w:i/>
          <w:iCs/>
        </w:rPr>
        <w:t>Translator’s Introductions</w:t>
      </w:r>
      <w:r w:rsidR="00CE3531" w:rsidRPr="00CE3531">
        <w:rPr>
          <w:i/>
          <w:iCs/>
        </w:rPr>
        <w:t>’</w:t>
      </w:r>
      <w:r w:rsidR="00CE3531" w:rsidRPr="00CE3531">
        <w:t xml:space="preserve"> </w:t>
      </w:r>
      <w:r w:rsidRPr="00CE3531">
        <w:t>p</w:t>
      </w:r>
      <w:r w:rsidR="00CE3531" w:rsidRPr="00CE3531">
        <w:t>p</w:t>
      </w:r>
      <w:r w:rsidRPr="00CE3531">
        <w:t>.</w:t>
      </w:r>
      <w:r w:rsidR="00CE3531" w:rsidRPr="00CE3531">
        <w:t xml:space="preserve"> </w:t>
      </w:r>
      <w:r w:rsidRPr="00CE3531">
        <w:t>xlvi-v</w:t>
      </w:r>
    </w:p>
  </w:footnote>
  <w:footnote w:id="45">
    <w:p w14:paraId="4CE6606A" w14:textId="24D7FB18" w:rsidR="0047221D" w:rsidRPr="00CE3531" w:rsidRDefault="0047221D" w:rsidP="0047221D">
      <w:pPr>
        <w:pStyle w:val="FootnoteText"/>
      </w:pPr>
      <w:r w:rsidRPr="00CE3531">
        <w:rPr>
          <w:rStyle w:val="FootnoteReference"/>
        </w:rPr>
        <w:footnoteRef/>
      </w:r>
      <w:r w:rsidRPr="00CE3531">
        <w:t xml:space="preserve"> Eliade, M, </w:t>
      </w:r>
      <w:r w:rsidR="00CE3531" w:rsidRPr="00CE3531">
        <w:t>‘</w:t>
      </w:r>
      <w:r w:rsidRPr="00CE3531">
        <w:rPr>
          <w:i/>
          <w:iCs/>
        </w:rPr>
        <w:t>The Sacred and the Profane</w:t>
      </w:r>
      <w:r w:rsidR="00CE3531" w:rsidRPr="00CE3531">
        <w:rPr>
          <w:i/>
          <w:iCs/>
        </w:rPr>
        <w:t>’</w:t>
      </w:r>
      <w:r w:rsidRPr="00CE3531">
        <w:t>, p.25</w:t>
      </w:r>
    </w:p>
  </w:footnote>
  <w:footnote w:id="46">
    <w:p w14:paraId="5C04BE01" w14:textId="77777777" w:rsidR="00B74F39" w:rsidRDefault="00B74F39" w:rsidP="00B74F39">
      <w:pPr>
        <w:jc w:val="both"/>
      </w:pPr>
      <w:r w:rsidRPr="00CE3531">
        <w:rPr>
          <w:rStyle w:val="FootnoteReference"/>
          <w:sz w:val="20"/>
          <w:szCs w:val="20"/>
        </w:rPr>
        <w:footnoteRef/>
      </w:r>
      <w:r w:rsidRPr="00CE3531">
        <w:rPr>
          <w:sz w:val="20"/>
          <w:szCs w:val="20"/>
        </w:rPr>
        <w:t xml:space="preserve"> Tilley, C. ‘Foreword’ p: xvii</w:t>
      </w:r>
    </w:p>
  </w:footnote>
  <w:footnote w:id="47">
    <w:p w14:paraId="5DC232BE" w14:textId="04F430F1" w:rsidR="0047221D" w:rsidRDefault="0047221D" w:rsidP="0047221D">
      <w:pPr>
        <w:pStyle w:val="FootnoteText"/>
      </w:pPr>
      <w:r>
        <w:rPr>
          <w:rStyle w:val="FootnoteReference"/>
        </w:rPr>
        <w:footnoteRef/>
      </w:r>
      <w:r>
        <w:t xml:space="preserve"> </w:t>
      </w:r>
      <w:r w:rsidR="00BD72E4">
        <w:t>Ingold, T. ‘The Temporality of Landscape’ p.154</w:t>
      </w:r>
    </w:p>
  </w:footnote>
  <w:footnote w:id="48">
    <w:p w14:paraId="7E21839A" w14:textId="32D81FF0" w:rsidR="0047221D" w:rsidRDefault="0047221D" w:rsidP="0047221D">
      <w:pPr>
        <w:pStyle w:val="FootnoteText"/>
      </w:pPr>
      <w:r>
        <w:rPr>
          <w:rStyle w:val="FootnoteReference"/>
        </w:rPr>
        <w:footnoteRef/>
      </w:r>
      <w:r>
        <w:t xml:space="preserve"> </w:t>
      </w:r>
      <w:r w:rsidR="002E3C37">
        <w:t xml:space="preserve">Lévy-Bruhl, </w:t>
      </w:r>
      <w:r w:rsidR="004B6E68">
        <w:t>‘</w:t>
      </w:r>
      <w:r w:rsidR="002E3C37">
        <w:t>The notebooks on primitive mentality</w:t>
      </w:r>
      <w:r w:rsidR="004B6E68">
        <w:t>,’ p.62</w:t>
      </w:r>
    </w:p>
  </w:footnote>
  <w:footnote w:id="49">
    <w:p w14:paraId="2993E156" w14:textId="28F57108" w:rsidR="0047221D" w:rsidRDefault="0047221D" w:rsidP="00BD72E4">
      <w:pPr>
        <w:jc w:val="both"/>
      </w:pPr>
      <w:r>
        <w:rPr>
          <w:rStyle w:val="FootnoteReference"/>
        </w:rPr>
        <w:footnoteRef/>
      </w:r>
      <w:r>
        <w:t xml:space="preserve"> </w:t>
      </w:r>
      <w:r w:rsidR="00BD72E4">
        <w:t>Brady, B. ‘</w:t>
      </w:r>
      <w:r w:rsidR="00BD72E4" w:rsidRPr="00E037B6">
        <w:t>Mountain talk of kings and dragons, the Brecon Beacons</w:t>
      </w:r>
      <w:r w:rsidR="00BD72E4">
        <w:t>’ p.183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0F199" w14:textId="0F03EBD0" w:rsidR="00AC64E0" w:rsidRDefault="00AC64E0">
    <w:pPr>
      <w:pStyle w:val="Header"/>
    </w:pPr>
    <w:r>
      <w:t xml:space="preserve">Emily Nixon </w:t>
    </w:r>
    <w:r>
      <w:tab/>
    </w:r>
    <w:r>
      <w:tab/>
      <w:t>2212291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0608"/>
    <w:multiLevelType w:val="multilevel"/>
    <w:tmpl w:val="41A61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9379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FD3"/>
    <w:rsid w:val="0000265F"/>
    <w:rsid w:val="00015653"/>
    <w:rsid w:val="00034D88"/>
    <w:rsid w:val="000518A7"/>
    <w:rsid w:val="00053DBC"/>
    <w:rsid w:val="000634D6"/>
    <w:rsid w:val="0009371D"/>
    <w:rsid w:val="000A07A7"/>
    <w:rsid w:val="000C19F0"/>
    <w:rsid w:val="000C1AEA"/>
    <w:rsid w:val="000E22C0"/>
    <w:rsid w:val="000E4074"/>
    <w:rsid w:val="000E7FAA"/>
    <w:rsid w:val="000F1C01"/>
    <w:rsid w:val="000F4D63"/>
    <w:rsid w:val="0011614A"/>
    <w:rsid w:val="00123BED"/>
    <w:rsid w:val="001322E0"/>
    <w:rsid w:val="001341F1"/>
    <w:rsid w:val="00143A7B"/>
    <w:rsid w:val="00160A0D"/>
    <w:rsid w:val="0017528C"/>
    <w:rsid w:val="001843DC"/>
    <w:rsid w:val="00186CA5"/>
    <w:rsid w:val="00193B89"/>
    <w:rsid w:val="001A7DC5"/>
    <w:rsid w:val="001C2B1A"/>
    <w:rsid w:val="001D4D92"/>
    <w:rsid w:val="001E034F"/>
    <w:rsid w:val="001E3AAB"/>
    <w:rsid w:val="001E59B4"/>
    <w:rsid w:val="001E6FA3"/>
    <w:rsid w:val="001F1098"/>
    <w:rsid w:val="00203C40"/>
    <w:rsid w:val="002122A9"/>
    <w:rsid w:val="00237078"/>
    <w:rsid w:val="0024521E"/>
    <w:rsid w:val="00247607"/>
    <w:rsid w:val="00260E10"/>
    <w:rsid w:val="002654ED"/>
    <w:rsid w:val="00274D59"/>
    <w:rsid w:val="002A1F96"/>
    <w:rsid w:val="002B38C0"/>
    <w:rsid w:val="002C73E1"/>
    <w:rsid w:val="002E3C37"/>
    <w:rsid w:val="002F0806"/>
    <w:rsid w:val="0030272D"/>
    <w:rsid w:val="00304F81"/>
    <w:rsid w:val="00314A72"/>
    <w:rsid w:val="00333250"/>
    <w:rsid w:val="00342FC6"/>
    <w:rsid w:val="003474F1"/>
    <w:rsid w:val="00354F5C"/>
    <w:rsid w:val="00363D43"/>
    <w:rsid w:val="00365062"/>
    <w:rsid w:val="00381424"/>
    <w:rsid w:val="003840CB"/>
    <w:rsid w:val="00394FD8"/>
    <w:rsid w:val="003C0A8F"/>
    <w:rsid w:val="003C3149"/>
    <w:rsid w:val="003C69C3"/>
    <w:rsid w:val="003C7100"/>
    <w:rsid w:val="003E2CF8"/>
    <w:rsid w:val="003F3854"/>
    <w:rsid w:val="00414FD3"/>
    <w:rsid w:val="00417A34"/>
    <w:rsid w:val="00417DC3"/>
    <w:rsid w:val="00435EDE"/>
    <w:rsid w:val="004505A9"/>
    <w:rsid w:val="00453800"/>
    <w:rsid w:val="0047221D"/>
    <w:rsid w:val="00490902"/>
    <w:rsid w:val="004A77F1"/>
    <w:rsid w:val="004A7FAA"/>
    <w:rsid w:val="004B6E68"/>
    <w:rsid w:val="004D2F2D"/>
    <w:rsid w:val="004D4484"/>
    <w:rsid w:val="004F2C84"/>
    <w:rsid w:val="0050238E"/>
    <w:rsid w:val="0051371F"/>
    <w:rsid w:val="00525519"/>
    <w:rsid w:val="0053395F"/>
    <w:rsid w:val="00540049"/>
    <w:rsid w:val="005507B9"/>
    <w:rsid w:val="0057310C"/>
    <w:rsid w:val="00590D1D"/>
    <w:rsid w:val="00591D39"/>
    <w:rsid w:val="005A3C80"/>
    <w:rsid w:val="005B33AB"/>
    <w:rsid w:val="005B4A2E"/>
    <w:rsid w:val="005C0711"/>
    <w:rsid w:val="005D472F"/>
    <w:rsid w:val="005E6D11"/>
    <w:rsid w:val="00606A24"/>
    <w:rsid w:val="00614773"/>
    <w:rsid w:val="00631576"/>
    <w:rsid w:val="006365D5"/>
    <w:rsid w:val="006374C1"/>
    <w:rsid w:val="006447A3"/>
    <w:rsid w:val="0066556B"/>
    <w:rsid w:val="00673A0F"/>
    <w:rsid w:val="006752A4"/>
    <w:rsid w:val="0068114F"/>
    <w:rsid w:val="00682E3F"/>
    <w:rsid w:val="00683187"/>
    <w:rsid w:val="00684BF2"/>
    <w:rsid w:val="006871C9"/>
    <w:rsid w:val="00694298"/>
    <w:rsid w:val="00696553"/>
    <w:rsid w:val="006A257B"/>
    <w:rsid w:val="006B16A6"/>
    <w:rsid w:val="006B30CE"/>
    <w:rsid w:val="006C18C3"/>
    <w:rsid w:val="006D27FB"/>
    <w:rsid w:val="006D5A0F"/>
    <w:rsid w:val="006E461F"/>
    <w:rsid w:val="006E6F6C"/>
    <w:rsid w:val="006F6B9F"/>
    <w:rsid w:val="007008FF"/>
    <w:rsid w:val="007230FD"/>
    <w:rsid w:val="00724713"/>
    <w:rsid w:val="00730D6F"/>
    <w:rsid w:val="0075549B"/>
    <w:rsid w:val="0076412A"/>
    <w:rsid w:val="00770FCE"/>
    <w:rsid w:val="0078091E"/>
    <w:rsid w:val="00782371"/>
    <w:rsid w:val="00793F0E"/>
    <w:rsid w:val="007B668D"/>
    <w:rsid w:val="007C0703"/>
    <w:rsid w:val="007C7BD0"/>
    <w:rsid w:val="007E0376"/>
    <w:rsid w:val="007F6D3F"/>
    <w:rsid w:val="00802C01"/>
    <w:rsid w:val="00803AC9"/>
    <w:rsid w:val="0081276C"/>
    <w:rsid w:val="008225BD"/>
    <w:rsid w:val="00836551"/>
    <w:rsid w:val="00836F05"/>
    <w:rsid w:val="00862658"/>
    <w:rsid w:val="008672F5"/>
    <w:rsid w:val="00874C21"/>
    <w:rsid w:val="0087698E"/>
    <w:rsid w:val="008814B2"/>
    <w:rsid w:val="008C35BA"/>
    <w:rsid w:val="008D4212"/>
    <w:rsid w:val="008E15C4"/>
    <w:rsid w:val="008E73DF"/>
    <w:rsid w:val="008F35A9"/>
    <w:rsid w:val="0091326D"/>
    <w:rsid w:val="00913C57"/>
    <w:rsid w:val="00916D0D"/>
    <w:rsid w:val="00916E9D"/>
    <w:rsid w:val="00917079"/>
    <w:rsid w:val="00930780"/>
    <w:rsid w:val="00937394"/>
    <w:rsid w:val="00943AD7"/>
    <w:rsid w:val="00986195"/>
    <w:rsid w:val="009A073F"/>
    <w:rsid w:val="009B0FCC"/>
    <w:rsid w:val="009B1992"/>
    <w:rsid w:val="009B1F31"/>
    <w:rsid w:val="009C184E"/>
    <w:rsid w:val="009E5326"/>
    <w:rsid w:val="009F23AE"/>
    <w:rsid w:val="009F3E84"/>
    <w:rsid w:val="009F60F1"/>
    <w:rsid w:val="00A377B6"/>
    <w:rsid w:val="00A579FE"/>
    <w:rsid w:val="00A72ABC"/>
    <w:rsid w:val="00A97201"/>
    <w:rsid w:val="00AA7216"/>
    <w:rsid w:val="00AB21DD"/>
    <w:rsid w:val="00AC3847"/>
    <w:rsid w:val="00AC631D"/>
    <w:rsid w:val="00AC64E0"/>
    <w:rsid w:val="00AD3A4C"/>
    <w:rsid w:val="00AE05DE"/>
    <w:rsid w:val="00AE1B40"/>
    <w:rsid w:val="00AE2672"/>
    <w:rsid w:val="00AF0828"/>
    <w:rsid w:val="00B0123F"/>
    <w:rsid w:val="00B05CC6"/>
    <w:rsid w:val="00B35381"/>
    <w:rsid w:val="00B5211D"/>
    <w:rsid w:val="00B57312"/>
    <w:rsid w:val="00B7428C"/>
    <w:rsid w:val="00B74F39"/>
    <w:rsid w:val="00B84305"/>
    <w:rsid w:val="00B87039"/>
    <w:rsid w:val="00B92D3A"/>
    <w:rsid w:val="00BA2046"/>
    <w:rsid w:val="00BA2AF7"/>
    <w:rsid w:val="00BA63C6"/>
    <w:rsid w:val="00BD142E"/>
    <w:rsid w:val="00BD2D4A"/>
    <w:rsid w:val="00BD30CC"/>
    <w:rsid w:val="00BD6435"/>
    <w:rsid w:val="00BD72E4"/>
    <w:rsid w:val="00BE040F"/>
    <w:rsid w:val="00BE2E7A"/>
    <w:rsid w:val="00BE3D09"/>
    <w:rsid w:val="00BF27F7"/>
    <w:rsid w:val="00BF476F"/>
    <w:rsid w:val="00C20AC8"/>
    <w:rsid w:val="00C3457F"/>
    <w:rsid w:val="00C35A25"/>
    <w:rsid w:val="00C542C5"/>
    <w:rsid w:val="00C63AD6"/>
    <w:rsid w:val="00C6770A"/>
    <w:rsid w:val="00C80251"/>
    <w:rsid w:val="00C97D0D"/>
    <w:rsid w:val="00CA0717"/>
    <w:rsid w:val="00CA5ABA"/>
    <w:rsid w:val="00CA792B"/>
    <w:rsid w:val="00CC22AF"/>
    <w:rsid w:val="00CD3617"/>
    <w:rsid w:val="00CD3A70"/>
    <w:rsid w:val="00CD3E39"/>
    <w:rsid w:val="00CE3531"/>
    <w:rsid w:val="00CE3E7D"/>
    <w:rsid w:val="00CF3434"/>
    <w:rsid w:val="00CF5359"/>
    <w:rsid w:val="00D260D8"/>
    <w:rsid w:val="00D2624C"/>
    <w:rsid w:val="00D438C2"/>
    <w:rsid w:val="00D45012"/>
    <w:rsid w:val="00D57283"/>
    <w:rsid w:val="00D57992"/>
    <w:rsid w:val="00D60510"/>
    <w:rsid w:val="00D63CB9"/>
    <w:rsid w:val="00D71C77"/>
    <w:rsid w:val="00D81824"/>
    <w:rsid w:val="00D8308C"/>
    <w:rsid w:val="00D9367D"/>
    <w:rsid w:val="00D97837"/>
    <w:rsid w:val="00DA13AD"/>
    <w:rsid w:val="00DA3A15"/>
    <w:rsid w:val="00DA5BF9"/>
    <w:rsid w:val="00DB1DB6"/>
    <w:rsid w:val="00DB3778"/>
    <w:rsid w:val="00DC30F9"/>
    <w:rsid w:val="00DC6EE2"/>
    <w:rsid w:val="00DD4C1E"/>
    <w:rsid w:val="00DE0FA9"/>
    <w:rsid w:val="00DE60C2"/>
    <w:rsid w:val="00DE6105"/>
    <w:rsid w:val="00DF4AA8"/>
    <w:rsid w:val="00E037B6"/>
    <w:rsid w:val="00E262DE"/>
    <w:rsid w:val="00E3056B"/>
    <w:rsid w:val="00E31797"/>
    <w:rsid w:val="00E32424"/>
    <w:rsid w:val="00E3778E"/>
    <w:rsid w:val="00E40B37"/>
    <w:rsid w:val="00E6251C"/>
    <w:rsid w:val="00E72EA5"/>
    <w:rsid w:val="00E81122"/>
    <w:rsid w:val="00EC23A9"/>
    <w:rsid w:val="00EC2701"/>
    <w:rsid w:val="00ED5D5B"/>
    <w:rsid w:val="00ED75EA"/>
    <w:rsid w:val="00EE1CD4"/>
    <w:rsid w:val="00EE6AE8"/>
    <w:rsid w:val="00EF1A80"/>
    <w:rsid w:val="00EF6757"/>
    <w:rsid w:val="00F00481"/>
    <w:rsid w:val="00F0394A"/>
    <w:rsid w:val="00F079CD"/>
    <w:rsid w:val="00F1046B"/>
    <w:rsid w:val="00F46FC5"/>
    <w:rsid w:val="00F5308A"/>
    <w:rsid w:val="00F85CCC"/>
    <w:rsid w:val="00F907D5"/>
    <w:rsid w:val="00FA06CF"/>
    <w:rsid w:val="00FA145E"/>
    <w:rsid w:val="00FA5563"/>
    <w:rsid w:val="00FA6F3F"/>
    <w:rsid w:val="00FB736F"/>
    <w:rsid w:val="00FC29F7"/>
    <w:rsid w:val="00FD4187"/>
    <w:rsid w:val="00FE0BF1"/>
    <w:rsid w:val="00FE1E0B"/>
    <w:rsid w:val="00FE5068"/>
    <w:rsid w:val="00FF2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8A0AB"/>
  <w15:chartTrackingRefBased/>
  <w15:docId w15:val="{8C2CA8D3-FB2E-4F9F-98D8-367FC76FE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F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27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6D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FD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C64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4E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C64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4E0"/>
  </w:style>
  <w:style w:type="paragraph" w:styleId="Footer">
    <w:name w:val="footer"/>
    <w:basedOn w:val="Normal"/>
    <w:link w:val="FooterChar"/>
    <w:uiPriority w:val="99"/>
    <w:unhideWhenUsed/>
    <w:rsid w:val="00AC6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4E0"/>
  </w:style>
  <w:style w:type="character" w:customStyle="1" w:styleId="Heading3Char">
    <w:name w:val="Heading 3 Char"/>
    <w:basedOn w:val="DefaultParagraphFont"/>
    <w:link w:val="Heading3"/>
    <w:uiPriority w:val="9"/>
    <w:semiHidden/>
    <w:rsid w:val="007F6D3F"/>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rsid w:val="007F6D3F"/>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 w:type="character" w:styleId="Hyperlink">
    <w:name w:val="Hyperlink"/>
    <w:basedOn w:val="DefaultParagraphFont"/>
    <w:uiPriority w:val="99"/>
    <w:unhideWhenUsed/>
    <w:rsid w:val="007F6D3F"/>
    <w:rPr>
      <w:color w:val="0563C1" w:themeColor="hyperlink"/>
      <w:u w:val="single"/>
    </w:rPr>
  </w:style>
  <w:style w:type="character" w:styleId="UnresolvedMention">
    <w:name w:val="Unresolved Mention"/>
    <w:basedOn w:val="DefaultParagraphFont"/>
    <w:uiPriority w:val="99"/>
    <w:semiHidden/>
    <w:unhideWhenUsed/>
    <w:rsid w:val="007F6D3F"/>
    <w:rPr>
      <w:color w:val="605E5C"/>
      <w:shd w:val="clear" w:color="auto" w:fill="E1DFDD"/>
    </w:rPr>
  </w:style>
  <w:style w:type="paragraph" w:styleId="Subtitle">
    <w:name w:val="Subtitle"/>
    <w:basedOn w:val="Normal"/>
    <w:next w:val="Normal"/>
    <w:link w:val="SubtitleChar"/>
    <w:uiPriority w:val="11"/>
    <w:qFormat/>
    <w:rsid w:val="0030272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0272D"/>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30272D"/>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AF0828"/>
    <w:rPr>
      <w:b/>
      <w:bCs/>
    </w:rPr>
  </w:style>
  <w:style w:type="paragraph" w:styleId="FootnoteText">
    <w:name w:val="footnote text"/>
    <w:basedOn w:val="Normal"/>
    <w:link w:val="FootnoteTextChar"/>
    <w:uiPriority w:val="99"/>
    <w:unhideWhenUsed/>
    <w:rsid w:val="00916D0D"/>
    <w:pPr>
      <w:spacing w:after="0" w:line="240" w:lineRule="auto"/>
    </w:pPr>
    <w:rPr>
      <w:sz w:val="20"/>
      <w:szCs w:val="20"/>
    </w:rPr>
  </w:style>
  <w:style w:type="character" w:customStyle="1" w:styleId="FootnoteTextChar">
    <w:name w:val="Footnote Text Char"/>
    <w:basedOn w:val="DefaultParagraphFont"/>
    <w:link w:val="FootnoteText"/>
    <w:uiPriority w:val="99"/>
    <w:rsid w:val="00916D0D"/>
    <w:rPr>
      <w:sz w:val="20"/>
      <w:szCs w:val="20"/>
    </w:rPr>
  </w:style>
  <w:style w:type="character" w:styleId="FootnoteReference">
    <w:name w:val="footnote reference"/>
    <w:basedOn w:val="DefaultParagraphFont"/>
    <w:uiPriority w:val="99"/>
    <w:semiHidden/>
    <w:unhideWhenUsed/>
    <w:rsid w:val="00916D0D"/>
    <w:rPr>
      <w:vertAlign w:val="superscript"/>
    </w:rPr>
  </w:style>
  <w:style w:type="paragraph" w:customStyle="1" w:styleId="p1">
    <w:name w:val="p1"/>
    <w:basedOn w:val="Normal"/>
    <w:rsid w:val="00AB21DD"/>
    <w:pPr>
      <w:spacing w:after="0" w:line="240" w:lineRule="auto"/>
    </w:pPr>
    <w:rPr>
      <w:rFonts w:ascii=".AppleSystemUIFont" w:eastAsiaTheme="minorEastAsia" w:hAnsi=".AppleSystemUIFont" w:cs="Times New Roman"/>
      <w:kern w:val="0"/>
      <w:sz w:val="26"/>
      <w:szCs w:val="26"/>
      <w:lang w:eastAsia="ja-JP"/>
      <w14:ligatures w14:val="none"/>
    </w:rPr>
  </w:style>
  <w:style w:type="character" w:customStyle="1" w:styleId="s1">
    <w:name w:val="s1"/>
    <w:basedOn w:val="DefaultParagraphFont"/>
    <w:rsid w:val="00AB21DD"/>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AB21DD"/>
  </w:style>
  <w:style w:type="character" w:styleId="SubtleEmphasis">
    <w:name w:val="Subtle Emphasis"/>
    <w:basedOn w:val="DefaultParagraphFont"/>
    <w:uiPriority w:val="19"/>
    <w:qFormat/>
    <w:rsid w:val="0047221D"/>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953176">
      <w:bodyDiv w:val="1"/>
      <w:marLeft w:val="0"/>
      <w:marRight w:val="0"/>
      <w:marTop w:val="0"/>
      <w:marBottom w:val="0"/>
      <w:divBdr>
        <w:top w:val="none" w:sz="0" w:space="0" w:color="auto"/>
        <w:left w:val="none" w:sz="0" w:space="0" w:color="auto"/>
        <w:bottom w:val="none" w:sz="0" w:space="0" w:color="auto"/>
        <w:right w:val="none" w:sz="0" w:space="0" w:color="auto"/>
      </w:divBdr>
    </w:div>
    <w:div w:id="420832204">
      <w:bodyDiv w:val="1"/>
      <w:marLeft w:val="0"/>
      <w:marRight w:val="0"/>
      <w:marTop w:val="0"/>
      <w:marBottom w:val="0"/>
      <w:divBdr>
        <w:top w:val="none" w:sz="0" w:space="0" w:color="auto"/>
        <w:left w:val="none" w:sz="0" w:space="0" w:color="auto"/>
        <w:bottom w:val="none" w:sz="0" w:space="0" w:color="auto"/>
        <w:right w:val="none" w:sz="0" w:space="0" w:color="auto"/>
      </w:divBdr>
    </w:div>
    <w:div w:id="1121073360">
      <w:bodyDiv w:val="1"/>
      <w:marLeft w:val="0"/>
      <w:marRight w:val="0"/>
      <w:marTop w:val="0"/>
      <w:marBottom w:val="0"/>
      <w:divBdr>
        <w:top w:val="none" w:sz="0" w:space="0" w:color="auto"/>
        <w:left w:val="none" w:sz="0" w:space="0" w:color="auto"/>
        <w:bottom w:val="none" w:sz="0" w:space="0" w:color="auto"/>
        <w:right w:val="none" w:sz="0" w:space="0" w:color="auto"/>
      </w:divBdr>
    </w:div>
    <w:div w:id="1837184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image" Target="media/image7.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s://www.bing.com/images/search?view=detailV2&amp;ccid=%2ByHRIqWh&amp;id=22F4C6A06C622B60B8E0DAE6331671220AD839B7&amp;thid=OIP.-yHRIqWhejjBnyTxZY097QAAAA&amp;mediaurl=https%3A%2F%2Fth.bing.com%2Fth%2Fid%2FR.fb21d122a5a17a38c19f24f1658d3ded%3Frik%3DtznYCiJxFjPm2g%26riu%3Dhttp%253a%252f%252fwww.ngw.nl%252fheraldrywiki%252fimages%252fthumb%252f9%252f9b%252fWhitby2.jj.jpg%252f350px-Whitby2.jj.jpg%26ehk%3D4Hp%252bAb0wDFIC7NXcV39IjG7xdnFobV32qVjOusRPhkk%253d%26risl%3D%26pid%3DImgRaw%26r%3D0&amp;exph=545&amp;expw=350&amp;q=whitby+coat+of+arms&amp;form=IRPRST&amp;ck=53D4FF469AAF1D7FCB3C032F1BFC7422&amp;selectedindex=1&amp;itb=0&amp;ajaxhist=0&amp;ajaxserp=0&amp;pivotparams=insightsToken%3Dccid_GLnhrbbk*cp_F2B42458EB4EDF48982E517FDA3952F8*mid_DAB6E463F327F9FDEB620E453D2D359701ADCE12*thid_OIP.GLnhrbbkPMPpjBPF0sD78AHaLd&amp;vt=0&amp;sim=11&amp;iss=VSI&amp;simid=608053316879987317&amp;ajaxhist=0&amp;ajaxserp=0" TargetMode="External"/><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youtube.com/shorts/qrtLuPFysoE?si=7sRlVS_F9UeU3Vs6"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mailto:2212291@uwtsd.student.ac.uk" TargetMode="External"/><Relationship Id="rId14" Type="http://schemas.openxmlformats.org/officeDocument/2006/relationships/footer" Target="footer1.xml"/><Relationship Id="rId22" Type="http://schemas.openxmlformats.org/officeDocument/2006/relationships/image" Target="media/image11.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F23D92-3BCE-4F8C-A92F-731E50212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5162</Words>
  <Characters>29425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Nixon</dc:creator>
  <cp:keywords/>
  <dc:description/>
  <cp:lastModifiedBy>Emily Nixon</cp:lastModifiedBy>
  <cp:revision>5</cp:revision>
  <dcterms:created xsi:type="dcterms:W3CDTF">2024-01-18T22:17:00Z</dcterms:created>
  <dcterms:modified xsi:type="dcterms:W3CDTF">2024-01-18T22:21:00Z</dcterms:modified>
</cp:coreProperties>
</file>