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0BB704" w14:textId="77777777" w:rsidR="00A12112" w:rsidRPr="00A12112" w:rsidRDefault="00A12112" w:rsidP="00A12112">
      <w:pPr>
        <w:jc w:val="center"/>
        <w:rPr>
          <w:rFonts w:ascii="Arial" w:hAnsi="Arial" w:cs="Arial"/>
          <w:b/>
          <w:bCs/>
          <w:sz w:val="40"/>
          <w:szCs w:val="40"/>
        </w:rPr>
      </w:pPr>
    </w:p>
    <w:p w14:paraId="2F292496" w14:textId="77777777" w:rsidR="00A12112" w:rsidRPr="00A12112" w:rsidRDefault="00A12112" w:rsidP="00A12112">
      <w:pPr>
        <w:jc w:val="center"/>
        <w:rPr>
          <w:rFonts w:ascii="Arial" w:hAnsi="Arial" w:cs="Arial"/>
          <w:b/>
          <w:bCs/>
          <w:sz w:val="40"/>
          <w:szCs w:val="40"/>
        </w:rPr>
      </w:pPr>
    </w:p>
    <w:p w14:paraId="790BCDC1" w14:textId="77777777" w:rsidR="00A12112" w:rsidRPr="00A12112" w:rsidRDefault="00A12112" w:rsidP="00A12112">
      <w:pPr>
        <w:jc w:val="center"/>
        <w:rPr>
          <w:rFonts w:ascii="Arial" w:hAnsi="Arial" w:cs="Arial"/>
          <w:b/>
          <w:bCs/>
          <w:sz w:val="40"/>
          <w:szCs w:val="40"/>
        </w:rPr>
      </w:pPr>
    </w:p>
    <w:p w14:paraId="6426FB1F" w14:textId="77777777" w:rsidR="00A12112" w:rsidRPr="00A12112" w:rsidRDefault="00A12112" w:rsidP="00A12112">
      <w:pPr>
        <w:jc w:val="center"/>
        <w:rPr>
          <w:rFonts w:ascii="Arial" w:hAnsi="Arial" w:cs="Arial"/>
          <w:b/>
          <w:bCs/>
          <w:sz w:val="40"/>
          <w:szCs w:val="40"/>
        </w:rPr>
      </w:pPr>
    </w:p>
    <w:p w14:paraId="3B7A273A" w14:textId="77777777" w:rsidR="00A12112" w:rsidRPr="00A12112" w:rsidRDefault="00A12112" w:rsidP="00A12112">
      <w:pPr>
        <w:jc w:val="center"/>
        <w:rPr>
          <w:rFonts w:ascii="Arial" w:hAnsi="Arial" w:cs="Arial"/>
          <w:b/>
          <w:bCs/>
          <w:sz w:val="40"/>
          <w:szCs w:val="40"/>
        </w:rPr>
      </w:pPr>
    </w:p>
    <w:p w14:paraId="1C66BD85" w14:textId="77777777" w:rsidR="00A12112" w:rsidRPr="00A12112" w:rsidRDefault="00A12112" w:rsidP="00A12112">
      <w:pPr>
        <w:jc w:val="center"/>
        <w:rPr>
          <w:rFonts w:ascii="Arial" w:hAnsi="Arial" w:cs="Arial"/>
          <w:b/>
          <w:bCs/>
          <w:sz w:val="40"/>
          <w:szCs w:val="40"/>
        </w:rPr>
      </w:pPr>
    </w:p>
    <w:p w14:paraId="7B5ACEA9" w14:textId="77777777" w:rsidR="00A12112" w:rsidRPr="00A12112" w:rsidRDefault="00A12112" w:rsidP="00A12112">
      <w:pPr>
        <w:jc w:val="center"/>
        <w:rPr>
          <w:rFonts w:ascii="Arial" w:hAnsi="Arial" w:cs="Arial"/>
          <w:b/>
          <w:bCs/>
          <w:sz w:val="40"/>
          <w:szCs w:val="40"/>
        </w:rPr>
      </w:pPr>
    </w:p>
    <w:p w14:paraId="127B5213" w14:textId="3EE7B3B7" w:rsidR="00A12112" w:rsidRPr="00A12112" w:rsidRDefault="00A12112" w:rsidP="00A12112">
      <w:pPr>
        <w:jc w:val="center"/>
        <w:rPr>
          <w:rFonts w:ascii="Arial" w:hAnsi="Arial" w:cs="Arial"/>
          <w:b/>
          <w:bCs/>
          <w:sz w:val="40"/>
          <w:szCs w:val="40"/>
        </w:rPr>
      </w:pPr>
      <w:r w:rsidRPr="00A12112">
        <w:rPr>
          <w:rFonts w:ascii="Arial" w:hAnsi="Arial" w:cs="Arial"/>
          <w:b/>
          <w:bCs/>
          <w:sz w:val="40"/>
          <w:szCs w:val="40"/>
        </w:rPr>
        <w:t xml:space="preserve">Module: Introduction to </w:t>
      </w:r>
      <w:r w:rsidRPr="00A12112">
        <w:rPr>
          <w:rFonts w:ascii="Arial" w:hAnsi="Arial" w:cs="Arial"/>
          <w:b/>
          <w:bCs/>
          <w:sz w:val="40"/>
          <w:szCs w:val="40"/>
        </w:rPr>
        <w:t>Public Health</w:t>
      </w:r>
    </w:p>
    <w:p w14:paraId="20085C86" w14:textId="704B75D3" w:rsidR="00A12112" w:rsidRPr="00A12112" w:rsidRDefault="00A12112" w:rsidP="00A12112">
      <w:pPr>
        <w:jc w:val="center"/>
        <w:rPr>
          <w:rFonts w:ascii="Arial" w:hAnsi="Arial" w:cs="Arial"/>
          <w:b/>
          <w:bCs/>
          <w:sz w:val="40"/>
          <w:szCs w:val="40"/>
        </w:rPr>
      </w:pPr>
      <w:r w:rsidRPr="00A12112">
        <w:rPr>
          <w:rFonts w:ascii="Arial" w:hAnsi="Arial" w:cs="Arial"/>
          <w:b/>
          <w:bCs/>
          <w:sz w:val="40"/>
          <w:szCs w:val="40"/>
        </w:rPr>
        <w:t>Module Code: LCHS400</w:t>
      </w:r>
      <w:r w:rsidRPr="00A12112">
        <w:rPr>
          <w:rFonts w:ascii="Arial" w:hAnsi="Arial" w:cs="Arial"/>
          <w:b/>
          <w:bCs/>
          <w:sz w:val="40"/>
          <w:szCs w:val="40"/>
        </w:rPr>
        <w:t>8</w:t>
      </w:r>
    </w:p>
    <w:p w14:paraId="7BD24E4D" w14:textId="77777777" w:rsidR="00A12112" w:rsidRPr="00A12112" w:rsidRDefault="00A12112" w:rsidP="00A12112">
      <w:pPr>
        <w:jc w:val="center"/>
        <w:rPr>
          <w:rFonts w:ascii="Arial" w:hAnsi="Arial" w:cs="Arial"/>
          <w:b/>
          <w:bCs/>
          <w:sz w:val="40"/>
          <w:szCs w:val="40"/>
        </w:rPr>
      </w:pPr>
      <w:r w:rsidRPr="00A12112">
        <w:rPr>
          <w:rFonts w:ascii="Arial" w:hAnsi="Arial" w:cs="Arial"/>
          <w:b/>
          <w:bCs/>
          <w:sz w:val="40"/>
          <w:szCs w:val="40"/>
        </w:rPr>
        <w:t>Name: Mihaela Alina Stoian</w:t>
      </w:r>
    </w:p>
    <w:p w14:paraId="4E12E711" w14:textId="77777777" w:rsidR="00A12112" w:rsidRPr="00A12112" w:rsidRDefault="00A12112" w:rsidP="00A12112">
      <w:pPr>
        <w:jc w:val="center"/>
        <w:rPr>
          <w:rFonts w:ascii="Arial" w:hAnsi="Arial" w:cs="Arial"/>
          <w:b/>
          <w:bCs/>
          <w:sz w:val="40"/>
          <w:szCs w:val="40"/>
        </w:rPr>
      </w:pPr>
      <w:r w:rsidRPr="00A12112">
        <w:rPr>
          <w:rFonts w:ascii="Arial" w:hAnsi="Arial" w:cs="Arial"/>
          <w:b/>
          <w:bCs/>
          <w:sz w:val="40"/>
          <w:szCs w:val="40"/>
        </w:rPr>
        <w:t>ID Number: 2505442</w:t>
      </w:r>
    </w:p>
    <w:p w14:paraId="4B4C000A" w14:textId="61DB4317" w:rsidR="00A12112" w:rsidRPr="00A12112" w:rsidRDefault="00A12112"/>
    <w:p w14:paraId="33A9C1C4" w14:textId="77777777" w:rsidR="00A12112" w:rsidRPr="00A12112" w:rsidRDefault="00A12112">
      <w:r w:rsidRPr="00A12112">
        <w:br w:type="page"/>
      </w:r>
    </w:p>
    <w:sdt>
      <w:sdtPr>
        <w:id w:val="-134516666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C77E5E6" w14:textId="33CCEE94" w:rsidR="00A12112" w:rsidRDefault="00A12112">
          <w:pPr>
            <w:pStyle w:val="TOCHeading"/>
          </w:pPr>
          <w:r>
            <w:t>Table of Contents</w:t>
          </w:r>
        </w:p>
        <w:p w14:paraId="197EE248" w14:textId="4B1D3F8F" w:rsidR="00A12112" w:rsidRDefault="00A1211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4128397" w:history="1">
            <w:r w:rsidRPr="00744AB3">
              <w:rPr>
                <w:rStyle w:val="Hyperlink"/>
                <w:noProof/>
              </w:rPr>
              <w:t>Introduction</w:t>
            </w:r>
            <w:r>
              <w:rPr>
                <w:noProof/>
                <w:webHidden/>
              </w:rPr>
              <w:tab/>
            </w:r>
            <w:r>
              <w:rPr>
                <w:noProof/>
                <w:webHidden/>
              </w:rPr>
              <w:fldChar w:fldCharType="begin"/>
            </w:r>
            <w:r>
              <w:rPr>
                <w:noProof/>
                <w:webHidden/>
              </w:rPr>
              <w:instrText xml:space="preserve"> PAGEREF _Toc224128397 \h </w:instrText>
            </w:r>
            <w:r>
              <w:rPr>
                <w:noProof/>
                <w:webHidden/>
              </w:rPr>
            </w:r>
            <w:r>
              <w:rPr>
                <w:noProof/>
                <w:webHidden/>
              </w:rPr>
              <w:fldChar w:fldCharType="separate"/>
            </w:r>
            <w:r>
              <w:rPr>
                <w:noProof/>
                <w:webHidden/>
              </w:rPr>
              <w:t>3</w:t>
            </w:r>
            <w:r>
              <w:rPr>
                <w:noProof/>
                <w:webHidden/>
              </w:rPr>
              <w:fldChar w:fldCharType="end"/>
            </w:r>
          </w:hyperlink>
        </w:p>
        <w:p w14:paraId="33BBB36E" w14:textId="5B28E5AC" w:rsidR="00A12112" w:rsidRDefault="00A12112">
          <w:pPr>
            <w:pStyle w:val="TOC1"/>
            <w:tabs>
              <w:tab w:val="right" w:leader="dot" w:pos="9016"/>
            </w:tabs>
            <w:rPr>
              <w:noProof/>
            </w:rPr>
          </w:pPr>
          <w:hyperlink w:anchor="_Toc224128398" w:history="1">
            <w:r w:rsidRPr="00744AB3">
              <w:rPr>
                <w:rStyle w:val="Hyperlink"/>
                <w:noProof/>
              </w:rPr>
              <w:t>Main Body</w:t>
            </w:r>
            <w:r>
              <w:rPr>
                <w:noProof/>
                <w:webHidden/>
              </w:rPr>
              <w:tab/>
            </w:r>
            <w:r>
              <w:rPr>
                <w:noProof/>
                <w:webHidden/>
              </w:rPr>
              <w:fldChar w:fldCharType="begin"/>
            </w:r>
            <w:r>
              <w:rPr>
                <w:noProof/>
                <w:webHidden/>
              </w:rPr>
              <w:instrText xml:space="preserve"> PAGEREF _Toc224128398 \h </w:instrText>
            </w:r>
            <w:r>
              <w:rPr>
                <w:noProof/>
                <w:webHidden/>
              </w:rPr>
            </w:r>
            <w:r>
              <w:rPr>
                <w:noProof/>
                <w:webHidden/>
              </w:rPr>
              <w:fldChar w:fldCharType="separate"/>
            </w:r>
            <w:r>
              <w:rPr>
                <w:noProof/>
                <w:webHidden/>
              </w:rPr>
              <w:t>3</w:t>
            </w:r>
            <w:r>
              <w:rPr>
                <w:noProof/>
                <w:webHidden/>
              </w:rPr>
              <w:fldChar w:fldCharType="end"/>
            </w:r>
          </w:hyperlink>
        </w:p>
        <w:p w14:paraId="42DF638B" w14:textId="506D97EF" w:rsidR="00A12112" w:rsidRDefault="00A12112">
          <w:pPr>
            <w:pStyle w:val="TOC2"/>
            <w:tabs>
              <w:tab w:val="right" w:leader="dot" w:pos="9016"/>
            </w:tabs>
            <w:rPr>
              <w:noProof/>
            </w:rPr>
          </w:pPr>
          <w:hyperlink w:anchor="_Toc224128399" w:history="1">
            <w:r w:rsidRPr="00744AB3">
              <w:rPr>
                <w:rStyle w:val="Hyperlink"/>
                <w:noProof/>
              </w:rPr>
              <w:t>2.1 Approaches to Measure and Monitor Dementia</w:t>
            </w:r>
            <w:r>
              <w:rPr>
                <w:noProof/>
                <w:webHidden/>
              </w:rPr>
              <w:tab/>
            </w:r>
            <w:r>
              <w:rPr>
                <w:noProof/>
                <w:webHidden/>
              </w:rPr>
              <w:fldChar w:fldCharType="begin"/>
            </w:r>
            <w:r>
              <w:rPr>
                <w:noProof/>
                <w:webHidden/>
              </w:rPr>
              <w:instrText xml:space="preserve"> PAGEREF _Toc224128399 \h </w:instrText>
            </w:r>
            <w:r>
              <w:rPr>
                <w:noProof/>
                <w:webHidden/>
              </w:rPr>
            </w:r>
            <w:r>
              <w:rPr>
                <w:noProof/>
                <w:webHidden/>
              </w:rPr>
              <w:fldChar w:fldCharType="separate"/>
            </w:r>
            <w:r>
              <w:rPr>
                <w:noProof/>
                <w:webHidden/>
              </w:rPr>
              <w:t>3</w:t>
            </w:r>
            <w:r>
              <w:rPr>
                <w:noProof/>
                <w:webHidden/>
              </w:rPr>
              <w:fldChar w:fldCharType="end"/>
            </w:r>
          </w:hyperlink>
        </w:p>
        <w:p w14:paraId="0EFAAA82" w14:textId="4BB9F5C0" w:rsidR="00A12112" w:rsidRDefault="00A12112">
          <w:pPr>
            <w:pStyle w:val="TOC2"/>
            <w:tabs>
              <w:tab w:val="right" w:leader="dot" w:pos="9016"/>
            </w:tabs>
            <w:rPr>
              <w:noProof/>
            </w:rPr>
          </w:pPr>
          <w:hyperlink w:anchor="_Toc224128400" w:history="1">
            <w:r w:rsidRPr="00744AB3">
              <w:rPr>
                <w:rStyle w:val="Hyperlink"/>
                <w:noProof/>
              </w:rPr>
              <w:t>2.2 How Dementia is Controlled</w:t>
            </w:r>
            <w:r>
              <w:rPr>
                <w:noProof/>
                <w:webHidden/>
              </w:rPr>
              <w:tab/>
            </w:r>
            <w:r>
              <w:rPr>
                <w:noProof/>
                <w:webHidden/>
              </w:rPr>
              <w:fldChar w:fldCharType="begin"/>
            </w:r>
            <w:r>
              <w:rPr>
                <w:noProof/>
                <w:webHidden/>
              </w:rPr>
              <w:instrText xml:space="preserve"> PAGEREF _Toc224128400 \h </w:instrText>
            </w:r>
            <w:r>
              <w:rPr>
                <w:noProof/>
                <w:webHidden/>
              </w:rPr>
            </w:r>
            <w:r>
              <w:rPr>
                <w:noProof/>
                <w:webHidden/>
              </w:rPr>
              <w:fldChar w:fldCharType="separate"/>
            </w:r>
            <w:r>
              <w:rPr>
                <w:noProof/>
                <w:webHidden/>
              </w:rPr>
              <w:t>4</w:t>
            </w:r>
            <w:r>
              <w:rPr>
                <w:noProof/>
                <w:webHidden/>
              </w:rPr>
              <w:fldChar w:fldCharType="end"/>
            </w:r>
          </w:hyperlink>
        </w:p>
        <w:p w14:paraId="416BFCFE" w14:textId="4B09C150" w:rsidR="00A12112" w:rsidRDefault="00A12112">
          <w:pPr>
            <w:pStyle w:val="TOC2"/>
            <w:tabs>
              <w:tab w:val="right" w:leader="dot" w:pos="9016"/>
            </w:tabs>
            <w:rPr>
              <w:noProof/>
            </w:rPr>
          </w:pPr>
          <w:hyperlink w:anchor="_Toc224128401" w:history="1">
            <w:r w:rsidRPr="00744AB3">
              <w:rPr>
                <w:rStyle w:val="Hyperlink"/>
                <w:noProof/>
              </w:rPr>
              <w:t>2.3 Consequences of Dementia on Individuals and the Community</w:t>
            </w:r>
            <w:r>
              <w:rPr>
                <w:noProof/>
                <w:webHidden/>
              </w:rPr>
              <w:tab/>
            </w:r>
            <w:r>
              <w:rPr>
                <w:noProof/>
                <w:webHidden/>
              </w:rPr>
              <w:fldChar w:fldCharType="begin"/>
            </w:r>
            <w:r>
              <w:rPr>
                <w:noProof/>
                <w:webHidden/>
              </w:rPr>
              <w:instrText xml:space="preserve"> PAGEREF _Toc224128401 \h </w:instrText>
            </w:r>
            <w:r>
              <w:rPr>
                <w:noProof/>
                <w:webHidden/>
              </w:rPr>
            </w:r>
            <w:r>
              <w:rPr>
                <w:noProof/>
                <w:webHidden/>
              </w:rPr>
              <w:fldChar w:fldCharType="separate"/>
            </w:r>
            <w:r>
              <w:rPr>
                <w:noProof/>
                <w:webHidden/>
              </w:rPr>
              <w:t>5</w:t>
            </w:r>
            <w:r>
              <w:rPr>
                <w:noProof/>
                <w:webHidden/>
              </w:rPr>
              <w:fldChar w:fldCharType="end"/>
            </w:r>
          </w:hyperlink>
        </w:p>
        <w:p w14:paraId="66D565DA" w14:textId="18E1E193" w:rsidR="00A12112" w:rsidRDefault="00A12112">
          <w:pPr>
            <w:pStyle w:val="TOC2"/>
            <w:tabs>
              <w:tab w:val="right" w:leader="dot" w:pos="9016"/>
            </w:tabs>
            <w:rPr>
              <w:noProof/>
            </w:rPr>
          </w:pPr>
          <w:hyperlink w:anchor="_Toc224128402" w:history="1">
            <w:r w:rsidRPr="00744AB3">
              <w:rPr>
                <w:rStyle w:val="Hyperlink"/>
                <w:noProof/>
              </w:rPr>
              <w:t>2.4 Health and Social Care Support Services</w:t>
            </w:r>
            <w:r>
              <w:rPr>
                <w:noProof/>
                <w:webHidden/>
              </w:rPr>
              <w:tab/>
            </w:r>
            <w:r>
              <w:rPr>
                <w:noProof/>
                <w:webHidden/>
              </w:rPr>
              <w:fldChar w:fldCharType="begin"/>
            </w:r>
            <w:r>
              <w:rPr>
                <w:noProof/>
                <w:webHidden/>
              </w:rPr>
              <w:instrText xml:space="preserve"> PAGEREF _Toc224128402 \h </w:instrText>
            </w:r>
            <w:r>
              <w:rPr>
                <w:noProof/>
                <w:webHidden/>
              </w:rPr>
            </w:r>
            <w:r>
              <w:rPr>
                <w:noProof/>
                <w:webHidden/>
              </w:rPr>
              <w:fldChar w:fldCharType="separate"/>
            </w:r>
            <w:r>
              <w:rPr>
                <w:noProof/>
                <w:webHidden/>
              </w:rPr>
              <w:t>5</w:t>
            </w:r>
            <w:r>
              <w:rPr>
                <w:noProof/>
                <w:webHidden/>
              </w:rPr>
              <w:fldChar w:fldCharType="end"/>
            </w:r>
          </w:hyperlink>
        </w:p>
        <w:p w14:paraId="23B14446" w14:textId="7C2EE320" w:rsidR="00A12112" w:rsidRDefault="00A12112">
          <w:pPr>
            <w:pStyle w:val="TOC1"/>
            <w:tabs>
              <w:tab w:val="right" w:leader="dot" w:pos="9016"/>
            </w:tabs>
            <w:rPr>
              <w:noProof/>
            </w:rPr>
          </w:pPr>
          <w:hyperlink w:anchor="_Toc224128403" w:history="1">
            <w:r w:rsidRPr="00744AB3">
              <w:rPr>
                <w:rStyle w:val="Hyperlink"/>
                <w:noProof/>
              </w:rPr>
              <w:t>Conclusion</w:t>
            </w:r>
            <w:r>
              <w:rPr>
                <w:noProof/>
                <w:webHidden/>
              </w:rPr>
              <w:tab/>
            </w:r>
            <w:r>
              <w:rPr>
                <w:noProof/>
                <w:webHidden/>
              </w:rPr>
              <w:fldChar w:fldCharType="begin"/>
            </w:r>
            <w:r>
              <w:rPr>
                <w:noProof/>
                <w:webHidden/>
              </w:rPr>
              <w:instrText xml:space="preserve"> PAGEREF _Toc224128403 \h </w:instrText>
            </w:r>
            <w:r>
              <w:rPr>
                <w:noProof/>
                <w:webHidden/>
              </w:rPr>
            </w:r>
            <w:r>
              <w:rPr>
                <w:noProof/>
                <w:webHidden/>
              </w:rPr>
              <w:fldChar w:fldCharType="separate"/>
            </w:r>
            <w:r>
              <w:rPr>
                <w:noProof/>
                <w:webHidden/>
              </w:rPr>
              <w:t>6</w:t>
            </w:r>
            <w:r>
              <w:rPr>
                <w:noProof/>
                <w:webHidden/>
              </w:rPr>
              <w:fldChar w:fldCharType="end"/>
            </w:r>
          </w:hyperlink>
        </w:p>
        <w:p w14:paraId="6294F05E" w14:textId="365CABFD" w:rsidR="00A12112" w:rsidRDefault="00A12112">
          <w:pPr>
            <w:pStyle w:val="TOC1"/>
            <w:tabs>
              <w:tab w:val="right" w:leader="dot" w:pos="9016"/>
            </w:tabs>
            <w:rPr>
              <w:noProof/>
            </w:rPr>
          </w:pPr>
          <w:hyperlink w:anchor="_Toc224128404" w:history="1">
            <w:r w:rsidRPr="00744AB3">
              <w:rPr>
                <w:rStyle w:val="Hyperlink"/>
                <w:noProof/>
              </w:rPr>
              <w:t>References</w:t>
            </w:r>
            <w:r>
              <w:rPr>
                <w:noProof/>
                <w:webHidden/>
              </w:rPr>
              <w:tab/>
            </w:r>
            <w:r>
              <w:rPr>
                <w:noProof/>
                <w:webHidden/>
              </w:rPr>
              <w:fldChar w:fldCharType="begin"/>
            </w:r>
            <w:r>
              <w:rPr>
                <w:noProof/>
                <w:webHidden/>
              </w:rPr>
              <w:instrText xml:space="preserve"> PAGEREF _Toc224128404 \h </w:instrText>
            </w:r>
            <w:r>
              <w:rPr>
                <w:noProof/>
                <w:webHidden/>
              </w:rPr>
            </w:r>
            <w:r>
              <w:rPr>
                <w:noProof/>
                <w:webHidden/>
              </w:rPr>
              <w:fldChar w:fldCharType="separate"/>
            </w:r>
            <w:r>
              <w:rPr>
                <w:noProof/>
                <w:webHidden/>
              </w:rPr>
              <w:t>7</w:t>
            </w:r>
            <w:r>
              <w:rPr>
                <w:noProof/>
                <w:webHidden/>
              </w:rPr>
              <w:fldChar w:fldCharType="end"/>
            </w:r>
          </w:hyperlink>
        </w:p>
        <w:p w14:paraId="4EBB89F6" w14:textId="1C3EE466" w:rsidR="00A12112" w:rsidRDefault="00A12112">
          <w:r>
            <w:rPr>
              <w:b/>
              <w:bCs/>
              <w:noProof/>
            </w:rPr>
            <w:fldChar w:fldCharType="end"/>
          </w:r>
        </w:p>
      </w:sdtContent>
    </w:sdt>
    <w:p w14:paraId="7306AB01" w14:textId="039F3F51" w:rsidR="00A12112" w:rsidRPr="00A12112" w:rsidRDefault="00A12112"/>
    <w:p w14:paraId="0F4CBDF3" w14:textId="77777777" w:rsidR="00A12112" w:rsidRPr="00A12112" w:rsidRDefault="00A12112">
      <w:r w:rsidRPr="00A12112">
        <w:br w:type="page"/>
      </w:r>
    </w:p>
    <w:p w14:paraId="43C1F9F7" w14:textId="21428E58" w:rsidR="00A12112" w:rsidRPr="00A12112" w:rsidRDefault="00A12112" w:rsidP="00A12112">
      <w:pPr>
        <w:pStyle w:val="Heading1"/>
        <w:spacing w:before="0" w:after="120" w:line="240" w:lineRule="auto"/>
      </w:pPr>
      <w:bookmarkStart w:id="0" w:name="_Toc224128397"/>
      <w:r w:rsidRPr="00A12112">
        <w:lastRenderedPageBreak/>
        <w:t>Introduction</w:t>
      </w:r>
      <w:bookmarkEnd w:id="0"/>
      <w:r w:rsidRPr="00A12112">
        <w:t xml:space="preserve"> </w:t>
      </w:r>
    </w:p>
    <w:p w14:paraId="57F66047" w14:textId="16B6B46B"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Dementia is a progressing neurological disorder that affects the brain and leads to cognitive decline in terms of memory, reasoning, behavior, and the performance of day-to-day activities</w:t>
      </w:r>
      <w:r>
        <w:rPr>
          <w:rFonts w:ascii="Arial" w:hAnsi="Arial" w:cs="Arial"/>
          <w:sz w:val="22"/>
          <w:szCs w:val="22"/>
        </w:rPr>
        <w:t xml:space="preserve"> (Dementia, 2023)</w:t>
      </w:r>
      <w:r w:rsidRPr="00A12112">
        <w:rPr>
          <w:rFonts w:ascii="Arial" w:hAnsi="Arial" w:cs="Arial"/>
          <w:sz w:val="22"/>
          <w:szCs w:val="22"/>
        </w:rPr>
        <w:t>. It is a non-communicable disease caused by cell destruction in the brain, which leads to interference in communication between different areas of the brain</w:t>
      </w:r>
      <w:r w:rsidRPr="00A12112">
        <w:rPr>
          <w:rFonts w:ascii="Arial" w:hAnsi="Arial" w:cs="Arial"/>
          <w:sz w:val="22"/>
          <w:szCs w:val="22"/>
        </w:rPr>
        <w:t xml:space="preserve"> (World Health Organization, 2025)</w:t>
      </w:r>
    </w:p>
    <w:p w14:paraId="12757FDA" w14:textId="361AA3D4"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Dementia has been described as having a set of typical indications and symptoms, which include memory problems, disorientation, decreased attention and concentration, communication problems, and changes in behavior or emotions. As the disease progresses, the patient will be unable to make proper decisions, will be unable to carry on with their daily activities, and will gradually lose their level of autonomy, which will negatively impact their quality of life.</w:t>
      </w:r>
    </w:p>
    <w:p w14:paraId="1C7C2941" w14:textId="5CB12640"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Dementia has been recognized as one of the major global public health issues, with the World Health Organization stating that more than 55 million people worldwide suffer from dementia. Currently, dementia ranks as one of the top diseases causing dependency and disability among the elderly population in the United Kingdom, with approximately 900,000 patients being affected</w:t>
      </w:r>
      <w:r w:rsidRPr="00A12112">
        <w:rPr>
          <w:rFonts w:ascii="Arial" w:hAnsi="Arial" w:cs="Arial"/>
          <w:sz w:val="22"/>
          <w:szCs w:val="22"/>
        </w:rPr>
        <w:t xml:space="preserve"> (NHS, 2024)</w:t>
      </w:r>
      <w:r w:rsidRPr="00A12112">
        <w:rPr>
          <w:rFonts w:ascii="Arial" w:hAnsi="Arial" w:cs="Arial"/>
          <w:sz w:val="22"/>
          <w:szCs w:val="22"/>
        </w:rPr>
        <w:t>.</w:t>
      </w:r>
    </w:p>
    <w:p w14:paraId="223ECAAE" w14:textId="469E1859" w:rsidR="00A12112" w:rsidRPr="00A12112" w:rsidRDefault="00A12112" w:rsidP="00A12112">
      <w:pPr>
        <w:pStyle w:val="Heading1"/>
        <w:spacing w:before="0" w:after="120" w:line="240" w:lineRule="auto"/>
      </w:pPr>
      <w:bookmarkStart w:id="1" w:name="_Toc224128398"/>
      <w:r w:rsidRPr="00A12112">
        <w:t>Main Body</w:t>
      </w:r>
      <w:bookmarkEnd w:id="1"/>
    </w:p>
    <w:p w14:paraId="242FD90B" w14:textId="7A9D851E" w:rsidR="00A12112" w:rsidRPr="00A12112" w:rsidRDefault="00A12112" w:rsidP="00A12112">
      <w:pPr>
        <w:pStyle w:val="Heading2"/>
        <w:spacing w:before="0" w:after="120" w:line="276" w:lineRule="auto"/>
      </w:pPr>
      <w:bookmarkStart w:id="2" w:name="_Toc224128399"/>
      <w:r w:rsidRPr="00A12112">
        <w:t>2.1 Approaches to Measure and Monitor Dementia</w:t>
      </w:r>
      <w:bookmarkEnd w:id="2"/>
      <w:r w:rsidRPr="00A12112">
        <w:t xml:space="preserve"> </w:t>
      </w:r>
    </w:p>
    <w:p w14:paraId="295D30DE" w14:textId="1DFCEF6E"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For strategic planning of health and social care services and to understand the impact of dementia in the population, it is vital to monitor dementia. Different methods of surveillance and epidemiology are utilized by public health organizations to determine and monitor the prevalence and incidence of dementia in the world population</w:t>
      </w:r>
      <w:r>
        <w:rPr>
          <w:rFonts w:ascii="Arial" w:hAnsi="Arial" w:cs="Arial"/>
          <w:sz w:val="22"/>
          <w:szCs w:val="22"/>
        </w:rPr>
        <w:t xml:space="preserve"> (Thorpe, 2019)</w:t>
      </w:r>
      <w:r w:rsidRPr="00A12112">
        <w:rPr>
          <w:rFonts w:ascii="Arial" w:hAnsi="Arial" w:cs="Arial"/>
          <w:sz w:val="22"/>
          <w:szCs w:val="22"/>
        </w:rPr>
        <w:t>. The World Health Organization collects data and information from various national health surveys, population-based studies, and research reports to determine the number of people suffering from dementia in the world population (World Health Organization, 2025).</w:t>
      </w:r>
    </w:p>
    <w:p w14:paraId="20BDD727" w14:textId="031A1DA4"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Dementia surveillance in the United Kingdom is carried out by several organizations. The National Health Service (NHS), for example, collects data from hospital records, GP records, and memory clinics. These data sources are useful for estimating the prevalence and regional variations of diagnosis and treatment (NHS, 2024). In addition, the Office for National Statistics offers statistics on the mortality rates of dementia and Alzheimer's disease, which are useful for public health practitioners to understand the effects of the disease (Office for National Statistics, 2023).</w:t>
      </w:r>
    </w:p>
    <w:p w14:paraId="0D1702B6" w14:textId="4A7AEFD1"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lastRenderedPageBreak/>
        <w:t xml:space="preserve">Various tools and techniques are required to monitor dementia. Cognitive tests, such as the Mini-Mental State Examination (MMSE), are usually conducted to identify any symptoms of dementia in patients. Similarly, imaging techniques like computed tomography (CT) and magnetic resonance imaging (MRI) are also conducted to monitor and assess the progression of dementia in patients (Alzheimer's Society, </w:t>
      </w:r>
      <w:r>
        <w:rPr>
          <w:rFonts w:ascii="Arial" w:hAnsi="Arial" w:cs="Arial"/>
          <w:sz w:val="22"/>
          <w:szCs w:val="22"/>
        </w:rPr>
        <w:t>ND</w:t>
      </w:r>
      <w:r w:rsidRPr="00A12112">
        <w:rPr>
          <w:rFonts w:ascii="Arial" w:hAnsi="Arial" w:cs="Arial"/>
          <w:sz w:val="22"/>
          <w:szCs w:val="22"/>
        </w:rPr>
        <w:t>).</w:t>
      </w:r>
    </w:p>
    <w:p w14:paraId="5BE4E58D" w14:textId="46CFCA85"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Public health data and disease registries help in monitoring trends in dementia prevalence, incidence, and mortality rates. Such information is vital in identifying and controlling various factors that contribute to this disease and creating effective strategies to prevent it. With the help of such consistent information, it is possible to understand and address the impact of this disease on society.</w:t>
      </w:r>
    </w:p>
    <w:p w14:paraId="06569EE3" w14:textId="59B77026" w:rsidR="00A12112" w:rsidRPr="00A12112" w:rsidRDefault="00A12112" w:rsidP="00A12112">
      <w:pPr>
        <w:pStyle w:val="Heading2"/>
        <w:spacing w:before="0" w:after="120" w:line="276" w:lineRule="auto"/>
      </w:pPr>
      <w:bookmarkStart w:id="3" w:name="_Toc224128400"/>
      <w:r w:rsidRPr="00A12112">
        <w:t>2.</w:t>
      </w:r>
      <w:r w:rsidRPr="00A12112">
        <w:t>2</w:t>
      </w:r>
      <w:r w:rsidRPr="00A12112">
        <w:t xml:space="preserve"> </w:t>
      </w:r>
      <w:r w:rsidRPr="00A12112">
        <w:t>How Dementia is Controlled</w:t>
      </w:r>
      <w:bookmarkEnd w:id="3"/>
      <w:r w:rsidRPr="00A12112">
        <w:t xml:space="preserve"> </w:t>
      </w:r>
    </w:p>
    <w:p w14:paraId="1B224368" w14:textId="66D0BE8C"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Despite the fact that currently there is no cure for dementia, various methods are used in its management and reduction of its effect in society and among people. Public health approaches aim at preventing dementia and effectively managing its symptoms as key goals. According to the World Health Organization, reduction of risk factors like smoking, lack of exercise, unhealthy diets, and excessive alcohol consumption can reduce the risk of dementia in future (World Health Organization, 2025).</w:t>
      </w:r>
    </w:p>
    <w:p w14:paraId="318FA0D6" w14:textId="7563E584"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A significant aspect of dementia prevention is centered on lifestyle modification. Cognitive decline is reduced in those who engage in regular and sustained physical activity, consume a healthy and balanced diet, and engage in social and intellectual activities. To reduce and prevent dementia, it is important to engage in healthy lifestyle practices. The National Health Service (NHS) promotes healthy lifestyles to reduce and prevent dementia and its symptoms. Health promotion programs are conducted to reduce and prevent dementia (NHS, 2024).</w:t>
      </w:r>
    </w:p>
    <w:p w14:paraId="4DADC245" w14:textId="3E04C5ED"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 xml:space="preserve">Early detection programs are important in reducing and controlling the progression of dementia. An individual’s life is improved when diagnosed with dementia. Early detection and diagnosis of dementia reduce the progression of symptoms. In addition, treatment resources are accessed when an individual is diagnosed with dementia. Cholinesterase inhibitors are prescribed to assist in controlling and reducing dementia symptoms (Alzheimer’s Society, </w:t>
      </w:r>
      <w:r>
        <w:rPr>
          <w:rFonts w:ascii="Arial" w:hAnsi="Arial" w:cs="Arial"/>
          <w:sz w:val="22"/>
          <w:szCs w:val="22"/>
        </w:rPr>
        <w:t>ND</w:t>
      </w:r>
      <w:r w:rsidRPr="00A12112">
        <w:rPr>
          <w:rFonts w:ascii="Arial" w:hAnsi="Arial" w:cs="Arial"/>
          <w:sz w:val="22"/>
          <w:szCs w:val="22"/>
        </w:rPr>
        <w:t>).</w:t>
      </w:r>
    </w:p>
    <w:p w14:paraId="1B227A29" w14:textId="67AAAD57"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 xml:space="preserve">Public awareness campaigns play an important role in the management of dementia through increased awareness of its symptoms and prompting patients with memory problems to seek medical care. Educational campaigns help to alleviate the stigma associated with dementia and increase awareness among patients and the general population. Public health </w:t>
      </w:r>
      <w:r w:rsidRPr="00A12112">
        <w:rPr>
          <w:rFonts w:ascii="Arial" w:hAnsi="Arial" w:cs="Arial"/>
          <w:sz w:val="22"/>
          <w:szCs w:val="22"/>
        </w:rPr>
        <w:lastRenderedPageBreak/>
        <w:t>organizations strive to reduce the impact of dementia on society and provide support to patients through an integrated strategy of prevention, treatment, and awareness.</w:t>
      </w:r>
    </w:p>
    <w:p w14:paraId="36DFA659" w14:textId="6528DF63" w:rsidR="00A12112" w:rsidRPr="00A12112" w:rsidRDefault="00A12112" w:rsidP="00A12112">
      <w:pPr>
        <w:pStyle w:val="Heading2"/>
        <w:spacing w:before="0" w:after="120" w:line="276" w:lineRule="auto"/>
      </w:pPr>
      <w:bookmarkStart w:id="4" w:name="_Toc224128401"/>
      <w:r w:rsidRPr="00A12112">
        <w:t>2.</w:t>
      </w:r>
      <w:r w:rsidRPr="00A12112">
        <w:t>3</w:t>
      </w:r>
      <w:r w:rsidRPr="00A12112">
        <w:t xml:space="preserve"> </w:t>
      </w:r>
      <w:r w:rsidRPr="00A12112">
        <w:t>Consequences of Dementia on Individuals and the Community</w:t>
      </w:r>
      <w:bookmarkEnd w:id="4"/>
      <w:r w:rsidRPr="00A12112">
        <w:t xml:space="preserve"> </w:t>
      </w:r>
    </w:p>
    <w:p w14:paraId="25BEF2D5" w14:textId="74A1A8CF"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Dementia has a significant impact at both individual, familial, and societal levels. Dementia is a condition that slowly impacts an individual’s cognitive skills, which include memory, reasoning, communication, and decision-making skills. Dementia can affect a person’s independence in daily activities such as cooking, managing finances, and recognizing familiar faces. Such impacts of dementia are significant at both physical and mental health levels (World Health Organization, 2025).</w:t>
      </w:r>
    </w:p>
    <w:p w14:paraId="581F289A" w14:textId="58C88AA2"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Dementia is linked to various mental health problems that include despair, anxiety, and behavioral problems. As the disease progresses, there are various symptoms that include disorientation, irritability, and personality changes. Such symptoms may interfere with social relations and social activities, thus increasing social isolation.</w:t>
      </w:r>
    </w:p>
    <w:p w14:paraId="4DDAAABC" w14:textId="5CEE9FFC"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 xml:space="preserve">Dementia also creates significant challenges to families and caregivers. A significant number of patients require assistance from their families in performing daily activities and personal care. Such a responsibility may create significant challenges to families in terms of emotional, physical, and financial burdens. The long-term care demands of dementia may lead to various problems, such as fatigue and reduced employment opportunities (Alzheimer's Society, </w:t>
      </w:r>
      <w:r>
        <w:rPr>
          <w:rFonts w:ascii="Arial" w:hAnsi="Arial" w:cs="Arial"/>
          <w:sz w:val="22"/>
          <w:szCs w:val="22"/>
        </w:rPr>
        <w:t>ND</w:t>
      </w:r>
      <w:r w:rsidRPr="00A12112">
        <w:rPr>
          <w:rFonts w:ascii="Arial" w:hAnsi="Arial" w:cs="Arial"/>
          <w:sz w:val="22"/>
          <w:szCs w:val="22"/>
        </w:rPr>
        <w:t>).</w:t>
      </w:r>
    </w:p>
    <w:p w14:paraId="36DF2DC3" w14:textId="6999DCAB"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Dementia creates a significant burden for social services and healthcare organizations at a societal level. The cost of providing medical, residential, and social services for people with dementia is high. In addition, there is a potential loss of productivity in society because of a need to leave a job to provide care for a person with dementia. In several countries, addressing the social and economic effects of dementia is a major public health issue, particularly because of rising prevalence rates.</w:t>
      </w:r>
    </w:p>
    <w:p w14:paraId="7520DE36" w14:textId="74A2048F" w:rsidR="00A12112" w:rsidRPr="00A12112" w:rsidRDefault="00A12112" w:rsidP="00A12112">
      <w:pPr>
        <w:pStyle w:val="Heading2"/>
        <w:spacing w:before="0" w:after="120" w:line="276" w:lineRule="auto"/>
      </w:pPr>
      <w:bookmarkStart w:id="5" w:name="_Toc224128402"/>
      <w:r w:rsidRPr="00A12112">
        <w:t>2.</w:t>
      </w:r>
      <w:r w:rsidRPr="00A12112">
        <w:t>4</w:t>
      </w:r>
      <w:r w:rsidRPr="00A12112">
        <w:t xml:space="preserve"> </w:t>
      </w:r>
      <w:r w:rsidRPr="00A12112">
        <w:t>Health and Social Care Support Services</w:t>
      </w:r>
      <w:bookmarkEnd w:id="5"/>
      <w:r w:rsidRPr="00A12112">
        <w:t xml:space="preserve"> </w:t>
      </w:r>
    </w:p>
    <w:p w14:paraId="1A63061A" w14:textId="71E76CD1"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People with dementia and their families are likely to benefit from various health and social care services. Health care services are vital in diagnosing, treating, and controlling the condition. In the United Kingdom, patients with possible dementia are referred to memory clinics by general practitioners, where various specialists assess and develop treatment plans (NHS, 2024).</w:t>
      </w:r>
    </w:p>
    <w:p w14:paraId="529D0056" w14:textId="0DB6898B"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 xml:space="preserve">Individuals suffering from dementia may also be provided with medical care and monitoring services from hospitals, neurologists, and geriatricians. Rehabilitation services such as occupational and cognitive therapies may help individuals with dementia maintain their </w:t>
      </w:r>
      <w:r w:rsidRPr="00A12112">
        <w:rPr>
          <w:rFonts w:ascii="Arial" w:hAnsi="Arial" w:cs="Arial"/>
          <w:sz w:val="22"/>
          <w:szCs w:val="22"/>
        </w:rPr>
        <w:lastRenderedPageBreak/>
        <w:t>independent lifestyle for as long as possible by helping them cope with their condition through adapting to memory and functionality changes.</w:t>
      </w:r>
    </w:p>
    <w:p w14:paraId="43571565" w14:textId="34E9AFED"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 xml:space="preserve">Community programs are also important for individuals suffering from dementia. Organizations such as the Alzheimer’s Society help individuals suffering from dementia and their carers through providing support groups, information services, and guidance. These programs help improve the wellbeing and reduce feelings of loneliness among individuals suffering from dementia (Alzheimer’s Society, </w:t>
      </w:r>
      <w:r>
        <w:rPr>
          <w:rFonts w:ascii="Arial" w:hAnsi="Arial" w:cs="Arial"/>
          <w:sz w:val="22"/>
          <w:szCs w:val="22"/>
        </w:rPr>
        <w:t>ND</w:t>
      </w:r>
      <w:r w:rsidRPr="00A12112">
        <w:rPr>
          <w:rFonts w:ascii="Arial" w:hAnsi="Arial" w:cs="Arial"/>
          <w:sz w:val="22"/>
          <w:szCs w:val="22"/>
        </w:rPr>
        <w:t>).</w:t>
      </w:r>
    </w:p>
    <w:p w14:paraId="7F5CE73F" w14:textId="0BFF635E"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 xml:space="preserve">Social care services are provided to cater to the needs of people who need help in daily activities such as personal care, eating, and the administration of drugs. This includes residential care facilities and home-based care services. </w:t>
      </w:r>
      <w:r w:rsidRPr="00A12112">
        <w:rPr>
          <w:rFonts w:ascii="Arial" w:hAnsi="Arial" w:cs="Arial"/>
          <w:sz w:val="22"/>
          <w:szCs w:val="22"/>
        </w:rPr>
        <w:t>Counselling</w:t>
      </w:r>
      <w:r w:rsidRPr="00A12112">
        <w:rPr>
          <w:rFonts w:ascii="Arial" w:hAnsi="Arial" w:cs="Arial"/>
          <w:sz w:val="22"/>
          <w:szCs w:val="22"/>
        </w:rPr>
        <w:t xml:space="preserve"> services are also offered to help families deal with the emotional burden of caring for people suffering from dementia.</w:t>
      </w:r>
    </w:p>
    <w:p w14:paraId="2F5F3871" w14:textId="2A20641C"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The health and social care services are important for improving the quality of life, promoting independent living, and ensuring people suffering from dementia are well taken care of within their communities. There is a need to coordinate healthcare services, social services, and voluntary services to cater to the varied needs of people suffering from dementia.</w:t>
      </w:r>
    </w:p>
    <w:p w14:paraId="414D11DE" w14:textId="29D15B5B" w:rsidR="00A12112" w:rsidRPr="00A12112" w:rsidRDefault="00A12112" w:rsidP="00A12112">
      <w:pPr>
        <w:pStyle w:val="Heading1"/>
        <w:spacing w:before="0" w:after="120" w:line="240" w:lineRule="auto"/>
      </w:pPr>
      <w:bookmarkStart w:id="6" w:name="_Toc224128403"/>
      <w:r>
        <w:t>Conclusion</w:t>
      </w:r>
      <w:bookmarkEnd w:id="6"/>
      <w:r>
        <w:t xml:space="preserve"> </w:t>
      </w:r>
    </w:p>
    <w:p w14:paraId="4277590E" w14:textId="49E5C7A7" w:rsidR="00A12112" w:rsidRDefault="00A12112" w:rsidP="00A12112">
      <w:pPr>
        <w:spacing w:after="120" w:line="360" w:lineRule="auto"/>
        <w:rPr>
          <w:rFonts w:ascii="Arial" w:hAnsi="Arial" w:cs="Arial"/>
          <w:sz w:val="22"/>
          <w:szCs w:val="22"/>
        </w:rPr>
      </w:pPr>
      <w:r w:rsidRPr="00A12112">
        <w:rPr>
          <w:rFonts w:ascii="Arial" w:hAnsi="Arial" w:cs="Arial"/>
          <w:sz w:val="22"/>
          <w:szCs w:val="22"/>
        </w:rPr>
        <w:t>Dementia is defined as a neurological disorder that involves the progressive deterioration of cognitive functions and memory. It is estimated that millions of people worldwide are affected by dementia. In the United Kingdom, dementia makes up a significant percentage of the population and is considered a major health concern. The prevalence and effects of dementia on patients are critical factors that need to be monitored for the proper understanding and interpretation of the condition. Public health agencies, such as the World Health Organization and the National Health Service (NHS), use health records and research findings to monitor different health conditions and formulate appropriate treatment mechanisms.</w:t>
      </w:r>
    </w:p>
    <w:p w14:paraId="15412978" w14:textId="69631CC1"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Dementia is still awaiting a treatment that can cure it, but ways to reduce its effects are available. Prevention of dementia is mostly focused on reducing its causes through healthy practices, diagnostic processes, and symptom management through medical treatment. In addition, dementia causes significant effects on those affected and their families and communities, ranging from social to economic effects.</w:t>
      </w:r>
    </w:p>
    <w:p w14:paraId="3757A458" w14:textId="7FE0AD3E"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For those suffering from dementia and to help them live a healthy life, health and social care facilities, such as memory clinics and societies like the Alzheimer’s Society, are essential.</w:t>
      </w:r>
    </w:p>
    <w:p w14:paraId="3B11735D" w14:textId="77777777" w:rsidR="00A12112" w:rsidRPr="00A12112" w:rsidRDefault="00A12112">
      <w:r w:rsidRPr="00A12112">
        <w:br w:type="page"/>
      </w:r>
    </w:p>
    <w:p w14:paraId="77856456" w14:textId="79FDCE85" w:rsidR="00A12112" w:rsidRPr="00A12112" w:rsidRDefault="00A12112" w:rsidP="00A12112">
      <w:pPr>
        <w:pStyle w:val="Heading1"/>
        <w:spacing w:before="0" w:after="120" w:line="240" w:lineRule="auto"/>
      </w:pPr>
      <w:bookmarkStart w:id="7" w:name="_Toc224128404"/>
      <w:r w:rsidRPr="00A12112">
        <w:lastRenderedPageBreak/>
        <w:t>References</w:t>
      </w:r>
      <w:bookmarkEnd w:id="7"/>
      <w:r w:rsidRPr="00A12112">
        <w:t xml:space="preserve"> </w:t>
      </w:r>
    </w:p>
    <w:p w14:paraId="6D0E2D64" w14:textId="77777777" w:rsidR="00A12112" w:rsidRPr="00A12112" w:rsidRDefault="00A12112" w:rsidP="00A12112">
      <w:pPr>
        <w:spacing w:after="120" w:line="360" w:lineRule="auto"/>
        <w:rPr>
          <w:rFonts w:ascii="Arial" w:hAnsi="Arial" w:cs="Arial"/>
          <w:sz w:val="22"/>
          <w:szCs w:val="22"/>
        </w:rPr>
      </w:pPr>
      <w:r w:rsidRPr="00A12112">
        <w:rPr>
          <w:rFonts w:ascii="Arial" w:hAnsi="Arial" w:cs="Arial"/>
          <w:i/>
          <w:iCs/>
          <w:sz w:val="22"/>
          <w:szCs w:val="22"/>
        </w:rPr>
        <w:t>Dementia</w:t>
      </w:r>
      <w:r w:rsidRPr="00A12112">
        <w:rPr>
          <w:rFonts w:ascii="Arial" w:hAnsi="Arial" w:cs="Arial"/>
          <w:sz w:val="22"/>
          <w:szCs w:val="22"/>
        </w:rPr>
        <w:t xml:space="preserve"> (2025) </w:t>
      </w:r>
      <w:r w:rsidRPr="00A12112">
        <w:rPr>
          <w:rFonts w:ascii="Arial" w:hAnsi="Arial" w:cs="Arial"/>
          <w:i/>
          <w:iCs/>
          <w:sz w:val="22"/>
          <w:szCs w:val="22"/>
        </w:rPr>
        <w:t>World Health Organization</w:t>
      </w:r>
      <w:r w:rsidRPr="00A12112">
        <w:rPr>
          <w:rFonts w:ascii="Arial" w:hAnsi="Arial" w:cs="Arial"/>
          <w:sz w:val="22"/>
          <w:szCs w:val="22"/>
        </w:rPr>
        <w:t xml:space="preserve">. Available at: https://www.who.int/news-room/fact-sheets/detail/dementia. </w:t>
      </w:r>
    </w:p>
    <w:p w14:paraId="53F05814" w14:textId="77777777" w:rsidR="00A12112" w:rsidRPr="00A12112" w:rsidRDefault="00A12112" w:rsidP="00A12112">
      <w:pPr>
        <w:spacing w:after="120" w:line="360" w:lineRule="auto"/>
        <w:rPr>
          <w:rFonts w:ascii="Arial" w:hAnsi="Arial" w:cs="Arial"/>
          <w:sz w:val="22"/>
          <w:szCs w:val="22"/>
        </w:rPr>
      </w:pPr>
      <w:r w:rsidRPr="00A12112">
        <w:rPr>
          <w:rFonts w:ascii="Arial" w:hAnsi="Arial" w:cs="Arial"/>
          <w:i/>
          <w:iCs/>
          <w:sz w:val="22"/>
          <w:szCs w:val="22"/>
        </w:rPr>
        <w:t>About dementia</w:t>
      </w:r>
      <w:r w:rsidRPr="00A12112">
        <w:rPr>
          <w:rFonts w:ascii="Arial" w:hAnsi="Arial" w:cs="Arial"/>
          <w:sz w:val="22"/>
          <w:szCs w:val="22"/>
        </w:rPr>
        <w:t xml:space="preserve"> (no date) </w:t>
      </w:r>
      <w:r w:rsidRPr="00A12112">
        <w:rPr>
          <w:rFonts w:ascii="Arial" w:hAnsi="Arial" w:cs="Arial"/>
          <w:i/>
          <w:iCs/>
          <w:sz w:val="22"/>
          <w:szCs w:val="22"/>
        </w:rPr>
        <w:t>Alzheimer’s Society</w:t>
      </w:r>
      <w:r w:rsidRPr="00A12112">
        <w:rPr>
          <w:rFonts w:ascii="Arial" w:hAnsi="Arial" w:cs="Arial"/>
          <w:sz w:val="22"/>
          <w:szCs w:val="22"/>
        </w:rPr>
        <w:t xml:space="preserve">. Available at: https://www.alzheimers.org.uk/about-dementia. </w:t>
      </w:r>
    </w:p>
    <w:p w14:paraId="466FCFC2" w14:textId="77777777"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 xml:space="preserve">group, P.H.M. (2024) </w:t>
      </w:r>
      <w:r w:rsidRPr="00A12112">
        <w:rPr>
          <w:rFonts w:ascii="Arial" w:hAnsi="Arial" w:cs="Arial"/>
          <w:i/>
          <w:iCs/>
          <w:sz w:val="22"/>
          <w:szCs w:val="22"/>
        </w:rPr>
        <w:t>Deaths registered in England and Wales: 2023</w:t>
      </w:r>
      <w:r w:rsidRPr="00A12112">
        <w:rPr>
          <w:rFonts w:ascii="Arial" w:hAnsi="Arial" w:cs="Arial"/>
          <w:sz w:val="22"/>
          <w:szCs w:val="22"/>
        </w:rPr>
        <w:t xml:space="preserve">, </w:t>
      </w:r>
      <w:r w:rsidRPr="00A12112">
        <w:rPr>
          <w:rFonts w:ascii="Arial" w:hAnsi="Arial" w:cs="Arial"/>
          <w:i/>
          <w:iCs/>
          <w:sz w:val="22"/>
          <w:szCs w:val="22"/>
        </w:rPr>
        <w:t>Deaths registered in England and Wales - Office for National Statistics</w:t>
      </w:r>
      <w:r w:rsidRPr="00A12112">
        <w:rPr>
          <w:rFonts w:ascii="Arial" w:hAnsi="Arial" w:cs="Arial"/>
          <w:sz w:val="22"/>
          <w:szCs w:val="22"/>
        </w:rPr>
        <w:t xml:space="preserve">. Available at: https://www.ons.gov.uk/peoplepopulationandcommunity/birthsdeathsandmarriages/deaths/bulletins/deathsregistrationsummarytables/2023. </w:t>
      </w:r>
    </w:p>
    <w:p w14:paraId="4A820CCF" w14:textId="77777777" w:rsidR="00A12112" w:rsidRDefault="00A12112" w:rsidP="00A12112">
      <w:pPr>
        <w:spacing w:after="120" w:line="360" w:lineRule="auto"/>
        <w:rPr>
          <w:rFonts w:ascii="Arial" w:hAnsi="Arial" w:cs="Arial"/>
          <w:sz w:val="22"/>
          <w:szCs w:val="22"/>
        </w:rPr>
      </w:pPr>
      <w:r w:rsidRPr="00A12112">
        <w:rPr>
          <w:rFonts w:ascii="Arial" w:hAnsi="Arial" w:cs="Arial"/>
          <w:sz w:val="22"/>
          <w:szCs w:val="22"/>
        </w:rPr>
        <w:t>Dementia, U. K. (2023). What is dementia. </w:t>
      </w:r>
      <w:r w:rsidRPr="00A12112">
        <w:rPr>
          <w:rFonts w:ascii="Arial" w:hAnsi="Arial" w:cs="Arial"/>
          <w:i/>
          <w:iCs/>
          <w:sz w:val="22"/>
          <w:szCs w:val="22"/>
        </w:rPr>
        <w:t>UK, Mar</w:t>
      </w:r>
      <w:r w:rsidRPr="00A12112">
        <w:rPr>
          <w:rFonts w:ascii="Arial" w:hAnsi="Arial" w:cs="Arial"/>
          <w:sz w:val="22"/>
          <w:szCs w:val="22"/>
        </w:rPr>
        <w:t>.</w:t>
      </w:r>
    </w:p>
    <w:p w14:paraId="7A32380A" w14:textId="77777777"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 xml:space="preserve">Thorpe, J. R., </w:t>
      </w:r>
      <w:proofErr w:type="spellStart"/>
      <w:r w:rsidRPr="00A12112">
        <w:rPr>
          <w:rFonts w:ascii="Arial" w:hAnsi="Arial" w:cs="Arial"/>
          <w:sz w:val="22"/>
          <w:szCs w:val="22"/>
        </w:rPr>
        <w:t>Forchhammer</w:t>
      </w:r>
      <w:proofErr w:type="spellEnd"/>
      <w:r w:rsidRPr="00A12112">
        <w:rPr>
          <w:rFonts w:ascii="Arial" w:hAnsi="Arial" w:cs="Arial"/>
          <w:sz w:val="22"/>
          <w:szCs w:val="22"/>
        </w:rPr>
        <w:t>, B. H., &amp; Maier, A. M. (2019). Development of a sensor-based behavioral monitoring solution to support dementia care. </w:t>
      </w:r>
      <w:r w:rsidRPr="00A12112">
        <w:rPr>
          <w:rFonts w:ascii="Arial" w:hAnsi="Arial" w:cs="Arial"/>
          <w:i/>
          <w:iCs/>
          <w:sz w:val="22"/>
          <w:szCs w:val="22"/>
        </w:rPr>
        <w:t xml:space="preserve">JMIR mHealth and </w:t>
      </w:r>
      <w:proofErr w:type="spellStart"/>
      <w:r w:rsidRPr="00A12112">
        <w:rPr>
          <w:rFonts w:ascii="Arial" w:hAnsi="Arial" w:cs="Arial"/>
          <w:i/>
          <w:iCs/>
          <w:sz w:val="22"/>
          <w:szCs w:val="22"/>
        </w:rPr>
        <w:t>uHealth</w:t>
      </w:r>
      <w:proofErr w:type="spellEnd"/>
      <w:r w:rsidRPr="00A12112">
        <w:rPr>
          <w:rFonts w:ascii="Arial" w:hAnsi="Arial" w:cs="Arial"/>
          <w:sz w:val="22"/>
          <w:szCs w:val="22"/>
        </w:rPr>
        <w:t>, </w:t>
      </w:r>
      <w:r w:rsidRPr="00A12112">
        <w:rPr>
          <w:rFonts w:ascii="Arial" w:hAnsi="Arial" w:cs="Arial"/>
          <w:i/>
          <w:iCs/>
          <w:sz w:val="22"/>
          <w:szCs w:val="22"/>
        </w:rPr>
        <w:t>7</w:t>
      </w:r>
      <w:r w:rsidRPr="00A12112">
        <w:rPr>
          <w:rFonts w:ascii="Arial" w:hAnsi="Arial" w:cs="Arial"/>
          <w:sz w:val="22"/>
          <w:szCs w:val="22"/>
        </w:rPr>
        <w:t>(6), e12013.</w:t>
      </w:r>
    </w:p>
    <w:p w14:paraId="739CC57A" w14:textId="77777777" w:rsidR="00A12112" w:rsidRPr="00A12112" w:rsidRDefault="00A12112" w:rsidP="00A12112">
      <w:pPr>
        <w:spacing w:after="120" w:line="360" w:lineRule="auto"/>
        <w:rPr>
          <w:rFonts w:ascii="Arial" w:hAnsi="Arial" w:cs="Arial"/>
          <w:sz w:val="22"/>
          <w:szCs w:val="22"/>
        </w:rPr>
      </w:pPr>
      <w:r w:rsidRPr="00A12112">
        <w:rPr>
          <w:rFonts w:ascii="Arial" w:hAnsi="Arial" w:cs="Arial"/>
          <w:sz w:val="22"/>
          <w:szCs w:val="22"/>
        </w:rPr>
        <w:t xml:space="preserve">(2024) </w:t>
      </w:r>
      <w:r w:rsidRPr="00A12112">
        <w:rPr>
          <w:rFonts w:ascii="Arial" w:hAnsi="Arial" w:cs="Arial"/>
          <w:i/>
          <w:iCs/>
          <w:sz w:val="22"/>
          <w:szCs w:val="22"/>
        </w:rPr>
        <w:t>Primary care dementia data, May 2024 - NHS England Digital</w:t>
      </w:r>
      <w:r w:rsidRPr="00A12112">
        <w:rPr>
          <w:rFonts w:ascii="Arial" w:hAnsi="Arial" w:cs="Arial"/>
          <w:sz w:val="22"/>
          <w:szCs w:val="22"/>
        </w:rPr>
        <w:t xml:space="preserve">. Available at: https://digital.nhs.uk/data-and-information/publications/statistical/primary-care-dementia-data/may-2024. </w:t>
      </w:r>
    </w:p>
    <w:sectPr w:rsidR="00A12112" w:rsidRPr="00A12112" w:rsidSect="00A12112">
      <w:pgSz w:w="11906" w:h="16838"/>
      <w:pgMar w:top="1440" w:right="1440" w:bottom="1440" w:left="1440" w:header="708" w:footer="708" w:gutter="0"/>
      <w:pgBorders w:display="firstPage" w:offsetFrom="page">
        <w:top w:val="single" w:sz="48" w:space="24" w:color="auto"/>
        <w:left w:val="single" w:sz="48" w:space="24" w:color="auto"/>
        <w:bottom w:val="single" w:sz="48" w:space="24" w:color="auto"/>
        <w:right w:val="single" w:sz="4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112"/>
    <w:rsid w:val="00A12112"/>
    <w:rsid w:val="00AF0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01197"/>
  <w15:chartTrackingRefBased/>
  <w15:docId w15:val="{D74BBA1B-9945-9B4C-A611-B9A9B4B83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1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21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21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1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1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1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1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1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1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1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21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21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1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1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1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1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1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112"/>
    <w:rPr>
      <w:rFonts w:eastAsiaTheme="majorEastAsia" w:cstheme="majorBidi"/>
      <w:color w:val="272727" w:themeColor="text1" w:themeTint="D8"/>
    </w:rPr>
  </w:style>
  <w:style w:type="paragraph" w:styleId="Title">
    <w:name w:val="Title"/>
    <w:basedOn w:val="Normal"/>
    <w:next w:val="Normal"/>
    <w:link w:val="TitleChar"/>
    <w:uiPriority w:val="10"/>
    <w:qFormat/>
    <w:rsid w:val="00A121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1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1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1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112"/>
    <w:pPr>
      <w:spacing w:before="160"/>
      <w:jc w:val="center"/>
    </w:pPr>
    <w:rPr>
      <w:i/>
      <w:iCs/>
      <w:color w:val="404040" w:themeColor="text1" w:themeTint="BF"/>
    </w:rPr>
  </w:style>
  <w:style w:type="character" w:customStyle="1" w:styleId="QuoteChar">
    <w:name w:val="Quote Char"/>
    <w:basedOn w:val="DefaultParagraphFont"/>
    <w:link w:val="Quote"/>
    <w:uiPriority w:val="29"/>
    <w:rsid w:val="00A12112"/>
    <w:rPr>
      <w:i/>
      <w:iCs/>
      <w:color w:val="404040" w:themeColor="text1" w:themeTint="BF"/>
    </w:rPr>
  </w:style>
  <w:style w:type="paragraph" w:styleId="ListParagraph">
    <w:name w:val="List Paragraph"/>
    <w:basedOn w:val="Normal"/>
    <w:uiPriority w:val="34"/>
    <w:qFormat/>
    <w:rsid w:val="00A12112"/>
    <w:pPr>
      <w:ind w:left="720"/>
      <w:contextualSpacing/>
    </w:pPr>
  </w:style>
  <w:style w:type="character" w:styleId="IntenseEmphasis">
    <w:name w:val="Intense Emphasis"/>
    <w:basedOn w:val="DefaultParagraphFont"/>
    <w:uiPriority w:val="21"/>
    <w:qFormat/>
    <w:rsid w:val="00A12112"/>
    <w:rPr>
      <w:i/>
      <w:iCs/>
      <w:color w:val="0F4761" w:themeColor="accent1" w:themeShade="BF"/>
    </w:rPr>
  </w:style>
  <w:style w:type="paragraph" w:styleId="IntenseQuote">
    <w:name w:val="Intense Quote"/>
    <w:basedOn w:val="Normal"/>
    <w:next w:val="Normal"/>
    <w:link w:val="IntenseQuoteChar"/>
    <w:uiPriority w:val="30"/>
    <w:qFormat/>
    <w:rsid w:val="00A121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112"/>
    <w:rPr>
      <w:i/>
      <w:iCs/>
      <w:color w:val="0F4761" w:themeColor="accent1" w:themeShade="BF"/>
    </w:rPr>
  </w:style>
  <w:style w:type="character" w:styleId="IntenseReference">
    <w:name w:val="Intense Reference"/>
    <w:basedOn w:val="DefaultParagraphFont"/>
    <w:uiPriority w:val="32"/>
    <w:qFormat/>
    <w:rsid w:val="00A12112"/>
    <w:rPr>
      <w:b/>
      <w:bCs/>
      <w:smallCaps/>
      <w:color w:val="0F4761" w:themeColor="accent1" w:themeShade="BF"/>
      <w:spacing w:val="5"/>
    </w:rPr>
  </w:style>
  <w:style w:type="paragraph" w:styleId="TOCHeading">
    <w:name w:val="TOC Heading"/>
    <w:basedOn w:val="Heading1"/>
    <w:next w:val="Normal"/>
    <w:uiPriority w:val="39"/>
    <w:unhideWhenUsed/>
    <w:qFormat/>
    <w:rsid w:val="00A1211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12112"/>
    <w:pPr>
      <w:spacing w:before="120" w:after="0"/>
    </w:pPr>
    <w:rPr>
      <w:b/>
      <w:bCs/>
      <w:i/>
      <w:iCs/>
    </w:rPr>
  </w:style>
  <w:style w:type="paragraph" w:styleId="TOC2">
    <w:name w:val="toc 2"/>
    <w:basedOn w:val="Normal"/>
    <w:next w:val="Normal"/>
    <w:autoRedefine/>
    <w:uiPriority w:val="39"/>
    <w:unhideWhenUsed/>
    <w:rsid w:val="00A12112"/>
    <w:pPr>
      <w:spacing w:before="120" w:after="0"/>
      <w:ind w:left="240"/>
    </w:pPr>
    <w:rPr>
      <w:b/>
      <w:bCs/>
      <w:sz w:val="22"/>
      <w:szCs w:val="22"/>
    </w:rPr>
  </w:style>
  <w:style w:type="character" w:styleId="Hyperlink">
    <w:name w:val="Hyperlink"/>
    <w:basedOn w:val="DefaultParagraphFont"/>
    <w:uiPriority w:val="99"/>
    <w:unhideWhenUsed/>
    <w:rsid w:val="00A12112"/>
    <w:rPr>
      <w:color w:val="467886" w:themeColor="hyperlink"/>
      <w:u w:val="single"/>
    </w:rPr>
  </w:style>
  <w:style w:type="paragraph" w:styleId="TOC3">
    <w:name w:val="toc 3"/>
    <w:basedOn w:val="Normal"/>
    <w:next w:val="Normal"/>
    <w:autoRedefine/>
    <w:uiPriority w:val="39"/>
    <w:semiHidden/>
    <w:unhideWhenUsed/>
    <w:rsid w:val="00A12112"/>
    <w:pPr>
      <w:spacing w:after="0"/>
      <w:ind w:left="480"/>
    </w:pPr>
    <w:rPr>
      <w:sz w:val="20"/>
      <w:szCs w:val="20"/>
    </w:rPr>
  </w:style>
  <w:style w:type="paragraph" w:styleId="TOC4">
    <w:name w:val="toc 4"/>
    <w:basedOn w:val="Normal"/>
    <w:next w:val="Normal"/>
    <w:autoRedefine/>
    <w:uiPriority w:val="39"/>
    <w:semiHidden/>
    <w:unhideWhenUsed/>
    <w:rsid w:val="00A12112"/>
    <w:pPr>
      <w:spacing w:after="0"/>
      <w:ind w:left="720"/>
    </w:pPr>
    <w:rPr>
      <w:sz w:val="20"/>
      <w:szCs w:val="20"/>
    </w:rPr>
  </w:style>
  <w:style w:type="paragraph" w:styleId="TOC5">
    <w:name w:val="toc 5"/>
    <w:basedOn w:val="Normal"/>
    <w:next w:val="Normal"/>
    <w:autoRedefine/>
    <w:uiPriority w:val="39"/>
    <w:semiHidden/>
    <w:unhideWhenUsed/>
    <w:rsid w:val="00A12112"/>
    <w:pPr>
      <w:spacing w:after="0"/>
      <w:ind w:left="960"/>
    </w:pPr>
    <w:rPr>
      <w:sz w:val="20"/>
      <w:szCs w:val="20"/>
    </w:rPr>
  </w:style>
  <w:style w:type="paragraph" w:styleId="TOC6">
    <w:name w:val="toc 6"/>
    <w:basedOn w:val="Normal"/>
    <w:next w:val="Normal"/>
    <w:autoRedefine/>
    <w:uiPriority w:val="39"/>
    <w:semiHidden/>
    <w:unhideWhenUsed/>
    <w:rsid w:val="00A12112"/>
    <w:pPr>
      <w:spacing w:after="0"/>
      <w:ind w:left="1200"/>
    </w:pPr>
    <w:rPr>
      <w:sz w:val="20"/>
      <w:szCs w:val="20"/>
    </w:rPr>
  </w:style>
  <w:style w:type="paragraph" w:styleId="TOC7">
    <w:name w:val="toc 7"/>
    <w:basedOn w:val="Normal"/>
    <w:next w:val="Normal"/>
    <w:autoRedefine/>
    <w:uiPriority w:val="39"/>
    <w:semiHidden/>
    <w:unhideWhenUsed/>
    <w:rsid w:val="00A12112"/>
    <w:pPr>
      <w:spacing w:after="0"/>
      <w:ind w:left="1440"/>
    </w:pPr>
    <w:rPr>
      <w:sz w:val="20"/>
      <w:szCs w:val="20"/>
    </w:rPr>
  </w:style>
  <w:style w:type="paragraph" w:styleId="TOC8">
    <w:name w:val="toc 8"/>
    <w:basedOn w:val="Normal"/>
    <w:next w:val="Normal"/>
    <w:autoRedefine/>
    <w:uiPriority w:val="39"/>
    <w:semiHidden/>
    <w:unhideWhenUsed/>
    <w:rsid w:val="00A12112"/>
    <w:pPr>
      <w:spacing w:after="0"/>
      <w:ind w:left="1680"/>
    </w:pPr>
    <w:rPr>
      <w:sz w:val="20"/>
      <w:szCs w:val="20"/>
    </w:rPr>
  </w:style>
  <w:style w:type="paragraph" w:styleId="TOC9">
    <w:name w:val="toc 9"/>
    <w:basedOn w:val="Normal"/>
    <w:next w:val="Normal"/>
    <w:autoRedefine/>
    <w:uiPriority w:val="39"/>
    <w:semiHidden/>
    <w:unhideWhenUsed/>
    <w:rsid w:val="00A12112"/>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489564">
      <w:bodyDiv w:val="1"/>
      <w:marLeft w:val="0"/>
      <w:marRight w:val="0"/>
      <w:marTop w:val="0"/>
      <w:marBottom w:val="0"/>
      <w:divBdr>
        <w:top w:val="none" w:sz="0" w:space="0" w:color="auto"/>
        <w:left w:val="none" w:sz="0" w:space="0" w:color="auto"/>
        <w:bottom w:val="none" w:sz="0" w:space="0" w:color="auto"/>
        <w:right w:val="none" w:sz="0" w:space="0" w:color="auto"/>
      </w:divBdr>
    </w:div>
    <w:div w:id="49115436">
      <w:bodyDiv w:val="1"/>
      <w:marLeft w:val="0"/>
      <w:marRight w:val="0"/>
      <w:marTop w:val="0"/>
      <w:marBottom w:val="0"/>
      <w:divBdr>
        <w:top w:val="none" w:sz="0" w:space="0" w:color="auto"/>
        <w:left w:val="none" w:sz="0" w:space="0" w:color="auto"/>
        <w:bottom w:val="none" w:sz="0" w:space="0" w:color="auto"/>
        <w:right w:val="none" w:sz="0" w:space="0" w:color="auto"/>
      </w:divBdr>
    </w:div>
    <w:div w:id="404453340">
      <w:bodyDiv w:val="1"/>
      <w:marLeft w:val="0"/>
      <w:marRight w:val="0"/>
      <w:marTop w:val="0"/>
      <w:marBottom w:val="0"/>
      <w:divBdr>
        <w:top w:val="none" w:sz="0" w:space="0" w:color="auto"/>
        <w:left w:val="none" w:sz="0" w:space="0" w:color="auto"/>
        <w:bottom w:val="none" w:sz="0" w:space="0" w:color="auto"/>
        <w:right w:val="none" w:sz="0" w:space="0" w:color="auto"/>
      </w:divBdr>
    </w:div>
    <w:div w:id="596403095">
      <w:bodyDiv w:val="1"/>
      <w:marLeft w:val="0"/>
      <w:marRight w:val="0"/>
      <w:marTop w:val="0"/>
      <w:marBottom w:val="0"/>
      <w:divBdr>
        <w:top w:val="none" w:sz="0" w:space="0" w:color="auto"/>
        <w:left w:val="none" w:sz="0" w:space="0" w:color="auto"/>
        <w:bottom w:val="none" w:sz="0" w:space="0" w:color="auto"/>
        <w:right w:val="none" w:sz="0" w:space="0" w:color="auto"/>
      </w:divBdr>
    </w:div>
    <w:div w:id="928192801">
      <w:bodyDiv w:val="1"/>
      <w:marLeft w:val="0"/>
      <w:marRight w:val="0"/>
      <w:marTop w:val="0"/>
      <w:marBottom w:val="0"/>
      <w:divBdr>
        <w:top w:val="none" w:sz="0" w:space="0" w:color="auto"/>
        <w:left w:val="none" w:sz="0" w:space="0" w:color="auto"/>
        <w:bottom w:val="none" w:sz="0" w:space="0" w:color="auto"/>
        <w:right w:val="none" w:sz="0" w:space="0" w:color="auto"/>
      </w:divBdr>
    </w:div>
    <w:div w:id="1427191513">
      <w:bodyDiv w:val="1"/>
      <w:marLeft w:val="0"/>
      <w:marRight w:val="0"/>
      <w:marTop w:val="0"/>
      <w:marBottom w:val="0"/>
      <w:divBdr>
        <w:top w:val="none" w:sz="0" w:space="0" w:color="auto"/>
        <w:left w:val="none" w:sz="0" w:space="0" w:color="auto"/>
        <w:bottom w:val="none" w:sz="0" w:space="0" w:color="auto"/>
        <w:right w:val="none" w:sz="0" w:space="0" w:color="auto"/>
      </w:divBdr>
    </w:div>
    <w:div w:id="1540698431">
      <w:bodyDiv w:val="1"/>
      <w:marLeft w:val="0"/>
      <w:marRight w:val="0"/>
      <w:marTop w:val="0"/>
      <w:marBottom w:val="0"/>
      <w:divBdr>
        <w:top w:val="none" w:sz="0" w:space="0" w:color="auto"/>
        <w:left w:val="none" w:sz="0" w:space="0" w:color="auto"/>
        <w:bottom w:val="none" w:sz="0" w:space="0" w:color="auto"/>
        <w:right w:val="none" w:sz="0" w:space="0" w:color="auto"/>
      </w:divBdr>
    </w:div>
    <w:div w:id="1909726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9CF30B-6A37-794F-A193-E6419C703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7</Pages>
  <Words>1851</Words>
  <Characters>10557</Characters>
  <Application>Microsoft Office Word</Application>
  <DocSecurity>0</DocSecurity>
  <Lines>87</Lines>
  <Paragraphs>24</Paragraphs>
  <ScaleCrop>false</ScaleCrop>
  <Company/>
  <LinksUpToDate>false</LinksUpToDate>
  <CharactersWithSpaces>12384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Petrunescu</dc:creator>
  <cp:keywords/>
  <dc:description/>
  <cp:lastModifiedBy>Oana Petrunescu</cp:lastModifiedBy>
  <cp:revision>1</cp:revision>
  <dcterms:created xsi:type="dcterms:W3CDTF">2026-03-11T13:09:00Z</dcterms:created>
  <dcterms:modified xsi:type="dcterms:W3CDTF">2026-03-11T13:33:00Z</dcterms:modified>
</cp:coreProperties>
</file>