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DFED832" w14:textId="77777777" w:rsidR="008D1D12" w:rsidRDefault="00F51D47">
      <w:pPr>
        <w:spacing w:after="274" w:line="259" w:lineRule="auto"/>
        <w:ind w:left="0" w:firstLine="0"/>
        <w:jc w:val="left"/>
      </w:pPr>
      <w:r>
        <w:t xml:space="preserve"> </w:t>
      </w:r>
    </w:p>
    <w:p w14:paraId="74B8DE03" w14:textId="77777777" w:rsidR="008D1D12" w:rsidRDefault="00F51D47">
      <w:pPr>
        <w:spacing w:after="273" w:line="259" w:lineRule="auto"/>
        <w:ind w:left="0" w:firstLine="0"/>
        <w:jc w:val="left"/>
      </w:pPr>
      <w:r>
        <w:t xml:space="preserve"> </w:t>
      </w:r>
    </w:p>
    <w:p w14:paraId="732A0FD9" w14:textId="77777777" w:rsidR="008D1D12" w:rsidRDefault="00F51D47">
      <w:pPr>
        <w:spacing w:after="273" w:line="259" w:lineRule="auto"/>
        <w:ind w:left="0" w:firstLine="0"/>
        <w:jc w:val="left"/>
      </w:pPr>
      <w:r>
        <w:t xml:space="preserve"> </w:t>
      </w:r>
    </w:p>
    <w:p w14:paraId="2FAEF44A" w14:textId="77777777" w:rsidR="008D1D12" w:rsidRDefault="00F51D47">
      <w:pPr>
        <w:spacing w:after="276" w:line="259" w:lineRule="auto"/>
        <w:ind w:left="0" w:firstLine="0"/>
        <w:jc w:val="left"/>
      </w:pPr>
      <w:r>
        <w:t xml:space="preserve"> </w:t>
      </w:r>
    </w:p>
    <w:p w14:paraId="65DE897B" w14:textId="77777777" w:rsidR="008D1D12" w:rsidRDefault="00F51D47">
      <w:pPr>
        <w:spacing w:after="273" w:line="259" w:lineRule="auto"/>
        <w:ind w:left="0" w:firstLine="0"/>
        <w:jc w:val="left"/>
      </w:pPr>
      <w:r>
        <w:t xml:space="preserve"> </w:t>
      </w:r>
    </w:p>
    <w:p w14:paraId="254D2248" w14:textId="77777777" w:rsidR="008D1D12" w:rsidRDefault="00F51D47">
      <w:pPr>
        <w:spacing w:after="273" w:line="259" w:lineRule="auto"/>
        <w:ind w:left="0" w:firstLine="0"/>
        <w:jc w:val="left"/>
      </w:pPr>
      <w:r>
        <w:t xml:space="preserve"> </w:t>
      </w:r>
    </w:p>
    <w:p w14:paraId="1B28DB88" w14:textId="77777777" w:rsidR="008D1D12" w:rsidRDefault="00F51D47">
      <w:pPr>
        <w:spacing w:after="274" w:line="259" w:lineRule="auto"/>
        <w:ind w:left="0" w:firstLine="0"/>
        <w:jc w:val="left"/>
      </w:pPr>
      <w:r>
        <w:t xml:space="preserve"> </w:t>
      </w:r>
    </w:p>
    <w:p w14:paraId="097AACCD" w14:textId="77777777" w:rsidR="008D1D12" w:rsidRDefault="00F51D47">
      <w:pPr>
        <w:spacing w:after="273" w:line="259" w:lineRule="auto"/>
        <w:ind w:left="0" w:firstLine="0"/>
        <w:jc w:val="left"/>
      </w:pPr>
      <w:r>
        <w:t xml:space="preserve"> </w:t>
      </w:r>
    </w:p>
    <w:p w14:paraId="4243F762" w14:textId="77777777" w:rsidR="008D1D12" w:rsidRDefault="00F51D47">
      <w:pPr>
        <w:spacing w:after="273" w:line="259" w:lineRule="auto"/>
        <w:ind w:left="0" w:firstLine="0"/>
        <w:jc w:val="left"/>
      </w:pPr>
      <w:r>
        <w:t xml:space="preserve"> </w:t>
      </w:r>
    </w:p>
    <w:p w14:paraId="44764C4F" w14:textId="77777777" w:rsidR="008D1D12" w:rsidRDefault="00F51D47">
      <w:pPr>
        <w:spacing w:after="276" w:line="259" w:lineRule="auto"/>
        <w:ind w:left="0" w:right="1869" w:firstLine="0"/>
        <w:jc w:val="right"/>
      </w:pPr>
      <w:r>
        <w:rPr>
          <w:b/>
        </w:rPr>
        <w:t xml:space="preserve">Synthesize a solution to a potential </w:t>
      </w:r>
      <w:proofErr w:type="gramStart"/>
      <w:r>
        <w:rPr>
          <w:b/>
        </w:rPr>
        <w:t>real life</w:t>
      </w:r>
      <w:proofErr w:type="gramEnd"/>
      <w:r>
        <w:rPr>
          <w:b/>
        </w:rPr>
        <w:t xml:space="preserve"> scenario </w:t>
      </w:r>
    </w:p>
    <w:p w14:paraId="095A4726" w14:textId="77777777" w:rsidR="008D1D12" w:rsidRDefault="00F51D47">
      <w:pPr>
        <w:spacing w:after="285"/>
        <w:ind w:right="52"/>
      </w:pPr>
      <w:r>
        <w:t xml:space="preserve">Author: Patrick Frank Atkinson (1811357) </w:t>
      </w:r>
    </w:p>
    <w:p w14:paraId="6768251D" w14:textId="77777777" w:rsidR="008D1D12" w:rsidRDefault="00F51D47">
      <w:pPr>
        <w:spacing w:after="273" w:line="259" w:lineRule="auto"/>
        <w:ind w:left="10" w:right="2193"/>
        <w:jc w:val="right"/>
      </w:pPr>
      <w:r>
        <w:t xml:space="preserve">ACCA4018 – Academic &amp; Employability Skills </w:t>
      </w:r>
    </w:p>
    <w:p w14:paraId="2164BF1A" w14:textId="77777777" w:rsidR="008D1D12" w:rsidRDefault="00F51D47">
      <w:pPr>
        <w:spacing w:after="279" w:line="259" w:lineRule="auto"/>
        <w:ind w:left="10" w:right="1977"/>
        <w:jc w:val="right"/>
      </w:pPr>
      <w:r>
        <w:t xml:space="preserve">Faculty of Architecture, Computing and Engineering </w:t>
      </w:r>
    </w:p>
    <w:p w14:paraId="3103FBB3" w14:textId="77777777" w:rsidR="008D1D12" w:rsidRDefault="00F51D47">
      <w:pPr>
        <w:spacing w:after="291" w:line="259" w:lineRule="auto"/>
        <w:ind w:left="10" w:right="2251"/>
        <w:jc w:val="right"/>
      </w:pPr>
      <w:r>
        <w:t>Date of submission: 10</w:t>
      </w:r>
      <w:r>
        <w:rPr>
          <w:vertAlign w:val="superscript"/>
        </w:rPr>
        <w:t>th</w:t>
      </w:r>
      <w:r>
        <w:t xml:space="preserve"> January 2019 at 15:00 </w:t>
      </w:r>
    </w:p>
    <w:p w14:paraId="00DBBECC" w14:textId="77777777" w:rsidR="008D1D12" w:rsidRDefault="00F51D47">
      <w:pPr>
        <w:spacing w:after="273" w:line="259" w:lineRule="auto"/>
        <w:ind w:left="0" w:firstLine="0"/>
        <w:jc w:val="left"/>
      </w:pPr>
      <w:r>
        <w:t xml:space="preserve"> </w:t>
      </w:r>
    </w:p>
    <w:p w14:paraId="09335781" w14:textId="77777777" w:rsidR="008D1D12" w:rsidRDefault="00F51D47">
      <w:pPr>
        <w:spacing w:after="5513" w:line="259" w:lineRule="auto"/>
        <w:ind w:left="0" w:firstLine="0"/>
        <w:jc w:val="left"/>
      </w:pPr>
      <w:r>
        <w:t xml:space="preserve"> </w:t>
      </w:r>
      <w:r>
        <w:tab/>
        <w:t xml:space="preserve"> </w:t>
      </w:r>
    </w:p>
    <w:p w14:paraId="11B0969B" w14:textId="77777777" w:rsidR="008D1D12" w:rsidRDefault="00F51D47">
      <w:pPr>
        <w:spacing w:after="0" w:line="259" w:lineRule="auto"/>
        <w:ind w:left="59" w:firstLine="0"/>
        <w:jc w:val="center"/>
      </w:pPr>
      <w:r>
        <w:lastRenderedPageBreak/>
        <w:t xml:space="preserve"> </w:t>
      </w:r>
    </w:p>
    <w:p w14:paraId="3E8E73C4" w14:textId="77777777" w:rsidR="008D1D12" w:rsidRDefault="00F51D47">
      <w:pPr>
        <w:spacing w:after="237" w:line="259" w:lineRule="auto"/>
        <w:ind w:left="-5"/>
        <w:jc w:val="left"/>
      </w:pPr>
      <w:r>
        <w:rPr>
          <w:b/>
          <w:sz w:val="32"/>
        </w:rPr>
        <w:t xml:space="preserve">Abstract </w:t>
      </w:r>
    </w:p>
    <w:p w14:paraId="79FBF1EA" w14:textId="77777777" w:rsidR="008D1D12" w:rsidRDefault="00F51D47">
      <w:pPr>
        <w:spacing w:after="160" w:line="357" w:lineRule="auto"/>
        <w:ind w:left="-5" w:right="52"/>
      </w:pPr>
      <w:r>
        <w:t xml:space="preserve">This report outlines a proposed implementation of a network infrastructure suitable for a Bring Your Own Device (BYOD) policy. It considers Unified Endpoint Management (UEM) solutions, wireless network authentication protocols and Bring Your Own Device (BYOD) polices, and suggests strategies based on this research. It also proposes a network layout and how to secure it from a physical and configuration </w:t>
      </w:r>
      <w:commentRangeStart w:id="0"/>
      <w:r>
        <w:t>standpoint</w:t>
      </w:r>
      <w:commentRangeEnd w:id="0"/>
      <w:r>
        <w:rPr>
          <w:rStyle w:val="CommentReference"/>
        </w:rPr>
        <w:commentReference w:id="0"/>
      </w:r>
      <w:r>
        <w:t xml:space="preserve">. </w:t>
      </w:r>
    </w:p>
    <w:p w14:paraId="517CA015" w14:textId="77777777" w:rsidR="008D1D12" w:rsidRDefault="00F51D47">
      <w:pPr>
        <w:spacing w:after="0" w:line="259" w:lineRule="auto"/>
        <w:ind w:left="0" w:firstLine="0"/>
        <w:jc w:val="left"/>
      </w:pPr>
      <w:r>
        <w:t xml:space="preserve"> </w:t>
      </w:r>
      <w:r>
        <w:tab/>
        <w:t xml:space="preserve"> </w:t>
      </w:r>
      <w:r>
        <w:br w:type="page"/>
      </w:r>
    </w:p>
    <w:sdt>
      <w:sdtPr>
        <w:id w:val="-1440742629"/>
        <w:docPartObj>
          <w:docPartGallery w:val="Table of Contents"/>
        </w:docPartObj>
      </w:sdtPr>
      <w:sdtContent>
        <w:p w14:paraId="35162C0F" w14:textId="77777777" w:rsidR="008D1D12" w:rsidRDefault="00F51D47">
          <w:pPr>
            <w:spacing w:after="0" w:line="259" w:lineRule="auto"/>
            <w:ind w:left="-5"/>
            <w:jc w:val="left"/>
          </w:pPr>
          <w:r>
            <w:rPr>
              <w:b/>
              <w:sz w:val="32"/>
            </w:rPr>
            <w:t xml:space="preserve">Contents </w:t>
          </w:r>
        </w:p>
        <w:p w14:paraId="2EA4FA8A" w14:textId="77777777" w:rsidR="008D1D12" w:rsidRDefault="00F51D47">
          <w:pPr>
            <w:pStyle w:val="TOC1"/>
            <w:tabs>
              <w:tab w:val="right" w:leader="dot" w:pos="9026"/>
            </w:tabs>
          </w:pPr>
          <w:r>
            <w:fldChar w:fldCharType="begin"/>
          </w:r>
          <w:r>
            <w:instrText xml:space="preserve"> TOC \o "1-4" \h \z \u </w:instrText>
          </w:r>
          <w:r>
            <w:fldChar w:fldCharType="separate"/>
          </w:r>
          <w:hyperlink w:anchor="_Toc30400">
            <w:r>
              <w:t>1.</w:t>
            </w:r>
            <w:r>
              <w:rPr>
                <w:rFonts w:ascii="Calibri" w:eastAsia="Calibri" w:hAnsi="Calibri" w:cs="Calibri"/>
                <w:sz w:val="22"/>
              </w:rPr>
              <w:t xml:space="preserve">  </w:t>
            </w:r>
            <w:r>
              <w:t>Introduction</w:t>
            </w:r>
            <w:r>
              <w:tab/>
            </w:r>
            <w:r>
              <w:fldChar w:fldCharType="begin"/>
            </w:r>
            <w:r>
              <w:instrText>PAGEREF _Toc30400 \h</w:instrText>
            </w:r>
            <w:r>
              <w:fldChar w:fldCharType="separate"/>
            </w:r>
            <w:r>
              <w:t xml:space="preserve">1 </w:t>
            </w:r>
            <w:r>
              <w:fldChar w:fldCharType="end"/>
            </w:r>
          </w:hyperlink>
        </w:p>
        <w:p w14:paraId="0A2C57BA" w14:textId="77777777" w:rsidR="008D1D12" w:rsidRDefault="00F51D47">
          <w:pPr>
            <w:pStyle w:val="TOC1"/>
            <w:tabs>
              <w:tab w:val="right" w:leader="dot" w:pos="9026"/>
            </w:tabs>
          </w:pPr>
          <w:hyperlink w:anchor="_Toc30401">
            <w:r>
              <w:t>2.</w:t>
            </w:r>
            <w:r>
              <w:rPr>
                <w:rFonts w:ascii="Calibri" w:eastAsia="Calibri" w:hAnsi="Calibri" w:cs="Calibri"/>
                <w:sz w:val="22"/>
              </w:rPr>
              <w:t xml:space="preserve">  </w:t>
            </w:r>
            <w:r>
              <w:t>Related work</w:t>
            </w:r>
            <w:r>
              <w:tab/>
            </w:r>
            <w:r>
              <w:fldChar w:fldCharType="begin"/>
            </w:r>
            <w:r>
              <w:instrText>PAGEREF _Toc30401 \h</w:instrText>
            </w:r>
            <w:r>
              <w:fldChar w:fldCharType="separate"/>
            </w:r>
            <w:r>
              <w:t xml:space="preserve">1 </w:t>
            </w:r>
            <w:r>
              <w:fldChar w:fldCharType="end"/>
            </w:r>
          </w:hyperlink>
        </w:p>
        <w:p w14:paraId="622E3B02" w14:textId="77777777" w:rsidR="008D1D12" w:rsidRDefault="00F51D47">
          <w:pPr>
            <w:pStyle w:val="TOC2"/>
            <w:tabs>
              <w:tab w:val="right" w:leader="dot" w:pos="9026"/>
            </w:tabs>
          </w:pPr>
          <w:hyperlink w:anchor="_Toc30402">
            <w:r>
              <w:t>2.1.</w:t>
            </w:r>
            <w:r>
              <w:rPr>
                <w:rFonts w:ascii="Calibri" w:eastAsia="Calibri" w:hAnsi="Calibri" w:cs="Calibri"/>
                <w:sz w:val="22"/>
              </w:rPr>
              <w:t xml:space="preserve">  </w:t>
            </w:r>
            <w:r>
              <w:t>Bring Your Own Device (BYOD)</w:t>
            </w:r>
            <w:r>
              <w:tab/>
            </w:r>
            <w:r>
              <w:fldChar w:fldCharType="begin"/>
            </w:r>
            <w:r>
              <w:instrText>PAGEREF _Toc30402 \h</w:instrText>
            </w:r>
            <w:r>
              <w:fldChar w:fldCharType="separate"/>
            </w:r>
            <w:r>
              <w:t xml:space="preserve">1 </w:t>
            </w:r>
            <w:r>
              <w:fldChar w:fldCharType="end"/>
            </w:r>
          </w:hyperlink>
        </w:p>
        <w:p w14:paraId="229A9DA9" w14:textId="77777777" w:rsidR="008D1D12" w:rsidRDefault="00F51D47">
          <w:pPr>
            <w:pStyle w:val="TOC2"/>
            <w:tabs>
              <w:tab w:val="right" w:leader="dot" w:pos="9026"/>
            </w:tabs>
          </w:pPr>
          <w:hyperlink w:anchor="_Toc30403">
            <w:r>
              <w:t>2.2.</w:t>
            </w:r>
            <w:r>
              <w:rPr>
                <w:rFonts w:ascii="Calibri" w:eastAsia="Calibri" w:hAnsi="Calibri" w:cs="Calibri"/>
                <w:sz w:val="22"/>
              </w:rPr>
              <w:t xml:space="preserve">  </w:t>
            </w:r>
            <w:r>
              <w:t>Unified Endpoint Management (UEM)</w:t>
            </w:r>
            <w:r>
              <w:tab/>
            </w:r>
            <w:r>
              <w:fldChar w:fldCharType="begin"/>
            </w:r>
            <w:r>
              <w:instrText>PAGEREF _Toc30403 \h</w:instrText>
            </w:r>
            <w:r>
              <w:fldChar w:fldCharType="separate"/>
            </w:r>
            <w:r>
              <w:t xml:space="preserve">2 </w:t>
            </w:r>
            <w:r>
              <w:fldChar w:fldCharType="end"/>
            </w:r>
          </w:hyperlink>
        </w:p>
        <w:p w14:paraId="209F1F62" w14:textId="77777777" w:rsidR="008D1D12" w:rsidRDefault="00F51D47">
          <w:pPr>
            <w:pStyle w:val="TOC3"/>
            <w:tabs>
              <w:tab w:val="right" w:leader="dot" w:pos="9026"/>
            </w:tabs>
          </w:pPr>
          <w:hyperlink w:anchor="_Toc30404">
            <w:r>
              <w:t>2.2.1.</w:t>
            </w:r>
            <w:r>
              <w:rPr>
                <w:rFonts w:ascii="Calibri" w:eastAsia="Calibri" w:hAnsi="Calibri" w:cs="Calibri"/>
                <w:sz w:val="22"/>
              </w:rPr>
              <w:t xml:space="preserve">  </w:t>
            </w:r>
            <w:r>
              <w:t>Background of UEM</w:t>
            </w:r>
            <w:r>
              <w:tab/>
            </w:r>
            <w:r>
              <w:fldChar w:fldCharType="begin"/>
            </w:r>
            <w:r>
              <w:instrText>PAGEREF _Toc30404 \h</w:instrText>
            </w:r>
            <w:r>
              <w:fldChar w:fldCharType="separate"/>
            </w:r>
            <w:r>
              <w:t xml:space="preserve">2 </w:t>
            </w:r>
            <w:r>
              <w:fldChar w:fldCharType="end"/>
            </w:r>
          </w:hyperlink>
        </w:p>
        <w:p w14:paraId="1383B4EB" w14:textId="77777777" w:rsidR="008D1D12" w:rsidRDefault="00F51D47">
          <w:pPr>
            <w:pStyle w:val="TOC3"/>
            <w:tabs>
              <w:tab w:val="right" w:leader="dot" w:pos="9026"/>
            </w:tabs>
          </w:pPr>
          <w:hyperlink w:anchor="_Toc30405">
            <w:r>
              <w:t>2.2.2.</w:t>
            </w:r>
            <w:r>
              <w:rPr>
                <w:rFonts w:ascii="Calibri" w:eastAsia="Calibri" w:hAnsi="Calibri" w:cs="Calibri"/>
                <w:sz w:val="22"/>
              </w:rPr>
              <w:t xml:space="preserve">  </w:t>
            </w:r>
            <w:r>
              <w:t>UEM functionality</w:t>
            </w:r>
            <w:r>
              <w:tab/>
            </w:r>
            <w:r>
              <w:fldChar w:fldCharType="begin"/>
            </w:r>
            <w:r>
              <w:instrText>PAGEREF _Toc30405 \h</w:instrText>
            </w:r>
            <w:r>
              <w:fldChar w:fldCharType="separate"/>
            </w:r>
            <w:r>
              <w:t xml:space="preserve">3 </w:t>
            </w:r>
            <w:r>
              <w:fldChar w:fldCharType="end"/>
            </w:r>
          </w:hyperlink>
        </w:p>
        <w:p w14:paraId="3EC04555" w14:textId="77777777" w:rsidR="008D1D12" w:rsidRDefault="00F51D47">
          <w:pPr>
            <w:pStyle w:val="TOC4"/>
            <w:tabs>
              <w:tab w:val="right" w:leader="dot" w:pos="9026"/>
            </w:tabs>
          </w:pPr>
          <w:hyperlink w:anchor="_Toc30406">
            <w:r>
              <w:t>2.2.2.1.</w:t>
            </w:r>
            <w:r>
              <w:rPr>
                <w:rFonts w:ascii="Calibri" w:eastAsia="Calibri" w:hAnsi="Calibri" w:cs="Calibri"/>
                <w:sz w:val="22"/>
              </w:rPr>
              <w:t xml:space="preserve">  </w:t>
            </w:r>
            <w:r>
              <w:t>OS support</w:t>
            </w:r>
            <w:r>
              <w:tab/>
            </w:r>
            <w:r>
              <w:fldChar w:fldCharType="begin"/>
            </w:r>
            <w:r>
              <w:instrText>PAGEREF _Toc30406 \h</w:instrText>
            </w:r>
            <w:r>
              <w:fldChar w:fldCharType="separate"/>
            </w:r>
            <w:r>
              <w:t xml:space="preserve">3 </w:t>
            </w:r>
            <w:r>
              <w:fldChar w:fldCharType="end"/>
            </w:r>
          </w:hyperlink>
        </w:p>
        <w:p w14:paraId="71309CED" w14:textId="77777777" w:rsidR="008D1D12" w:rsidRDefault="00F51D47">
          <w:pPr>
            <w:pStyle w:val="TOC4"/>
            <w:tabs>
              <w:tab w:val="right" w:leader="dot" w:pos="9026"/>
            </w:tabs>
          </w:pPr>
          <w:hyperlink w:anchor="_Toc30407">
            <w:r>
              <w:t>2.2.2.2.</w:t>
            </w:r>
            <w:r>
              <w:rPr>
                <w:rFonts w:ascii="Calibri" w:eastAsia="Calibri" w:hAnsi="Calibri" w:cs="Calibri"/>
                <w:sz w:val="22"/>
              </w:rPr>
              <w:t xml:space="preserve">  </w:t>
            </w:r>
            <w:r>
              <w:t>Policy and app deployment</w:t>
            </w:r>
            <w:r>
              <w:tab/>
            </w:r>
            <w:r>
              <w:fldChar w:fldCharType="begin"/>
            </w:r>
            <w:r>
              <w:instrText>PAGEREF _Toc30407 \h</w:instrText>
            </w:r>
            <w:r>
              <w:fldChar w:fldCharType="separate"/>
            </w:r>
            <w:r>
              <w:t xml:space="preserve">3 </w:t>
            </w:r>
            <w:r>
              <w:fldChar w:fldCharType="end"/>
            </w:r>
          </w:hyperlink>
        </w:p>
        <w:p w14:paraId="71012223" w14:textId="77777777" w:rsidR="008D1D12" w:rsidRDefault="00F51D47">
          <w:pPr>
            <w:pStyle w:val="TOC4"/>
            <w:tabs>
              <w:tab w:val="right" w:leader="dot" w:pos="9026"/>
            </w:tabs>
          </w:pPr>
          <w:hyperlink w:anchor="_Toc30408">
            <w:r>
              <w:t>2.2.2.3.</w:t>
            </w:r>
            <w:r>
              <w:rPr>
                <w:rFonts w:ascii="Calibri" w:eastAsia="Calibri" w:hAnsi="Calibri" w:cs="Calibri"/>
                <w:sz w:val="22"/>
              </w:rPr>
              <w:t xml:space="preserve">  </w:t>
            </w:r>
            <w:r>
              <w:t>Containment features (walled garden)</w:t>
            </w:r>
            <w:r>
              <w:tab/>
            </w:r>
            <w:r>
              <w:fldChar w:fldCharType="begin"/>
            </w:r>
            <w:r>
              <w:instrText>PAGEREF _Toc30408 \h</w:instrText>
            </w:r>
            <w:r>
              <w:fldChar w:fldCharType="separate"/>
            </w:r>
            <w:r>
              <w:t xml:space="preserve">4 </w:t>
            </w:r>
            <w:r>
              <w:fldChar w:fldCharType="end"/>
            </w:r>
          </w:hyperlink>
        </w:p>
        <w:p w14:paraId="5387843C" w14:textId="77777777" w:rsidR="008D1D12" w:rsidRDefault="00F51D47">
          <w:pPr>
            <w:pStyle w:val="TOC4"/>
            <w:tabs>
              <w:tab w:val="right" w:leader="dot" w:pos="9026"/>
            </w:tabs>
          </w:pPr>
          <w:hyperlink w:anchor="_Toc30409">
            <w:r>
              <w:t>2.2.2.4.</w:t>
            </w:r>
            <w:r>
              <w:rPr>
                <w:rFonts w:ascii="Calibri" w:eastAsia="Calibri" w:hAnsi="Calibri" w:cs="Calibri"/>
                <w:sz w:val="22"/>
              </w:rPr>
              <w:t xml:space="preserve">  </w:t>
            </w:r>
            <w:r>
              <w:t>Device/user monitoring</w:t>
            </w:r>
            <w:r>
              <w:tab/>
            </w:r>
            <w:r>
              <w:fldChar w:fldCharType="begin"/>
            </w:r>
            <w:r>
              <w:instrText>PAGEREF _Toc30409 \h</w:instrText>
            </w:r>
            <w:r>
              <w:fldChar w:fldCharType="separate"/>
            </w:r>
            <w:r>
              <w:t xml:space="preserve">4 </w:t>
            </w:r>
            <w:r>
              <w:fldChar w:fldCharType="end"/>
            </w:r>
          </w:hyperlink>
        </w:p>
        <w:p w14:paraId="10E8E4D1" w14:textId="77777777" w:rsidR="008D1D12" w:rsidRDefault="00F51D47">
          <w:pPr>
            <w:pStyle w:val="TOC4"/>
            <w:tabs>
              <w:tab w:val="right" w:leader="dot" w:pos="9026"/>
            </w:tabs>
          </w:pPr>
          <w:hyperlink w:anchor="_Toc30410">
            <w:r>
              <w:t>2.2.2.5.</w:t>
            </w:r>
            <w:r>
              <w:rPr>
                <w:rFonts w:ascii="Calibri" w:eastAsia="Calibri" w:hAnsi="Calibri" w:cs="Calibri"/>
                <w:sz w:val="22"/>
              </w:rPr>
              <w:t xml:space="preserve">  </w:t>
            </w:r>
            <w:r>
              <w:t>Revocation</w:t>
            </w:r>
            <w:r>
              <w:tab/>
            </w:r>
            <w:r>
              <w:fldChar w:fldCharType="begin"/>
            </w:r>
            <w:r>
              <w:instrText>PAGEREF _Toc30410 \h</w:instrText>
            </w:r>
            <w:r>
              <w:fldChar w:fldCharType="separate"/>
            </w:r>
            <w:r>
              <w:t xml:space="preserve">4 </w:t>
            </w:r>
            <w:r>
              <w:fldChar w:fldCharType="end"/>
            </w:r>
          </w:hyperlink>
        </w:p>
        <w:p w14:paraId="519ED26F" w14:textId="77777777" w:rsidR="008D1D12" w:rsidRDefault="00F51D47">
          <w:pPr>
            <w:pStyle w:val="TOC2"/>
            <w:tabs>
              <w:tab w:val="right" w:leader="dot" w:pos="9026"/>
            </w:tabs>
          </w:pPr>
          <w:hyperlink w:anchor="_Toc30411">
            <w:r>
              <w:t>2.3.</w:t>
            </w:r>
            <w:r>
              <w:rPr>
                <w:rFonts w:ascii="Calibri" w:eastAsia="Calibri" w:hAnsi="Calibri" w:cs="Calibri"/>
                <w:sz w:val="22"/>
              </w:rPr>
              <w:t xml:space="preserve">  </w:t>
            </w:r>
            <w:r>
              <w:t>Wireless network authentication</w:t>
            </w:r>
            <w:r>
              <w:tab/>
            </w:r>
            <w:r>
              <w:fldChar w:fldCharType="begin"/>
            </w:r>
            <w:r>
              <w:instrText>PAGEREF _Toc30411 \h</w:instrText>
            </w:r>
            <w:r>
              <w:fldChar w:fldCharType="separate"/>
            </w:r>
            <w:r>
              <w:t xml:space="preserve">4 </w:t>
            </w:r>
            <w:r>
              <w:fldChar w:fldCharType="end"/>
            </w:r>
          </w:hyperlink>
        </w:p>
        <w:p w14:paraId="54FBC21E" w14:textId="77777777" w:rsidR="008D1D12" w:rsidRDefault="00F51D47">
          <w:pPr>
            <w:pStyle w:val="TOC1"/>
            <w:tabs>
              <w:tab w:val="right" w:leader="dot" w:pos="9026"/>
            </w:tabs>
          </w:pPr>
          <w:hyperlink w:anchor="_Toc30412">
            <w:r>
              <w:t>3.</w:t>
            </w:r>
            <w:r>
              <w:rPr>
                <w:rFonts w:ascii="Calibri" w:eastAsia="Calibri" w:hAnsi="Calibri" w:cs="Calibri"/>
                <w:sz w:val="22"/>
              </w:rPr>
              <w:t xml:space="preserve">  </w:t>
            </w:r>
            <w:r>
              <w:t>Problem formulation</w:t>
            </w:r>
            <w:r>
              <w:tab/>
            </w:r>
            <w:r>
              <w:fldChar w:fldCharType="begin"/>
            </w:r>
            <w:r>
              <w:instrText>PAGEREF _Toc30412 \h</w:instrText>
            </w:r>
            <w:r>
              <w:fldChar w:fldCharType="separate"/>
            </w:r>
            <w:r>
              <w:t xml:space="preserve">6 </w:t>
            </w:r>
            <w:r>
              <w:fldChar w:fldCharType="end"/>
            </w:r>
          </w:hyperlink>
        </w:p>
        <w:p w14:paraId="5952D1E9" w14:textId="77777777" w:rsidR="008D1D12" w:rsidRDefault="00F51D47">
          <w:pPr>
            <w:pStyle w:val="TOC2"/>
            <w:tabs>
              <w:tab w:val="right" w:leader="dot" w:pos="9026"/>
            </w:tabs>
          </w:pPr>
          <w:hyperlink w:anchor="_Toc30413">
            <w:r>
              <w:t>3.1.</w:t>
            </w:r>
            <w:r>
              <w:rPr>
                <w:rFonts w:ascii="Calibri" w:eastAsia="Calibri" w:hAnsi="Calibri" w:cs="Calibri"/>
                <w:sz w:val="22"/>
              </w:rPr>
              <w:t xml:space="preserve">  </w:t>
            </w:r>
            <w:r>
              <w:t>Network infrastructure</w:t>
            </w:r>
            <w:r>
              <w:tab/>
            </w:r>
            <w:r>
              <w:fldChar w:fldCharType="begin"/>
            </w:r>
            <w:r>
              <w:instrText>PAGEREF _Toc30413 \h</w:instrText>
            </w:r>
            <w:r>
              <w:fldChar w:fldCharType="separate"/>
            </w:r>
            <w:r>
              <w:t xml:space="preserve">6 </w:t>
            </w:r>
            <w:r>
              <w:fldChar w:fldCharType="end"/>
            </w:r>
          </w:hyperlink>
        </w:p>
        <w:p w14:paraId="594BCFC1" w14:textId="77777777" w:rsidR="008D1D12" w:rsidRDefault="00F51D47">
          <w:pPr>
            <w:pStyle w:val="TOC2"/>
            <w:tabs>
              <w:tab w:val="right" w:leader="dot" w:pos="9026"/>
            </w:tabs>
          </w:pPr>
          <w:hyperlink w:anchor="_Toc30414">
            <w:r>
              <w:t>3.2.</w:t>
            </w:r>
            <w:r>
              <w:rPr>
                <w:rFonts w:ascii="Calibri" w:eastAsia="Calibri" w:hAnsi="Calibri" w:cs="Calibri"/>
                <w:sz w:val="22"/>
              </w:rPr>
              <w:t xml:space="preserve">  </w:t>
            </w:r>
            <w:r>
              <w:t>UEM</w:t>
            </w:r>
            <w:r>
              <w:tab/>
            </w:r>
            <w:r>
              <w:fldChar w:fldCharType="begin"/>
            </w:r>
            <w:r>
              <w:instrText>PAGEREF _Toc30414 \h</w:instrText>
            </w:r>
            <w:r>
              <w:fldChar w:fldCharType="separate"/>
            </w:r>
            <w:r>
              <w:t xml:space="preserve">6 </w:t>
            </w:r>
            <w:r>
              <w:fldChar w:fldCharType="end"/>
            </w:r>
          </w:hyperlink>
        </w:p>
        <w:p w14:paraId="4C6DFF78" w14:textId="77777777" w:rsidR="008D1D12" w:rsidRDefault="00F51D47">
          <w:pPr>
            <w:pStyle w:val="TOC2"/>
            <w:tabs>
              <w:tab w:val="right" w:leader="dot" w:pos="9026"/>
            </w:tabs>
          </w:pPr>
          <w:hyperlink w:anchor="_Toc30415">
            <w:r>
              <w:t>3.3.</w:t>
            </w:r>
            <w:r>
              <w:rPr>
                <w:rFonts w:ascii="Calibri" w:eastAsia="Calibri" w:hAnsi="Calibri" w:cs="Calibri"/>
                <w:sz w:val="22"/>
              </w:rPr>
              <w:t xml:space="preserve">  </w:t>
            </w:r>
            <w:r>
              <w:t>Policy</w:t>
            </w:r>
            <w:r>
              <w:tab/>
            </w:r>
            <w:r>
              <w:fldChar w:fldCharType="begin"/>
            </w:r>
            <w:r>
              <w:instrText>PAGEREF _Toc30415 \h</w:instrText>
            </w:r>
            <w:r>
              <w:fldChar w:fldCharType="separate"/>
            </w:r>
            <w:r>
              <w:t xml:space="preserve">7 </w:t>
            </w:r>
            <w:r>
              <w:fldChar w:fldCharType="end"/>
            </w:r>
          </w:hyperlink>
        </w:p>
        <w:p w14:paraId="32EE8F10" w14:textId="77777777" w:rsidR="008D1D12" w:rsidRDefault="00F51D47">
          <w:pPr>
            <w:pStyle w:val="TOC1"/>
            <w:tabs>
              <w:tab w:val="right" w:leader="dot" w:pos="9026"/>
            </w:tabs>
          </w:pPr>
          <w:hyperlink w:anchor="_Toc30416">
            <w:r>
              <w:t>4.</w:t>
            </w:r>
            <w:r>
              <w:rPr>
                <w:rFonts w:ascii="Calibri" w:eastAsia="Calibri" w:hAnsi="Calibri" w:cs="Calibri"/>
                <w:sz w:val="22"/>
              </w:rPr>
              <w:t xml:space="preserve">  </w:t>
            </w:r>
            <w:r>
              <w:t>Implementation</w:t>
            </w:r>
            <w:r>
              <w:tab/>
            </w:r>
            <w:r>
              <w:fldChar w:fldCharType="begin"/>
            </w:r>
            <w:r>
              <w:instrText>PAGEREF _Toc30416 \h</w:instrText>
            </w:r>
            <w:r>
              <w:fldChar w:fldCharType="separate"/>
            </w:r>
            <w:r>
              <w:t xml:space="preserve">7 </w:t>
            </w:r>
            <w:r>
              <w:fldChar w:fldCharType="end"/>
            </w:r>
          </w:hyperlink>
        </w:p>
        <w:p w14:paraId="04F324F2" w14:textId="77777777" w:rsidR="008D1D12" w:rsidRDefault="00F51D47">
          <w:pPr>
            <w:pStyle w:val="TOC2"/>
            <w:tabs>
              <w:tab w:val="right" w:leader="dot" w:pos="9026"/>
            </w:tabs>
          </w:pPr>
          <w:hyperlink w:anchor="_Toc30417">
            <w:r>
              <w:t>4.1.</w:t>
            </w:r>
            <w:r>
              <w:rPr>
                <w:rFonts w:ascii="Calibri" w:eastAsia="Calibri" w:hAnsi="Calibri" w:cs="Calibri"/>
                <w:sz w:val="22"/>
              </w:rPr>
              <w:t xml:space="preserve">  </w:t>
            </w:r>
            <w:r>
              <w:t>Physical security</w:t>
            </w:r>
            <w:r>
              <w:tab/>
            </w:r>
            <w:r>
              <w:fldChar w:fldCharType="begin"/>
            </w:r>
            <w:r>
              <w:instrText>PAGEREF _Toc30417 \h</w:instrText>
            </w:r>
            <w:r>
              <w:fldChar w:fldCharType="separate"/>
            </w:r>
            <w:r>
              <w:t xml:space="preserve">7 </w:t>
            </w:r>
            <w:r>
              <w:fldChar w:fldCharType="end"/>
            </w:r>
          </w:hyperlink>
        </w:p>
        <w:p w14:paraId="7EDCFA01" w14:textId="77777777" w:rsidR="008D1D12" w:rsidRDefault="00F51D47">
          <w:pPr>
            <w:pStyle w:val="TOC2"/>
            <w:tabs>
              <w:tab w:val="right" w:leader="dot" w:pos="9026"/>
            </w:tabs>
          </w:pPr>
          <w:hyperlink w:anchor="_Toc30418">
            <w:r>
              <w:t>4.2.</w:t>
            </w:r>
            <w:r>
              <w:rPr>
                <w:rFonts w:ascii="Calibri" w:eastAsia="Calibri" w:hAnsi="Calibri" w:cs="Calibri"/>
                <w:sz w:val="22"/>
              </w:rPr>
              <w:t xml:space="preserve">  </w:t>
            </w:r>
            <w:r>
              <w:t>Configuration security</w:t>
            </w:r>
            <w:r>
              <w:tab/>
            </w:r>
            <w:r>
              <w:fldChar w:fldCharType="begin"/>
            </w:r>
            <w:r>
              <w:instrText>PAGEREF _Toc30418 \h</w:instrText>
            </w:r>
            <w:r>
              <w:fldChar w:fldCharType="separate"/>
            </w:r>
            <w:r>
              <w:t xml:space="preserve">7 </w:t>
            </w:r>
            <w:r>
              <w:fldChar w:fldCharType="end"/>
            </w:r>
          </w:hyperlink>
        </w:p>
        <w:p w14:paraId="7E6FEB00" w14:textId="77777777" w:rsidR="008D1D12" w:rsidRDefault="00F51D47">
          <w:pPr>
            <w:pStyle w:val="TOC2"/>
            <w:tabs>
              <w:tab w:val="right" w:leader="dot" w:pos="9026"/>
            </w:tabs>
          </w:pPr>
          <w:hyperlink w:anchor="_Toc30419">
            <w:r>
              <w:t>4.3.</w:t>
            </w:r>
            <w:r>
              <w:rPr>
                <w:rFonts w:ascii="Calibri" w:eastAsia="Calibri" w:hAnsi="Calibri" w:cs="Calibri"/>
                <w:sz w:val="22"/>
              </w:rPr>
              <w:t xml:space="preserve">  </w:t>
            </w:r>
            <w:r>
              <w:t>Redundancy</w:t>
            </w:r>
            <w:r>
              <w:tab/>
            </w:r>
            <w:r>
              <w:fldChar w:fldCharType="begin"/>
            </w:r>
            <w:r>
              <w:instrText>PAGEREF _Toc30419 \h</w:instrText>
            </w:r>
            <w:r>
              <w:fldChar w:fldCharType="separate"/>
            </w:r>
            <w:r>
              <w:t xml:space="preserve">8 </w:t>
            </w:r>
            <w:r>
              <w:fldChar w:fldCharType="end"/>
            </w:r>
          </w:hyperlink>
        </w:p>
        <w:p w14:paraId="26975BE8" w14:textId="77777777" w:rsidR="008D1D12" w:rsidRDefault="00F51D47">
          <w:pPr>
            <w:pStyle w:val="TOC2"/>
            <w:tabs>
              <w:tab w:val="right" w:leader="dot" w:pos="9026"/>
            </w:tabs>
          </w:pPr>
          <w:hyperlink w:anchor="_Toc30420">
            <w:r>
              <w:t>4.4.</w:t>
            </w:r>
            <w:r>
              <w:rPr>
                <w:rFonts w:ascii="Calibri" w:eastAsia="Calibri" w:hAnsi="Calibri" w:cs="Calibri"/>
                <w:sz w:val="22"/>
              </w:rPr>
              <w:t xml:space="preserve">  </w:t>
            </w:r>
            <w:r>
              <w:t>Segregation and security</w:t>
            </w:r>
            <w:r>
              <w:tab/>
            </w:r>
            <w:r>
              <w:fldChar w:fldCharType="begin"/>
            </w:r>
            <w:r>
              <w:instrText>PAGEREF _Toc30420 \h</w:instrText>
            </w:r>
            <w:r>
              <w:fldChar w:fldCharType="separate"/>
            </w:r>
            <w:r>
              <w:t xml:space="preserve">8 </w:t>
            </w:r>
            <w:r>
              <w:fldChar w:fldCharType="end"/>
            </w:r>
          </w:hyperlink>
        </w:p>
        <w:p w14:paraId="17ADA555" w14:textId="77777777" w:rsidR="008D1D12" w:rsidRDefault="00F51D47">
          <w:pPr>
            <w:pStyle w:val="TOC2"/>
            <w:tabs>
              <w:tab w:val="right" w:leader="dot" w:pos="9026"/>
            </w:tabs>
          </w:pPr>
          <w:hyperlink w:anchor="_Toc30421">
            <w:r>
              <w:t>4.5.</w:t>
            </w:r>
            <w:r>
              <w:rPr>
                <w:rFonts w:ascii="Calibri" w:eastAsia="Calibri" w:hAnsi="Calibri" w:cs="Calibri"/>
                <w:sz w:val="22"/>
              </w:rPr>
              <w:t xml:space="preserve">  </w:t>
            </w:r>
            <w:r>
              <w:t>Monitoring</w:t>
            </w:r>
            <w:r>
              <w:tab/>
            </w:r>
            <w:r>
              <w:fldChar w:fldCharType="begin"/>
            </w:r>
            <w:r>
              <w:instrText>PAGEREF _Toc30421 \h</w:instrText>
            </w:r>
            <w:r>
              <w:fldChar w:fldCharType="separate"/>
            </w:r>
            <w:r>
              <w:t xml:space="preserve">10 </w:t>
            </w:r>
            <w:r>
              <w:fldChar w:fldCharType="end"/>
            </w:r>
          </w:hyperlink>
        </w:p>
        <w:p w14:paraId="7BAC5D61" w14:textId="77777777" w:rsidR="008D1D12" w:rsidRDefault="00F51D47">
          <w:pPr>
            <w:pStyle w:val="TOC1"/>
            <w:tabs>
              <w:tab w:val="right" w:leader="dot" w:pos="9026"/>
            </w:tabs>
          </w:pPr>
          <w:hyperlink w:anchor="_Toc30422">
            <w:r>
              <w:t>5.</w:t>
            </w:r>
            <w:r>
              <w:rPr>
                <w:rFonts w:ascii="Calibri" w:eastAsia="Calibri" w:hAnsi="Calibri" w:cs="Calibri"/>
                <w:sz w:val="22"/>
              </w:rPr>
              <w:t xml:space="preserve">  </w:t>
            </w:r>
            <w:r>
              <w:t>Discussions and findings</w:t>
            </w:r>
            <w:r>
              <w:tab/>
            </w:r>
            <w:r>
              <w:fldChar w:fldCharType="begin"/>
            </w:r>
            <w:r>
              <w:instrText>PAGEREF _Toc30422 \h</w:instrText>
            </w:r>
            <w:r>
              <w:fldChar w:fldCharType="separate"/>
            </w:r>
            <w:r>
              <w:t xml:space="preserve">11 </w:t>
            </w:r>
            <w:r>
              <w:fldChar w:fldCharType="end"/>
            </w:r>
          </w:hyperlink>
        </w:p>
        <w:p w14:paraId="1E875896" w14:textId="77777777" w:rsidR="008D1D12" w:rsidRDefault="00F51D47">
          <w:pPr>
            <w:pStyle w:val="TOC2"/>
            <w:tabs>
              <w:tab w:val="right" w:leader="dot" w:pos="9026"/>
            </w:tabs>
          </w:pPr>
          <w:hyperlink w:anchor="_Toc30423">
            <w:r>
              <w:t>5.1.</w:t>
            </w:r>
            <w:r>
              <w:rPr>
                <w:rFonts w:ascii="Calibri" w:eastAsia="Calibri" w:hAnsi="Calibri" w:cs="Calibri"/>
                <w:sz w:val="22"/>
              </w:rPr>
              <w:t xml:space="preserve">  </w:t>
            </w:r>
            <w:r>
              <w:t>UEM discussion</w:t>
            </w:r>
            <w:r>
              <w:tab/>
            </w:r>
            <w:r>
              <w:fldChar w:fldCharType="begin"/>
            </w:r>
            <w:r>
              <w:instrText>PAGEREF _Toc30423 \h</w:instrText>
            </w:r>
            <w:r>
              <w:fldChar w:fldCharType="separate"/>
            </w:r>
            <w:r>
              <w:t xml:space="preserve">11 </w:t>
            </w:r>
            <w:r>
              <w:fldChar w:fldCharType="end"/>
            </w:r>
          </w:hyperlink>
        </w:p>
        <w:p w14:paraId="495E4031" w14:textId="77777777" w:rsidR="008D1D12" w:rsidRDefault="00F51D47">
          <w:pPr>
            <w:pStyle w:val="TOC3"/>
            <w:tabs>
              <w:tab w:val="right" w:leader="dot" w:pos="9026"/>
            </w:tabs>
          </w:pPr>
          <w:hyperlink w:anchor="_Toc30424">
            <w:r>
              <w:t>5.1.1.</w:t>
            </w:r>
            <w:r>
              <w:rPr>
                <w:rFonts w:ascii="Calibri" w:eastAsia="Calibri" w:hAnsi="Calibri" w:cs="Calibri"/>
                <w:sz w:val="22"/>
              </w:rPr>
              <w:t xml:space="preserve">  </w:t>
            </w:r>
            <w:r>
              <w:t>Comparison of UEM solutions</w:t>
            </w:r>
            <w:r>
              <w:tab/>
            </w:r>
            <w:r>
              <w:fldChar w:fldCharType="begin"/>
            </w:r>
            <w:r>
              <w:instrText>PAGEREF _Toc30424 \h</w:instrText>
            </w:r>
            <w:r>
              <w:fldChar w:fldCharType="separate"/>
            </w:r>
            <w:r>
              <w:t xml:space="preserve">11 </w:t>
            </w:r>
            <w:r>
              <w:fldChar w:fldCharType="end"/>
            </w:r>
          </w:hyperlink>
        </w:p>
        <w:p w14:paraId="3FD17F80" w14:textId="77777777" w:rsidR="008D1D12" w:rsidRDefault="00F51D47">
          <w:pPr>
            <w:pStyle w:val="TOC3"/>
            <w:tabs>
              <w:tab w:val="right" w:leader="dot" w:pos="9026"/>
            </w:tabs>
          </w:pPr>
          <w:hyperlink w:anchor="_Toc30425">
            <w:r>
              <w:t>5.1.2.</w:t>
            </w:r>
            <w:r>
              <w:rPr>
                <w:rFonts w:ascii="Calibri" w:eastAsia="Calibri" w:hAnsi="Calibri" w:cs="Calibri"/>
                <w:sz w:val="22"/>
              </w:rPr>
              <w:t xml:space="preserve">  </w:t>
            </w:r>
            <w:r>
              <w:t>UEM selection</w:t>
            </w:r>
            <w:r>
              <w:tab/>
            </w:r>
            <w:r>
              <w:fldChar w:fldCharType="begin"/>
            </w:r>
            <w:r>
              <w:instrText>PAGEREF _Toc30425 \h</w:instrText>
            </w:r>
            <w:r>
              <w:fldChar w:fldCharType="separate"/>
            </w:r>
            <w:r>
              <w:t xml:space="preserve">12 </w:t>
            </w:r>
            <w:r>
              <w:fldChar w:fldCharType="end"/>
            </w:r>
          </w:hyperlink>
        </w:p>
        <w:p w14:paraId="63153A53" w14:textId="77777777" w:rsidR="008D1D12" w:rsidRDefault="00F51D47">
          <w:pPr>
            <w:pStyle w:val="TOC2"/>
            <w:tabs>
              <w:tab w:val="right" w:leader="dot" w:pos="9026"/>
            </w:tabs>
          </w:pPr>
          <w:hyperlink w:anchor="_Toc30426">
            <w:r>
              <w:t>5.2.</w:t>
            </w:r>
            <w:r>
              <w:rPr>
                <w:rFonts w:ascii="Calibri" w:eastAsia="Calibri" w:hAnsi="Calibri" w:cs="Calibri"/>
                <w:sz w:val="22"/>
              </w:rPr>
              <w:t xml:space="preserve">  </w:t>
            </w:r>
            <w:r>
              <w:t>BYOD discussion</w:t>
            </w:r>
            <w:r>
              <w:tab/>
            </w:r>
            <w:r>
              <w:fldChar w:fldCharType="begin"/>
            </w:r>
            <w:r>
              <w:instrText>PAGEREF _Toc30426 \h</w:instrText>
            </w:r>
            <w:r>
              <w:fldChar w:fldCharType="separate"/>
            </w:r>
            <w:r>
              <w:t xml:space="preserve">12 </w:t>
            </w:r>
            <w:r>
              <w:fldChar w:fldCharType="end"/>
            </w:r>
          </w:hyperlink>
        </w:p>
        <w:p w14:paraId="406B606A" w14:textId="77777777" w:rsidR="008D1D12" w:rsidRDefault="00F51D47">
          <w:pPr>
            <w:pStyle w:val="TOC3"/>
            <w:tabs>
              <w:tab w:val="right" w:leader="dot" w:pos="9026"/>
            </w:tabs>
          </w:pPr>
          <w:hyperlink w:anchor="_Toc30427">
            <w:r>
              <w:t>5.2.1.</w:t>
            </w:r>
            <w:r>
              <w:rPr>
                <w:rFonts w:ascii="Calibri" w:eastAsia="Calibri" w:hAnsi="Calibri" w:cs="Calibri"/>
                <w:sz w:val="22"/>
              </w:rPr>
              <w:t xml:space="preserve">  </w:t>
            </w:r>
            <w:r>
              <w:t>Potential benefits</w:t>
            </w:r>
            <w:r>
              <w:tab/>
            </w:r>
            <w:r>
              <w:fldChar w:fldCharType="begin"/>
            </w:r>
            <w:r>
              <w:instrText>PAGEREF _Toc30427 \h</w:instrText>
            </w:r>
            <w:r>
              <w:fldChar w:fldCharType="separate"/>
            </w:r>
            <w:r>
              <w:t xml:space="preserve">12 </w:t>
            </w:r>
            <w:r>
              <w:fldChar w:fldCharType="end"/>
            </w:r>
          </w:hyperlink>
        </w:p>
        <w:p w14:paraId="725E8950" w14:textId="77777777" w:rsidR="008D1D12" w:rsidRDefault="00F51D47">
          <w:pPr>
            <w:pStyle w:val="TOC3"/>
            <w:tabs>
              <w:tab w:val="right" w:leader="dot" w:pos="9026"/>
            </w:tabs>
          </w:pPr>
          <w:hyperlink w:anchor="_Toc30428">
            <w:r>
              <w:t>5.2.2.</w:t>
            </w:r>
            <w:r>
              <w:rPr>
                <w:rFonts w:ascii="Calibri" w:eastAsia="Calibri" w:hAnsi="Calibri" w:cs="Calibri"/>
                <w:sz w:val="22"/>
              </w:rPr>
              <w:t xml:space="preserve">  </w:t>
            </w:r>
            <w:r>
              <w:t>Areas of caution</w:t>
            </w:r>
            <w:r>
              <w:tab/>
            </w:r>
            <w:r>
              <w:fldChar w:fldCharType="begin"/>
            </w:r>
            <w:r>
              <w:instrText>PAGEREF _Toc30428 \h</w:instrText>
            </w:r>
            <w:r>
              <w:fldChar w:fldCharType="separate"/>
            </w:r>
            <w:r>
              <w:t xml:space="preserve">13 </w:t>
            </w:r>
            <w:r>
              <w:fldChar w:fldCharType="end"/>
            </w:r>
          </w:hyperlink>
        </w:p>
        <w:p w14:paraId="2FC6B4DB" w14:textId="77777777" w:rsidR="008D1D12" w:rsidRDefault="00F51D47">
          <w:pPr>
            <w:pStyle w:val="TOC1"/>
            <w:tabs>
              <w:tab w:val="right" w:leader="dot" w:pos="9026"/>
            </w:tabs>
          </w:pPr>
          <w:hyperlink w:anchor="_Toc30429">
            <w:r>
              <w:t>6.</w:t>
            </w:r>
            <w:r>
              <w:rPr>
                <w:rFonts w:ascii="Calibri" w:eastAsia="Calibri" w:hAnsi="Calibri" w:cs="Calibri"/>
                <w:sz w:val="22"/>
              </w:rPr>
              <w:t xml:space="preserve">  </w:t>
            </w:r>
            <w:r>
              <w:t>Conclusion and future work</w:t>
            </w:r>
            <w:r>
              <w:tab/>
            </w:r>
            <w:r>
              <w:fldChar w:fldCharType="begin"/>
            </w:r>
            <w:r>
              <w:instrText>PAGEREF _Toc30429 \h</w:instrText>
            </w:r>
            <w:r>
              <w:fldChar w:fldCharType="separate"/>
            </w:r>
            <w:r>
              <w:t xml:space="preserve">14 </w:t>
            </w:r>
            <w:r>
              <w:fldChar w:fldCharType="end"/>
            </w:r>
          </w:hyperlink>
        </w:p>
        <w:p w14:paraId="7514F385" w14:textId="77777777" w:rsidR="008D1D12" w:rsidRDefault="00F51D47">
          <w:pPr>
            <w:pStyle w:val="TOC2"/>
            <w:tabs>
              <w:tab w:val="right" w:leader="dot" w:pos="9026"/>
            </w:tabs>
          </w:pPr>
          <w:hyperlink w:anchor="_Toc30430">
            <w:r>
              <w:t>6.1.</w:t>
            </w:r>
            <w:r>
              <w:rPr>
                <w:rFonts w:ascii="Calibri" w:eastAsia="Calibri" w:hAnsi="Calibri" w:cs="Calibri"/>
                <w:sz w:val="22"/>
              </w:rPr>
              <w:t xml:space="preserve">  </w:t>
            </w:r>
            <w:r>
              <w:t>Conclusion</w:t>
            </w:r>
            <w:r>
              <w:tab/>
            </w:r>
            <w:r>
              <w:fldChar w:fldCharType="begin"/>
            </w:r>
            <w:r>
              <w:instrText>PAGEREF _Toc30430 \h</w:instrText>
            </w:r>
            <w:r>
              <w:fldChar w:fldCharType="separate"/>
            </w:r>
            <w:r>
              <w:t xml:space="preserve">14 </w:t>
            </w:r>
            <w:r>
              <w:fldChar w:fldCharType="end"/>
            </w:r>
          </w:hyperlink>
        </w:p>
        <w:p w14:paraId="3FCF3DD6" w14:textId="77777777" w:rsidR="008D1D12" w:rsidRDefault="00F51D47">
          <w:pPr>
            <w:pStyle w:val="TOC2"/>
            <w:tabs>
              <w:tab w:val="right" w:leader="dot" w:pos="9026"/>
            </w:tabs>
          </w:pPr>
          <w:hyperlink w:anchor="_Toc30431">
            <w:r>
              <w:t>6.2.</w:t>
            </w:r>
            <w:r>
              <w:rPr>
                <w:rFonts w:ascii="Calibri" w:eastAsia="Calibri" w:hAnsi="Calibri" w:cs="Calibri"/>
                <w:sz w:val="22"/>
              </w:rPr>
              <w:t xml:space="preserve">  </w:t>
            </w:r>
            <w:r>
              <w:t>Future work</w:t>
            </w:r>
            <w:r>
              <w:tab/>
            </w:r>
            <w:r>
              <w:fldChar w:fldCharType="begin"/>
            </w:r>
            <w:r>
              <w:instrText>PAGEREF _Toc30431 \h</w:instrText>
            </w:r>
            <w:r>
              <w:fldChar w:fldCharType="separate"/>
            </w:r>
            <w:r>
              <w:t xml:space="preserve">14 </w:t>
            </w:r>
            <w:r>
              <w:fldChar w:fldCharType="end"/>
            </w:r>
          </w:hyperlink>
        </w:p>
        <w:p w14:paraId="0C8412C9" w14:textId="77777777" w:rsidR="008D1D12" w:rsidRDefault="00F51D47">
          <w:pPr>
            <w:pStyle w:val="TOC1"/>
            <w:tabs>
              <w:tab w:val="right" w:leader="dot" w:pos="9026"/>
            </w:tabs>
          </w:pPr>
          <w:hyperlink w:anchor="_Toc30432">
            <w:r>
              <w:t>7.</w:t>
            </w:r>
            <w:r>
              <w:rPr>
                <w:rFonts w:ascii="Calibri" w:eastAsia="Calibri" w:hAnsi="Calibri" w:cs="Calibri"/>
                <w:sz w:val="22"/>
              </w:rPr>
              <w:t xml:space="preserve">  </w:t>
            </w:r>
            <w:r>
              <w:t>Glossary</w:t>
            </w:r>
            <w:r>
              <w:tab/>
            </w:r>
            <w:r>
              <w:fldChar w:fldCharType="begin"/>
            </w:r>
            <w:r>
              <w:instrText>PAGEREF _Toc30432 \h</w:instrText>
            </w:r>
            <w:r>
              <w:fldChar w:fldCharType="separate"/>
            </w:r>
            <w:r>
              <w:t xml:space="preserve">15 </w:t>
            </w:r>
            <w:r>
              <w:fldChar w:fldCharType="end"/>
            </w:r>
          </w:hyperlink>
        </w:p>
        <w:p w14:paraId="41D16CE8" w14:textId="77777777" w:rsidR="008D1D12" w:rsidRDefault="00F51D47">
          <w:pPr>
            <w:pStyle w:val="TOC1"/>
            <w:tabs>
              <w:tab w:val="right" w:leader="dot" w:pos="9026"/>
            </w:tabs>
          </w:pPr>
          <w:hyperlink w:anchor="_Toc30433">
            <w:r>
              <w:t>8.</w:t>
            </w:r>
            <w:r>
              <w:rPr>
                <w:rFonts w:ascii="Calibri" w:eastAsia="Calibri" w:hAnsi="Calibri" w:cs="Calibri"/>
                <w:sz w:val="22"/>
              </w:rPr>
              <w:t xml:space="preserve">  </w:t>
            </w:r>
            <w:r>
              <w:t>Bibliography</w:t>
            </w:r>
            <w:r>
              <w:tab/>
            </w:r>
            <w:r>
              <w:fldChar w:fldCharType="begin"/>
            </w:r>
            <w:r>
              <w:instrText>PAGEREF _Toc30433 \h</w:instrText>
            </w:r>
            <w:r>
              <w:fldChar w:fldCharType="separate"/>
            </w:r>
            <w:r>
              <w:t xml:space="preserve">16 </w:t>
            </w:r>
            <w:r>
              <w:fldChar w:fldCharType="end"/>
            </w:r>
          </w:hyperlink>
        </w:p>
        <w:p w14:paraId="1A4BC97D" w14:textId="77777777" w:rsidR="008D1D12" w:rsidRDefault="00F51D47">
          <w:pPr>
            <w:pStyle w:val="TOC1"/>
            <w:tabs>
              <w:tab w:val="right" w:leader="dot" w:pos="9026"/>
            </w:tabs>
          </w:pPr>
          <w:hyperlink w:anchor="_Toc30434">
            <w:r>
              <w:t>9.</w:t>
            </w:r>
            <w:r>
              <w:rPr>
                <w:rFonts w:ascii="Calibri" w:eastAsia="Calibri" w:hAnsi="Calibri" w:cs="Calibri"/>
                <w:sz w:val="22"/>
              </w:rPr>
              <w:t xml:space="preserve">  </w:t>
            </w:r>
            <w:r>
              <w:t>Further reading</w:t>
            </w:r>
            <w:r>
              <w:tab/>
            </w:r>
            <w:r>
              <w:fldChar w:fldCharType="begin"/>
            </w:r>
            <w:r>
              <w:instrText>PAGEREF _Toc30434 \h</w:instrText>
            </w:r>
            <w:r>
              <w:fldChar w:fldCharType="separate"/>
            </w:r>
            <w:r>
              <w:t xml:space="preserve">19 </w:t>
            </w:r>
            <w:r>
              <w:fldChar w:fldCharType="end"/>
            </w:r>
          </w:hyperlink>
        </w:p>
        <w:p w14:paraId="687D85A4" w14:textId="77777777" w:rsidR="008D1D12" w:rsidRDefault="00F51D47">
          <w:pPr>
            <w:pStyle w:val="TOC1"/>
            <w:tabs>
              <w:tab w:val="right" w:leader="dot" w:pos="9026"/>
            </w:tabs>
          </w:pPr>
          <w:hyperlink w:anchor="_Toc30435">
            <w:r>
              <w:t>10.</w:t>
            </w:r>
            <w:r>
              <w:rPr>
                <w:rFonts w:ascii="Calibri" w:eastAsia="Calibri" w:hAnsi="Calibri" w:cs="Calibri"/>
                <w:sz w:val="22"/>
              </w:rPr>
              <w:t xml:space="preserve">  </w:t>
            </w:r>
            <w:r>
              <w:t>Appendices</w:t>
            </w:r>
            <w:r>
              <w:tab/>
            </w:r>
            <w:r>
              <w:fldChar w:fldCharType="begin"/>
            </w:r>
            <w:r>
              <w:instrText>PAGEREF _Toc30435 \h</w:instrText>
            </w:r>
            <w:r>
              <w:fldChar w:fldCharType="separate"/>
            </w:r>
            <w:r>
              <w:t xml:space="preserve">20 </w:t>
            </w:r>
            <w:r>
              <w:fldChar w:fldCharType="end"/>
            </w:r>
          </w:hyperlink>
        </w:p>
        <w:p w14:paraId="327CDE7D" w14:textId="77777777" w:rsidR="008D1D12" w:rsidRDefault="00F51D47">
          <w:pPr>
            <w:pStyle w:val="TOC2"/>
            <w:tabs>
              <w:tab w:val="right" w:leader="dot" w:pos="9026"/>
            </w:tabs>
          </w:pPr>
          <w:hyperlink w:anchor="_Toc30436">
            <w:r>
              <w:t>10.1.</w:t>
            </w:r>
            <w:r>
              <w:rPr>
                <w:rFonts w:ascii="Calibri" w:eastAsia="Calibri" w:hAnsi="Calibri" w:cs="Calibri"/>
                <w:sz w:val="22"/>
              </w:rPr>
              <w:t xml:space="preserve">  </w:t>
            </w:r>
            <w:r>
              <w:t>Appendix A – example app services</w:t>
            </w:r>
            <w:r>
              <w:tab/>
            </w:r>
            <w:r>
              <w:fldChar w:fldCharType="begin"/>
            </w:r>
            <w:r>
              <w:instrText>PAGEREF _Toc30436 \h</w:instrText>
            </w:r>
            <w:r>
              <w:fldChar w:fldCharType="separate"/>
            </w:r>
            <w:r>
              <w:t xml:space="preserve">20 </w:t>
            </w:r>
            <w:r>
              <w:fldChar w:fldCharType="end"/>
            </w:r>
          </w:hyperlink>
        </w:p>
        <w:p w14:paraId="7B702930" w14:textId="77777777" w:rsidR="008D1D12" w:rsidRDefault="00F51D47">
          <w:pPr>
            <w:pStyle w:val="TOC2"/>
            <w:tabs>
              <w:tab w:val="right" w:leader="dot" w:pos="9026"/>
            </w:tabs>
          </w:pPr>
          <w:hyperlink w:anchor="_Toc30437">
            <w:r>
              <w:t>10.2.</w:t>
            </w:r>
            <w:r>
              <w:rPr>
                <w:rFonts w:ascii="Calibri" w:eastAsia="Calibri" w:hAnsi="Calibri" w:cs="Calibri"/>
                <w:sz w:val="22"/>
              </w:rPr>
              <w:t xml:space="preserve">  </w:t>
            </w:r>
            <w:r>
              <w:t>Appendix B – sample Wireless Access Policy</w:t>
            </w:r>
            <w:r>
              <w:tab/>
            </w:r>
            <w:r>
              <w:fldChar w:fldCharType="begin"/>
            </w:r>
            <w:r>
              <w:instrText>PAGEREF _Toc30437 \h</w:instrText>
            </w:r>
            <w:r>
              <w:fldChar w:fldCharType="separate"/>
            </w:r>
            <w:r>
              <w:t xml:space="preserve">23 </w:t>
            </w:r>
            <w:r>
              <w:fldChar w:fldCharType="end"/>
            </w:r>
          </w:hyperlink>
        </w:p>
        <w:p w14:paraId="18E91718" w14:textId="77777777" w:rsidR="008D1D12" w:rsidRDefault="00F51D47">
          <w:pPr>
            <w:pStyle w:val="TOC2"/>
            <w:tabs>
              <w:tab w:val="right" w:leader="dot" w:pos="9026"/>
            </w:tabs>
          </w:pPr>
          <w:hyperlink w:anchor="_Toc30438">
            <w:r>
              <w:t>10.3.</w:t>
            </w:r>
            <w:r>
              <w:rPr>
                <w:rFonts w:ascii="Calibri" w:eastAsia="Calibri" w:hAnsi="Calibri" w:cs="Calibri"/>
                <w:sz w:val="22"/>
              </w:rPr>
              <w:t xml:space="preserve">  </w:t>
            </w:r>
            <w:r>
              <w:t>Appendix C – Packet Tracer screenshot</w:t>
            </w:r>
            <w:r>
              <w:tab/>
            </w:r>
            <w:r>
              <w:fldChar w:fldCharType="begin"/>
            </w:r>
            <w:r>
              <w:instrText>PAGEREF _Toc30438 \h</w:instrText>
            </w:r>
            <w:r>
              <w:fldChar w:fldCharType="separate"/>
            </w:r>
            <w:r>
              <w:t xml:space="preserve">25 </w:t>
            </w:r>
            <w:r>
              <w:fldChar w:fldCharType="end"/>
            </w:r>
          </w:hyperlink>
        </w:p>
        <w:p w14:paraId="4127A28D" w14:textId="77777777" w:rsidR="008D1D12" w:rsidRDefault="00F51D47">
          <w:pPr>
            <w:pStyle w:val="TOC2"/>
            <w:tabs>
              <w:tab w:val="right" w:leader="dot" w:pos="9026"/>
            </w:tabs>
          </w:pPr>
          <w:hyperlink w:anchor="_Toc30439">
            <w:r>
              <w:t>10.4.</w:t>
            </w:r>
            <w:r>
              <w:rPr>
                <w:rFonts w:ascii="Calibri" w:eastAsia="Calibri" w:hAnsi="Calibri" w:cs="Calibri"/>
                <w:sz w:val="22"/>
              </w:rPr>
              <w:t xml:space="preserve">  </w:t>
            </w:r>
            <w:r>
              <w:t>Appendix D – flowchart of staff user connecting to network</w:t>
            </w:r>
            <w:r>
              <w:tab/>
            </w:r>
            <w:r>
              <w:fldChar w:fldCharType="begin"/>
            </w:r>
            <w:r>
              <w:instrText>PAGEREF _Toc30439 \h</w:instrText>
            </w:r>
            <w:r>
              <w:fldChar w:fldCharType="separate"/>
            </w:r>
            <w:r>
              <w:t xml:space="preserve">26 </w:t>
            </w:r>
            <w:r>
              <w:fldChar w:fldCharType="end"/>
            </w:r>
          </w:hyperlink>
        </w:p>
        <w:p w14:paraId="2893C2DB" w14:textId="77777777" w:rsidR="008D1D12" w:rsidRDefault="00F51D47">
          <w:r>
            <w:fldChar w:fldCharType="end"/>
          </w:r>
        </w:p>
      </w:sdtContent>
    </w:sdt>
    <w:p w14:paraId="47A717E9" w14:textId="77777777" w:rsidR="008D1D12" w:rsidRDefault="00F51D47">
      <w:pPr>
        <w:spacing w:after="0" w:line="259" w:lineRule="auto"/>
        <w:ind w:left="0" w:firstLine="0"/>
        <w:jc w:val="left"/>
      </w:pPr>
      <w:r>
        <w:t xml:space="preserve"> </w:t>
      </w:r>
    </w:p>
    <w:p w14:paraId="704D2301" w14:textId="77777777" w:rsidR="008D1D12" w:rsidRDefault="008D1D12">
      <w:pPr>
        <w:sectPr w:rsidR="008D1D12">
          <w:footerReference w:type="even" r:id="rId10"/>
          <w:footerReference w:type="default" r:id="rId11"/>
          <w:footerReference w:type="first" r:id="rId12"/>
          <w:pgSz w:w="11906" w:h="16838"/>
          <w:pgMar w:top="1449" w:right="1440" w:bottom="707" w:left="1440" w:header="720" w:footer="720" w:gutter="0"/>
          <w:cols w:space="720"/>
        </w:sectPr>
      </w:pPr>
    </w:p>
    <w:p w14:paraId="5A44C3A4" w14:textId="77777777" w:rsidR="008D1D12" w:rsidRDefault="00F51D47">
      <w:pPr>
        <w:pStyle w:val="Heading1"/>
        <w:spacing w:after="237"/>
        <w:ind w:left="343" w:hanging="358"/>
      </w:pPr>
      <w:bookmarkStart w:id="1" w:name="_Toc30400"/>
      <w:r>
        <w:lastRenderedPageBreak/>
        <w:t xml:space="preserve">Introduction </w:t>
      </w:r>
      <w:bookmarkEnd w:id="1"/>
    </w:p>
    <w:p w14:paraId="1B12422C" w14:textId="77777777" w:rsidR="008D1D12" w:rsidRDefault="00F51D47">
      <w:pPr>
        <w:spacing w:after="43" w:line="357" w:lineRule="auto"/>
        <w:ind w:left="-5" w:right="52"/>
      </w:pPr>
      <w:r>
        <w:t xml:space="preserve">Hyper-fort is a company that offer consultancy in the energy sector, with a large worldwide presence. It has a large user base made up of both staff and customers. The overwhelming feedback from the users is that they want to be able to use their personal devices to access </w:t>
      </w:r>
    </w:p>
    <w:p w14:paraId="2681526D" w14:textId="77777777" w:rsidR="008D1D12" w:rsidRDefault="00F51D47">
      <w:pPr>
        <w:spacing w:line="370" w:lineRule="auto"/>
        <w:ind w:left="-5" w:right="52"/>
      </w:pPr>
      <w:r>
        <w:t xml:space="preserve">Hyper-fort’s network and resources. Protection of data and information is of utmost importance to Hyper-fort, particularly the personal data of staff and clients, and the company’s own intellectual property which is worth billions. A large percentage (estimated at almost 95%) of the company’s network is wireless-based, and the IT services provided to the users are </w:t>
      </w:r>
      <w:proofErr w:type="spellStart"/>
      <w:r>
        <w:t>cloudbased</w:t>
      </w:r>
      <w:proofErr w:type="spellEnd"/>
      <w:r>
        <w:t xml:space="preserve">. A glossary of acronyms is included at the end of this report should the reader require </w:t>
      </w:r>
      <w:commentRangeStart w:id="2"/>
      <w:r>
        <w:t>it</w:t>
      </w:r>
      <w:commentRangeEnd w:id="2"/>
      <w:r>
        <w:rPr>
          <w:rStyle w:val="CommentReference"/>
        </w:rPr>
        <w:commentReference w:id="2"/>
      </w:r>
      <w:r>
        <w:t xml:space="preserve">. </w:t>
      </w:r>
    </w:p>
    <w:p w14:paraId="4A43DB2A" w14:textId="77777777" w:rsidR="008D1D12" w:rsidRDefault="00F51D47">
      <w:pPr>
        <w:pStyle w:val="Heading1"/>
        <w:spacing w:after="246"/>
        <w:ind w:left="343" w:hanging="358"/>
      </w:pPr>
      <w:bookmarkStart w:id="3" w:name="_Toc30401"/>
      <w:r>
        <w:t xml:space="preserve">Related work </w:t>
      </w:r>
      <w:bookmarkEnd w:id="3"/>
    </w:p>
    <w:p w14:paraId="283BC39C" w14:textId="77777777" w:rsidR="008D1D12" w:rsidRDefault="00F51D47">
      <w:pPr>
        <w:spacing w:after="194" w:line="364" w:lineRule="auto"/>
        <w:ind w:left="-5" w:right="52"/>
      </w:pPr>
      <w:r>
        <w:t xml:space="preserve">To account for users wanting to use their personal devices to access Hyper-fort’s network and resources, a Bring Your Own Device (BYOD) policy could be adopted. This section will give an overview of BYOD policies, Unified Endpoint Management (UEM) and wireless network authentication. UEM is required as part of comprehensive BYOD policies to ensure the security of company data through management and monitoring of the devices being used to access company data. Wireless network authentication is another area that is discussed due to </w:t>
      </w:r>
      <w:proofErr w:type="spellStart"/>
      <w:r>
        <w:t>Hyperfort’s</w:t>
      </w:r>
      <w:proofErr w:type="spellEnd"/>
      <w:r>
        <w:t xml:space="preserve"> reliance on wireless devices. </w:t>
      </w:r>
    </w:p>
    <w:p w14:paraId="17CBF9FC" w14:textId="77777777" w:rsidR="008D1D12" w:rsidRDefault="00F51D47">
      <w:pPr>
        <w:pStyle w:val="Heading2"/>
        <w:ind w:left="705" w:hanging="720"/>
      </w:pPr>
      <w:bookmarkStart w:id="4" w:name="_Toc30402"/>
      <w:r>
        <w:t xml:space="preserve">Bring Your Own Device (BYOD) </w:t>
      </w:r>
      <w:bookmarkEnd w:id="4"/>
    </w:p>
    <w:p w14:paraId="074208E0" w14:textId="77777777" w:rsidR="008D1D12" w:rsidRDefault="00F51D47">
      <w:pPr>
        <w:spacing w:line="362" w:lineRule="auto"/>
        <w:ind w:left="-5" w:right="52"/>
      </w:pPr>
      <w:r>
        <w:t xml:space="preserve">Bring Your Own Device (BYOD) policies are a growing trend in </w:t>
      </w:r>
      <w:proofErr w:type="gramStart"/>
      <w:r>
        <w:t>a number of</w:t>
      </w:r>
      <w:proofErr w:type="gramEnd"/>
      <w:r>
        <w:t xml:space="preserve"> sectors. These policies encourage or require employees to use their personal devices to access corporate resources. This typically applies to mobile devices, such as smartphones, tablets and laptops, but can include desktops and other equipment as well. The implementation of the policy may differ depending on the organisation’s needs. In the report </w:t>
      </w:r>
      <w:r>
        <w:rPr>
          <w:i/>
        </w:rPr>
        <w:t>Understanding the Bring-</w:t>
      </w:r>
      <w:proofErr w:type="spellStart"/>
      <w:r>
        <w:rPr>
          <w:i/>
        </w:rPr>
        <w:t>YourOwn</w:t>
      </w:r>
      <w:proofErr w:type="spellEnd"/>
      <w:r>
        <w:rPr>
          <w:i/>
        </w:rPr>
        <w:t xml:space="preserve">-Device landscape </w:t>
      </w:r>
      <w:r>
        <w:t xml:space="preserve">[1], it’s suggested that there are three ‘flavours’ of implementation; using personal devices as a replacement for enterprise devices, using personal devices to complement enterprise devices, and using personal devices where the user would not ordinarily be given an enterprise device. In the same report, it is suggested that the first of these options is the most controversial as significantly changes the contract between the employer and employee. </w:t>
      </w:r>
    </w:p>
    <w:p w14:paraId="0B5B2211" w14:textId="77777777" w:rsidR="008D1D12" w:rsidRDefault="00F51D47">
      <w:pPr>
        <w:spacing w:after="202" w:line="357" w:lineRule="auto"/>
        <w:ind w:left="-5" w:right="52"/>
      </w:pPr>
      <w:r>
        <w:lastRenderedPageBreak/>
        <w:t xml:space="preserve">There are numerous advantages to an organisation implementing a BYOD strategy, but there are factors that need to be considered to ensure data security. In section 5.2 of this report, the potential benefits and areas of caution are discussed. </w:t>
      </w:r>
    </w:p>
    <w:p w14:paraId="42368B7E" w14:textId="77777777" w:rsidR="008D1D12" w:rsidRDefault="00F51D47">
      <w:pPr>
        <w:pStyle w:val="Heading2"/>
        <w:spacing w:after="296"/>
        <w:ind w:left="705" w:hanging="720"/>
      </w:pPr>
      <w:bookmarkStart w:id="5" w:name="_Toc30403"/>
      <w:r>
        <w:t xml:space="preserve">Unified Endpoint Management (UEM) </w:t>
      </w:r>
      <w:bookmarkEnd w:id="5"/>
    </w:p>
    <w:p w14:paraId="419225C8" w14:textId="77777777" w:rsidR="008D1D12" w:rsidRDefault="00F51D47">
      <w:pPr>
        <w:pStyle w:val="Heading3"/>
        <w:ind w:left="705" w:hanging="720"/>
      </w:pPr>
      <w:bookmarkStart w:id="6" w:name="_Toc30404"/>
      <w:r>
        <w:t xml:space="preserve">Background of UEM </w:t>
      </w:r>
      <w:bookmarkEnd w:id="6"/>
    </w:p>
    <w:p w14:paraId="1EC04EA9" w14:textId="77777777" w:rsidR="008D1D12" w:rsidRDefault="00F51D47">
      <w:pPr>
        <w:spacing w:after="156"/>
        <w:ind w:left="-5" w:right="52"/>
      </w:pPr>
      <w:r>
        <w:t xml:space="preserve">Cloud services and platforms have become ubiquitous in workflows in recent years. In </w:t>
      </w:r>
    </w:p>
    <w:p w14:paraId="52967D8A" w14:textId="77777777" w:rsidR="008D1D12" w:rsidRDefault="00F51D47">
      <w:pPr>
        <w:spacing w:line="361" w:lineRule="auto"/>
        <w:ind w:left="-5" w:right="52"/>
      </w:pPr>
      <w:r>
        <w:t xml:space="preserve">McKendrick’s article </w:t>
      </w:r>
      <w:commentRangeStart w:id="7"/>
      <w:r>
        <w:rPr>
          <w:i/>
        </w:rPr>
        <w:t>The Other MDM: Why ‘My Device Matters</w:t>
      </w:r>
      <w:r>
        <w:t xml:space="preserve"> </w:t>
      </w:r>
      <w:commentRangeEnd w:id="7"/>
      <w:r>
        <w:rPr>
          <w:rStyle w:val="CommentReference"/>
        </w:rPr>
        <w:commentReference w:id="7"/>
      </w:r>
      <w:r>
        <w:t xml:space="preserve">[2], Tad Johnson suggests that this, alongside ‘highly functional mobile apps’, has made the possibility of running an organisation’s operations via mobile devices realistic. Whilst the flexibility inherent with mobile devices provides the opportunity for enhanced workflows, the security implications need to be considered. In the same article, Jeff </w:t>
      </w:r>
      <w:proofErr w:type="spellStart"/>
      <w:r>
        <w:t>Holleran</w:t>
      </w:r>
      <w:proofErr w:type="spellEnd"/>
      <w:r>
        <w:t xml:space="preserve"> recommends that organisations adopt a UEM solution to maintain data security ‘across different operating systems, form factors, ownership models, and security </w:t>
      </w:r>
      <w:proofErr w:type="gramStart"/>
      <w:r>
        <w:t>postures’</w:t>
      </w:r>
      <w:proofErr w:type="gramEnd"/>
      <w:r>
        <w:t xml:space="preserve">. The term UEM is used to describe an approach of managing ‘endpoints’ (e.g. desktops, laptops, smartphones, tablets and Internet of Things (IoT) devices) from a single application or application suite [2]. UEM is an evolution of Enterprise Mobility Management (EMM), which is itself was developed from Mobile Device Management (MDM). MDM </w:t>
      </w:r>
      <w:proofErr w:type="gramStart"/>
      <w:r>
        <w:t>was considered to be</w:t>
      </w:r>
      <w:proofErr w:type="gramEnd"/>
      <w:r>
        <w:t xml:space="preserve"> suited to environments where every device was owned and managed by the organisation. This approach was thought to be ‘heavy-handed’ and inflexible due to its rigid security controls. The industry adoption of BYOD led to MDM evolving into EMM, which accounted for devices owned by employees by managing them in a less strict way. The change in workflows mentioned earlier caused a shift in focus from device visibility and control to increasing employee productivity without compromising data security. As such, EMM was developed to include mobile app and content management. UEM is the latest incarnation, intended to manage all endpoints [2]. Whilst modern operating systems such as Windows 10 S and Chrome OS favour UEM-based management, older operating systems may require some form of Client Management Tool (CMT) (e.g. Microsoft’s System </w:t>
      </w:r>
      <w:proofErr w:type="spellStart"/>
      <w:r>
        <w:t>Center</w:t>
      </w:r>
      <w:proofErr w:type="spellEnd"/>
      <w:r>
        <w:t xml:space="preserve"> Configuration Manager) to get the most complete management functionality for that operating system. Silva, et al [4] suggest that most organisations have not yet implemented UEM as their primary management method, and therefore vendors have a strong selling point if they provide a ‘bridge’ between the UEM and CMT. They state that they see ‘the majority of organizations facing nontrivial obstacles to fully embrace UEM, but the number of organizations making the switch to UEM management will grow in the coming three </w:t>
      </w:r>
      <w:proofErr w:type="gramStart"/>
      <w:r>
        <w:t>years’</w:t>
      </w:r>
      <w:proofErr w:type="gramEnd"/>
      <w:r>
        <w:t xml:space="preserve">.  </w:t>
      </w:r>
    </w:p>
    <w:p w14:paraId="725AF04B" w14:textId="77777777" w:rsidR="008D1D12" w:rsidRDefault="00F51D47">
      <w:pPr>
        <w:pStyle w:val="Heading3"/>
        <w:ind w:left="705" w:hanging="720"/>
      </w:pPr>
      <w:bookmarkStart w:id="8" w:name="_Toc30405"/>
      <w:r>
        <w:lastRenderedPageBreak/>
        <w:t xml:space="preserve">UEM functionality </w:t>
      </w:r>
      <w:bookmarkEnd w:id="8"/>
    </w:p>
    <w:p w14:paraId="25C1734B" w14:textId="77777777" w:rsidR="008D1D12" w:rsidRDefault="00F51D47">
      <w:pPr>
        <w:pStyle w:val="Heading4"/>
        <w:ind w:left="1425" w:right="0" w:hanging="1440"/>
      </w:pPr>
      <w:bookmarkStart w:id="9" w:name="_Toc30406"/>
      <w:r>
        <w:t xml:space="preserve">OS support </w:t>
      </w:r>
      <w:bookmarkEnd w:id="9"/>
    </w:p>
    <w:p w14:paraId="0970DC71" w14:textId="77777777" w:rsidR="008D1D12" w:rsidRDefault="00F51D47">
      <w:pPr>
        <w:spacing w:after="165" w:line="357" w:lineRule="auto"/>
        <w:ind w:left="-5" w:right="52"/>
      </w:pPr>
      <w:r>
        <w:t xml:space="preserve">Due to the evolution of UEM from MDM, all the major UEM solutions have strong support for mobile operating systems, such as Android and iOS. This is not the case for desktop operating systems. Despite three of the major desktop operating systems currently on the market (Windows 10, macOS and Chrome OS) supporting MDM, some UEM solutions offer no, or limited, support for them, particularly in the case of Chrome OS. Some solutions provide support for legacy platforms, such as Windows 7, but these often require the use of a CMT in addition to the UEM. This has cost implications, and the feature-set of CMT may not mirror that of the UEM. </w:t>
      </w:r>
    </w:p>
    <w:p w14:paraId="49C58682" w14:textId="77777777" w:rsidR="008D1D12" w:rsidRDefault="00F51D47">
      <w:pPr>
        <w:pStyle w:val="Heading4"/>
        <w:spacing w:after="305"/>
        <w:ind w:left="1425" w:right="0" w:hanging="1440"/>
      </w:pPr>
      <w:bookmarkStart w:id="10" w:name="_Toc30407"/>
      <w:r>
        <w:t xml:space="preserve">Policy and app deployment </w:t>
      </w:r>
      <w:bookmarkEnd w:id="10"/>
    </w:p>
    <w:p w14:paraId="39C6108E" w14:textId="77777777" w:rsidR="008D1D12" w:rsidRDefault="00F51D47">
      <w:pPr>
        <w:spacing w:after="183" w:line="357" w:lineRule="auto"/>
        <w:ind w:left="-5" w:right="52"/>
      </w:pPr>
      <w:r>
        <w:t xml:space="preserve">When a device is ‘enrolled’ into a UEM solution, a profile will be deployed to the device. This will have numerous policies defined by the organisation. These can include, but are not limited to [5]: </w:t>
      </w:r>
    </w:p>
    <w:p w14:paraId="7E75DD91" w14:textId="77777777" w:rsidR="008D1D12" w:rsidRDefault="00F51D47">
      <w:pPr>
        <w:numPr>
          <w:ilvl w:val="0"/>
          <w:numId w:val="1"/>
        </w:numPr>
        <w:spacing w:after="103"/>
        <w:ind w:right="52" w:hanging="360"/>
      </w:pPr>
      <w:r>
        <w:t xml:space="preserve">The ability for the organisation to silently install and remove apps and certificates; </w:t>
      </w:r>
    </w:p>
    <w:p w14:paraId="0AC1F68B" w14:textId="77777777" w:rsidR="008D1D12" w:rsidRDefault="00F51D47">
      <w:pPr>
        <w:numPr>
          <w:ilvl w:val="0"/>
          <w:numId w:val="1"/>
        </w:numPr>
        <w:spacing w:after="101"/>
        <w:ind w:right="52" w:hanging="360"/>
      </w:pPr>
      <w:r>
        <w:t xml:space="preserve">The ability for the organisation to create, access and delete data in the work profile; </w:t>
      </w:r>
    </w:p>
    <w:p w14:paraId="4E1BF781" w14:textId="77777777" w:rsidR="008D1D12" w:rsidRDefault="00F51D47">
      <w:pPr>
        <w:numPr>
          <w:ilvl w:val="0"/>
          <w:numId w:val="1"/>
        </w:numPr>
        <w:spacing w:after="103"/>
        <w:ind w:right="52" w:hanging="360"/>
      </w:pPr>
      <w:r>
        <w:t xml:space="preserve">Forcing the user to have a password on the device; </w:t>
      </w:r>
    </w:p>
    <w:p w14:paraId="21F2F4DE" w14:textId="77777777" w:rsidR="008D1D12" w:rsidRDefault="00F51D47">
      <w:pPr>
        <w:numPr>
          <w:ilvl w:val="0"/>
          <w:numId w:val="1"/>
        </w:numPr>
        <w:spacing w:after="103"/>
        <w:ind w:right="52" w:hanging="360"/>
      </w:pPr>
      <w:r>
        <w:t xml:space="preserve">Preventing screen capture within the work profile; </w:t>
      </w:r>
    </w:p>
    <w:p w14:paraId="00A8BCCC" w14:textId="77777777" w:rsidR="008D1D12" w:rsidRDefault="00F51D47">
      <w:pPr>
        <w:numPr>
          <w:ilvl w:val="0"/>
          <w:numId w:val="1"/>
        </w:numPr>
        <w:ind w:right="52" w:hanging="360"/>
      </w:pPr>
      <w:r>
        <w:t xml:space="preserve">Monitoring of network activity and location. </w:t>
      </w:r>
    </w:p>
    <w:p w14:paraId="645F90E9" w14:textId="77777777" w:rsidR="008D1D12" w:rsidRDefault="00F51D47">
      <w:pPr>
        <w:spacing w:after="152" w:line="364" w:lineRule="auto"/>
        <w:ind w:left="-5" w:right="52"/>
      </w:pPr>
      <w:r>
        <w:t xml:space="preserve">The profile will also require that a companion app be installed on the device. This app will be used by the UEM solution for device management and monitoring. The level of control over the device afforded to the organisation by the profile is dependent on the device itself as well as the UEM solution. Older versions of operating systems may not allow management of certain features. For example, apps couldn’t be silently installed on iOS devices until iOS 7 was released [6], and numerous changes have been made to Windows 10’s MDM capabilities since its release [7]). Organisations may choose to license software for their employees and deploy it to their devices. The software can then be revoked if necessary and re-issued to another device or user. </w:t>
      </w:r>
    </w:p>
    <w:p w14:paraId="41471A54" w14:textId="77777777" w:rsidR="008D1D12" w:rsidRDefault="00F51D47">
      <w:pPr>
        <w:spacing w:after="0" w:line="259" w:lineRule="auto"/>
        <w:ind w:left="0" w:firstLine="0"/>
        <w:jc w:val="left"/>
      </w:pPr>
      <w:r>
        <w:t xml:space="preserve"> </w:t>
      </w:r>
      <w:r>
        <w:tab/>
      </w:r>
      <w:r>
        <w:rPr>
          <w:b/>
        </w:rPr>
        <w:t xml:space="preserve"> </w:t>
      </w:r>
    </w:p>
    <w:p w14:paraId="5FC9EC18" w14:textId="77777777" w:rsidR="008D1D12" w:rsidRDefault="00F51D47">
      <w:pPr>
        <w:pStyle w:val="Heading4"/>
        <w:ind w:left="1425" w:right="0" w:hanging="1440"/>
      </w:pPr>
      <w:bookmarkStart w:id="11" w:name="_Toc30408"/>
      <w:r>
        <w:lastRenderedPageBreak/>
        <w:t xml:space="preserve">Containment features (walled garden) </w:t>
      </w:r>
      <w:bookmarkEnd w:id="11"/>
    </w:p>
    <w:p w14:paraId="60733DEB" w14:textId="77777777" w:rsidR="008D1D12" w:rsidRDefault="00F51D47">
      <w:pPr>
        <w:spacing w:after="162" w:line="358" w:lineRule="auto"/>
        <w:ind w:left="-5" w:right="52"/>
      </w:pPr>
      <w:r>
        <w:t>Many UEMs offer containment features that isolate the user’s personal data from the business data on the device. Apps can be ‘containerised</w:t>
      </w:r>
      <w:proofErr w:type="gramStart"/>
      <w:r>
        <w:t>’</w:t>
      </w:r>
      <w:proofErr w:type="gramEnd"/>
      <w:r>
        <w:t xml:space="preserve"> and password protected to secure sensitive data, with access levels being tied to the identity of the user. Some UEMs can be configured to require that the apps are encrypted, and certain functions (such as copy-paste, save-as and screenshots) can be disabled to prevent data leakage. Apps that access the organisation’s network can be configured to require a secure VPN. This can be done on a per-app basis. As highlighted in [4], many of the providers offering the functionality outlined above are using Microsoft’s Intune APIs that are available through Microsoft Graph, although some providers (such as VMWare [8]) have their own ecosystems. </w:t>
      </w:r>
    </w:p>
    <w:p w14:paraId="401B3B1C" w14:textId="77777777" w:rsidR="008D1D12" w:rsidRDefault="00F51D47">
      <w:pPr>
        <w:pStyle w:val="Heading4"/>
        <w:ind w:left="1425" w:right="0" w:hanging="1440"/>
      </w:pPr>
      <w:bookmarkStart w:id="12" w:name="_Toc30409"/>
      <w:r>
        <w:t xml:space="preserve">Device/user monitoring </w:t>
      </w:r>
      <w:bookmarkEnd w:id="12"/>
    </w:p>
    <w:p w14:paraId="6FB779BC" w14:textId="77777777" w:rsidR="008D1D12" w:rsidRDefault="00F51D47">
      <w:pPr>
        <w:spacing w:after="161" w:line="360" w:lineRule="auto"/>
        <w:ind w:left="-5" w:right="52"/>
      </w:pPr>
      <w:r>
        <w:t xml:space="preserve">The companion app mentioned previously will request access to various data and permissions on the device, such as location and connection data (Appendix A shows the permissions requested by one such app). The app will use this access to monitor the device’s activity and report back to the UEM solution. The UEM solution will have some form of dashboard for monitoring and reporting.  </w:t>
      </w:r>
    </w:p>
    <w:p w14:paraId="6CC615F5" w14:textId="77777777" w:rsidR="008D1D12" w:rsidRDefault="00F51D47">
      <w:pPr>
        <w:pStyle w:val="Heading4"/>
        <w:ind w:left="1425" w:right="0" w:hanging="1440"/>
      </w:pPr>
      <w:bookmarkStart w:id="13" w:name="_Toc30410"/>
      <w:r>
        <w:t xml:space="preserve">Revocation </w:t>
      </w:r>
      <w:bookmarkEnd w:id="13"/>
    </w:p>
    <w:p w14:paraId="0645512B" w14:textId="77777777" w:rsidR="008D1D12" w:rsidRDefault="00F51D47">
      <w:pPr>
        <w:spacing w:after="202" w:line="357" w:lineRule="auto"/>
        <w:ind w:left="-5" w:right="52"/>
      </w:pPr>
      <w:r>
        <w:t xml:space="preserve">Through the dashboard, the organisation will be able to revoke access of company data from devices. This can either be done manually (for example when a staff member leaves employment), or if the device fails to meet the criteria of the organisation’s policy. As well as revoking access to company data and services, any software installed on the device through the UEM solution can be removed as required. </w:t>
      </w:r>
    </w:p>
    <w:p w14:paraId="2C478729" w14:textId="77777777" w:rsidR="008D1D12" w:rsidRDefault="00F51D47">
      <w:pPr>
        <w:pStyle w:val="Heading2"/>
        <w:ind w:left="705" w:hanging="720"/>
      </w:pPr>
      <w:bookmarkStart w:id="14" w:name="_Toc30411"/>
      <w:r>
        <w:t xml:space="preserve">Wireless network authentication </w:t>
      </w:r>
      <w:bookmarkEnd w:id="14"/>
    </w:p>
    <w:p w14:paraId="4F18EDA3" w14:textId="77777777" w:rsidR="008D1D12" w:rsidRDefault="00F51D47">
      <w:pPr>
        <w:spacing w:after="160" w:line="357" w:lineRule="auto"/>
        <w:ind w:left="-5" w:right="52"/>
      </w:pPr>
      <w:r>
        <w:t xml:space="preserve">The increase in the availability of wireless infrastructure and the consequent ubiquity of its use has resulted in increased scrutiny of the security standards used for wireless communications. IEEE 802.11, commonly referred to as Wi-Fi, has been a </w:t>
      </w:r>
      <w:proofErr w:type="gramStart"/>
      <w:r>
        <w:t>particular target</w:t>
      </w:r>
      <w:proofErr w:type="gramEnd"/>
      <w:r>
        <w:t xml:space="preserve"> for cyber-criminals due to its heavy adoption. IEEE 802.11 is set of standards for implementing a Wireless Local Area Network (WLAN). The specifications pertain to the media access control (MAC) sublayer and physical (PHY) layer within the OSI model, where the main differences between wired and wireless networks lie [9]. Since its introduction, the protocols used for devices to connect and authenticate with Wi-Fi networks have evolved to improve security. The initial protocol was </w:t>
      </w:r>
      <w:r>
        <w:lastRenderedPageBreak/>
        <w:t xml:space="preserve">the Wired-Equivalent Privacy (WEP) key. As the name implies, it was intended to offer a level of security equivalent to wired networks through an RC4 encryption algorithm [10]. It is applied to all layers above the data-link layer in the OSI model. Several security vulnerabilities with WEP have been identified and it is consequently considered to be a weak security protocol [10]. For example, with WEP, a common key is shared between the radio stations and is used in the RC4 encryption of the packets. Once this key has been discovered, data security is compromised. In 2007, </w:t>
      </w:r>
      <w:proofErr w:type="spellStart"/>
      <w:r>
        <w:t>Tews</w:t>
      </w:r>
      <w:proofErr w:type="spellEnd"/>
      <w:r>
        <w:t xml:space="preserve"> et al claimed to be able to ‘crack’ a </w:t>
      </w:r>
      <w:proofErr w:type="gramStart"/>
      <w:r>
        <w:t>104 bit</w:t>
      </w:r>
      <w:proofErr w:type="gramEnd"/>
      <w:r>
        <w:t xml:space="preserve"> WEP key in under 60 seconds [11].  </w:t>
      </w:r>
    </w:p>
    <w:p w14:paraId="0A615378" w14:textId="77777777" w:rsidR="008D1D12" w:rsidRDefault="00F51D47">
      <w:pPr>
        <w:spacing w:after="160" w:line="357" w:lineRule="auto"/>
        <w:ind w:left="-5" w:right="52"/>
      </w:pPr>
      <w:r>
        <w:t xml:space="preserve">WEP was </w:t>
      </w:r>
      <w:proofErr w:type="spellStart"/>
      <w:r>
        <w:t>superceded</w:t>
      </w:r>
      <w:proofErr w:type="spellEnd"/>
      <w:r>
        <w:t xml:space="preserve"> by Wi-Fi Protected Access (WPA) in 2003, quickly followed by WPA2 in 2004. WPA uses TKIP encryption, whereas WPA2 uses AES encryption, although it can use TKIP to provide backward compatibility [12]. WPA2 will be the focus for the remainder of this section. There are two main variants of WPA2; WPA2-PSK (often referred to as WPA2 Personal) and WPA2-Enterprise. The difference between the variants is in how the authentication works. </w:t>
      </w:r>
    </w:p>
    <w:p w14:paraId="52CBE07C" w14:textId="77777777" w:rsidR="008D1D12" w:rsidRDefault="00F51D47">
      <w:pPr>
        <w:spacing w:after="160" w:line="358" w:lineRule="auto"/>
        <w:ind w:left="-5" w:right="52"/>
      </w:pPr>
      <w:r>
        <w:t xml:space="preserve">WPA2 Personal – uses a pre-shared key. The user selects the network on their client device and enters the pre-shared key. The access point uses the Service Set Identifier (SSID) name and the pre-shared key to generate a pairwise master key (PMK) which is used to encrypt the traffic (typically using AES) between the access point and device. The PMK will always be the same for that client. If it is compromised, all past and future traffic encrypted using it can be decrypted. </w:t>
      </w:r>
    </w:p>
    <w:p w14:paraId="726FD03B" w14:textId="77777777" w:rsidR="008D1D12" w:rsidRDefault="00F51D47">
      <w:pPr>
        <w:spacing w:after="172" w:line="358" w:lineRule="auto"/>
        <w:ind w:left="-5" w:right="52"/>
      </w:pPr>
      <w:r>
        <w:t xml:space="preserve">WPA2-Enterprise – WPA2-Enterprise does not use a pre-shared key with the client. There are several possible authentication methods; password-based, token-based and certificate-based. Whichever method is used, the credentials will be user-specific. Once the credentials have been passed to the access point, it then passes them to a RADIUS server. The RADIUS server checks the credentials. If they are satisfactory, it passes the access point a randomly generated PMK to be used for the current session only [13]. This means that if the key was to be compromised, only the traffic for that session could be decrypted. Another benefit is that an individual user’s access can be revoked without affecting other users, whereas if the pre-shared key for WPA2 Personal is changed, all users are affected [13].  </w:t>
      </w:r>
    </w:p>
    <w:p w14:paraId="469469CF" w14:textId="77777777" w:rsidR="008D1D12" w:rsidRDefault="00F51D47">
      <w:pPr>
        <w:spacing w:after="138" w:line="369" w:lineRule="auto"/>
        <w:ind w:left="-5" w:right="52"/>
      </w:pPr>
      <w:r>
        <w:t xml:space="preserve">Due to WPA2-Enterprise’s requirement of a RADIUS server to carry out authentication, it is typically only used in larger organisations, with WPA2 Personal being the usual solution in home settings or smaller organisations. Some companies also provide ‘guest networks’ for the </w:t>
      </w:r>
      <w:proofErr w:type="gramStart"/>
      <w:r>
        <w:lastRenderedPageBreak/>
        <w:t>general public</w:t>
      </w:r>
      <w:proofErr w:type="gramEnd"/>
      <w:r>
        <w:t xml:space="preserve"> to use. These are often ‘open’ and require no authentication to connect. They do, however, often direct the user to a landing page where the user </w:t>
      </w:r>
      <w:proofErr w:type="gramStart"/>
      <w:r>
        <w:t>has to</w:t>
      </w:r>
      <w:proofErr w:type="gramEnd"/>
      <w:r>
        <w:t xml:space="preserve"> enter various information about themselves before they are given internet access. Due to the lack of authentication, the traffic between the client device and the access point is unencrypted, making it vulnerable to sniffing attacks [14].</w:t>
      </w:r>
      <w:r>
        <w:rPr>
          <w:b/>
          <w:sz w:val="32"/>
        </w:rPr>
        <w:t xml:space="preserve"> </w:t>
      </w:r>
    </w:p>
    <w:p w14:paraId="46AC0623" w14:textId="77777777" w:rsidR="008D1D12" w:rsidRDefault="00F51D47">
      <w:pPr>
        <w:pStyle w:val="Heading1"/>
        <w:ind w:left="343" w:hanging="358"/>
      </w:pPr>
      <w:bookmarkStart w:id="15" w:name="_Toc30412"/>
      <w:r>
        <w:t xml:space="preserve">Problem formulation </w:t>
      </w:r>
      <w:bookmarkEnd w:id="15"/>
    </w:p>
    <w:p w14:paraId="507441AF" w14:textId="77777777" w:rsidR="008D1D12" w:rsidRDefault="00F51D47">
      <w:pPr>
        <w:pStyle w:val="Heading2"/>
        <w:ind w:left="705" w:hanging="720"/>
      </w:pPr>
      <w:bookmarkStart w:id="16" w:name="_Toc30413"/>
      <w:r>
        <w:t xml:space="preserve">Network infrastructure </w:t>
      </w:r>
      <w:bookmarkEnd w:id="16"/>
    </w:p>
    <w:p w14:paraId="1708AFAB" w14:textId="77777777" w:rsidR="008D1D12" w:rsidRDefault="00F51D47">
      <w:pPr>
        <w:spacing w:after="160" w:line="357" w:lineRule="auto"/>
        <w:ind w:left="-5" w:right="52"/>
      </w:pPr>
      <w:r>
        <w:t xml:space="preserve">When considering the network infrastructure, it is important to first analyse the groups of users. Staff and clients will both be accessing the network. It is assumed that the staff users will need access to the network both internally and externally (e.g. from home). </w:t>
      </w:r>
      <w:commentRangeStart w:id="17"/>
      <w:r>
        <w:t>The assumption for clients is that if they are accessing the network they will be doing so internally</w:t>
      </w:r>
      <w:commentRangeEnd w:id="17"/>
      <w:r>
        <w:rPr>
          <w:rStyle w:val="CommentReference"/>
        </w:rPr>
        <w:commentReference w:id="17"/>
      </w:r>
      <w:r>
        <w:t xml:space="preserve">. In both cases, the data needs to be secure in transit. Staff and client traffic will need to be segregated on the network to safeguard the confidentiality of any information being transferred.  </w:t>
      </w:r>
    </w:p>
    <w:p w14:paraId="4347E579" w14:textId="77777777" w:rsidR="008D1D12" w:rsidRDefault="00F51D47">
      <w:pPr>
        <w:spacing w:after="202" w:line="357" w:lineRule="auto"/>
        <w:ind w:left="-5" w:right="52"/>
      </w:pPr>
      <w:r>
        <w:t xml:space="preserve">Measures need to be taken to ensure the availability of the network. To this end, redundancy should be employed to provide failovers should there be issues with the infrastructure. Moreover, the network should be physically and cryptographically protected to guard against network intrusions. There should be controls in place stipulating levels of access to information and resources within the network. It is assumed that Hyper-fort already has a Unified Threat Management (UTM) system configured that manages the firewalls and content-filtering. A further assumption is that Hyper-fort uses cloud services in its business and therefore these services do not need to be replicated on-premises. These services include email, document storage, business applications and web hosting. </w:t>
      </w:r>
    </w:p>
    <w:p w14:paraId="383B2F32" w14:textId="77777777" w:rsidR="008D1D12" w:rsidRDefault="00F51D47">
      <w:pPr>
        <w:pStyle w:val="Heading2"/>
        <w:ind w:left="705" w:hanging="720"/>
      </w:pPr>
      <w:bookmarkStart w:id="18" w:name="_Toc30414"/>
      <w:r>
        <w:t xml:space="preserve">UEM </w:t>
      </w:r>
      <w:bookmarkEnd w:id="18"/>
    </w:p>
    <w:p w14:paraId="518E5BA4" w14:textId="77777777" w:rsidR="008D1D12" w:rsidRDefault="00F51D47">
      <w:pPr>
        <w:spacing w:after="208" w:line="363" w:lineRule="auto"/>
        <w:ind w:left="-5" w:right="52"/>
      </w:pPr>
      <w:r>
        <w:t xml:space="preserve">A UEM solution should be identified and implemented. It will need to manage the various operating systems and manufacturer devices that are commonly in use, as well as being able to deploy applications to these devices. It will need to be able to manage different groups of devices and assign the appropriate policies and software. In addition, monitoring and tracking should be available to monitor inappropriate use and track missing devices. It will need to be able to safeguard the company’s data and, where necessary, revoke access to data and software. </w:t>
      </w:r>
    </w:p>
    <w:p w14:paraId="5D5E918C" w14:textId="77777777" w:rsidR="008D1D12" w:rsidRDefault="00F51D47">
      <w:pPr>
        <w:spacing w:after="0" w:line="259" w:lineRule="auto"/>
        <w:ind w:left="0" w:firstLine="0"/>
        <w:jc w:val="left"/>
      </w:pPr>
      <w:r>
        <w:t xml:space="preserve"> </w:t>
      </w:r>
      <w:r>
        <w:tab/>
      </w:r>
      <w:r>
        <w:rPr>
          <w:b/>
          <w:sz w:val="28"/>
        </w:rPr>
        <w:t xml:space="preserve"> </w:t>
      </w:r>
    </w:p>
    <w:p w14:paraId="10028214" w14:textId="77777777" w:rsidR="008D1D12" w:rsidRDefault="00F51D47">
      <w:pPr>
        <w:pStyle w:val="Heading2"/>
        <w:ind w:left="705" w:hanging="720"/>
      </w:pPr>
      <w:bookmarkStart w:id="19" w:name="_Toc30415"/>
      <w:r>
        <w:lastRenderedPageBreak/>
        <w:t xml:space="preserve">Policy </w:t>
      </w:r>
      <w:bookmarkEnd w:id="19"/>
    </w:p>
    <w:p w14:paraId="4B44E10D" w14:textId="77777777" w:rsidR="008D1D12" w:rsidRDefault="00F51D47">
      <w:pPr>
        <w:spacing w:after="155" w:line="335" w:lineRule="auto"/>
        <w:ind w:left="-5" w:right="52"/>
      </w:pPr>
      <w:r>
        <w:t xml:space="preserve">The Wireless Access Policy should be revised to </w:t>
      </w:r>
      <w:proofErr w:type="gramStart"/>
      <w:r>
        <w:t>take into account</w:t>
      </w:r>
      <w:proofErr w:type="gramEnd"/>
      <w:r>
        <w:t xml:space="preserve"> the revisions made to the implementation of the network to ensure users are aware of the expectations on them if they use the wireless network. A sample policy is shown in Appendix B.</w:t>
      </w:r>
      <w:r>
        <w:rPr>
          <w:b/>
          <w:sz w:val="32"/>
        </w:rPr>
        <w:t xml:space="preserve"> </w:t>
      </w:r>
    </w:p>
    <w:p w14:paraId="2C7A9ADF" w14:textId="77777777" w:rsidR="008D1D12" w:rsidRDefault="00F51D47">
      <w:pPr>
        <w:pStyle w:val="Heading1"/>
        <w:spacing w:after="237"/>
        <w:ind w:left="343" w:hanging="358"/>
      </w:pPr>
      <w:bookmarkStart w:id="20" w:name="_Toc30416"/>
      <w:r>
        <w:t xml:space="preserve">Implementation </w:t>
      </w:r>
      <w:bookmarkEnd w:id="20"/>
    </w:p>
    <w:p w14:paraId="76942D1B" w14:textId="77777777" w:rsidR="008D1D12" w:rsidRDefault="00F51D47">
      <w:pPr>
        <w:spacing w:after="202" w:line="357" w:lineRule="auto"/>
        <w:ind w:left="-5" w:right="52"/>
      </w:pPr>
      <w:r>
        <w:t xml:space="preserve">To illustrate some of the concepts outlined in this section of the document, a proposed network topography has been created using Packet Tracer. A sample of the layout can be found in Appendix C. Reference will be made to the layout throughout this section. </w:t>
      </w:r>
    </w:p>
    <w:p w14:paraId="2D936BAE" w14:textId="77777777" w:rsidR="008D1D12" w:rsidRDefault="00F51D47">
      <w:pPr>
        <w:pStyle w:val="Heading2"/>
        <w:ind w:left="705" w:hanging="720"/>
      </w:pPr>
      <w:bookmarkStart w:id="21" w:name="_Toc30417"/>
      <w:r>
        <w:t xml:space="preserve">Physical security </w:t>
      </w:r>
      <w:bookmarkEnd w:id="21"/>
    </w:p>
    <w:p w14:paraId="0B96CA41" w14:textId="77777777" w:rsidR="008D1D12" w:rsidRDefault="00F51D47">
      <w:pPr>
        <w:spacing w:after="199" w:line="360" w:lineRule="auto"/>
        <w:ind w:left="-5" w:right="52"/>
      </w:pPr>
      <w:r>
        <w:t xml:space="preserve">The core infrastructure of the network should be physically secure within the building. The room should be devoid of windows, with access only possible through a secured door. This door should be secured with both a mechanical and an electronic lock. Access to the room should require the use of an RFID card and key assigned to the staff member. Use of the RFID cards should be monitored to identify suspicious behaviour (e.g. the room being accessed out of working hours). This should be combined with CCTV cameras recording people entering the room and cameras within the room itself to log people’s movements. The equipment in the room should be in lockable cabinets, and these cabinets should be adequately fixed in place to reduce the likelihood of tampering and relocation. Access to the cabinet keys should be logged for monitoring and auditing purposes. Wireless access points that are deployed in the company’s premises should be wall or ceiling mounted and, ideally, high up enough that they can’t be reached without a ladder to increase the difficulty of tampering. Other infrastructure supporting the network, such as power sources and environmental control systems, should also be secured to prevent tampering. </w:t>
      </w:r>
    </w:p>
    <w:p w14:paraId="32D9E380" w14:textId="77777777" w:rsidR="008D1D12" w:rsidRDefault="00F51D47">
      <w:pPr>
        <w:pStyle w:val="Heading2"/>
        <w:ind w:left="705" w:hanging="720"/>
      </w:pPr>
      <w:bookmarkStart w:id="22" w:name="_Toc30418"/>
      <w:r>
        <w:t xml:space="preserve">Configuration security </w:t>
      </w:r>
      <w:bookmarkEnd w:id="22"/>
    </w:p>
    <w:p w14:paraId="6BF96EB4" w14:textId="77777777" w:rsidR="008D1D12" w:rsidRDefault="00F51D47">
      <w:pPr>
        <w:spacing w:after="205" w:line="362" w:lineRule="auto"/>
        <w:ind w:left="-5" w:right="52"/>
      </w:pPr>
      <w:r>
        <w:t xml:space="preserve">The infrastructure devices on the network should be configured to prevent unauthorised access to their configuration. This should be the case for physical and remote connections to the devices. To this end, unused ports on the devices should be disabled. Access to the Command Line Interface (CLI), either through console ports or remotely via Telnet or SSH, should be password protected. These passwords should be encrypted within the devices’ configurations. The same should be true for access to privileged EXEC mode on Cisco devices. Copies of the </w:t>
      </w:r>
      <w:r>
        <w:lastRenderedPageBreak/>
        <w:t xml:space="preserve">device configuration files should be made to ensure devices can be quickly returned to a state that is known to be good (e.g. after a faulty device is replaced).  </w:t>
      </w:r>
    </w:p>
    <w:p w14:paraId="5B18DAFC" w14:textId="77777777" w:rsidR="008D1D12" w:rsidRDefault="00F51D47">
      <w:pPr>
        <w:pStyle w:val="Heading2"/>
        <w:ind w:left="705" w:hanging="720"/>
      </w:pPr>
      <w:bookmarkStart w:id="23" w:name="_Toc30419"/>
      <w:r>
        <w:t xml:space="preserve">Redundancy </w:t>
      </w:r>
      <w:bookmarkEnd w:id="23"/>
    </w:p>
    <w:p w14:paraId="6395EF74" w14:textId="77777777" w:rsidR="008D1D12" w:rsidRDefault="00F51D47">
      <w:pPr>
        <w:spacing w:after="158" w:line="358" w:lineRule="auto"/>
        <w:ind w:left="-5" w:right="52"/>
      </w:pPr>
      <w:commentRangeStart w:id="24"/>
      <w:r>
        <w:t xml:space="preserve">The core equipment of the network should be powered </w:t>
      </w:r>
      <w:proofErr w:type="gramStart"/>
      <w:r>
        <w:t>off of</w:t>
      </w:r>
      <w:proofErr w:type="gramEnd"/>
      <w:r>
        <w:t xml:space="preserve"> Uninterruptable Power Supplies (UPSs).</w:t>
      </w:r>
      <w:commentRangeEnd w:id="24"/>
      <w:r w:rsidR="00AB0CAA">
        <w:rPr>
          <w:rStyle w:val="CommentReference"/>
        </w:rPr>
        <w:commentReference w:id="24"/>
      </w:r>
      <w:r>
        <w:t xml:space="preserve"> These should be adequately specified to give sufficient runtime in the event of a power outage. Eaton [15] recommend this should be calculated after consideration of the business needs, system shutdown time and desired safety margin. Certain types of UPS can also provide a ‘cleaner’ power supply [16]. The UPSs should be supported with a compatible generator that starts up if the main supply has been down for a set </w:t>
      </w:r>
      <w:proofErr w:type="gramStart"/>
      <w:r>
        <w:t>period of time</w:t>
      </w:r>
      <w:proofErr w:type="gramEnd"/>
      <w:r>
        <w:t xml:space="preserve"> [17]. Power redundancy should extend to the security protecting the server room. The RFID reader should have an internal battery to ensure the reader remains active in the event of a power cut. Should the battery fail to </w:t>
      </w:r>
      <w:proofErr w:type="gramStart"/>
      <w:r>
        <w:t>work</w:t>
      </w:r>
      <w:proofErr w:type="gramEnd"/>
      <w:r>
        <w:t xml:space="preserve"> and the reader become inoperable, the mechanical lock remains as a final layer of security. </w:t>
      </w:r>
    </w:p>
    <w:p w14:paraId="0A10234A" w14:textId="77777777" w:rsidR="008D1D12" w:rsidRDefault="00F51D47">
      <w:pPr>
        <w:spacing w:after="204" w:line="357" w:lineRule="auto"/>
        <w:ind w:left="-5" w:right="52"/>
      </w:pPr>
      <w:r>
        <w:t xml:space="preserve">To reduce the impact of device or connection failures in the network, there should be redundant devices and connections to act as failovers. Examples of this sort of redundancy are shown in the Packet Tracer example. In addition, devices selected for use in the network should have some form of internal redundancy. For example, many enterprise networking devices have a secondary power supply that is always running, ready to take over if the primary power supply fails or loses power. The multiple Network Interface Cards (NICs) used on servers are another example of internal redundancy. In both cases, the redundant component should be connected to a different location to the primary component (e.g. a different power source or switch).  </w:t>
      </w:r>
    </w:p>
    <w:p w14:paraId="282681CF" w14:textId="77777777" w:rsidR="008D1D12" w:rsidRDefault="00F51D47">
      <w:pPr>
        <w:pStyle w:val="Heading2"/>
        <w:ind w:left="705" w:hanging="720"/>
      </w:pPr>
      <w:bookmarkStart w:id="25" w:name="_Toc30420"/>
      <w:r>
        <w:t xml:space="preserve">Segregation and security </w:t>
      </w:r>
      <w:bookmarkEnd w:id="25"/>
    </w:p>
    <w:p w14:paraId="684EB751" w14:textId="77777777" w:rsidR="008D1D12" w:rsidRDefault="00F51D47">
      <w:pPr>
        <w:spacing w:after="14"/>
        <w:ind w:left="-5" w:right="52"/>
      </w:pPr>
      <w:r>
        <w:t xml:space="preserve">Multiple Virtual LANs (VLANs) should be setup to segregate the traffic from each group of users. Table 1 outlines the proposed VLANs for the Hyper-fort network.  </w:t>
      </w:r>
    </w:p>
    <w:tbl>
      <w:tblPr>
        <w:tblStyle w:val="TableGrid"/>
        <w:tblW w:w="6011" w:type="dxa"/>
        <w:tblInd w:w="1507" w:type="dxa"/>
        <w:tblCellMar>
          <w:top w:w="14" w:type="dxa"/>
          <w:left w:w="115" w:type="dxa"/>
          <w:bottom w:w="0" w:type="dxa"/>
          <w:right w:w="115" w:type="dxa"/>
        </w:tblCellMar>
        <w:tblLook w:val="04A0" w:firstRow="1" w:lastRow="0" w:firstColumn="1" w:lastColumn="0" w:noHBand="0" w:noVBand="1"/>
      </w:tblPr>
      <w:tblGrid>
        <w:gridCol w:w="3005"/>
        <w:gridCol w:w="3006"/>
      </w:tblGrid>
      <w:tr w:rsidR="008D1D12" w14:paraId="0714FB06" w14:textId="77777777">
        <w:trPr>
          <w:trHeight w:val="425"/>
        </w:trPr>
        <w:tc>
          <w:tcPr>
            <w:tcW w:w="3005" w:type="dxa"/>
            <w:tcBorders>
              <w:top w:val="single" w:sz="4" w:space="0" w:color="000000"/>
              <w:left w:val="single" w:sz="4" w:space="0" w:color="000000"/>
              <w:bottom w:val="single" w:sz="4" w:space="0" w:color="000000"/>
              <w:right w:val="single" w:sz="4" w:space="0" w:color="000000"/>
            </w:tcBorders>
          </w:tcPr>
          <w:p w14:paraId="2EDB8574" w14:textId="77777777" w:rsidR="008D1D12" w:rsidRDefault="00F51D47">
            <w:pPr>
              <w:spacing w:after="0" w:line="259" w:lineRule="auto"/>
              <w:ind w:left="0" w:right="5" w:firstLine="0"/>
              <w:jc w:val="center"/>
            </w:pPr>
            <w:r>
              <w:rPr>
                <w:b/>
              </w:rPr>
              <w:t xml:space="preserve">VLAN number </w:t>
            </w:r>
          </w:p>
        </w:tc>
        <w:tc>
          <w:tcPr>
            <w:tcW w:w="3006" w:type="dxa"/>
            <w:tcBorders>
              <w:top w:val="single" w:sz="4" w:space="0" w:color="000000"/>
              <w:left w:val="single" w:sz="4" w:space="0" w:color="000000"/>
              <w:bottom w:val="single" w:sz="4" w:space="0" w:color="000000"/>
              <w:right w:val="single" w:sz="4" w:space="0" w:color="000000"/>
            </w:tcBorders>
          </w:tcPr>
          <w:p w14:paraId="369B839D" w14:textId="77777777" w:rsidR="008D1D12" w:rsidRDefault="00F51D47">
            <w:pPr>
              <w:spacing w:after="0" w:line="259" w:lineRule="auto"/>
              <w:ind w:left="0" w:right="2" w:firstLine="0"/>
              <w:jc w:val="center"/>
            </w:pPr>
            <w:r>
              <w:rPr>
                <w:b/>
              </w:rPr>
              <w:t xml:space="preserve">VLAN Name </w:t>
            </w:r>
          </w:p>
        </w:tc>
      </w:tr>
      <w:tr w:rsidR="008D1D12" w14:paraId="33623B7E" w14:textId="77777777">
        <w:trPr>
          <w:trHeight w:val="422"/>
        </w:trPr>
        <w:tc>
          <w:tcPr>
            <w:tcW w:w="3005" w:type="dxa"/>
            <w:tcBorders>
              <w:top w:val="single" w:sz="4" w:space="0" w:color="000000"/>
              <w:left w:val="single" w:sz="4" w:space="0" w:color="000000"/>
              <w:bottom w:val="single" w:sz="4" w:space="0" w:color="000000"/>
              <w:right w:val="single" w:sz="4" w:space="0" w:color="000000"/>
            </w:tcBorders>
          </w:tcPr>
          <w:p w14:paraId="4AEED89D" w14:textId="77777777" w:rsidR="008D1D12" w:rsidRDefault="00F51D47">
            <w:pPr>
              <w:spacing w:after="0" w:line="259" w:lineRule="auto"/>
              <w:ind w:left="1" w:firstLine="0"/>
              <w:jc w:val="center"/>
            </w:pPr>
            <w:commentRangeStart w:id="26"/>
            <w:r>
              <w:t xml:space="preserve">1 </w:t>
            </w:r>
          </w:p>
        </w:tc>
        <w:tc>
          <w:tcPr>
            <w:tcW w:w="3006" w:type="dxa"/>
            <w:tcBorders>
              <w:top w:val="single" w:sz="4" w:space="0" w:color="000000"/>
              <w:left w:val="single" w:sz="4" w:space="0" w:color="000000"/>
              <w:bottom w:val="single" w:sz="4" w:space="0" w:color="000000"/>
              <w:right w:val="single" w:sz="4" w:space="0" w:color="000000"/>
            </w:tcBorders>
          </w:tcPr>
          <w:p w14:paraId="47F8EB28" w14:textId="77777777" w:rsidR="008D1D12" w:rsidRDefault="00F51D47">
            <w:pPr>
              <w:spacing w:after="0" w:line="259" w:lineRule="auto"/>
              <w:ind w:left="0" w:right="1" w:firstLine="0"/>
              <w:jc w:val="center"/>
            </w:pPr>
            <w:r>
              <w:t xml:space="preserve">Admin </w:t>
            </w:r>
            <w:commentRangeEnd w:id="26"/>
            <w:r w:rsidR="00AB0CAA">
              <w:rPr>
                <w:rStyle w:val="CommentReference"/>
              </w:rPr>
              <w:commentReference w:id="26"/>
            </w:r>
          </w:p>
        </w:tc>
      </w:tr>
      <w:tr w:rsidR="008D1D12" w14:paraId="5F0CC39B" w14:textId="77777777">
        <w:trPr>
          <w:trHeight w:val="425"/>
        </w:trPr>
        <w:tc>
          <w:tcPr>
            <w:tcW w:w="3005" w:type="dxa"/>
            <w:tcBorders>
              <w:top w:val="single" w:sz="4" w:space="0" w:color="000000"/>
              <w:left w:val="single" w:sz="4" w:space="0" w:color="000000"/>
              <w:bottom w:val="single" w:sz="4" w:space="0" w:color="000000"/>
              <w:right w:val="single" w:sz="4" w:space="0" w:color="000000"/>
            </w:tcBorders>
          </w:tcPr>
          <w:p w14:paraId="5A912212" w14:textId="77777777" w:rsidR="008D1D12" w:rsidRDefault="00F51D47">
            <w:pPr>
              <w:spacing w:after="0" w:line="259" w:lineRule="auto"/>
              <w:ind w:left="1" w:firstLine="0"/>
              <w:jc w:val="center"/>
            </w:pPr>
            <w:r>
              <w:t xml:space="preserve">10 </w:t>
            </w:r>
          </w:p>
        </w:tc>
        <w:tc>
          <w:tcPr>
            <w:tcW w:w="3006" w:type="dxa"/>
            <w:tcBorders>
              <w:top w:val="single" w:sz="4" w:space="0" w:color="000000"/>
              <w:left w:val="single" w:sz="4" w:space="0" w:color="000000"/>
              <w:bottom w:val="single" w:sz="4" w:space="0" w:color="000000"/>
              <w:right w:val="single" w:sz="4" w:space="0" w:color="000000"/>
            </w:tcBorders>
          </w:tcPr>
          <w:p w14:paraId="0CD4E974" w14:textId="77777777" w:rsidR="008D1D12" w:rsidRDefault="00F51D47">
            <w:pPr>
              <w:spacing w:after="0" w:line="259" w:lineRule="auto"/>
              <w:ind w:left="0" w:firstLine="0"/>
              <w:jc w:val="center"/>
            </w:pPr>
            <w:r>
              <w:t xml:space="preserve">Staff </w:t>
            </w:r>
          </w:p>
        </w:tc>
      </w:tr>
      <w:tr w:rsidR="008D1D12" w14:paraId="6737E904" w14:textId="77777777">
        <w:trPr>
          <w:trHeight w:val="425"/>
        </w:trPr>
        <w:tc>
          <w:tcPr>
            <w:tcW w:w="3005" w:type="dxa"/>
            <w:tcBorders>
              <w:top w:val="single" w:sz="4" w:space="0" w:color="000000"/>
              <w:left w:val="single" w:sz="4" w:space="0" w:color="000000"/>
              <w:bottom w:val="single" w:sz="4" w:space="0" w:color="000000"/>
              <w:right w:val="single" w:sz="4" w:space="0" w:color="000000"/>
            </w:tcBorders>
          </w:tcPr>
          <w:p w14:paraId="07B9018E" w14:textId="77777777" w:rsidR="008D1D12" w:rsidRDefault="00F51D47">
            <w:pPr>
              <w:spacing w:after="0" w:line="259" w:lineRule="auto"/>
              <w:ind w:left="1" w:firstLine="0"/>
              <w:jc w:val="center"/>
            </w:pPr>
            <w:r>
              <w:t xml:space="preserve">20 </w:t>
            </w:r>
          </w:p>
        </w:tc>
        <w:tc>
          <w:tcPr>
            <w:tcW w:w="3006" w:type="dxa"/>
            <w:tcBorders>
              <w:top w:val="single" w:sz="4" w:space="0" w:color="000000"/>
              <w:left w:val="single" w:sz="4" w:space="0" w:color="000000"/>
              <w:bottom w:val="single" w:sz="4" w:space="0" w:color="000000"/>
              <w:right w:val="single" w:sz="4" w:space="0" w:color="000000"/>
            </w:tcBorders>
          </w:tcPr>
          <w:p w14:paraId="5F7D5BCE" w14:textId="77777777" w:rsidR="008D1D12" w:rsidRDefault="00F51D47">
            <w:pPr>
              <w:spacing w:after="0" w:line="259" w:lineRule="auto"/>
              <w:ind w:left="1" w:firstLine="0"/>
              <w:jc w:val="center"/>
            </w:pPr>
            <w:r>
              <w:t xml:space="preserve">Client </w:t>
            </w:r>
          </w:p>
        </w:tc>
      </w:tr>
      <w:tr w:rsidR="008D1D12" w14:paraId="5981B435" w14:textId="77777777">
        <w:trPr>
          <w:trHeight w:val="425"/>
        </w:trPr>
        <w:tc>
          <w:tcPr>
            <w:tcW w:w="3005" w:type="dxa"/>
            <w:tcBorders>
              <w:top w:val="single" w:sz="4" w:space="0" w:color="000000"/>
              <w:left w:val="single" w:sz="4" w:space="0" w:color="000000"/>
              <w:bottom w:val="single" w:sz="4" w:space="0" w:color="000000"/>
              <w:right w:val="single" w:sz="4" w:space="0" w:color="000000"/>
            </w:tcBorders>
          </w:tcPr>
          <w:p w14:paraId="66F32FF8" w14:textId="77777777" w:rsidR="008D1D12" w:rsidRDefault="00F51D47">
            <w:pPr>
              <w:spacing w:after="0" w:line="259" w:lineRule="auto"/>
              <w:ind w:left="1" w:firstLine="0"/>
              <w:jc w:val="center"/>
            </w:pPr>
            <w:r>
              <w:t xml:space="preserve">30 </w:t>
            </w:r>
          </w:p>
        </w:tc>
        <w:tc>
          <w:tcPr>
            <w:tcW w:w="3006" w:type="dxa"/>
            <w:tcBorders>
              <w:top w:val="single" w:sz="4" w:space="0" w:color="000000"/>
              <w:left w:val="single" w:sz="4" w:space="0" w:color="000000"/>
              <w:bottom w:val="single" w:sz="4" w:space="0" w:color="000000"/>
              <w:right w:val="single" w:sz="4" w:space="0" w:color="000000"/>
            </w:tcBorders>
          </w:tcPr>
          <w:p w14:paraId="1A841E0E" w14:textId="77777777" w:rsidR="008D1D12" w:rsidRDefault="00F51D47">
            <w:pPr>
              <w:spacing w:after="0" w:line="259" w:lineRule="auto"/>
              <w:ind w:left="0" w:right="3" w:firstLine="0"/>
              <w:jc w:val="center"/>
            </w:pPr>
            <w:proofErr w:type="spellStart"/>
            <w:r>
              <w:t>RemoteStaff</w:t>
            </w:r>
            <w:proofErr w:type="spellEnd"/>
            <w:r>
              <w:t xml:space="preserve"> </w:t>
            </w:r>
          </w:p>
        </w:tc>
      </w:tr>
    </w:tbl>
    <w:p w14:paraId="5FEB4D23" w14:textId="77777777" w:rsidR="008D1D12" w:rsidRDefault="00F51D47">
      <w:pPr>
        <w:spacing w:after="233" w:line="259" w:lineRule="auto"/>
        <w:ind w:left="10" w:right="64"/>
        <w:jc w:val="center"/>
      </w:pPr>
      <w:r>
        <w:rPr>
          <w:i/>
          <w:color w:val="44546A"/>
          <w:sz w:val="18"/>
        </w:rPr>
        <w:t xml:space="preserve">Table 1: Proposed VLANs for the Hyper-fort network </w:t>
      </w:r>
    </w:p>
    <w:p w14:paraId="60FB2987" w14:textId="77777777" w:rsidR="008D1D12" w:rsidRDefault="00F51D47">
      <w:pPr>
        <w:spacing w:after="145" w:line="372" w:lineRule="auto"/>
        <w:ind w:left="-5" w:right="52"/>
      </w:pPr>
      <w:r>
        <w:lastRenderedPageBreak/>
        <w:t xml:space="preserve">VLANs 1, 10 and 20 are for devices connected to the internal network. VLAN 30 is for remote working staff. Devices on the Client VLAN should be considered ‘untrusted’ and as such their access to resources on the network will be limited. Devices on the Staff VLAN should be considered ‘untrusted’ until the device has been enrolled into the UEM solution and the relevant policies applied. ‘Trusted’ devices should have a different set of firewall rules in the UTM system to the ‘untrusted’ devices. This differentiation should also extend to the </w:t>
      </w:r>
      <w:proofErr w:type="spellStart"/>
      <w:r>
        <w:t>contentfiltering</w:t>
      </w:r>
      <w:proofErr w:type="spellEnd"/>
      <w:r>
        <w:t xml:space="preserve">. The same considerations will be made for staff working remotely. The firewall and content-filtering rules for remote-workers (VLAN 30) should be initially set the same as for internal staff (VLAN 20), but the rules and filters should be kept separate should differentiation be required in the future.  </w:t>
      </w:r>
    </w:p>
    <w:p w14:paraId="1E751CE0" w14:textId="77777777" w:rsidR="008D1D12" w:rsidRDefault="00F51D47">
      <w:pPr>
        <w:spacing w:after="163" w:line="357" w:lineRule="auto"/>
        <w:ind w:left="-5" w:right="52"/>
      </w:pPr>
      <w:r>
        <w:t xml:space="preserve">There should be multiple SSIDs on the network, each intended for different users. The SSIDs should be associated with different VLANs. In the Packet Tracer example, there is a basic managed wireless system. This allows each Access Point (AP) to be configured with multiple Service Set Identifiers (SSIDs). Each SSID is VLAN tagged with the VLAN appropriate for the type of user. SSIDs and AP groups can all be configured centrally.  </w:t>
      </w:r>
    </w:p>
    <w:p w14:paraId="0DE18862" w14:textId="77777777" w:rsidR="008D1D12" w:rsidRDefault="00F51D47">
      <w:pPr>
        <w:spacing w:after="14"/>
        <w:ind w:left="-5" w:right="52"/>
      </w:pPr>
      <w:r>
        <w:t xml:space="preserve">The SSIDs used, and their basic setup, is outlined in Table 2.  </w:t>
      </w:r>
    </w:p>
    <w:tbl>
      <w:tblPr>
        <w:tblStyle w:val="TableGrid"/>
        <w:tblW w:w="8226" w:type="dxa"/>
        <w:tblInd w:w="797" w:type="dxa"/>
        <w:tblCellMar>
          <w:top w:w="14" w:type="dxa"/>
          <w:left w:w="106" w:type="dxa"/>
          <w:bottom w:w="0" w:type="dxa"/>
          <w:right w:w="103" w:type="dxa"/>
        </w:tblCellMar>
        <w:tblLook w:val="04A0" w:firstRow="1" w:lastRow="0" w:firstColumn="1" w:lastColumn="0" w:noHBand="0" w:noVBand="1"/>
      </w:tblPr>
      <w:tblGrid>
        <w:gridCol w:w="2037"/>
        <w:gridCol w:w="2002"/>
        <w:gridCol w:w="2396"/>
        <w:gridCol w:w="1791"/>
      </w:tblGrid>
      <w:tr w:rsidR="008D1D12" w14:paraId="218B9774" w14:textId="77777777">
        <w:trPr>
          <w:trHeight w:val="423"/>
        </w:trPr>
        <w:tc>
          <w:tcPr>
            <w:tcW w:w="2038" w:type="dxa"/>
            <w:tcBorders>
              <w:top w:val="single" w:sz="4" w:space="0" w:color="000000"/>
              <w:left w:val="single" w:sz="4" w:space="0" w:color="000000"/>
              <w:bottom w:val="single" w:sz="4" w:space="0" w:color="000000"/>
              <w:right w:val="single" w:sz="4" w:space="0" w:color="000000"/>
            </w:tcBorders>
          </w:tcPr>
          <w:p w14:paraId="2039C443" w14:textId="77777777" w:rsidR="008D1D12" w:rsidRDefault="00F51D47">
            <w:pPr>
              <w:spacing w:after="0" w:line="259" w:lineRule="auto"/>
              <w:ind w:left="2" w:firstLine="0"/>
              <w:jc w:val="left"/>
            </w:pPr>
            <w:r>
              <w:rPr>
                <w:b/>
              </w:rPr>
              <w:t xml:space="preserve">SSID name </w:t>
            </w:r>
          </w:p>
        </w:tc>
        <w:tc>
          <w:tcPr>
            <w:tcW w:w="2002" w:type="dxa"/>
            <w:tcBorders>
              <w:top w:val="single" w:sz="4" w:space="0" w:color="000000"/>
              <w:left w:val="single" w:sz="4" w:space="0" w:color="000000"/>
              <w:bottom w:val="single" w:sz="4" w:space="0" w:color="000000"/>
              <w:right w:val="single" w:sz="4" w:space="0" w:color="000000"/>
            </w:tcBorders>
          </w:tcPr>
          <w:p w14:paraId="632AFBB4" w14:textId="77777777" w:rsidR="008D1D12" w:rsidRDefault="00F51D47">
            <w:pPr>
              <w:spacing w:after="0" w:line="259" w:lineRule="auto"/>
              <w:ind w:left="2" w:firstLine="0"/>
              <w:jc w:val="left"/>
            </w:pPr>
            <w:r>
              <w:rPr>
                <w:b/>
              </w:rPr>
              <w:t xml:space="preserve">Broadcasting </w:t>
            </w:r>
          </w:p>
        </w:tc>
        <w:tc>
          <w:tcPr>
            <w:tcW w:w="2396" w:type="dxa"/>
            <w:tcBorders>
              <w:top w:val="single" w:sz="4" w:space="0" w:color="000000"/>
              <w:left w:val="single" w:sz="4" w:space="0" w:color="000000"/>
              <w:bottom w:val="single" w:sz="4" w:space="0" w:color="000000"/>
              <w:right w:val="single" w:sz="4" w:space="0" w:color="000000"/>
            </w:tcBorders>
          </w:tcPr>
          <w:p w14:paraId="03071F88" w14:textId="77777777" w:rsidR="008D1D12" w:rsidRDefault="00F51D47">
            <w:pPr>
              <w:spacing w:after="0" w:line="259" w:lineRule="auto"/>
              <w:ind w:left="3" w:firstLine="0"/>
              <w:jc w:val="left"/>
            </w:pPr>
            <w:r>
              <w:rPr>
                <w:b/>
              </w:rPr>
              <w:t xml:space="preserve">Connection security </w:t>
            </w:r>
          </w:p>
        </w:tc>
        <w:tc>
          <w:tcPr>
            <w:tcW w:w="1791" w:type="dxa"/>
            <w:tcBorders>
              <w:top w:val="single" w:sz="4" w:space="0" w:color="000000"/>
              <w:left w:val="single" w:sz="4" w:space="0" w:color="000000"/>
              <w:bottom w:val="single" w:sz="4" w:space="0" w:color="000000"/>
              <w:right w:val="single" w:sz="4" w:space="0" w:color="000000"/>
            </w:tcBorders>
          </w:tcPr>
          <w:p w14:paraId="4351508A" w14:textId="77777777" w:rsidR="008D1D12" w:rsidRDefault="00F51D47">
            <w:pPr>
              <w:spacing w:after="0" w:line="259" w:lineRule="auto"/>
              <w:ind w:left="0" w:firstLine="0"/>
              <w:jc w:val="left"/>
            </w:pPr>
            <w:r>
              <w:rPr>
                <w:b/>
              </w:rPr>
              <w:t xml:space="preserve">VLAN </w:t>
            </w:r>
          </w:p>
        </w:tc>
      </w:tr>
      <w:tr w:rsidR="008D1D12" w14:paraId="6EFC4CA0" w14:textId="77777777">
        <w:trPr>
          <w:trHeight w:val="425"/>
        </w:trPr>
        <w:tc>
          <w:tcPr>
            <w:tcW w:w="2038" w:type="dxa"/>
            <w:tcBorders>
              <w:top w:val="single" w:sz="4" w:space="0" w:color="000000"/>
              <w:left w:val="single" w:sz="4" w:space="0" w:color="000000"/>
              <w:bottom w:val="single" w:sz="4" w:space="0" w:color="000000"/>
              <w:right w:val="single" w:sz="4" w:space="0" w:color="000000"/>
            </w:tcBorders>
          </w:tcPr>
          <w:p w14:paraId="033DF50B" w14:textId="77777777" w:rsidR="008D1D12" w:rsidRDefault="00F51D47">
            <w:pPr>
              <w:spacing w:after="0" w:line="259" w:lineRule="auto"/>
              <w:ind w:left="2" w:firstLine="0"/>
              <w:jc w:val="left"/>
            </w:pPr>
            <w:r>
              <w:t xml:space="preserve">Hyper-fort Staff </w:t>
            </w:r>
          </w:p>
        </w:tc>
        <w:tc>
          <w:tcPr>
            <w:tcW w:w="2002" w:type="dxa"/>
            <w:tcBorders>
              <w:top w:val="single" w:sz="4" w:space="0" w:color="000000"/>
              <w:left w:val="single" w:sz="4" w:space="0" w:color="000000"/>
              <w:bottom w:val="single" w:sz="4" w:space="0" w:color="000000"/>
              <w:right w:val="single" w:sz="4" w:space="0" w:color="000000"/>
            </w:tcBorders>
          </w:tcPr>
          <w:p w14:paraId="7AEE4770" w14:textId="77777777" w:rsidR="008D1D12" w:rsidRDefault="00F51D47">
            <w:pPr>
              <w:spacing w:after="0" w:line="259" w:lineRule="auto"/>
              <w:ind w:left="2" w:firstLine="0"/>
              <w:jc w:val="left"/>
            </w:pPr>
            <w:r>
              <w:t xml:space="preserve">Disabled </w:t>
            </w:r>
          </w:p>
        </w:tc>
        <w:tc>
          <w:tcPr>
            <w:tcW w:w="2396" w:type="dxa"/>
            <w:tcBorders>
              <w:top w:val="single" w:sz="4" w:space="0" w:color="000000"/>
              <w:left w:val="single" w:sz="4" w:space="0" w:color="000000"/>
              <w:bottom w:val="single" w:sz="4" w:space="0" w:color="000000"/>
              <w:right w:val="single" w:sz="4" w:space="0" w:color="000000"/>
            </w:tcBorders>
          </w:tcPr>
          <w:p w14:paraId="2237867B" w14:textId="77777777" w:rsidR="008D1D12" w:rsidRDefault="00F51D47">
            <w:pPr>
              <w:spacing w:after="0" w:line="259" w:lineRule="auto"/>
              <w:ind w:left="3" w:firstLine="0"/>
              <w:jc w:val="left"/>
            </w:pPr>
            <w:r>
              <w:t xml:space="preserve">WPA2-Enterprise </w:t>
            </w:r>
          </w:p>
        </w:tc>
        <w:tc>
          <w:tcPr>
            <w:tcW w:w="1791" w:type="dxa"/>
            <w:tcBorders>
              <w:top w:val="single" w:sz="4" w:space="0" w:color="000000"/>
              <w:left w:val="single" w:sz="4" w:space="0" w:color="000000"/>
              <w:bottom w:val="single" w:sz="4" w:space="0" w:color="000000"/>
              <w:right w:val="single" w:sz="4" w:space="0" w:color="000000"/>
            </w:tcBorders>
          </w:tcPr>
          <w:p w14:paraId="472EF1BA" w14:textId="77777777" w:rsidR="008D1D12" w:rsidRDefault="00F51D47">
            <w:pPr>
              <w:spacing w:after="0" w:line="259" w:lineRule="auto"/>
              <w:ind w:left="0" w:firstLine="0"/>
              <w:jc w:val="left"/>
            </w:pPr>
            <w:r>
              <w:t xml:space="preserve">10 (Staff) </w:t>
            </w:r>
          </w:p>
        </w:tc>
      </w:tr>
      <w:tr w:rsidR="008D1D12" w14:paraId="617041A6" w14:textId="77777777">
        <w:trPr>
          <w:trHeight w:val="425"/>
        </w:trPr>
        <w:tc>
          <w:tcPr>
            <w:tcW w:w="2038" w:type="dxa"/>
            <w:tcBorders>
              <w:top w:val="single" w:sz="4" w:space="0" w:color="000000"/>
              <w:left w:val="single" w:sz="4" w:space="0" w:color="000000"/>
              <w:bottom w:val="single" w:sz="4" w:space="0" w:color="000000"/>
              <w:right w:val="single" w:sz="4" w:space="0" w:color="000000"/>
            </w:tcBorders>
          </w:tcPr>
          <w:p w14:paraId="60149115" w14:textId="77777777" w:rsidR="008D1D12" w:rsidRDefault="00F51D47">
            <w:pPr>
              <w:spacing w:after="0" w:line="259" w:lineRule="auto"/>
              <w:ind w:left="2" w:firstLine="0"/>
              <w:jc w:val="left"/>
            </w:pPr>
            <w:r>
              <w:t xml:space="preserve">Hyper-fort Clients </w:t>
            </w:r>
          </w:p>
        </w:tc>
        <w:tc>
          <w:tcPr>
            <w:tcW w:w="2002" w:type="dxa"/>
            <w:tcBorders>
              <w:top w:val="single" w:sz="4" w:space="0" w:color="000000"/>
              <w:left w:val="single" w:sz="4" w:space="0" w:color="000000"/>
              <w:bottom w:val="single" w:sz="4" w:space="0" w:color="000000"/>
              <w:right w:val="single" w:sz="4" w:space="0" w:color="000000"/>
            </w:tcBorders>
          </w:tcPr>
          <w:p w14:paraId="100EAF52" w14:textId="77777777" w:rsidR="008D1D12" w:rsidRDefault="00F51D47">
            <w:pPr>
              <w:spacing w:after="0" w:line="259" w:lineRule="auto"/>
              <w:ind w:left="2" w:firstLine="0"/>
              <w:jc w:val="left"/>
            </w:pPr>
            <w:r>
              <w:t xml:space="preserve">Enabled </w:t>
            </w:r>
          </w:p>
        </w:tc>
        <w:tc>
          <w:tcPr>
            <w:tcW w:w="2396" w:type="dxa"/>
            <w:tcBorders>
              <w:top w:val="single" w:sz="4" w:space="0" w:color="000000"/>
              <w:left w:val="single" w:sz="4" w:space="0" w:color="000000"/>
              <w:bottom w:val="single" w:sz="4" w:space="0" w:color="000000"/>
              <w:right w:val="single" w:sz="4" w:space="0" w:color="000000"/>
            </w:tcBorders>
          </w:tcPr>
          <w:p w14:paraId="1E68845B" w14:textId="77777777" w:rsidR="008D1D12" w:rsidRDefault="00F51D47">
            <w:pPr>
              <w:spacing w:after="0" w:line="259" w:lineRule="auto"/>
              <w:ind w:left="3" w:firstLine="0"/>
              <w:jc w:val="left"/>
            </w:pPr>
            <w:r>
              <w:t xml:space="preserve">WPA2-PSK </w:t>
            </w:r>
          </w:p>
        </w:tc>
        <w:tc>
          <w:tcPr>
            <w:tcW w:w="1791" w:type="dxa"/>
            <w:tcBorders>
              <w:top w:val="single" w:sz="4" w:space="0" w:color="000000"/>
              <w:left w:val="single" w:sz="4" w:space="0" w:color="000000"/>
              <w:bottom w:val="single" w:sz="4" w:space="0" w:color="000000"/>
              <w:right w:val="single" w:sz="4" w:space="0" w:color="000000"/>
            </w:tcBorders>
          </w:tcPr>
          <w:p w14:paraId="2AAA46F0" w14:textId="77777777" w:rsidR="008D1D12" w:rsidRDefault="00F51D47">
            <w:pPr>
              <w:spacing w:after="0" w:line="259" w:lineRule="auto"/>
              <w:ind w:left="0" w:firstLine="0"/>
              <w:jc w:val="left"/>
            </w:pPr>
            <w:r>
              <w:t xml:space="preserve">20 (Client) </w:t>
            </w:r>
          </w:p>
        </w:tc>
      </w:tr>
    </w:tbl>
    <w:p w14:paraId="2A935CB1" w14:textId="77777777" w:rsidR="008D1D12" w:rsidRDefault="00F51D47">
      <w:pPr>
        <w:spacing w:after="233" w:line="259" w:lineRule="auto"/>
        <w:ind w:left="10" w:right="64"/>
        <w:jc w:val="center"/>
      </w:pPr>
      <w:r>
        <w:rPr>
          <w:i/>
          <w:color w:val="44546A"/>
          <w:sz w:val="18"/>
        </w:rPr>
        <w:t xml:space="preserve">Table 2: Basic SSID configuration details </w:t>
      </w:r>
    </w:p>
    <w:p w14:paraId="7257AE8A" w14:textId="77777777" w:rsidR="008D1D12" w:rsidRDefault="00F51D47">
      <w:pPr>
        <w:spacing w:after="159" w:line="358" w:lineRule="auto"/>
        <w:ind w:left="-5" w:right="52"/>
      </w:pPr>
      <w:r>
        <w:t xml:space="preserve">The staff SSID is configured with security in mind. Broadcasting is disabled to reduce the visibility of the network. WPA2-Enterprise is used as the authentication method to ensure only users with appropriate authentication can connect to the network. The authentication uses RADIUS and is managed by the AAA server. Using this authentication method provides a link between a device and user which can be used for managing access and for monitoring purposes. An example flowchart of a staff user connecting to the network is shown in Appendix D. </w:t>
      </w:r>
    </w:p>
    <w:p w14:paraId="28CFE5D6" w14:textId="77777777" w:rsidR="008D1D12" w:rsidRDefault="00F51D47">
      <w:pPr>
        <w:spacing w:after="162" w:line="357" w:lineRule="auto"/>
        <w:ind w:left="-5" w:right="52"/>
      </w:pPr>
      <w:r>
        <w:t xml:space="preserve">The client SSID is configured with ease of use in mind. Broadcasting is enabled to enable clients to easily identify the network on their devices. The connection security uses WPA2PSK as this only requires a passphrase to connect but still uses AES encryption as mentioned earlier in this report. </w:t>
      </w:r>
    </w:p>
    <w:p w14:paraId="4AB10667" w14:textId="77777777" w:rsidR="008D1D12" w:rsidRDefault="00F51D47">
      <w:pPr>
        <w:spacing w:after="202" w:line="356" w:lineRule="auto"/>
        <w:ind w:left="-5" w:right="52"/>
      </w:pPr>
      <w:r>
        <w:t xml:space="preserve">Remote workers will use a Virtual Private Network (VPN) to connect to the Hyper-fort network. This will use tunnel mode in IPsec. Tunnel mode protects each IP packet in its entirety </w:t>
      </w:r>
      <w:r>
        <w:lastRenderedPageBreak/>
        <w:t xml:space="preserve">(both the IP header and payload), as opposed to transport mode which only protects the payload [18]. All data being transferred between the remote worker and the Hyper-fort network will be encrypted and protected against eavesdropping.  </w:t>
      </w:r>
    </w:p>
    <w:p w14:paraId="044F7816" w14:textId="77777777" w:rsidR="008D1D12" w:rsidRDefault="00F51D47">
      <w:pPr>
        <w:pStyle w:val="Heading2"/>
        <w:ind w:left="705" w:hanging="720"/>
      </w:pPr>
      <w:bookmarkStart w:id="27" w:name="_Toc30421"/>
      <w:r>
        <w:t xml:space="preserve">Monitoring </w:t>
      </w:r>
      <w:bookmarkEnd w:id="27"/>
    </w:p>
    <w:p w14:paraId="77BE8F39" w14:textId="77777777" w:rsidR="008D1D12" w:rsidRDefault="00F51D47">
      <w:pPr>
        <w:spacing w:after="160" w:line="357" w:lineRule="auto"/>
        <w:ind w:left="-5" w:right="52"/>
      </w:pPr>
      <w:r>
        <w:t xml:space="preserve">Monitoring will be set up on the network with two objectives; maintaining an audit trail of activity on the network, and for providing alerts of suspicious activity or network issues to the system administrators.  </w:t>
      </w:r>
    </w:p>
    <w:p w14:paraId="6489767D" w14:textId="77777777" w:rsidR="008D1D12" w:rsidRDefault="00F51D47">
      <w:pPr>
        <w:spacing w:after="159" w:line="358" w:lineRule="auto"/>
        <w:ind w:left="-5" w:right="52"/>
      </w:pPr>
      <w:r>
        <w:t xml:space="preserve">Monitoring should be employed to provide an overview of the health of the network. This can indicate whether a network device, such as a server or switch, is still operable. The logs can be used to identify trends of behaviour on the network (e.g. network usage at different times of day) and troubleshoot issues. It may also </w:t>
      </w:r>
      <w:proofErr w:type="spellStart"/>
      <w:r>
        <w:t>used</w:t>
      </w:r>
      <w:proofErr w:type="spellEnd"/>
      <w:r>
        <w:t xml:space="preserve"> by devices on the network to manage traffic. For example, if a </w:t>
      </w:r>
      <w:proofErr w:type="gramStart"/>
      <w:r>
        <w:t>particular device</w:t>
      </w:r>
      <w:proofErr w:type="gramEnd"/>
      <w:r>
        <w:t xml:space="preserve"> is using a disproportionately large amount of the available internet bandwidth and affecting connection speed for other devices, Quality of Service (QoS) rules could be actively applied to that device to reduce the amount of bandwidth available and reduce the effect on other devices. </w:t>
      </w:r>
    </w:p>
    <w:p w14:paraId="08939220" w14:textId="77777777" w:rsidR="008D1D12" w:rsidRDefault="00F51D47">
      <w:pPr>
        <w:spacing w:line="359" w:lineRule="auto"/>
        <w:ind w:left="-5" w:right="52"/>
      </w:pPr>
      <w:r>
        <w:t xml:space="preserve">Alerts should be utilised to notify system administrators of events that need attention. They should be categorised based on the severity of the issue and the notification method adjusted accordingly. For example, if a client device uses incorrect credentials to authenticate but subsequently authenticates successfully, an alert wouldn’t be required. If the same client were to have repeated failed attempts to authenticate in a short timeframe, the administrator could be notified via email and provided with the logs, allowing them to make an informed decision about how to proceed. For services supporting the network, such as power sources and environmental control systems, administrators should be informed of outages or readings that move outside of pre-defined parameters (e.g. excessive voltage fluctuations or excessive temperatures). Alerts should also be sent if a network device is no longer sending or receiving network traffic, which may indicate the device, or the connections to it, have failed. The UTM should notify administrators if Intrusion Detection System (IDS) detects a threat or if the Intrusion Prevention System (IPS) takes actions to thwart a detected threat. Within the UEM solution, the administrators may decide to enable alerting if an enrolled device no longer meets the requirements of the policy. Device location may also be used to alert if a device moves to an unexpected geographical region, which may indicate the device has been stolen.  </w:t>
      </w:r>
    </w:p>
    <w:p w14:paraId="20597AA4" w14:textId="77777777" w:rsidR="008D1D12" w:rsidRDefault="00F51D47">
      <w:pPr>
        <w:pStyle w:val="Heading1"/>
        <w:ind w:left="343" w:hanging="358"/>
      </w:pPr>
      <w:bookmarkStart w:id="28" w:name="_Toc30422"/>
      <w:r>
        <w:lastRenderedPageBreak/>
        <w:t xml:space="preserve">Discussions and findings </w:t>
      </w:r>
      <w:bookmarkEnd w:id="28"/>
    </w:p>
    <w:p w14:paraId="23C2B514" w14:textId="77777777" w:rsidR="008D1D12" w:rsidRDefault="00F51D47">
      <w:pPr>
        <w:pStyle w:val="Heading2"/>
        <w:spacing w:after="296"/>
        <w:ind w:left="705" w:hanging="720"/>
      </w:pPr>
      <w:bookmarkStart w:id="29" w:name="_Toc30423"/>
      <w:r>
        <w:t xml:space="preserve">UEM discussion </w:t>
      </w:r>
      <w:bookmarkEnd w:id="29"/>
    </w:p>
    <w:p w14:paraId="7FA98F63" w14:textId="77777777" w:rsidR="008D1D12" w:rsidRDefault="00F51D47">
      <w:pPr>
        <w:pStyle w:val="Heading3"/>
        <w:ind w:left="705" w:hanging="720"/>
      </w:pPr>
      <w:bookmarkStart w:id="30" w:name="_Toc30424"/>
      <w:commentRangeStart w:id="31"/>
      <w:r>
        <w:t xml:space="preserve">Comparison of UEM solutions </w:t>
      </w:r>
      <w:bookmarkEnd w:id="30"/>
      <w:commentRangeEnd w:id="31"/>
      <w:r w:rsidR="00AB0CAA">
        <w:rPr>
          <w:rStyle w:val="CommentReference"/>
          <w:b w:val="0"/>
        </w:rPr>
        <w:commentReference w:id="31"/>
      </w:r>
    </w:p>
    <w:p w14:paraId="26EEC1FA" w14:textId="77777777" w:rsidR="008D1D12" w:rsidRDefault="00F51D47">
      <w:pPr>
        <w:spacing w:after="163" w:line="357" w:lineRule="auto"/>
        <w:ind w:left="-5" w:right="52"/>
      </w:pPr>
      <w:r>
        <w:t xml:space="preserve">This section of the report with makes comparisons between UEM solutions offered by different vendors. Five vendors will be considered, and key points listed. These vendors </w:t>
      </w:r>
      <w:proofErr w:type="gramStart"/>
      <w:r>
        <w:t>were considered to be</w:t>
      </w:r>
      <w:proofErr w:type="gramEnd"/>
      <w:r>
        <w:t xml:space="preserve"> leaders in the Gartner report, </w:t>
      </w:r>
      <w:r>
        <w:rPr>
          <w:i/>
        </w:rPr>
        <w:t>Magic Quadrant for Unified Endpoint Management Tools</w:t>
      </w:r>
      <w:r>
        <w:t xml:space="preserve"> [4]. This report was published on July 2018 and provides an independent and relatively up-</w:t>
      </w:r>
      <w:proofErr w:type="spellStart"/>
      <w:r>
        <w:t>todate</w:t>
      </w:r>
      <w:proofErr w:type="spellEnd"/>
      <w:r>
        <w:t xml:space="preserve"> comparison of the UEM solutions on the market.  </w:t>
      </w:r>
    </w:p>
    <w:p w14:paraId="309454C9" w14:textId="77777777" w:rsidR="008D1D12" w:rsidRDefault="00F51D47">
      <w:pPr>
        <w:spacing w:after="284"/>
        <w:ind w:left="-5" w:right="52"/>
      </w:pPr>
      <w:r>
        <w:rPr>
          <w:b/>
        </w:rPr>
        <w:t xml:space="preserve">Vendor (UEM solution): </w:t>
      </w:r>
      <w:r>
        <w:t>BlackBerry (BlackBerry UEM)</w:t>
      </w:r>
      <w:r>
        <w:rPr>
          <w:b/>
        </w:rPr>
        <w:t xml:space="preserve"> </w:t>
      </w:r>
    </w:p>
    <w:p w14:paraId="45856901" w14:textId="77777777" w:rsidR="008D1D12" w:rsidRDefault="00F51D47">
      <w:pPr>
        <w:pStyle w:val="Heading5"/>
        <w:ind w:left="-5" w:right="0"/>
      </w:pPr>
      <w:r>
        <w:t xml:space="preserve">Key points </w:t>
      </w:r>
    </w:p>
    <w:p w14:paraId="2A1A17DE" w14:textId="77777777" w:rsidR="008D1D12" w:rsidRDefault="00F51D47">
      <w:pPr>
        <w:numPr>
          <w:ilvl w:val="0"/>
          <w:numId w:val="2"/>
        </w:numPr>
        <w:spacing w:after="103"/>
        <w:ind w:right="52" w:hanging="360"/>
      </w:pPr>
      <w:r>
        <w:t xml:space="preserve">A containerised environment can be provided in place of a VPN [8] </w:t>
      </w:r>
    </w:p>
    <w:p w14:paraId="46126495" w14:textId="77777777" w:rsidR="008D1D12" w:rsidRDefault="00F51D47">
      <w:pPr>
        <w:numPr>
          <w:ilvl w:val="0"/>
          <w:numId w:val="2"/>
        </w:numPr>
        <w:spacing w:after="27" w:line="355" w:lineRule="auto"/>
        <w:ind w:right="52" w:hanging="360"/>
      </w:pPr>
      <w:r>
        <w:t>Support for wearable platforms (</w:t>
      </w:r>
      <w:proofErr w:type="spellStart"/>
      <w:r>
        <w:t>watchOS</w:t>
      </w:r>
      <w:proofErr w:type="spellEnd"/>
      <w:r>
        <w:t xml:space="preserve"> and Android Wear) [9] and the GNX IoT platform </w:t>
      </w:r>
    </w:p>
    <w:p w14:paraId="4AA9862A" w14:textId="77777777" w:rsidR="008D1D12" w:rsidRDefault="00F51D47">
      <w:pPr>
        <w:numPr>
          <w:ilvl w:val="0"/>
          <w:numId w:val="2"/>
        </w:numPr>
        <w:spacing w:after="28" w:line="355" w:lineRule="auto"/>
        <w:ind w:right="52" w:hanging="360"/>
      </w:pPr>
      <w:r>
        <w:t xml:space="preserve">Supports direct management of Office 365 [9] and the ability to apply Microsoft Intune app protection policies and DRM to Office documents [10] </w:t>
      </w:r>
    </w:p>
    <w:p w14:paraId="648CD185" w14:textId="77777777" w:rsidR="008D1D12" w:rsidRDefault="00F51D47">
      <w:pPr>
        <w:numPr>
          <w:ilvl w:val="0"/>
          <w:numId w:val="2"/>
        </w:numPr>
        <w:spacing w:after="101"/>
        <w:ind w:right="52" w:hanging="360"/>
      </w:pPr>
      <w:r>
        <w:t>MacOS MDM controls limited compared to Windows controls [</w:t>
      </w:r>
      <w:proofErr w:type="gramStart"/>
      <w:r>
        <w:t>3][</w:t>
      </w:r>
      <w:proofErr w:type="gramEnd"/>
      <w:r>
        <w:t xml:space="preserve">11] </w:t>
      </w:r>
    </w:p>
    <w:p w14:paraId="094EDA79" w14:textId="77777777" w:rsidR="008D1D12" w:rsidRDefault="00F51D47">
      <w:pPr>
        <w:numPr>
          <w:ilvl w:val="0"/>
          <w:numId w:val="2"/>
        </w:numPr>
        <w:ind w:right="52" w:hanging="360"/>
      </w:pPr>
      <w:r>
        <w:t xml:space="preserve">Use of Intune APIs requires an additional license [3] </w:t>
      </w:r>
    </w:p>
    <w:p w14:paraId="312010CD" w14:textId="77777777" w:rsidR="008D1D12" w:rsidRDefault="00F51D47">
      <w:pPr>
        <w:spacing w:after="278" w:line="259" w:lineRule="auto"/>
        <w:ind w:left="-5"/>
        <w:jc w:val="left"/>
      </w:pPr>
      <w:r>
        <w:rPr>
          <w:b/>
        </w:rPr>
        <w:t>Vendor (UEM solution):</w:t>
      </w:r>
      <w:r>
        <w:t xml:space="preserve"> IBM (MaaS360) </w:t>
      </w:r>
    </w:p>
    <w:p w14:paraId="36314ED5" w14:textId="77777777" w:rsidR="008D1D12" w:rsidRDefault="00F51D47">
      <w:pPr>
        <w:pStyle w:val="Heading5"/>
        <w:ind w:left="-5" w:right="0"/>
      </w:pPr>
      <w:r>
        <w:t xml:space="preserve">Key points </w:t>
      </w:r>
    </w:p>
    <w:p w14:paraId="1CAA0A5D" w14:textId="77777777" w:rsidR="008D1D12" w:rsidRDefault="00F51D47">
      <w:pPr>
        <w:numPr>
          <w:ilvl w:val="0"/>
          <w:numId w:val="3"/>
        </w:numPr>
        <w:spacing w:after="103"/>
        <w:ind w:right="52" w:hanging="360"/>
      </w:pPr>
      <w:r>
        <w:t xml:space="preserve">CMT for supporting legacy operating systems and devices via BigFix [12] </w:t>
      </w:r>
    </w:p>
    <w:p w14:paraId="425C421D" w14:textId="77777777" w:rsidR="008D1D12" w:rsidRDefault="00F51D47">
      <w:pPr>
        <w:numPr>
          <w:ilvl w:val="0"/>
          <w:numId w:val="3"/>
        </w:numPr>
        <w:spacing w:after="100"/>
        <w:ind w:right="52" w:hanging="360"/>
      </w:pPr>
      <w:r>
        <w:t xml:space="preserve">Support for containerised apps [13] </w:t>
      </w:r>
    </w:p>
    <w:p w14:paraId="68613271" w14:textId="77777777" w:rsidR="008D1D12" w:rsidRDefault="00F51D47">
      <w:pPr>
        <w:numPr>
          <w:ilvl w:val="0"/>
          <w:numId w:val="3"/>
        </w:numPr>
        <w:spacing w:after="159" w:line="358" w:lineRule="auto"/>
        <w:ind w:right="52" w:hanging="360"/>
      </w:pPr>
      <w:r>
        <w:t xml:space="preserve">Identity Access Management (IAM) available but requires additional product (IBM Cloud Identity) [14] </w:t>
      </w:r>
    </w:p>
    <w:p w14:paraId="73D90612" w14:textId="77777777" w:rsidR="008D1D12" w:rsidRDefault="00F51D47">
      <w:pPr>
        <w:spacing w:after="284"/>
        <w:ind w:left="-5" w:right="52"/>
      </w:pPr>
      <w:r>
        <w:rPr>
          <w:b/>
        </w:rPr>
        <w:t>Vendor (UEM solution):</w:t>
      </w:r>
      <w:r>
        <w:t xml:space="preserve"> Microsoft (Enterprise Mobility + Security) </w:t>
      </w:r>
    </w:p>
    <w:p w14:paraId="67CAC564" w14:textId="77777777" w:rsidR="008D1D12" w:rsidRDefault="00F51D47">
      <w:pPr>
        <w:pStyle w:val="Heading5"/>
        <w:spacing w:after="299"/>
        <w:ind w:left="-5" w:right="0"/>
      </w:pPr>
      <w:r>
        <w:t xml:space="preserve">Key points </w:t>
      </w:r>
    </w:p>
    <w:p w14:paraId="69037A0C" w14:textId="77777777" w:rsidR="008D1D12" w:rsidRDefault="00F51D47">
      <w:pPr>
        <w:numPr>
          <w:ilvl w:val="0"/>
          <w:numId w:val="4"/>
        </w:numPr>
        <w:spacing w:after="101"/>
        <w:ind w:right="52" w:hanging="360"/>
      </w:pPr>
      <w:r>
        <w:t xml:space="preserve">Integration of System </w:t>
      </w:r>
      <w:proofErr w:type="spellStart"/>
      <w:r>
        <w:t>Center</w:t>
      </w:r>
      <w:proofErr w:type="spellEnd"/>
      <w:r>
        <w:t xml:space="preserve"> Configuration Manager (SCCM) CMT if desired [3] </w:t>
      </w:r>
    </w:p>
    <w:p w14:paraId="456E0DB4" w14:textId="77777777" w:rsidR="008D1D12" w:rsidRDefault="00F51D47">
      <w:pPr>
        <w:numPr>
          <w:ilvl w:val="0"/>
          <w:numId w:val="4"/>
        </w:numPr>
        <w:spacing w:after="103"/>
        <w:ind w:right="52" w:hanging="360"/>
      </w:pPr>
      <w:r>
        <w:t xml:space="preserve">Tight integration with Office 365 [15] </w:t>
      </w:r>
    </w:p>
    <w:p w14:paraId="2A108916" w14:textId="77777777" w:rsidR="008D1D12" w:rsidRDefault="00F51D47">
      <w:pPr>
        <w:numPr>
          <w:ilvl w:val="0"/>
          <w:numId w:val="4"/>
        </w:numPr>
        <w:ind w:right="52" w:hanging="360"/>
      </w:pPr>
      <w:r>
        <w:t xml:space="preserve">Simple pricing structure with only two tiers of product [16] </w:t>
      </w:r>
    </w:p>
    <w:p w14:paraId="5767CA89" w14:textId="77777777" w:rsidR="008D1D12" w:rsidRDefault="00F51D47">
      <w:pPr>
        <w:spacing w:after="284"/>
        <w:ind w:left="-5" w:right="52"/>
      </w:pPr>
      <w:r>
        <w:rPr>
          <w:b/>
        </w:rPr>
        <w:t>Vendor (UEM solution):</w:t>
      </w:r>
      <w:r>
        <w:t xml:space="preserve"> MobileIron (MobileIron (UEM) </w:t>
      </w:r>
    </w:p>
    <w:p w14:paraId="43D1D6CA" w14:textId="77777777" w:rsidR="008D1D12" w:rsidRDefault="00F51D47">
      <w:pPr>
        <w:pStyle w:val="Heading5"/>
        <w:ind w:left="-5" w:right="0"/>
      </w:pPr>
      <w:r>
        <w:lastRenderedPageBreak/>
        <w:t xml:space="preserve">Key points </w:t>
      </w:r>
    </w:p>
    <w:p w14:paraId="6429E83C" w14:textId="77777777" w:rsidR="008D1D12" w:rsidRDefault="00F51D47">
      <w:pPr>
        <w:numPr>
          <w:ilvl w:val="0"/>
          <w:numId w:val="5"/>
        </w:numPr>
        <w:spacing w:after="103"/>
        <w:ind w:right="52" w:hanging="360"/>
      </w:pPr>
      <w:r>
        <w:t xml:space="preserve">Validated against multiple security standards and certifications [17] </w:t>
      </w:r>
    </w:p>
    <w:p w14:paraId="36BF325E" w14:textId="77777777" w:rsidR="008D1D12" w:rsidRDefault="00F51D47">
      <w:pPr>
        <w:numPr>
          <w:ilvl w:val="0"/>
          <w:numId w:val="5"/>
        </w:numPr>
        <w:spacing w:after="103"/>
        <w:ind w:right="52" w:hanging="360"/>
      </w:pPr>
      <w:r>
        <w:t xml:space="preserve">Support for containerised apps and per-app VPN [18] </w:t>
      </w:r>
    </w:p>
    <w:p w14:paraId="5FFC218E" w14:textId="77777777" w:rsidR="008D1D12" w:rsidRDefault="00F51D47">
      <w:pPr>
        <w:numPr>
          <w:ilvl w:val="0"/>
          <w:numId w:val="5"/>
        </w:numPr>
        <w:ind w:right="52" w:hanging="360"/>
      </w:pPr>
      <w:r>
        <w:t xml:space="preserve">Use of Intune APIs requires an additional license [3] </w:t>
      </w:r>
    </w:p>
    <w:p w14:paraId="66A02385" w14:textId="77777777" w:rsidR="008D1D12" w:rsidRDefault="00F51D47">
      <w:pPr>
        <w:spacing w:after="278" w:line="259" w:lineRule="auto"/>
        <w:ind w:left="-5"/>
        <w:jc w:val="left"/>
      </w:pPr>
      <w:r>
        <w:rPr>
          <w:b/>
        </w:rPr>
        <w:t>Vendor (UEM solution):</w:t>
      </w:r>
      <w:r>
        <w:t xml:space="preserve"> VMWare (Workspace ONE) </w:t>
      </w:r>
    </w:p>
    <w:p w14:paraId="287F847A" w14:textId="77777777" w:rsidR="008D1D12" w:rsidRDefault="00F51D47">
      <w:pPr>
        <w:pStyle w:val="Heading5"/>
        <w:ind w:left="-5" w:right="0"/>
      </w:pPr>
      <w:r>
        <w:t xml:space="preserve">Key points </w:t>
      </w:r>
    </w:p>
    <w:p w14:paraId="3F0A0A05" w14:textId="77777777" w:rsidR="008D1D12" w:rsidRDefault="00F51D47">
      <w:pPr>
        <w:numPr>
          <w:ilvl w:val="0"/>
          <w:numId w:val="6"/>
        </w:numPr>
        <w:spacing w:after="103"/>
        <w:ind w:right="52" w:hanging="360"/>
      </w:pPr>
      <w:r>
        <w:t>Chrome OS management possible [</w:t>
      </w:r>
      <w:proofErr w:type="gramStart"/>
      <w:r>
        <w:t>3][</w:t>
      </w:r>
      <w:proofErr w:type="gramEnd"/>
      <w:r>
        <w:t xml:space="preserve">19] </w:t>
      </w:r>
    </w:p>
    <w:p w14:paraId="7F2F4983" w14:textId="77777777" w:rsidR="008D1D12" w:rsidRDefault="00F51D47">
      <w:pPr>
        <w:numPr>
          <w:ilvl w:val="0"/>
          <w:numId w:val="6"/>
        </w:numPr>
        <w:spacing w:after="23" w:line="357" w:lineRule="auto"/>
        <w:ind w:right="52" w:hanging="360"/>
      </w:pPr>
      <w:r>
        <w:t xml:space="preserve">Virtual Desktop Infrastructure (VDI) via VMware Horizon available on highest tier [20] </w:t>
      </w:r>
    </w:p>
    <w:p w14:paraId="542435C7" w14:textId="77777777" w:rsidR="008D1D12" w:rsidRDefault="00F51D47">
      <w:pPr>
        <w:numPr>
          <w:ilvl w:val="0"/>
          <w:numId w:val="6"/>
        </w:numPr>
        <w:spacing w:after="103"/>
        <w:ind w:right="52" w:hanging="360"/>
      </w:pPr>
      <w:r>
        <w:t xml:space="preserve">Support for containerised apps and per-app VPN [20] </w:t>
      </w:r>
    </w:p>
    <w:p w14:paraId="0C2FF1A2" w14:textId="77777777" w:rsidR="008D1D12" w:rsidRDefault="00F51D47">
      <w:pPr>
        <w:numPr>
          <w:ilvl w:val="0"/>
          <w:numId w:val="6"/>
        </w:numPr>
        <w:spacing w:after="280"/>
        <w:ind w:right="52" w:hanging="360"/>
      </w:pPr>
      <w:r>
        <w:t xml:space="preserve">Integration with SCCM through VMware </w:t>
      </w:r>
      <w:proofErr w:type="spellStart"/>
      <w:r>
        <w:t>AirLift</w:t>
      </w:r>
      <w:proofErr w:type="spellEnd"/>
      <w:r>
        <w:t xml:space="preserve"> [21] </w:t>
      </w:r>
    </w:p>
    <w:p w14:paraId="26557B44" w14:textId="77777777" w:rsidR="008D1D12" w:rsidRDefault="00F51D47">
      <w:pPr>
        <w:pStyle w:val="Heading3"/>
        <w:ind w:left="705" w:hanging="720"/>
      </w:pPr>
      <w:bookmarkStart w:id="32" w:name="_Toc30425"/>
      <w:r>
        <w:t xml:space="preserve">UEM selection </w:t>
      </w:r>
      <w:bookmarkEnd w:id="32"/>
    </w:p>
    <w:p w14:paraId="3866A802" w14:textId="77777777" w:rsidR="008D1D12" w:rsidRDefault="00F51D47">
      <w:pPr>
        <w:spacing w:after="199" w:line="360" w:lineRule="auto"/>
        <w:ind w:left="-5" w:right="52"/>
      </w:pPr>
      <w:r>
        <w:t xml:space="preserve">Following assessment of the five UEM solutions discussed earlier in this document, the author believes VMware’s Workspace ONE would be the preferred choice. VMware have acquired well-regarded companies (such as </w:t>
      </w:r>
      <w:proofErr w:type="spellStart"/>
      <w:r>
        <w:t>Airwatch</w:t>
      </w:r>
      <w:proofErr w:type="spellEnd"/>
      <w:r>
        <w:t xml:space="preserve"> [19] and Boxer [20]) and integrated their products to offer a comprehensive UEM solution. It appears to offer the most rounded operating system support of the five UEM solutions that were considered, including support of legacy and IoT devices, as well as Chrome OS. It has parity with other UEM solutions for security provisions, with per-app VPN and app containerisation available. </w:t>
      </w:r>
    </w:p>
    <w:p w14:paraId="5548396E" w14:textId="77777777" w:rsidR="008D1D12" w:rsidRDefault="00F51D47">
      <w:pPr>
        <w:pStyle w:val="Heading2"/>
        <w:ind w:left="705" w:hanging="720"/>
      </w:pPr>
      <w:bookmarkStart w:id="33" w:name="_Toc30426"/>
      <w:r>
        <w:t xml:space="preserve">BYOD discussion </w:t>
      </w:r>
      <w:bookmarkEnd w:id="33"/>
    </w:p>
    <w:p w14:paraId="4ED00F98" w14:textId="77777777" w:rsidR="008D1D12" w:rsidRDefault="00F51D47">
      <w:pPr>
        <w:spacing w:after="206" w:line="356" w:lineRule="auto"/>
        <w:ind w:left="-5" w:right="52"/>
      </w:pPr>
      <w:r>
        <w:t xml:space="preserve">The following sections will outline some of the potential benefits of a BYOD implementation, as well as areas of caution. </w:t>
      </w:r>
    </w:p>
    <w:p w14:paraId="1EF323DF" w14:textId="77777777" w:rsidR="008D1D12" w:rsidRDefault="00F51D47">
      <w:pPr>
        <w:pStyle w:val="Heading3"/>
        <w:ind w:left="705" w:hanging="720"/>
      </w:pPr>
      <w:bookmarkStart w:id="34" w:name="_Toc30427"/>
      <w:r>
        <w:t xml:space="preserve">Potential benefits </w:t>
      </w:r>
      <w:bookmarkEnd w:id="34"/>
    </w:p>
    <w:p w14:paraId="70B3D9D5" w14:textId="77777777" w:rsidR="008D1D12" w:rsidRDefault="00F51D47">
      <w:pPr>
        <w:spacing w:after="163" w:line="357" w:lineRule="auto"/>
        <w:ind w:left="-5" w:right="52"/>
      </w:pPr>
      <w:r>
        <w:t xml:space="preserve">Reduced equipment costs – depending on the type of policy being adopted, devices being provided by the employees instead of the organisation may forgo the need for organisational expenditure on equipment. As well as reducing or negating the cost of equipment procurement, on-going overheads for support contracts would be similarly reduced as the onus would be on the employees to manage support for their devices. Whilst there would be a cost for a UEM solution, a solution would likely be implemented in any case if the organisation chose to provide its staff with devices. This benefit would not be likely if a policy was adopted where </w:t>
      </w:r>
      <w:r>
        <w:lastRenderedPageBreak/>
        <w:t xml:space="preserve">personal devices replace enterprise devices, as this implementation usually incorporates an allowance for the employee to purchase equipment [1]. </w:t>
      </w:r>
    </w:p>
    <w:p w14:paraId="3EB8A695" w14:textId="77777777" w:rsidR="008D1D12" w:rsidRDefault="00F51D47">
      <w:pPr>
        <w:spacing w:after="161" w:line="357" w:lineRule="auto"/>
        <w:ind w:left="-5" w:right="52"/>
      </w:pPr>
      <w:r>
        <w:t xml:space="preserve">User familiarity and confidence with devices – as the employees would choose their preferred devices, they would be able to choose the devices they are most comfortable or familiar with, or that are most appropriate for the type of work they do. This has the potential for decreasing the amount of support and training needing to be disseminated to employees, and therefore reducing the amount of resources and funding required for support. </w:t>
      </w:r>
    </w:p>
    <w:p w14:paraId="4CDB72AD" w14:textId="77777777" w:rsidR="008D1D12" w:rsidRDefault="00F51D47">
      <w:pPr>
        <w:spacing w:after="187" w:line="370" w:lineRule="auto"/>
        <w:ind w:left="-5" w:right="52"/>
      </w:pPr>
      <w:r>
        <w:t xml:space="preserve">Increase in productivity – the </w:t>
      </w:r>
      <w:proofErr w:type="gramStart"/>
      <w:r>
        <w:t>aforementioned familiarity</w:t>
      </w:r>
      <w:proofErr w:type="gramEnd"/>
      <w:r>
        <w:t xml:space="preserve"> with their devices should make employees more efficient and therefore productive. Additionally, employees are afforded greater flexibility in terms of working hours and location, for example by making greater use of ‘fragmented’ time [16].  </w:t>
      </w:r>
    </w:p>
    <w:p w14:paraId="19CB3ACE" w14:textId="77777777" w:rsidR="008D1D12" w:rsidRDefault="00F51D47">
      <w:pPr>
        <w:pStyle w:val="Heading3"/>
        <w:ind w:left="705" w:hanging="720"/>
      </w:pPr>
      <w:bookmarkStart w:id="35" w:name="_Toc30428"/>
      <w:r>
        <w:t xml:space="preserve">Areas of caution </w:t>
      </w:r>
      <w:bookmarkEnd w:id="35"/>
    </w:p>
    <w:p w14:paraId="249BB027" w14:textId="77777777" w:rsidR="008D1D12" w:rsidRDefault="00F51D47">
      <w:pPr>
        <w:spacing w:after="160" w:line="358" w:lineRule="auto"/>
        <w:ind w:left="-5" w:right="52"/>
      </w:pPr>
      <w:r>
        <w:t xml:space="preserve">Potential for data leakage – the portability of mobile devices when combined with insufficient security measures can greatly increase the potential for data leakage. Theft or loss in such a scenario would compromise the security of the data of the device, and inadequate security controls on devices could lead to data leakage through intentional or unintended misuse. </w:t>
      </w:r>
    </w:p>
    <w:p w14:paraId="03C18E4E" w14:textId="77777777" w:rsidR="008D1D12" w:rsidRDefault="00F51D47">
      <w:pPr>
        <w:spacing w:after="256" w:line="365" w:lineRule="auto"/>
        <w:ind w:left="-5" w:right="52"/>
      </w:pPr>
      <w:r>
        <w:t>Device security may vary – device security can vary based on the device vendor and age. For example, Duo Labs’ research in 2016 showed that of the 68% of Android devices that could receive security patches, only 25% were running the most recent patch (as of 30</w:t>
      </w:r>
      <w:r>
        <w:rPr>
          <w:vertAlign w:val="superscript"/>
        </w:rPr>
        <w:t>th</w:t>
      </w:r>
      <w:r>
        <w:t xml:space="preserve"> April 2016) [17]. Google’s own analysis in October 2018 of the split of Android versions across devices shows 29% of devices having a version of Android lower than Android 6.0 Marshmallow [18], itself a four-year-old operating system having been released on 5</w:t>
      </w:r>
      <w:r>
        <w:rPr>
          <w:vertAlign w:val="superscript"/>
        </w:rPr>
        <w:t>th</w:t>
      </w:r>
      <w:r>
        <w:t xml:space="preserve"> October 2015 [19]. Additionally, some users may choose to gain privileged control over their device via rooting (Android) or jailbreaking (iOS) it. This could potentially allow malicious apps or code to execute with superuser permissions. </w:t>
      </w:r>
    </w:p>
    <w:p w14:paraId="337CFA6A" w14:textId="77777777" w:rsidR="008D1D12" w:rsidRDefault="00F51D47">
      <w:pPr>
        <w:spacing w:after="0" w:line="259" w:lineRule="auto"/>
        <w:ind w:left="0" w:firstLine="0"/>
        <w:jc w:val="left"/>
      </w:pPr>
      <w:r>
        <w:t xml:space="preserve"> </w:t>
      </w:r>
      <w:r>
        <w:tab/>
      </w:r>
      <w:r>
        <w:rPr>
          <w:b/>
          <w:sz w:val="32"/>
        </w:rPr>
        <w:t xml:space="preserve"> </w:t>
      </w:r>
    </w:p>
    <w:p w14:paraId="5C9F7133" w14:textId="77777777" w:rsidR="008D1D12" w:rsidRDefault="00F51D47">
      <w:pPr>
        <w:pStyle w:val="Heading1"/>
        <w:ind w:left="343" w:hanging="358"/>
      </w:pPr>
      <w:bookmarkStart w:id="36" w:name="_Toc30429"/>
      <w:r>
        <w:t xml:space="preserve">Conclusion and future work </w:t>
      </w:r>
      <w:bookmarkEnd w:id="36"/>
    </w:p>
    <w:p w14:paraId="6BC6904F" w14:textId="77777777" w:rsidR="008D1D12" w:rsidRDefault="00F51D47">
      <w:pPr>
        <w:pStyle w:val="Heading2"/>
        <w:ind w:left="705" w:hanging="720"/>
      </w:pPr>
      <w:bookmarkStart w:id="37" w:name="_Toc30430"/>
      <w:r>
        <w:t xml:space="preserve">Conclusion </w:t>
      </w:r>
      <w:bookmarkEnd w:id="37"/>
    </w:p>
    <w:p w14:paraId="3B9B1E49" w14:textId="77777777" w:rsidR="008D1D12" w:rsidRDefault="00F51D47">
      <w:pPr>
        <w:spacing w:after="202" w:line="357" w:lineRule="auto"/>
        <w:ind w:left="-5" w:right="52"/>
      </w:pPr>
      <w:r>
        <w:t xml:space="preserve">The author’s conclusion is that implementation of a BYOD policy will have a positive impact on the productivity and efficiency of Hyper-fort as an organisation. The author suggests the </w:t>
      </w:r>
      <w:r>
        <w:lastRenderedPageBreak/>
        <w:t xml:space="preserve">policy is aimed at users using their devices alongside their current enterprise devices (e.g. staff) or those who would not usually be provided with a device (e.g. clients). Whilst there are potential security dilemmas that need to be accounted for, the widespread adoption of BYOD policies in various sectors means solutions and strategies have already been found to counteract them. From a network perspective, segregation of devices and their traffic on the network, and strong cryptography for establishing connections and data transmission can provide protection from data leakage. From a device perspective, a complete UEM solution with appropriate policies and access control can protect sensitive data from deliberate and unintentional data leakage. These counter-measures reduce the risks associated with BYOD sufficiently for the author to make their recommendation. </w:t>
      </w:r>
    </w:p>
    <w:p w14:paraId="48E5AC76" w14:textId="77777777" w:rsidR="008D1D12" w:rsidRDefault="00F51D47">
      <w:pPr>
        <w:pStyle w:val="Heading2"/>
        <w:ind w:left="705" w:hanging="720"/>
      </w:pPr>
      <w:bookmarkStart w:id="38" w:name="_Toc30431"/>
      <w:r>
        <w:t xml:space="preserve">Future work </w:t>
      </w:r>
      <w:bookmarkEnd w:id="38"/>
    </w:p>
    <w:p w14:paraId="2E1611D2" w14:textId="77777777" w:rsidR="008D1D12" w:rsidRDefault="00F51D47">
      <w:pPr>
        <w:spacing w:after="183" w:line="357" w:lineRule="auto"/>
        <w:ind w:left="-5" w:right="52"/>
      </w:pPr>
      <w:r>
        <w:t xml:space="preserve">One potential area for future work would be to investigate the implications of the recently announced WPA3 security protocol. This incorporates several new features to improve security [21]. These include: </w:t>
      </w:r>
    </w:p>
    <w:p w14:paraId="1FB66ECC" w14:textId="77777777" w:rsidR="008D1D12" w:rsidRDefault="00F51D47">
      <w:pPr>
        <w:numPr>
          <w:ilvl w:val="0"/>
          <w:numId w:val="7"/>
        </w:numPr>
        <w:spacing w:after="23" w:line="357" w:lineRule="auto"/>
        <w:ind w:right="52" w:hanging="360"/>
      </w:pPr>
      <w:r>
        <w:t xml:space="preserve">Opportunistic Wireless Encryption (OWE) – provides data encryption to users on open wireless networks. </w:t>
      </w:r>
    </w:p>
    <w:p w14:paraId="34C542DB" w14:textId="77777777" w:rsidR="008D1D12" w:rsidRDefault="00F51D47">
      <w:pPr>
        <w:numPr>
          <w:ilvl w:val="0"/>
          <w:numId w:val="7"/>
        </w:numPr>
        <w:spacing w:after="23" w:line="357" w:lineRule="auto"/>
        <w:ind w:right="52" w:hanging="360"/>
      </w:pPr>
      <w:r>
        <w:t xml:space="preserve">Forward secrecy – protects previously transmitted data even if the password has been compromised after the transmission. </w:t>
      </w:r>
    </w:p>
    <w:p w14:paraId="0EA28E9F" w14:textId="77777777" w:rsidR="008D1D12" w:rsidRDefault="00F51D47">
      <w:pPr>
        <w:numPr>
          <w:ilvl w:val="0"/>
          <w:numId w:val="7"/>
        </w:numPr>
        <w:spacing w:after="22" w:line="358" w:lineRule="auto"/>
        <w:ind w:right="52" w:hanging="360"/>
      </w:pPr>
      <w:r>
        <w:t xml:space="preserve">Simultaneous Authentication of Equals (SAE) – replaces the PSK in WPA2-Personal and prevents attempts to retrieve the network password </w:t>
      </w:r>
      <w:proofErr w:type="gramStart"/>
      <w:r>
        <w:t>through the use of</w:t>
      </w:r>
      <w:proofErr w:type="gramEnd"/>
      <w:r>
        <w:t xml:space="preserve"> </w:t>
      </w:r>
      <w:proofErr w:type="spellStart"/>
      <w:r>
        <w:t>offlinedictionary</w:t>
      </w:r>
      <w:proofErr w:type="spellEnd"/>
      <w:r>
        <w:t xml:space="preserve"> attacks. </w:t>
      </w:r>
    </w:p>
    <w:p w14:paraId="0D46330C" w14:textId="77777777" w:rsidR="008D1D12" w:rsidRDefault="00F51D47">
      <w:pPr>
        <w:numPr>
          <w:ilvl w:val="0"/>
          <w:numId w:val="7"/>
        </w:numPr>
        <w:spacing w:after="160" w:line="357" w:lineRule="auto"/>
        <w:ind w:right="52" w:hanging="360"/>
      </w:pPr>
      <w:r>
        <w:t xml:space="preserve">Stronger encryption modes in WPA3-Enterprise – 192-bit minimum strength security protocols available as an optional mode. </w:t>
      </w:r>
    </w:p>
    <w:p w14:paraId="5920F932" w14:textId="77777777" w:rsidR="008D1D12" w:rsidRDefault="00F51D47">
      <w:pPr>
        <w:spacing w:after="281" w:line="362" w:lineRule="auto"/>
        <w:ind w:left="-15" w:firstLine="0"/>
        <w:jc w:val="left"/>
      </w:pPr>
      <w:r>
        <w:t>Although WPA3 was announced in June 2018 [22], speculation suggests widespread adoption isn’t expected until at least 2019 [23] [24] [25]. Similar to the transition from WEP to WPA, it is possible for some devices to be made WPA3 compliant through firmware updates [</w:t>
      </w:r>
      <w:proofErr w:type="gramStart"/>
      <w:r>
        <w:t>25][</w:t>
      </w:r>
      <w:proofErr w:type="gramEnd"/>
      <w:r>
        <w:t xml:space="preserve">26]. </w:t>
      </w:r>
    </w:p>
    <w:p w14:paraId="6104E8F3" w14:textId="77777777" w:rsidR="008D1D12" w:rsidRDefault="00F51D47">
      <w:pPr>
        <w:pStyle w:val="Heading1"/>
        <w:spacing w:after="0"/>
        <w:ind w:left="343" w:hanging="358"/>
      </w:pPr>
      <w:bookmarkStart w:id="39" w:name="_Toc30432"/>
      <w:r>
        <w:t xml:space="preserve">Glossary </w:t>
      </w:r>
      <w:bookmarkEnd w:id="39"/>
    </w:p>
    <w:tbl>
      <w:tblPr>
        <w:tblStyle w:val="TableGrid"/>
        <w:tblW w:w="9018" w:type="dxa"/>
        <w:tblInd w:w="5" w:type="dxa"/>
        <w:tblCellMar>
          <w:top w:w="14" w:type="dxa"/>
          <w:left w:w="108" w:type="dxa"/>
          <w:bottom w:w="0" w:type="dxa"/>
          <w:right w:w="115" w:type="dxa"/>
        </w:tblCellMar>
        <w:tblLook w:val="04A0" w:firstRow="1" w:lastRow="0" w:firstColumn="1" w:lastColumn="0" w:noHBand="0" w:noVBand="1"/>
      </w:tblPr>
      <w:tblGrid>
        <w:gridCol w:w="1838"/>
        <w:gridCol w:w="7180"/>
      </w:tblGrid>
      <w:tr w:rsidR="008D1D12" w14:paraId="4D71E040" w14:textId="77777777">
        <w:trPr>
          <w:trHeight w:val="422"/>
        </w:trPr>
        <w:tc>
          <w:tcPr>
            <w:tcW w:w="1838" w:type="dxa"/>
            <w:tcBorders>
              <w:top w:val="single" w:sz="4" w:space="0" w:color="000000"/>
              <w:left w:val="single" w:sz="4" w:space="0" w:color="000000"/>
              <w:bottom w:val="single" w:sz="4" w:space="0" w:color="000000"/>
              <w:right w:val="single" w:sz="4" w:space="0" w:color="000000"/>
            </w:tcBorders>
          </w:tcPr>
          <w:p w14:paraId="1469A0CD" w14:textId="77777777" w:rsidR="008D1D12" w:rsidRDefault="00F51D47">
            <w:pPr>
              <w:spacing w:after="0" w:line="259" w:lineRule="auto"/>
              <w:ind w:left="0" w:firstLine="0"/>
              <w:jc w:val="left"/>
            </w:pPr>
            <w:r>
              <w:rPr>
                <w:b/>
              </w:rPr>
              <w:t xml:space="preserve">Acronym </w:t>
            </w:r>
          </w:p>
        </w:tc>
        <w:tc>
          <w:tcPr>
            <w:tcW w:w="7180" w:type="dxa"/>
            <w:tcBorders>
              <w:top w:val="single" w:sz="4" w:space="0" w:color="000000"/>
              <w:left w:val="single" w:sz="4" w:space="0" w:color="000000"/>
              <w:bottom w:val="single" w:sz="4" w:space="0" w:color="000000"/>
              <w:right w:val="single" w:sz="4" w:space="0" w:color="000000"/>
            </w:tcBorders>
          </w:tcPr>
          <w:p w14:paraId="334A88E1" w14:textId="77777777" w:rsidR="008D1D12" w:rsidRDefault="00F51D47">
            <w:pPr>
              <w:spacing w:after="0" w:line="259" w:lineRule="auto"/>
              <w:ind w:left="0" w:firstLine="0"/>
              <w:jc w:val="left"/>
            </w:pPr>
            <w:r>
              <w:rPr>
                <w:b/>
              </w:rPr>
              <w:t xml:space="preserve">Term </w:t>
            </w:r>
          </w:p>
        </w:tc>
      </w:tr>
      <w:tr w:rsidR="008D1D12" w14:paraId="2E9CD6F5" w14:textId="77777777">
        <w:trPr>
          <w:trHeight w:val="425"/>
        </w:trPr>
        <w:tc>
          <w:tcPr>
            <w:tcW w:w="1838" w:type="dxa"/>
            <w:tcBorders>
              <w:top w:val="single" w:sz="4" w:space="0" w:color="000000"/>
              <w:left w:val="single" w:sz="4" w:space="0" w:color="000000"/>
              <w:bottom w:val="single" w:sz="4" w:space="0" w:color="000000"/>
              <w:right w:val="single" w:sz="4" w:space="0" w:color="000000"/>
            </w:tcBorders>
          </w:tcPr>
          <w:p w14:paraId="24B4E027" w14:textId="77777777" w:rsidR="008D1D12" w:rsidRDefault="00F51D47">
            <w:pPr>
              <w:spacing w:after="0" w:line="259" w:lineRule="auto"/>
              <w:ind w:left="0" w:firstLine="0"/>
              <w:jc w:val="left"/>
            </w:pPr>
            <w:r>
              <w:t xml:space="preserve">AAA </w:t>
            </w:r>
          </w:p>
        </w:tc>
        <w:tc>
          <w:tcPr>
            <w:tcW w:w="7180" w:type="dxa"/>
            <w:tcBorders>
              <w:top w:val="single" w:sz="4" w:space="0" w:color="000000"/>
              <w:left w:val="single" w:sz="4" w:space="0" w:color="000000"/>
              <w:bottom w:val="single" w:sz="4" w:space="0" w:color="000000"/>
              <w:right w:val="single" w:sz="4" w:space="0" w:color="000000"/>
            </w:tcBorders>
          </w:tcPr>
          <w:p w14:paraId="4A07F708" w14:textId="77777777" w:rsidR="008D1D12" w:rsidRDefault="00F51D47">
            <w:pPr>
              <w:spacing w:after="0" w:line="259" w:lineRule="auto"/>
              <w:ind w:left="0" w:firstLine="0"/>
              <w:jc w:val="left"/>
            </w:pPr>
            <w:r>
              <w:t xml:space="preserve">Authentication, Authorisation, Accounting </w:t>
            </w:r>
          </w:p>
        </w:tc>
      </w:tr>
      <w:tr w:rsidR="008D1D12" w14:paraId="6F3AF37D" w14:textId="77777777">
        <w:trPr>
          <w:trHeight w:val="425"/>
        </w:trPr>
        <w:tc>
          <w:tcPr>
            <w:tcW w:w="1838" w:type="dxa"/>
            <w:tcBorders>
              <w:top w:val="single" w:sz="4" w:space="0" w:color="000000"/>
              <w:left w:val="single" w:sz="4" w:space="0" w:color="000000"/>
              <w:bottom w:val="single" w:sz="4" w:space="0" w:color="000000"/>
              <w:right w:val="single" w:sz="4" w:space="0" w:color="000000"/>
            </w:tcBorders>
          </w:tcPr>
          <w:p w14:paraId="51EF41CE" w14:textId="77777777" w:rsidR="008D1D12" w:rsidRDefault="00F51D47">
            <w:pPr>
              <w:spacing w:after="0" w:line="259" w:lineRule="auto"/>
              <w:ind w:left="0" w:firstLine="0"/>
              <w:jc w:val="left"/>
            </w:pPr>
            <w:r>
              <w:t xml:space="preserve">AP </w:t>
            </w:r>
          </w:p>
        </w:tc>
        <w:tc>
          <w:tcPr>
            <w:tcW w:w="7180" w:type="dxa"/>
            <w:tcBorders>
              <w:top w:val="single" w:sz="4" w:space="0" w:color="000000"/>
              <w:left w:val="single" w:sz="4" w:space="0" w:color="000000"/>
              <w:bottom w:val="single" w:sz="4" w:space="0" w:color="000000"/>
              <w:right w:val="single" w:sz="4" w:space="0" w:color="000000"/>
            </w:tcBorders>
          </w:tcPr>
          <w:p w14:paraId="62BC5CA4" w14:textId="77777777" w:rsidR="008D1D12" w:rsidRDefault="00F51D47">
            <w:pPr>
              <w:spacing w:after="0" w:line="259" w:lineRule="auto"/>
              <w:ind w:left="0" w:firstLine="0"/>
              <w:jc w:val="left"/>
            </w:pPr>
            <w:r>
              <w:t xml:space="preserve">Access point </w:t>
            </w:r>
          </w:p>
        </w:tc>
      </w:tr>
      <w:tr w:rsidR="008D1D12" w14:paraId="2F22D8FF" w14:textId="77777777">
        <w:trPr>
          <w:trHeight w:val="422"/>
        </w:trPr>
        <w:tc>
          <w:tcPr>
            <w:tcW w:w="1838" w:type="dxa"/>
            <w:tcBorders>
              <w:top w:val="single" w:sz="4" w:space="0" w:color="000000"/>
              <w:left w:val="single" w:sz="4" w:space="0" w:color="000000"/>
              <w:bottom w:val="single" w:sz="4" w:space="0" w:color="000000"/>
              <w:right w:val="single" w:sz="4" w:space="0" w:color="000000"/>
            </w:tcBorders>
          </w:tcPr>
          <w:p w14:paraId="439C028A" w14:textId="77777777" w:rsidR="008D1D12" w:rsidRDefault="00F51D47">
            <w:pPr>
              <w:spacing w:after="0" w:line="259" w:lineRule="auto"/>
              <w:ind w:left="0" w:firstLine="0"/>
              <w:jc w:val="left"/>
            </w:pPr>
            <w:r>
              <w:lastRenderedPageBreak/>
              <w:t xml:space="preserve">BYOD </w:t>
            </w:r>
          </w:p>
        </w:tc>
        <w:tc>
          <w:tcPr>
            <w:tcW w:w="7180" w:type="dxa"/>
            <w:tcBorders>
              <w:top w:val="single" w:sz="4" w:space="0" w:color="000000"/>
              <w:left w:val="single" w:sz="4" w:space="0" w:color="000000"/>
              <w:bottom w:val="single" w:sz="4" w:space="0" w:color="000000"/>
              <w:right w:val="single" w:sz="4" w:space="0" w:color="000000"/>
            </w:tcBorders>
          </w:tcPr>
          <w:p w14:paraId="531A32FC" w14:textId="77777777" w:rsidR="008D1D12" w:rsidRDefault="00F51D47">
            <w:pPr>
              <w:spacing w:after="0" w:line="259" w:lineRule="auto"/>
              <w:ind w:left="0" w:firstLine="0"/>
              <w:jc w:val="left"/>
            </w:pPr>
            <w:r>
              <w:t xml:space="preserve">Bring Your Own Device </w:t>
            </w:r>
          </w:p>
        </w:tc>
      </w:tr>
      <w:tr w:rsidR="008D1D12" w14:paraId="6F47182E" w14:textId="77777777">
        <w:trPr>
          <w:trHeight w:val="425"/>
        </w:trPr>
        <w:tc>
          <w:tcPr>
            <w:tcW w:w="1838" w:type="dxa"/>
            <w:tcBorders>
              <w:top w:val="single" w:sz="4" w:space="0" w:color="000000"/>
              <w:left w:val="single" w:sz="4" w:space="0" w:color="000000"/>
              <w:bottom w:val="single" w:sz="4" w:space="0" w:color="000000"/>
              <w:right w:val="single" w:sz="4" w:space="0" w:color="000000"/>
            </w:tcBorders>
          </w:tcPr>
          <w:p w14:paraId="66EB743E" w14:textId="77777777" w:rsidR="008D1D12" w:rsidRDefault="00F51D47">
            <w:pPr>
              <w:spacing w:after="0" w:line="259" w:lineRule="auto"/>
              <w:ind w:left="0" w:firstLine="0"/>
              <w:jc w:val="left"/>
            </w:pPr>
            <w:r>
              <w:t xml:space="preserve">CCTV </w:t>
            </w:r>
          </w:p>
        </w:tc>
        <w:tc>
          <w:tcPr>
            <w:tcW w:w="7180" w:type="dxa"/>
            <w:tcBorders>
              <w:top w:val="single" w:sz="4" w:space="0" w:color="000000"/>
              <w:left w:val="single" w:sz="4" w:space="0" w:color="000000"/>
              <w:bottom w:val="single" w:sz="4" w:space="0" w:color="000000"/>
              <w:right w:val="single" w:sz="4" w:space="0" w:color="000000"/>
            </w:tcBorders>
          </w:tcPr>
          <w:p w14:paraId="71D764E8" w14:textId="77777777" w:rsidR="008D1D12" w:rsidRDefault="00F51D47">
            <w:pPr>
              <w:spacing w:after="0" w:line="259" w:lineRule="auto"/>
              <w:ind w:left="0" w:firstLine="0"/>
              <w:jc w:val="left"/>
            </w:pPr>
            <w:r>
              <w:t xml:space="preserve">Closed Circuit Television </w:t>
            </w:r>
          </w:p>
        </w:tc>
      </w:tr>
      <w:tr w:rsidR="008D1D12" w14:paraId="6CFD9EF8" w14:textId="77777777">
        <w:trPr>
          <w:trHeight w:val="425"/>
        </w:trPr>
        <w:tc>
          <w:tcPr>
            <w:tcW w:w="1838" w:type="dxa"/>
            <w:tcBorders>
              <w:top w:val="single" w:sz="4" w:space="0" w:color="000000"/>
              <w:left w:val="single" w:sz="4" w:space="0" w:color="000000"/>
              <w:bottom w:val="single" w:sz="4" w:space="0" w:color="000000"/>
              <w:right w:val="single" w:sz="4" w:space="0" w:color="000000"/>
            </w:tcBorders>
          </w:tcPr>
          <w:p w14:paraId="15779F50" w14:textId="77777777" w:rsidR="008D1D12" w:rsidRDefault="00F51D47">
            <w:pPr>
              <w:spacing w:after="0" w:line="259" w:lineRule="auto"/>
              <w:ind w:left="0" w:firstLine="0"/>
              <w:jc w:val="left"/>
            </w:pPr>
            <w:r>
              <w:t xml:space="preserve">CLI </w:t>
            </w:r>
          </w:p>
        </w:tc>
        <w:tc>
          <w:tcPr>
            <w:tcW w:w="7180" w:type="dxa"/>
            <w:tcBorders>
              <w:top w:val="single" w:sz="4" w:space="0" w:color="000000"/>
              <w:left w:val="single" w:sz="4" w:space="0" w:color="000000"/>
              <w:bottom w:val="single" w:sz="4" w:space="0" w:color="000000"/>
              <w:right w:val="single" w:sz="4" w:space="0" w:color="000000"/>
            </w:tcBorders>
          </w:tcPr>
          <w:p w14:paraId="29278A9E" w14:textId="77777777" w:rsidR="008D1D12" w:rsidRDefault="00F51D47">
            <w:pPr>
              <w:spacing w:after="0" w:line="259" w:lineRule="auto"/>
              <w:ind w:left="0" w:firstLine="0"/>
              <w:jc w:val="left"/>
            </w:pPr>
            <w:r>
              <w:t xml:space="preserve">Command Line Interface </w:t>
            </w:r>
          </w:p>
        </w:tc>
      </w:tr>
      <w:tr w:rsidR="008D1D12" w14:paraId="38CC25E2" w14:textId="77777777">
        <w:trPr>
          <w:trHeight w:val="422"/>
        </w:trPr>
        <w:tc>
          <w:tcPr>
            <w:tcW w:w="1838" w:type="dxa"/>
            <w:tcBorders>
              <w:top w:val="single" w:sz="4" w:space="0" w:color="000000"/>
              <w:left w:val="single" w:sz="4" w:space="0" w:color="000000"/>
              <w:bottom w:val="single" w:sz="4" w:space="0" w:color="000000"/>
              <w:right w:val="single" w:sz="4" w:space="0" w:color="000000"/>
            </w:tcBorders>
          </w:tcPr>
          <w:p w14:paraId="58C88C8C" w14:textId="77777777" w:rsidR="008D1D12" w:rsidRDefault="00F51D47">
            <w:pPr>
              <w:spacing w:after="0" w:line="259" w:lineRule="auto"/>
              <w:ind w:left="0" w:firstLine="0"/>
              <w:jc w:val="left"/>
            </w:pPr>
            <w:r>
              <w:t xml:space="preserve">CMT </w:t>
            </w:r>
          </w:p>
        </w:tc>
        <w:tc>
          <w:tcPr>
            <w:tcW w:w="7180" w:type="dxa"/>
            <w:tcBorders>
              <w:top w:val="single" w:sz="4" w:space="0" w:color="000000"/>
              <w:left w:val="single" w:sz="4" w:space="0" w:color="000000"/>
              <w:bottom w:val="single" w:sz="4" w:space="0" w:color="000000"/>
              <w:right w:val="single" w:sz="4" w:space="0" w:color="000000"/>
            </w:tcBorders>
          </w:tcPr>
          <w:p w14:paraId="20C4CBD3" w14:textId="77777777" w:rsidR="008D1D12" w:rsidRDefault="00F51D47">
            <w:pPr>
              <w:spacing w:after="0" w:line="259" w:lineRule="auto"/>
              <w:ind w:left="0" w:firstLine="0"/>
              <w:jc w:val="left"/>
            </w:pPr>
            <w:r>
              <w:t xml:space="preserve">Client Management Tool </w:t>
            </w:r>
          </w:p>
        </w:tc>
      </w:tr>
      <w:tr w:rsidR="008D1D12" w14:paraId="1B51216A" w14:textId="77777777">
        <w:trPr>
          <w:trHeight w:val="425"/>
        </w:trPr>
        <w:tc>
          <w:tcPr>
            <w:tcW w:w="1838" w:type="dxa"/>
            <w:tcBorders>
              <w:top w:val="single" w:sz="4" w:space="0" w:color="000000"/>
              <w:left w:val="single" w:sz="4" w:space="0" w:color="000000"/>
              <w:bottom w:val="single" w:sz="4" w:space="0" w:color="000000"/>
              <w:right w:val="single" w:sz="4" w:space="0" w:color="000000"/>
            </w:tcBorders>
          </w:tcPr>
          <w:p w14:paraId="0AD62CD7" w14:textId="77777777" w:rsidR="008D1D12" w:rsidRDefault="00F51D47">
            <w:pPr>
              <w:spacing w:after="0" w:line="259" w:lineRule="auto"/>
              <w:ind w:left="0" w:firstLine="0"/>
              <w:jc w:val="left"/>
            </w:pPr>
            <w:r>
              <w:t xml:space="preserve">DRM </w:t>
            </w:r>
          </w:p>
        </w:tc>
        <w:tc>
          <w:tcPr>
            <w:tcW w:w="7180" w:type="dxa"/>
            <w:tcBorders>
              <w:top w:val="single" w:sz="4" w:space="0" w:color="000000"/>
              <w:left w:val="single" w:sz="4" w:space="0" w:color="000000"/>
              <w:bottom w:val="single" w:sz="4" w:space="0" w:color="000000"/>
              <w:right w:val="single" w:sz="4" w:space="0" w:color="000000"/>
            </w:tcBorders>
          </w:tcPr>
          <w:p w14:paraId="5582F07F" w14:textId="77777777" w:rsidR="008D1D12" w:rsidRDefault="00F51D47">
            <w:pPr>
              <w:spacing w:after="0" w:line="259" w:lineRule="auto"/>
              <w:ind w:left="0" w:firstLine="0"/>
              <w:jc w:val="left"/>
            </w:pPr>
            <w:r>
              <w:t xml:space="preserve">Digital Rights Management </w:t>
            </w:r>
          </w:p>
        </w:tc>
      </w:tr>
      <w:tr w:rsidR="008D1D12" w14:paraId="65446F40" w14:textId="77777777">
        <w:trPr>
          <w:trHeight w:val="425"/>
        </w:trPr>
        <w:tc>
          <w:tcPr>
            <w:tcW w:w="1838" w:type="dxa"/>
            <w:tcBorders>
              <w:top w:val="single" w:sz="4" w:space="0" w:color="000000"/>
              <w:left w:val="single" w:sz="4" w:space="0" w:color="000000"/>
              <w:bottom w:val="single" w:sz="4" w:space="0" w:color="000000"/>
              <w:right w:val="single" w:sz="4" w:space="0" w:color="000000"/>
            </w:tcBorders>
          </w:tcPr>
          <w:p w14:paraId="127B9ADB" w14:textId="77777777" w:rsidR="008D1D12" w:rsidRDefault="00F51D47">
            <w:pPr>
              <w:spacing w:after="0" w:line="259" w:lineRule="auto"/>
              <w:ind w:left="0" w:firstLine="0"/>
              <w:jc w:val="left"/>
            </w:pPr>
            <w:r>
              <w:t xml:space="preserve">EMM </w:t>
            </w:r>
          </w:p>
        </w:tc>
        <w:tc>
          <w:tcPr>
            <w:tcW w:w="7180" w:type="dxa"/>
            <w:tcBorders>
              <w:top w:val="single" w:sz="4" w:space="0" w:color="000000"/>
              <w:left w:val="single" w:sz="4" w:space="0" w:color="000000"/>
              <w:bottom w:val="single" w:sz="4" w:space="0" w:color="000000"/>
              <w:right w:val="single" w:sz="4" w:space="0" w:color="000000"/>
            </w:tcBorders>
          </w:tcPr>
          <w:p w14:paraId="2AF071A4" w14:textId="77777777" w:rsidR="008D1D12" w:rsidRDefault="00F51D47">
            <w:pPr>
              <w:spacing w:after="0" w:line="259" w:lineRule="auto"/>
              <w:ind w:left="0" w:firstLine="0"/>
              <w:jc w:val="left"/>
            </w:pPr>
            <w:r>
              <w:t xml:space="preserve">Enterprise Mobility Management </w:t>
            </w:r>
          </w:p>
        </w:tc>
      </w:tr>
      <w:tr w:rsidR="008D1D12" w14:paraId="4EED897A" w14:textId="77777777">
        <w:trPr>
          <w:trHeight w:val="422"/>
        </w:trPr>
        <w:tc>
          <w:tcPr>
            <w:tcW w:w="1838" w:type="dxa"/>
            <w:tcBorders>
              <w:top w:val="single" w:sz="4" w:space="0" w:color="000000"/>
              <w:left w:val="single" w:sz="4" w:space="0" w:color="000000"/>
              <w:bottom w:val="single" w:sz="4" w:space="0" w:color="000000"/>
              <w:right w:val="single" w:sz="4" w:space="0" w:color="000000"/>
            </w:tcBorders>
          </w:tcPr>
          <w:p w14:paraId="0D6CDFD1" w14:textId="77777777" w:rsidR="008D1D12" w:rsidRDefault="00F51D47">
            <w:pPr>
              <w:spacing w:after="0" w:line="259" w:lineRule="auto"/>
              <w:ind w:left="0" w:firstLine="0"/>
              <w:jc w:val="left"/>
            </w:pPr>
            <w:r>
              <w:t xml:space="preserve">IDS </w:t>
            </w:r>
          </w:p>
        </w:tc>
        <w:tc>
          <w:tcPr>
            <w:tcW w:w="7180" w:type="dxa"/>
            <w:tcBorders>
              <w:top w:val="single" w:sz="4" w:space="0" w:color="000000"/>
              <w:left w:val="single" w:sz="4" w:space="0" w:color="000000"/>
              <w:bottom w:val="single" w:sz="4" w:space="0" w:color="000000"/>
              <w:right w:val="single" w:sz="4" w:space="0" w:color="000000"/>
            </w:tcBorders>
          </w:tcPr>
          <w:p w14:paraId="24D3082E" w14:textId="77777777" w:rsidR="008D1D12" w:rsidRDefault="00F51D47">
            <w:pPr>
              <w:spacing w:after="0" w:line="259" w:lineRule="auto"/>
              <w:ind w:left="0" w:firstLine="0"/>
              <w:jc w:val="left"/>
            </w:pPr>
            <w:r>
              <w:t xml:space="preserve">Intrusion Detection System </w:t>
            </w:r>
          </w:p>
        </w:tc>
      </w:tr>
      <w:tr w:rsidR="008D1D12" w14:paraId="6D7D15AE" w14:textId="77777777">
        <w:trPr>
          <w:trHeight w:val="425"/>
        </w:trPr>
        <w:tc>
          <w:tcPr>
            <w:tcW w:w="1838" w:type="dxa"/>
            <w:tcBorders>
              <w:top w:val="single" w:sz="4" w:space="0" w:color="000000"/>
              <w:left w:val="single" w:sz="4" w:space="0" w:color="000000"/>
              <w:bottom w:val="single" w:sz="4" w:space="0" w:color="000000"/>
              <w:right w:val="single" w:sz="4" w:space="0" w:color="000000"/>
            </w:tcBorders>
          </w:tcPr>
          <w:p w14:paraId="09BFF314" w14:textId="77777777" w:rsidR="008D1D12" w:rsidRDefault="00F51D47">
            <w:pPr>
              <w:spacing w:after="0" w:line="259" w:lineRule="auto"/>
              <w:ind w:left="0" w:firstLine="0"/>
              <w:jc w:val="left"/>
            </w:pPr>
            <w:r>
              <w:t xml:space="preserve">IoT </w:t>
            </w:r>
          </w:p>
        </w:tc>
        <w:tc>
          <w:tcPr>
            <w:tcW w:w="7180" w:type="dxa"/>
            <w:tcBorders>
              <w:top w:val="single" w:sz="4" w:space="0" w:color="000000"/>
              <w:left w:val="single" w:sz="4" w:space="0" w:color="000000"/>
              <w:bottom w:val="single" w:sz="4" w:space="0" w:color="000000"/>
              <w:right w:val="single" w:sz="4" w:space="0" w:color="000000"/>
            </w:tcBorders>
          </w:tcPr>
          <w:p w14:paraId="23DCED01" w14:textId="77777777" w:rsidR="008D1D12" w:rsidRDefault="00F51D47">
            <w:pPr>
              <w:spacing w:after="0" w:line="259" w:lineRule="auto"/>
              <w:ind w:left="0" w:firstLine="0"/>
              <w:jc w:val="left"/>
            </w:pPr>
            <w:r>
              <w:t xml:space="preserve">Internet of Things </w:t>
            </w:r>
          </w:p>
        </w:tc>
      </w:tr>
      <w:tr w:rsidR="008D1D12" w14:paraId="502B8008" w14:textId="77777777">
        <w:trPr>
          <w:trHeight w:val="422"/>
        </w:trPr>
        <w:tc>
          <w:tcPr>
            <w:tcW w:w="1838" w:type="dxa"/>
            <w:tcBorders>
              <w:top w:val="single" w:sz="4" w:space="0" w:color="000000"/>
              <w:left w:val="single" w:sz="4" w:space="0" w:color="000000"/>
              <w:bottom w:val="single" w:sz="4" w:space="0" w:color="000000"/>
              <w:right w:val="single" w:sz="4" w:space="0" w:color="000000"/>
            </w:tcBorders>
          </w:tcPr>
          <w:p w14:paraId="72B597A3" w14:textId="77777777" w:rsidR="008D1D12" w:rsidRDefault="00F51D47">
            <w:pPr>
              <w:spacing w:after="0" w:line="259" w:lineRule="auto"/>
              <w:ind w:left="0" w:firstLine="0"/>
              <w:jc w:val="left"/>
            </w:pPr>
            <w:r>
              <w:t xml:space="preserve">IPS </w:t>
            </w:r>
          </w:p>
        </w:tc>
        <w:tc>
          <w:tcPr>
            <w:tcW w:w="7180" w:type="dxa"/>
            <w:tcBorders>
              <w:top w:val="single" w:sz="4" w:space="0" w:color="000000"/>
              <w:left w:val="single" w:sz="4" w:space="0" w:color="000000"/>
              <w:bottom w:val="single" w:sz="4" w:space="0" w:color="000000"/>
              <w:right w:val="single" w:sz="4" w:space="0" w:color="000000"/>
            </w:tcBorders>
          </w:tcPr>
          <w:p w14:paraId="3B8749EB" w14:textId="77777777" w:rsidR="008D1D12" w:rsidRDefault="00F51D47">
            <w:pPr>
              <w:spacing w:after="0" w:line="259" w:lineRule="auto"/>
              <w:ind w:left="0" w:firstLine="0"/>
              <w:jc w:val="left"/>
            </w:pPr>
            <w:r>
              <w:t xml:space="preserve">Intrusion Prevention System </w:t>
            </w:r>
          </w:p>
        </w:tc>
      </w:tr>
      <w:tr w:rsidR="008D1D12" w14:paraId="7AA69EA2" w14:textId="77777777">
        <w:trPr>
          <w:trHeight w:val="425"/>
        </w:trPr>
        <w:tc>
          <w:tcPr>
            <w:tcW w:w="1838" w:type="dxa"/>
            <w:tcBorders>
              <w:top w:val="single" w:sz="4" w:space="0" w:color="000000"/>
              <w:left w:val="single" w:sz="4" w:space="0" w:color="000000"/>
              <w:bottom w:val="single" w:sz="4" w:space="0" w:color="000000"/>
              <w:right w:val="single" w:sz="4" w:space="0" w:color="000000"/>
            </w:tcBorders>
          </w:tcPr>
          <w:p w14:paraId="2FDB8D92" w14:textId="77777777" w:rsidR="008D1D12" w:rsidRDefault="00F51D47">
            <w:pPr>
              <w:spacing w:after="0" w:line="259" w:lineRule="auto"/>
              <w:ind w:left="0" w:firstLine="0"/>
              <w:jc w:val="left"/>
            </w:pPr>
            <w:r>
              <w:t xml:space="preserve">LAN </w:t>
            </w:r>
          </w:p>
        </w:tc>
        <w:tc>
          <w:tcPr>
            <w:tcW w:w="7180" w:type="dxa"/>
            <w:tcBorders>
              <w:top w:val="single" w:sz="4" w:space="0" w:color="000000"/>
              <w:left w:val="single" w:sz="4" w:space="0" w:color="000000"/>
              <w:bottom w:val="single" w:sz="4" w:space="0" w:color="000000"/>
              <w:right w:val="single" w:sz="4" w:space="0" w:color="000000"/>
            </w:tcBorders>
          </w:tcPr>
          <w:p w14:paraId="14D2EBA4" w14:textId="77777777" w:rsidR="008D1D12" w:rsidRDefault="00F51D47">
            <w:pPr>
              <w:spacing w:after="0" w:line="259" w:lineRule="auto"/>
              <w:ind w:left="0" w:firstLine="0"/>
              <w:jc w:val="left"/>
            </w:pPr>
            <w:r>
              <w:t xml:space="preserve">Local Area Network </w:t>
            </w:r>
          </w:p>
        </w:tc>
      </w:tr>
      <w:tr w:rsidR="008D1D12" w14:paraId="2C3345AC" w14:textId="77777777">
        <w:trPr>
          <w:trHeight w:val="425"/>
        </w:trPr>
        <w:tc>
          <w:tcPr>
            <w:tcW w:w="1838" w:type="dxa"/>
            <w:tcBorders>
              <w:top w:val="single" w:sz="4" w:space="0" w:color="000000"/>
              <w:left w:val="single" w:sz="4" w:space="0" w:color="000000"/>
              <w:bottom w:val="single" w:sz="4" w:space="0" w:color="000000"/>
              <w:right w:val="single" w:sz="4" w:space="0" w:color="000000"/>
            </w:tcBorders>
          </w:tcPr>
          <w:p w14:paraId="6520A58F" w14:textId="77777777" w:rsidR="008D1D12" w:rsidRDefault="00F51D47">
            <w:pPr>
              <w:spacing w:after="0" w:line="259" w:lineRule="auto"/>
              <w:ind w:left="0" w:firstLine="0"/>
              <w:jc w:val="left"/>
            </w:pPr>
            <w:r>
              <w:t xml:space="preserve">MDM </w:t>
            </w:r>
          </w:p>
        </w:tc>
        <w:tc>
          <w:tcPr>
            <w:tcW w:w="7180" w:type="dxa"/>
            <w:tcBorders>
              <w:top w:val="single" w:sz="4" w:space="0" w:color="000000"/>
              <w:left w:val="single" w:sz="4" w:space="0" w:color="000000"/>
              <w:bottom w:val="single" w:sz="4" w:space="0" w:color="000000"/>
              <w:right w:val="single" w:sz="4" w:space="0" w:color="000000"/>
            </w:tcBorders>
          </w:tcPr>
          <w:p w14:paraId="307C50C4" w14:textId="77777777" w:rsidR="008D1D12" w:rsidRDefault="00F51D47">
            <w:pPr>
              <w:spacing w:after="0" w:line="259" w:lineRule="auto"/>
              <w:ind w:left="0" w:firstLine="0"/>
              <w:jc w:val="left"/>
            </w:pPr>
            <w:r>
              <w:t xml:space="preserve">Mobile Device Management </w:t>
            </w:r>
          </w:p>
        </w:tc>
      </w:tr>
      <w:tr w:rsidR="008D1D12" w14:paraId="67E527B0" w14:textId="77777777">
        <w:trPr>
          <w:trHeight w:val="422"/>
        </w:trPr>
        <w:tc>
          <w:tcPr>
            <w:tcW w:w="1838" w:type="dxa"/>
            <w:tcBorders>
              <w:top w:val="single" w:sz="4" w:space="0" w:color="000000"/>
              <w:left w:val="single" w:sz="4" w:space="0" w:color="000000"/>
              <w:bottom w:val="single" w:sz="4" w:space="0" w:color="000000"/>
              <w:right w:val="single" w:sz="4" w:space="0" w:color="000000"/>
            </w:tcBorders>
          </w:tcPr>
          <w:p w14:paraId="4604A27D" w14:textId="77777777" w:rsidR="008D1D12" w:rsidRDefault="00F51D47">
            <w:pPr>
              <w:spacing w:after="0" w:line="259" w:lineRule="auto"/>
              <w:ind w:left="0" w:firstLine="0"/>
              <w:jc w:val="left"/>
            </w:pPr>
            <w:r>
              <w:t xml:space="preserve">NIC </w:t>
            </w:r>
          </w:p>
        </w:tc>
        <w:tc>
          <w:tcPr>
            <w:tcW w:w="7180" w:type="dxa"/>
            <w:tcBorders>
              <w:top w:val="single" w:sz="4" w:space="0" w:color="000000"/>
              <w:left w:val="single" w:sz="4" w:space="0" w:color="000000"/>
              <w:bottom w:val="single" w:sz="4" w:space="0" w:color="000000"/>
              <w:right w:val="single" w:sz="4" w:space="0" w:color="000000"/>
            </w:tcBorders>
          </w:tcPr>
          <w:p w14:paraId="3ADA686E" w14:textId="77777777" w:rsidR="008D1D12" w:rsidRDefault="00F51D47">
            <w:pPr>
              <w:spacing w:after="0" w:line="259" w:lineRule="auto"/>
              <w:ind w:left="0" w:firstLine="0"/>
              <w:jc w:val="left"/>
            </w:pPr>
            <w:r>
              <w:t xml:space="preserve">Network Interface Card </w:t>
            </w:r>
          </w:p>
        </w:tc>
      </w:tr>
      <w:tr w:rsidR="008D1D12" w14:paraId="3C3F535F" w14:textId="77777777">
        <w:trPr>
          <w:trHeight w:val="425"/>
        </w:trPr>
        <w:tc>
          <w:tcPr>
            <w:tcW w:w="1838" w:type="dxa"/>
            <w:tcBorders>
              <w:top w:val="single" w:sz="4" w:space="0" w:color="000000"/>
              <w:left w:val="single" w:sz="4" w:space="0" w:color="000000"/>
              <w:bottom w:val="single" w:sz="4" w:space="0" w:color="000000"/>
              <w:right w:val="single" w:sz="4" w:space="0" w:color="000000"/>
            </w:tcBorders>
          </w:tcPr>
          <w:p w14:paraId="5D308212" w14:textId="77777777" w:rsidR="008D1D12" w:rsidRDefault="00F51D47">
            <w:pPr>
              <w:spacing w:after="0" w:line="259" w:lineRule="auto"/>
              <w:ind w:left="0" w:firstLine="0"/>
              <w:jc w:val="left"/>
            </w:pPr>
            <w:r>
              <w:t xml:space="preserve">PSK </w:t>
            </w:r>
          </w:p>
        </w:tc>
        <w:tc>
          <w:tcPr>
            <w:tcW w:w="7180" w:type="dxa"/>
            <w:tcBorders>
              <w:top w:val="single" w:sz="4" w:space="0" w:color="000000"/>
              <w:left w:val="single" w:sz="4" w:space="0" w:color="000000"/>
              <w:bottom w:val="single" w:sz="4" w:space="0" w:color="000000"/>
              <w:right w:val="single" w:sz="4" w:space="0" w:color="000000"/>
            </w:tcBorders>
          </w:tcPr>
          <w:p w14:paraId="28FAE566" w14:textId="77777777" w:rsidR="008D1D12" w:rsidRDefault="00F51D47">
            <w:pPr>
              <w:spacing w:after="0" w:line="259" w:lineRule="auto"/>
              <w:ind w:left="0" w:firstLine="0"/>
              <w:jc w:val="left"/>
            </w:pPr>
            <w:r>
              <w:t xml:space="preserve">Pre-Shared Key </w:t>
            </w:r>
          </w:p>
        </w:tc>
      </w:tr>
      <w:tr w:rsidR="008D1D12" w14:paraId="479D95A7" w14:textId="77777777">
        <w:trPr>
          <w:trHeight w:val="425"/>
        </w:trPr>
        <w:tc>
          <w:tcPr>
            <w:tcW w:w="1838" w:type="dxa"/>
            <w:tcBorders>
              <w:top w:val="single" w:sz="4" w:space="0" w:color="000000"/>
              <w:left w:val="single" w:sz="4" w:space="0" w:color="000000"/>
              <w:bottom w:val="single" w:sz="4" w:space="0" w:color="000000"/>
              <w:right w:val="single" w:sz="4" w:space="0" w:color="000000"/>
            </w:tcBorders>
          </w:tcPr>
          <w:p w14:paraId="646E2AC4" w14:textId="77777777" w:rsidR="008D1D12" w:rsidRDefault="00F51D47">
            <w:pPr>
              <w:spacing w:after="0" w:line="259" w:lineRule="auto"/>
              <w:ind w:left="0" w:firstLine="0"/>
              <w:jc w:val="left"/>
            </w:pPr>
            <w:r>
              <w:t xml:space="preserve">QoS </w:t>
            </w:r>
          </w:p>
        </w:tc>
        <w:tc>
          <w:tcPr>
            <w:tcW w:w="7180" w:type="dxa"/>
            <w:tcBorders>
              <w:top w:val="single" w:sz="4" w:space="0" w:color="000000"/>
              <w:left w:val="single" w:sz="4" w:space="0" w:color="000000"/>
              <w:bottom w:val="single" w:sz="4" w:space="0" w:color="000000"/>
              <w:right w:val="single" w:sz="4" w:space="0" w:color="000000"/>
            </w:tcBorders>
          </w:tcPr>
          <w:p w14:paraId="716B9770" w14:textId="77777777" w:rsidR="008D1D12" w:rsidRDefault="00F51D47">
            <w:pPr>
              <w:spacing w:after="0" w:line="259" w:lineRule="auto"/>
              <w:ind w:left="0" w:firstLine="0"/>
              <w:jc w:val="left"/>
            </w:pPr>
            <w:r>
              <w:t xml:space="preserve">Quality of Service </w:t>
            </w:r>
          </w:p>
        </w:tc>
      </w:tr>
      <w:tr w:rsidR="008D1D12" w14:paraId="24DA726C" w14:textId="77777777">
        <w:trPr>
          <w:trHeight w:val="422"/>
        </w:trPr>
        <w:tc>
          <w:tcPr>
            <w:tcW w:w="1838" w:type="dxa"/>
            <w:tcBorders>
              <w:top w:val="single" w:sz="4" w:space="0" w:color="000000"/>
              <w:left w:val="single" w:sz="4" w:space="0" w:color="000000"/>
              <w:bottom w:val="single" w:sz="4" w:space="0" w:color="000000"/>
              <w:right w:val="single" w:sz="4" w:space="0" w:color="000000"/>
            </w:tcBorders>
          </w:tcPr>
          <w:p w14:paraId="03830C27" w14:textId="77777777" w:rsidR="008D1D12" w:rsidRDefault="00F51D47">
            <w:pPr>
              <w:spacing w:after="0" w:line="259" w:lineRule="auto"/>
              <w:ind w:left="0" w:firstLine="0"/>
              <w:jc w:val="left"/>
            </w:pPr>
            <w:r>
              <w:t xml:space="preserve">RFID </w:t>
            </w:r>
          </w:p>
        </w:tc>
        <w:tc>
          <w:tcPr>
            <w:tcW w:w="7180" w:type="dxa"/>
            <w:tcBorders>
              <w:top w:val="single" w:sz="4" w:space="0" w:color="000000"/>
              <w:left w:val="single" w:sz="4" w:space="0" w:color="000000"/>
              <w:bottom w:val="single" w:sz="4" w:space="0" w:color="000000"/>
              <w:right w:val="single" w:sz="4" w:space="0" w:color="000000"/>
            </w:tcBorders>
          </w:tcPr>
          <w:p w14:paraId="5575D788" w14:textId="77777777" w:rsidR="008D1D12" w:rsidRDefault="00F51D47">
            <w:pPr>
              <w:spacing w:after="0" w:line="259" w:lineRule="auto"/>
              <w:ind w:left="0" w:firstLine="0"/>
              <w:jc w:val="left"/>
            </w:pPr>
            <w:r>
              <w:t xml:space="preserve">Radio Frequency Identification </w:t>
            </w:r>
          </w:p>
        </w:tc>
      </w:tr>
      <w:tr w:rsidR="008D1D12" w14:paraId="03D4EF26" w14:textId="77777777">
        <w:trPr>
          <w:trHeight w:val="425"/>
        </w:trPr>
        <w:tc>
          <w:tcPr>
            <w:tcW w:w="1838" w:type="dxa"/>
            <w:tcBorders>
              <w:top w:val="single" w:sz="4" w:space="0" w:color="000000"/>
              <w:left w:val="single" w:sz="4" w:space="0" w:color="000000"/>
              <w:bottom w:val="single" w:sz="4" w:space="0" w:color="000000"/>
              <w:right w:val="single" w:sz="4" w:space="0" w:color="000000"/>
            </w:tcBorders>
          </w:tcPr>
          <w:p w14:paraId="6B644FEE" w14:textId="77777777" w:rsidR="008D1D12" w:rsidRDefault="00F51D47">
            <w:pPr>
              <w:spacing w:after="0" w:line="259" w:lineRule="auto"/>
              <w:ind w:left="0" w:firstLine="0"/>
              <w:jc w:val="left"/>
            </w:pPr>
            <w:r>
              <w:t xml:space="preserve">SSID </w:t>
            </w:r>
          </w:p>
        </w:tc>
        <w:tc>
          <w:tcPr>
            <w:tcW w:w="7180" w:type="dxa"/>
            <w:tcBorders>
              <w:top w:val="single" w:sz="4" w:space="0" w:color="000000"/>
              <w:left w:val="single" w:sz="4" w:space="0" w:color="000000"/>
              <w:bottom w:val="single" w:sz="4" w:space="0" w:color="000000"/>
              <w:right w:val="single" w:sz="4" w:space="0" w:color="000000"/>
            </w:tcBorders>
          </w:tcPr>
          <w:p w14:paraId="025B4E3B" w14:textId="77777777" w:rsidR="008D1D12" w:rsidRDefault="00F51D47">
            <w:pPr>
              <w:spacing w:after="0" w:line="259" w:lineRule="auto"/>
              <w:ind w:left="0" w:firstLine="0"/>
              <w:jc w:val="left"/>
            </w:pPr>
            <w:r>
              <w:t xml:space="preserve">Service Set Identifier </w:t>
            </w:r>
          </w:p>
        </w:tc>
      </w:tr>
      <w:tr w:rsidR="008D1D12" w14:paraId="7B2C4AFF" w14:textId="77777777">
        <w:trPr>
          <w:trHeight w:val="425"/>
        </w:trPr>
        <w:tc>
          <w:tcPr>
            <w:tcW w:w="1838" w:type="dxa"/>
            <w:tcBorders>
              <w:top w:val="single" w:sz="4" w:space="0" w:color="000000"/>
              <w:left w:val="single" w:sz="4" w:space="0" w:color="000000"/>
              <w:bottom w:val="single" w:sz="4" w:space="0" w:color="000000"/>
              <w:right w:val="single" w:sz="4" w:space="0" w:color="000000"/>
            </w:tcBorders>
          </w:tcPr>
          <w:p w14:paraId="1AE743C0" w14:textId="77777777" w:rsidR="008D1D12" w:rsidRDefault="00F51D47">
            <w:pPr>
              <w:spacing w:after="0" w:line="259" w:lineRule="auto"/>
              <w:ind w:left="0" w:firstLine="0"/>
              <w:jc w:val="left"/>
            </w:pPr>
            <w:r>
              <w:t xml:space="preserve">UEM </w:t>
            </w:r>
          </w:p>
        </w:tc>
        <w:tc>
          <w:tcPr>
            <w:tcW w:w="7180" w:type="dxa"/>
            <w:tcBorders>
              <w:top w:val="single" w:sz="4" w:space="0" w:color="000000"/>
              <w:left w:val="single" w:sz="4" w:space="0" w:color="000000"/>
              <w:bottom w:val="single" w:sz="4" w:space="0" w:color="000000"/>
              <w:right w:val="single" w:sz="4" w:space="0" w:color="000000"/>
            </w:tcBorders>
          </w:tcPr>
          <w:p w14:paraId="351ED709" w14:textId="77777777" w:rsidR="008D1D12" w:rsidRDefault="00F51D47">
            <w:pPr>
              <w:spacing w:after="0" w:line="259" w:lineRule="auto"/>
              <w:ind w:left="0" w:firstLine="0"/>
              <w:jc w:val="left"/>
            </w:pPr>
            <w:r>
              <w:t xml:space="preserve">Unified Endpoint Management </w:t>
            </w:r>
          </w:p>
        </w:tc>
      </w:tr>
      <w:tr w:rsidR="008D1D12" w14:paraId="4349F19D" w14:textId="77777777">
        <w:trPr>
          <w:trHeight w:val="422"/>
        </w:trPr>
        <w:tc>
          <w:tcPr>
            <w:tcW w:w="1838" w:type="dxa"/>
            <w:tcBorders>
              <w:top w:val="single" w:sz="4" w:space="0" w:color="000000"/>
              <w:left w:val="single" w:sz="4" w:space="0" w:color="000000"/>
              <w:bottom w:val="single" w:sz="4" w:space="0" w:color="000000"/>
              <w:right w:val="single" w:sz="4" w:space="0" w:color="000000"/>
            </w:tcBorders>
          </w:tcPr>
          <w:p w14:paraId="6D460F35" w14:textId="77777777" w:rsidR="008D1D12" w:rsidRDefault="00F51D47">
            <w:pPr>
              <w:spacing w:after="0" w:line="259" w:lineRule="auto"/>
              <w:ind w:left="0" w:firstLine="0"/>
              <w:jc w:val="left"/>
            </w:pPr>
            <w:r>
              <w:t xml:space="preserve">UPS </w:t>
            </w:r>
          </w:p>
        </w:tc>
        <w:tc>
          <w:tcPr>
            <w:tcW w:w="7180" w:type="dxa"/>
            <w:tcBorders>
              <w:top w:val="single" w:sz="4" w:space="0" w:color="000000"/>
              <w:left w:val="single" w:sz="4" w:space="0" w:color="000000"/>
              <w:bottom w:val="single" w:sz="4" w:space="0" w:color="000000"/>
              <w:right w:val="single" w:sz="4" w:space="0" w:color="000000"/>
            </w:tcBorders>
          </w:tcPr>
          <w:p w14:paraId="33C26282" w14:textId="77777777" w:rsidR="008D1D12" w:rsidRDefault="00F51D47">
            <w:pPr>
              <w:spacing w:after="0" w:line="259" w:lineRule="auto"/>
              <w:ind w:left="0" w:firstLine="0"/>
              <w:jc w:val="left"/>
            </w:pPr>
            <w:r>
              <w:t xml:space="preserve">Uninterruptable Power Supply </w:t>
            </w:r>
          </w:p>
        </w:tc>
      </w:tr>
      <w:tr w:rsidR="008D1D12" w14:paraId="3089D5D4" w14:textId="77777777">
        <w:trPr>
          <w:trHeight w:val="425"/>
        </w:trPr>
        <w:tc>
          <w:tcPr>
            <w:tcW w:w="1838" w:type="dxa"/>
            <w:tcBorders>
              <w:top w:val="single" w:sz="4" w:space="0" w:color="000000"/>
              <w:left w:val="single" w:sz="4" w:space="0" w:color="000000"/>
              <w:bottom w:val="single" w:sz="4" w:space="0" w:color="000000"/>
              <w:right w:val="single" w:sz="4" w:space="0" w:color="000000"/>
            </w:tcBorders>
          </w:tcPr>
          <w:p w14:paraId="06C6EC74" w14:textId="77777777" w:rsidR="008D1D12" w:rsidRDefault="00F51D47">
            <w:pPr>
              <w:spacing w:after="0" w:line="259" w:lineRule="auto"/>
              <w:ind w:left="0" w:firstLine="0"/>
              <w:jc w:val="left"/>
            </w:pPr>
            <w:r>
              <w:t xml:space="preserve">UTM </w:t>
            </w:r>
          </w:p>
        </w:tc>
        <w:tc>
          <w:tcPr>
            <w:tcW w:w="7180" w:type="dxa"/>
            <w:tcBorders>
              <w:top w:val="single" w:sz="4" w:space="0" w:color="000000"/>
              <w:left w:val="single" w:sz="4" w:space="0" w:color="000000"/>
              <w:bottom w:val="single" w:sz="4" w:space="0" w:color="000000"/>
              <w:right w:val="single" w:sz="4" w:space="0" w:color="000000"/>
            </w:tcBorders>
          </w:tcPr>
          <w:p w14:paraId="1869DE82" w14:textId="77777777" w:rsidR="008D1D12" w:rsidRDefault="00F51D47">
            <w:pPr>
              <w:spacing w:after="0" w:line="259" w:lineRule="auto"/>
              <w:ind w:left="0" w:firstLine="0"/>
              <w:jc w:val="left"/>
            </w:pPr>
            <w:r>
              <w:t xml:space="preserve">Unified Threat Management </w:t>
            </w:r>
          </w:p>
        </w:tc>
      </w:tr>
      <w:tr w:rsidR="008D1D12" w14:paraId="68DFB628" w14:textId="77777777">
        <w:trPr>
          <w:trHeight w:val="425"/>
        </w:trPr>
        <w:tc>
          <w:tcPr>
            <w:tcW w:w="1838" w:type="dxa"/>
            <w:tcBorders>
              <w:top w:val="single" w:sz="4" w:space="0" w:color="000000"/>
              <w:left w:val="single" w:sz="4" w:space="0" w:color="000000"/>
              <w:bottom w:val="single" w:sz="4" w:space="0" w:color="000000"/>
              <w:right w:val="single" w:sz="4" w:space="0" w:color="000000"/>
            </w:tcBorders>
          </w:tcPr>
          <w:p w14:paraId="32DCED20" w14:textId="77777777" w:rsidR="008D1D12" w:rsidRDefault="00F51D47">
            <w:pPr>
              <w:spacing w:after="0" w:line="259" w:lineRule="auto"/>
              <w:ind w:left="0" w:firstLine="0"/>
              <w:jc w:val="left"/>
            </w:pPr>
            <w:r>
              <w:t xml:space="preserve">VLAN </w:t>
            </w:r>
          </w:p>
        </w:tc>
        <w:tc>
          <w:tcPr>
            <w:tcW w:w="7180" w:type="dxa"/>
            <w:tcBorders>
              <w:top w:val="single" w:sz="4" w:space="0" w:color="000000"/>
              <w:left w:val="single" w:sz="4" w:space="0" w:color="000000"/>
              <w:bottom w:val="single" w:sz="4" w:space="0" w:color="000000"/>
              <w:right w:val="single" w:sz="4" w:space="0" w:color="000000"/>
            </w:tcBorders>
          </w:tcPr>
          <w:p w14:paraId="6081A68F" w14:textId="77777777" w:rsidR="008D1D12" w:rsidRDefault="00F51D47">
            <w:pPr>
              <w:spacing w:after="0" w:line="259" w:lineRule="auto"/>
              <w:ind w:left="0" w:firstLine="0"/>
              <w:jc w:val="left"/>
            </w:pPr>
            <w:r>
              <w:t xml:space="preserve">Virtual Local Area Network </w:t>
            </w:r>
          </w:p>
        </w:tc>
      </w:tr>
      <w:tr w:rsidR="008D1D12" w14:paraId="0DD65025" w14:textId="77777777">
        <w:trPr>
          <w:trHeight w:val="422"/>
        </w:trPr>
        <w:tc>
          <w:tcPr>
            <w:tcW w:w="1838" w:type="dxa"/>
            <w:tcBorders>
              <w:top w:val="single" w:sz="4" w:space="0" w:color="000000"/>
              <w:left w:val="single" w:sz="4" w:space="0" w:color="000000"/>
              <w:bottom w:val="single" w:sz="4" w:space="0" w:color="000000"/>
              <w:right w:val="single" w:sz="4" w:space="0" w:color="000000"/>
            </w:tcBorders>
          </w:tcPr>
          <w:p w14:paraId="695C002F" w14:textId="77777777" w:rsidR="008D1D12" w:rsidRDefault="00F51D47">
            <w:pPr>
              <w:spacing w:after="0" w:line="259" w:lineRule="auto"/>
              <w:ind w:left="0" w:firstLine="0"/>
              <w:jc w:val="left"/>
            </w:pPr>
            <w:r>
              <w:t xml:space="preserve">VPN </w:t>
            </w:r>
          </w:p>
        </w:tc>
        <w:tc>
          <w:tcPr>
            <w:tcW w:w="7180" w:type="dxa"/>
            <w:tcBorders>
              <w:top w:val="single" w:sz="4" w:space="0" w:color="000000"/>
              <w:left w:val="single" w:sz="4" w:space="0" w:color="000000"/>
              <w:bottom w:val="single" w:sz="4" w:space="0" w:color="000000"/>
              <w:right w:val="single" w:sz="4" w:space="0" w:color="000000"/>
            </w:tcBorders>
          </w:tcPr>
          <w:p w14:paraId="097FFB3F" w14:textId="77777777" w:rsidR="008D1D12" w:rsidRDefault="00F51D47">
            <w:pPr>
              <w:spacing w:after="0" w:line="259" w:lineRule="auto"/>
              <w:ind w:left="0" w:firstLine="0"/>
              <w:jc w:val="left"/>
            </w:pPr>
            <w:r>
              <w:t xml:space="preserve">Virtual Private Network </w:t>
            </w:r>
          </w:p>
        </w:tc>
      </w:tr>
      <w:tr w:rsidR="008D1D12" w14:paraId="10530BDA" w14:textId="77777777">
        <w:trPr>
          <w:trHeight w:val="425"/>
        </w:trPr>
        <w:tc>
          <w:tcPr>
            <w:tcW w:w="1838" w:type="dxa"/>
            <w:tcBorders>
              <w:top w:val="single" w:sz="4" w:space="0" w:color="000000"/>
              <w:left w:val="single" w:sz="4" w:space="0" w:color="000000"/>
              <w:bottom w:val="single" w:sz="4" w:space="0" w:color="000000"/>
              <w:right w:val="single" w:sz="4" w:space="0" w:color="000000"/>
            </w:tcBorders>
          </w:tcPr>
          <w:p w14:paraId="71CD4E04" w14:textId="77777777" w:rsidR="008D1D12" w:rsidRDefault="00F51D47">
            <w:pPr>
              <w:spacing w:after="0" w:line="259" w:lineRule="auto"/>
              <w:ind w:left="0" w:firstLine="0"/>
              <w:jc w:val="left"/>
            </w:pPr>
            <w:r>
              <w:t xml:space="preserve">WEP </w:t>
            </w:r>
          </w:p>
        </w:tc>
        <w:tc>
          <w:tcPr>
            <w:tcW w:w="7180" w:type="dxa"/>
            <w:tcBorders>
              <w:top w:val="single" w:sz="4" w:space="0" w:color="000000"/>
              <w:left w:val="single" w:sz="4" w:space="0" w:color="000000"/>
              <w:bottom w:val="single" w:sz="4" w:space="0" w:color="000000"/>
              <w:right w:val="single" w:sz="4" w:space="0" w:color="000000"/>
            </w:tcBorders>
          </w:tcPr>
          <w:p w14:paraId="6C36E098" w14:textId="77777777" w:rsidR="008D1D12" w:rsidRDefault="00F51D47">
            <w:pPr>
              <w:spacing w:after="0" w:line="259" w:lineRule="auto"/>
              <w:ind w:left="0" w:firstLine="0"/>
              <w:jc w:val="left"/>
            </w:pPr>
            <w:r>
              <w:t xml:space="preserve">Wired-Equivalent Privacy </w:t>
            </w:r>
          </w:p>
        </w:tc>
      </w:tr>
      <w:tr w:rsidR="008D1D12" w14:paraId="5D307FFB" w14:textId="77777777">
        <w:trPr>
          <w:trHeight w:val="425"/>
        </w:trPr>
        <w:tc>
          <w:tcPr>
            <w:tcW w:w="1838" w:type="dxa"/>
            <w:tcBorders>
              <w:top w:val="single" w:sz="4" w:space="0" w:color="000000"/>
              <w:left w:val="single" w:sz="4" w:space="0" w:color="000000"/>
              <w:bottom w:val="single" w:sz="4" w:space="0" w:color="000000"/>
              <w:right w:val="single" w:sz="4" w:space="0" w:color="000000"/>
            </w:tcBorders>
          </w:tcPr>
          <w:p w14:paraId="5CFA5B92" w14:textId="77777777" w:rsidR="008D1D12" w:rsidRDefault="00F51D47">
            <w:pPr>
              <w:spacing w:after="0" w:line="259" w:lineRule="auto"/>
              <w:ind w:left="0" w:firstLine="0"/>
              <w:jc w:val="left"/>
            </w:pPr>
            <w:r>
              <w:t xml:space="preserve">WLAN </w:t>
            </w:r>
          </w:p>
        </w:tc>
        <w:tc>
          <w:tcPr>
            <w:tcW w:w="7180" w:type="dxa"/>
            <w:tcBorders>
              <w:top w:val="single" w:sz="4" w:space="0" w:color="000000"/>
              <w:left w:val="single" w:sz="4" w:space="0" w:color="000000"/>
              <w:bottom w:val="single" w:sz="4" w:space="0" w:color="000000"/>
              <w:right w:val="single" w:sz="4" w:space="0" w:color="000000"/>
            </w:tcBorders>
          </w:tcPr>
          <w:p w14:paraId="0B97E4C8" w14:textId="77777777" w:rsidR="008D1D12" w:rsidRDefault="00F51D47">
            <w:pPr>
              <w:spacing w:after="0" w:line="259" w:lineRule="auto"/>
              <w:ind w:left="0" w:firstLine="0"/>
              <w:jc w:val="left"/>
            </w:pPr>
            <w:r>
              <w:t xml:space="preserve">Wireless Local Area Network </w:t>
            </w:r>
          </w:p>
        </w:tc>
      </w:tr>
      <w:tr w:rsidR="008D1D12" w14:paraId="39A7ABDC" w14:textId="77777777">
        <w:trPr>
          <w:trHeight w:val="422"/>
        </w:trPr>
        <w:tc>
          <w:tcPr>
            <w:tcW w:w="1838" w:type="dxa"/>
            <w:tcBorders>
              <w:top w:val="single" w:sz="4" w:space="0" w:color="000000"/>
              <w:left w:val="single" w:sz="4" w:space="0" w:color="000000"/>
              <w:bottom w:val="single" w:sz="4" w:space="0" w:color="000000"/>
              <w:right w:val="single" w:sz="4" w:space="0" w:color="000000"/>
            </w:tcBorders>
          </w:tcPr>
          <w:p w14:paraId="28AAAA49" w14:textId="77777777" w:rsidR="008D1D12" w:rsidRDefault="00F51D47">
            <w:pPr>
              <w:spacing w:after="0" w:line="259" w:lineRule="auto"/>
              <w:ind w:left="0" w:firstLine="0"/>
              <w:jc w:val="left"/>
            </w:pPr>
            <w:r>
              <w:t xml:space="preserve">WPA </w:t>
            </w:r>
          </w:p>
        </w:tc>
        <w:tc>
          <w:tcPr>
            <w:tcW w:w="7180" w:type="dxa"/>
            <w:tcBorders>
              <w:top w:val="single" w:sz="4" w:space="0" w:color="000000"/>
              <w:left w:val="single" w:sz="4" w:space="0" w:color="000000"/>
              <w:bottom w:val="single" w:sz="4" w:space="0" w:color="000000"/>
              <w:right w:val="single" w:sz="4" w:space="0" w:color="000000"/>
            </w:tcBorders>
          </w:tcPr>
          <w:p w14:paraId="36536DCA" w14:textId="77777777" w:rsidR="008D1D12" w:rsidRDefault="00F51D47">
            <w:pPr>
              <w:spacing w:after="0" w:line="259" w:lineRule="auto"/>
              <w:ind w:left="0" w:firstLine="0"/>
              <w:jc w:val="left"/>
            </w:pPr>
            <w:r>
              <w:t xml:space="preserve">Wi-Fi Protected Access </w:t>
            </w:r>
          </w:p>
        </w:tc>
      </w:tr>
    </w:tbl>
    <w:p w14:paraId="7078E9B7" w14:textId="77777777" w:rsidR="008D1D12" w:rsidRDefault="00F51D47">
      <w:pPr>
        <w:spacing w:after="0" w:line="259" w:lineRule="auto"/>
        <w:ind w:left="0" w:firstLine="0"/>
      </w:pPr>
      <w:r>
        <w:t xml:space="preserve"> </w:t>
      </w:r>
      <w:r>
        <w:tab/>
      </w:r>
      <w:r>
        <w:rPr>
          <w:b/>
          <w:sz w:val="32"/>
        </w:rPr>
        <w:t xml:space="preserve"> </w:t>
      </w:r>
    </w:p>
    <w:p w14:paraId="69AB06AB" w14:textId="77777777" w:rsidR="008D1D12" w:rsidRDefault="00F51D47">
      <w:pPr>
        <w:pStyle w:val="Heading1"/>
        <w:ind w:left="343" w:hanging="358"/>
      </w:pPr>
      <w:bookmarkStart w:id="40" w:name="_Toc30433"/>
      <w:r>
        <w:t xml:space="preserve">Bibliography </w:t>
      </w:r>
      <w:bookmarkEnd w:id="40"/>
    </w:p>
    <w:p w14:paraId="612BAB41" w14:textId="77777777" w:rsidR="008D1D12" w:rsidRDefault="00F51D47">
      <w:pPr>
        <w:numPr>
          <w:ilvl w:val="0"/>
          <w:numId w:val="8"/>
        </w:numPr>
        <w:spacing w:after="323"/>
        <w:ind w:right="52" w:hanging="641"/>
      </w:pPr>
      <w:r>
        <w:t xml:space="preserve">P. Lee and T. Struthers, “Understanding the Bring-Your-Own-Device landscape,” 2013. </w:t>
      </w:r>
    </w:p>
    <w:p w14:paraId="6355D459" w14:textId="77777777" w:rsidR="008D1D12" w:rsidRDefault="00F51D47">
      <w:pPr>
        <w:numPr>
          <w:ilvl w:val="0"/>
          <w:numId w:val="8"/>
        </w:numPr>
        <w:spacing w:after="159" w:line="358" w:lineRule="auto"/>
        <w:ind w:right="52" w:hanging="641"/>
      </w:pPr>
      <w:r>
        <w:t xml:space="preserve">J. McKendrick, “The Other MDM: Why ‘My Device Matters,’” </w:t>
      </w:r>
      <w:r>
        <w:rPr>
          <w:i/>
        </w:rPr>
        <w:t>Database Trends Appl. Chatham</w:t>
      </w:r>
      <w:r>
        <w:t xml:space="preserve">, vol. 31, no. 2, pp. 4–8, 2017. </w:t>
      </w:r>
    </w:p>
    <w:p w14:paraId="6EC03E35" w14:textId="77777777" w:rsidR="008D1D12" w:rsidRDefault="00F51D47">
      <w:pPr>
        <w:numPr>
          <w:ilvl w:val="0"/>
          <w:numId w:val="8"/>
        </w:numPr>
        <w:spacing w:after="190" w:line="357" w:lineRule="auto"/>
        <w:ind w:right="52" w:hanging="641"/>
      </w:pPr>
      <w:r>
        <w:lastRenderedPageBreak/>
        <w:t xml:space="preserve">K. Hess, </w:t>
      </w:r>
      <w:r>
        <w:rPr>
          <w:i/>
        </w:rPr>
        <w:t xml:space="preserve">Unified Endpoint Management </w:t>
      </w:r>
      <w:proofErr w:type="gramStart"/>
      <w:r>
        <w:rPr>
          <w:i/>
        </w:rPr>
        <w:t>For</w:t>
      </w:r>
      <w:proofErr w:type="gramEnd"/>
      <w:r>
        <w:rPr>
          <w:i/>
        </w:rPr>
        <w:t xml:space="preserve"> Dummies, IBM Limited Edition These</w:t>
      </w:r>
      <w:r>
        <w:t xml:space="preserve">. Hoboken: John Wiley &amp; Sons, Inc., 2017. </w:t>
      </w:r>
    </w:p>
    <w:p w14:paraId="601F7C53" w14:textId="77777777" w:rsidR="008D1D12" w:rsidRDefault="00F51D47">
      <w:pPr>
        <w:numPr>
          <w:ilvl w:val="0"/>
          <w:numId w:val="8"/>
        </w:numPr>
        <w:spacing w:after="157" w:line="399" w:lineRule="auto"/>
        <w:ind w:right="52" w:hanging="641"/>
      </w:pPr>
      <w:r>
        <w:t xml:space="preserve">C. Silva, R. Smith, M. Bhat, B. Taylor, and R. Doheny, “Magic Quadrant for Unified Endpoint Management Tools,” 2018. </w:t>
      </w:r>
    </w:p>
    <w:p w14:paraId="32F16CC5" w14:textId="77777777" w:rsidR="008D1D12" w:rsidRDefault="00F51D47">
      <w:pPr>
        <w:numPr>
          <w:ilvl w:val="0"/>
          <w:numId w:val="8"/>
        </w:numPr>
        <w:spacing w:after="129"/>
        <w:ind w:right="52" w:hanging="641"/>
      </w:pPr>
      <w:r>
        <w:t xml:space="preserve">Google, “What is a work profile? - Android Enterprise Help,” 2018. [Online]. Available: </w:t>
      </w:r>
    </w:p>
    <w:p w14:paraId="72E69BA1" w14:textId="77777777" w:rsidR="008D1D12" w:rsidRDefault="00F51D47">
      <w:pPr>
        <w:spacing w:after="191" w:line="358" w:lineRule="auto"/>
        <w:ind w:left="651" w:right="52"/>
      </w:pPr>
      <w:r>
        <w:t xml:space="preserve">https://support.google.com/work/android/answer/6191949?hl=en. [Accessed: 02-Dec2018]. </w:t>
      </w:r>
    </w:p>
    <w:p w14:paraId="13ED5611" w14:textId="77777777" w:rsidR="008D1D12" w:rsidRDefault="00F51D47">
      <w:pPr>
        <w:numPr>
          <w:ilvl w:val="0"/>
          <w:numId w:val="8"/>
        </w:numPr>
        <w:spacing w:after="159"/>
        <w:ind w:right="52" w:hanging="641"/>
      </w:pPr>
      <w:proofErr w:type="spellStart"/>
      <w:r>
        <w:t>Hexnode</w:t>
      </w:r>
      <w:proofErr w:type="spellEnd"/>
      <w:r>
        <w:t xml:space="preserve">, “List of iOS Supervised mode features by version - Help Documentation | </w:t>
      </w:r>
    </w:p>
    <w:p w14:paraId="130B9748" w14:textId="77777777" w:rsidR="008D1D12" w:rsidRDefault="00F51D47">
      <w:pPr>
        <w:tabs>
          <w:tab w:val="center" w:pos="1193"/>
          <w:tab w:val="center" w:pos="2522"/>
          <w:tab w:val="center" w:pos="3325"/>
          <w:tab w:val="center" w:pos="4322"/>
          <w:tab w:val="center" w:pos="5683"/>
          <w:tab w:val="center" w:pos="7045"/>
          <w:tab w:val="right" w:pos="9090"/>
        </w:tabs>
        <w:spacing w:after="121" w:line="259" w:lineRule="auto"/>
        <w:ind w:left="0" w:right="-8" w:firstLine="0"/>
        <w:jc w:val="left"/>
      </w:pPr>
      <w:r>
        <w:rPr>
          <w:rFonts w:ascii="Calibri" w:eastAsia="Calibri" w:hAnsi="Calibri" w:cs="Calibri"/>
          <w:sz w:val="22"/>
        </w:rPr>
        <w:tab/>
      </w:r>
      <w:r>
        <w:t xml:space="preserve">Knowledge </w:t>
      </w:r>
      <w:r>
        <w:tab/>
        <w:t xml:space="preserve">Base </w:t>
      </w:r>
      <w:r>
        <w:tab/>
        <w:t xml:space="preserve">| </w:t>
      </w:r>
      <w:r>
        <w:tab/>
      </w:r>
      <w:proofErr w:type="spellStart"/>
      <w:r>
        <w:t>Hexnode</w:t>
      </w:r>
      <w:proofErr w:type="spellEnd"/>
      <w:r>
        <w:t xml:space="preserve"> </w:t>
      </w:r>
      <w:r>
        <w:tab/>
        <w:t xml:space="preserve">MDM.” </w:t>
      </w:r>
      <w:r>
        <w:tab/>
        <w:t xml:space="preserve">[Online]. </w:t>
      </w:r>
      <w:r>
        <w:tab/>
        <w:t xml:space="preserve">Available: </w:t>
      </w:r>
    </w:p>
    <w:p w14:paraId="3EB7551C" w14:textId="77777777" w:rsidR="008D1D12" w:rsidRDefault="00F51D47">
      <w:pPr>
        <w:spacing w:after="198" w:line="356" w:lineRule="auto"/>
        <w:ind w:left="651" w:right="52"/>
      </w:pPr>
      <w:r>
        <w:t xml:space="preserve">https://www.hexnode.com/mobile-device-management/help/ios-supervised-modefeatures/. [Accessed: 02-Dec-2018]. </w:t>
      </w:r>
    </w:p>
    <w:p w14:paraId="1A48F69B" w14:textId="77777777" w:rsidR="008D1D12" w:rsidRDefault="00F51D47">
      <w:pPr>
        <w:numPr>
          <w:ilvl w:val="0"/>
          <w:numId w:val="8"/>
        </w:numPr>
        <w:spacing w:after="200" w:line="358" w:lineRule="auto"/>
        <w:ind w:right="52" w:hanging="641"/>
      </w:pPr>
      <w:r>
        <w:t xml:space="preserve">“What’s new in MDM </w:t>
      </w:r>
      <w:proofErr w:type="spellStart"/>
      <w:r>
        <w:t>enrollment</w:t>
      </w:r>
      <w:proofErr w:type="spellEnd"/>
      <w:r>
        <w:t xml:space="preserve"> and management | Microsoft Docs,” </w:t>
      </w:r>
      <w:r>
        <w:rPr>
          <w:i/>
        </w:rPr>
        <w:t xml:space="preserve">Windows IT Pro </w:t>
      </w:r>
      <w:proofErr w:type="spellStart"/>
      <w:r>
        <w:rPr>
          <w:i/>
        </w:rPr>
        <w:t>Center</w:t>
      </w:r>
      <w:proofErr w:type="spellEnd"/>
      <w:r>
        <w:t xml:space="preserve">. [Online]. Available: https://docs.microsoft.com/en-us/windows/clientmanagement/mdm/new-in-windows-mdm-enrollment-management. [Accessed: 02Dec-2018]. </w:t>
      </w:r>
    </w:p>
    <w:p w14:paraId="7C294D34" w14:textId="77777777" w:rsidR="008D1D12" w:rsidRDefault="00F51D47">
      <w:pPr>
        <w:numPr>
          <w:ilvl w:val="0"/>
          <w:numId w:val="8"/>
        </w:numPr>
        <w:spacing w:after="204" w:line="358" w:lineRule="auto"/>
        <w:ind w:right="52" w:hanging="641"/>
      </w:pPr>
      <w:r>
        <w:t xml:space="preserve">VMWare Inc., “Productivity Apps | VMware </w:t>
      </w:r>
      <w:proofErr w:type="spellStart"/>
      <w:r>
        <w:t>AirWatch</w:t>
      </w:r>
      <w:proofErr w:type="spellEnd"/>
      <w:r>
        <w:t xml:space="preserve">,” 2018. [Online]. Available: https://www.air-watch.com/capabilities/productivity-apps/. [Accessed: 02-Dec-2018]. </w:t>
      </w:r>
    </w:p>
    <w:p w14:paraId="5783CD3C" w14:textId="77777777" w:rsidR="008D1D12" w:rsidRDefault="00F51D47">
      <w:pPr>
        <w:numPr>
          <w:ilvl w:val="0"/>
          <w:numId w:val="8"/>
        </w:numPr>
        <w:spacing w:after="187" w:line="371" w:lineRule="auto"/>
        <w:ind w:right="52" w:hanging="641"/>
      </w:pPr>
      <w:r>
        <w:t xml:space="preserve">Y. Zou, J. Zhu, X. Wang, and L. </w:t>
      </w:r>
      <w:proofErr w:type="spellStart"/>
      <w:r>
        <w:t>Hanzo</w:t>
      </w:r>
      <w:proofErr w:type="spellEnd"/>
      <w:r>
        <w:t xml:space="preserve">, “A Survey on Wireless Security: Technical Challenges, Recent Advances, and Future Trends,” </w:t>
      </w:r>
      <w:r>
        <w:rPr>
          <w:i/>
        </w:rPr>
        <w:t>Proc. IEEE</w:t>
      </w:r>
      <w:r>
        <w:t xml:space="preserve">, vol. 104, no. 9, pp. 1727–1765, 2016. </w:t>
      </w:r>
    </w:p>
    <w:p w14:paraId="76654EAF" w14:textId="77777777" w:rsidR="008D1D12" w:rsidRDefault="00F51D47">
      <w:pPr>
        <w:numPr>
          <w:ilvl w:val="0"/>
          <w:numId w:val="8"/>
        </w:numPr>
        <w:spacing w:after="191" w:line="363" w:lineRule="auto"/>
        <w:ind w:right="52" w:hanging="641"/>
      </w:pPr>
      <w:r>
        <w:t xml:space="preserve">K. Curran and E. Smyth, “Demonstrating the wired equivalent privacy (WEP) weaknesses inherent in wi-fi networks,” </w:t>
      </w:r>
      <w:r>
        <w:rPr>
          <w:i/>
        </w:rPr>
        <w:t xml:space="preserve">Inf. Syst. </w:t>
      </w:r>
      <w:proofErr w:type="spellStart"/>
      <w:r>
        <w:rPr>
          <w:i/>
        </w:rPr>
        <w:t>Secur</w:t>
      </w:r>
      <w:proofErr w:type="spellEnd"/>
      <w:r>
        <w:rPr>
          <w:i/>
        </w:rPr>
        <w:t>.</w:t>
      </w:r>
      <w:r>
        <w:t xml:space="preserve">, vol. 15, no. 4, pp. 17–38, 2006. </w:t>
      </w:r>
    </w:p>
    <w:p w14:paraId="27889240" w14:textId="77777777" w:rsidR="008D1D12" w:rsidRDefault="00F51D47">
      <w:pPr>
        <w:numPr>
          <w:ilvl w:val="0"/>
          <w:numId w:val="8"/>
        </w:numPr>
        <w:spacing w:line="360" w:lineRule="auto"/>
        <w:ind w:right="52" w:hanging="641"/>
      </w:pPr>
      <w:r>
        <w:t xml:space="preserve">E. </w:t>
      </w:r>
      <w:proofErr w:type="spellStart"/>
      <w:r>
        <w:t>Tews</w:t>
      </w:r>
      <w:proofErr w:type="spellEnd"/>
      <w:r>
        <w:t xml:space="preserve">, R.-P. </w:t>
      </w:r>
      <w:proofErr w:type="spellStart"/>
      <w:r>
        <w:t>Weinmann</w:t>
      </w:r>
      <w:proofErr w:type="spellEnd"/>
      <w:r>
        <w:t xml:space="preserve">, and A. </w:t>
      </w:r>
      <w:proofErr w:type="spellStart"/>
      <w:r>
        <w:t>Pyshkin</w:t>
      </w:r>
      <w:proofErr w:type="spellEnd"/>
      <w:r>
        <w:t xml:space="preserve">, “Breaking </w:t>
      </w:r>
      <w:proofErr w:type="gramStart"/>
      <w:r>
        <w:t>104 bit</w:t>
      </w:r>
      <w:proofErr w:type="gramEnd"/>
      <w:r>
        <w:t xml:space="preserve"> WEP in less than 60 seconds,” in </w:t>
      </w:r>
      <w:r>
        <w:rPr>
          <w:i/>
        </w:rPr>
        <w:t>Information Security Applications. WISA 2007. Lecture Notes in Computer Science,</w:t>
      </w:r>
      <w:r>
        <w:t xml:space="preserve"> 4867th ed., S. Kim, M. Yung, and H. Lee, Eds. Heidelberg: Springer, 2007, pp. </w:t>
      </w:r>
    </w:p>
    <w:p w14:paraId="3D5F72B3" w14:textId="77777777" w:rsidR="008D1D12" w:rsidRDefault="00F51D47">
      <w:pPr>
        <w:spacing w:after="321"/>
        <w:ind w:left="651" w:right="52"/>
      </w:pPr>
      <w:r>
        <w:t xml:space="preserve">4–6. </w:t>
      </w:r>
    </w:p>
    <w:p w14:paraId="11C00184" w14:textId="77777777" w:rsidR="008D1D12" w:rsidRDefault="00F51D47">
      <w:pPr>
        <w:numPr>
          <w:ilvl w:val="0"/>
          <w:numId w:val="8"/>
        </w:numPr>
        <w:spacing w:after="178" w:line="357" w:lineRule="auto"/>
        <w:ind w:right="52" w:hanging="641"/>
      </w:pPr>
      <w:r>
        <w:t xml:space="preserve">B. Mitchell, “Understanding Wireless Protected Access 2 (WPA2),” </w:t>
      </w:r>
      <w:proofErr w:type="spellStart"/>
      <w:r>
        <w:rPr>
          <w:i/>
        </w:rPr>
        <w:t>Lifewire</w:t>
      </w:r>
      <w:proofErr w:type="spellEnd"/>
      <w:r>
        <w:t xml:space="preserve">, 2018. [Online]. Available: https://www.lifewire.com/what-is-wpa2-818352. [Accessed: 07Dec-2018]. </w:t>
      </w:r>
    </w:p>
    <w:p w14:paraId="0E06D92E" w14:textId="77777777" w:rsidR="008D1D12" w:rsidRDefault="00F51D47">
      <w:pPr>
        <w:numPr>
          <w:ilvl w:val="0"/>
          <w:numId w:val="8"/>
        </w:numPr>
        <w:spacing w:after="155"/>
        <w:ind w:right="52" w:hanging="641"/>
      </w:pPr>
      <w:r>
        <w:lastRenderedPageBreak/>
        <w:t>E. Geier, “Moving to WPA/WPA2-Enterprise Wi-Fi Encryption &amp;</w:t>
      </w:r>
      <w:proofErr w:type="spellStart"/>
      <w:r>
        <w:t>gt</w:t>
      </w:r>
      <w:proofErr w:type="spellEnd"/>
      <w:r>
        <w:t xml:space="preserve">; Two Modes of </w:t>
      </w:r>
    </w:p>
    <w:p w14:paraId="37C68457" w14:textId="77777777" w:rsidR="008D1D12" w:rsidRDefault="00F51D47">
      <w:pPr>
        <w:spacing w:after="197" w:line="357" w:lineRule="auto"/>
        <w:ind w:left="651" w:right="52"/>
      </w:pPr>
      <w:r>
        <w:t xml:space="preserve">WPA/WPA2: Personal (PSK) versus Enterprise,” </w:t>
      </w:r>
      <w:r>
        <w:rPr>
          <w:i/>
        </w:rPr>
        <w:t>Cisco Press</w:t>
      </w:r>
      <w:r>
        <w:t xml:space="preserve">, 2010. [Online]. Available: http://www.ciscopress.com/articles/article.asp?p=1576225. [Accessed: 09Dec-2018]. </w:t>
      </w:r>
    </w:p>
    <w:p w14:paraId="55CFD426" w14:textId="77777777" w:rsidR="008D1D12" w:rsidRDefault="00F51D47">
      <w:pPr>
        <w:numPr>
          <w:ilvl w:val="0"/>
          <w:numId w:val="8"/>
        </w:numPr>
        <w:spacing w:after="204" w:line="357" w:lineRule="auto"/>
        <w:ind w:right="52" w:hanging="641"/>
      </w:pPr>
      <w:r>
        <w:t xml:space="preserve">G. Sims, “How easy is it to capture data from open free Wi-Fi? - Gary explains,” </w:t>
      </w:r>
      <w:r>
        <w:rPr>
          <w:i/>
        </w:rPr>
        <w:t>Android Authority</w:t>
      </w:r>
      <w:r>
        <w:t xml:space="preserve">, 2018. [Online]. Available: https://www.androidauthority.com/capture-dataopen-wi-fi-726356/. [Accessed: 26-Dec-2018]. </w:t>
      </w:r>
    </w:p>
    <w:p w14:paraId="210A87C7" w14:textId="77777777" w:rsidR="008D1D12" w:rsidRDefault="00F51D47">
      <w:pPr>
        <w:numPr>
          <w:ilvl w:val="0"/>
          <w:numId w:val="8"/>
        </w:numPr>
        <w:spacing w:after="205" w:line="357" w:lineRule="auto"/>
        <w:ind w:right="52" w:hanging="641"/>
      </w:pPr>
      <w:r>
        <w:t xml:space="preserve">Eaton, “IBM Eaton UPS - How Much Battery Runtime Do You Need?” [Online]. Available: http://powerquality.eaton.com/ibm/EMEA/btyrun.asp. [Accessed: 17-Nov2018]. </w:t>
      </w:r>
    </w:p>
    <w:p w14:paraId="2C07AC32" w14:textId="77777777" w:rsidR="008D1D12" w:rsidRDefault="00F51D47">
      <w:pPr>
        <w:numPr>
          <w:ilvl w:val="0"/>
          <w:numId w:val="8"/>
        </w:numPr>
        <w:spacing w:after="125"/>
        <w:ind w:right="52" w:hanging="641"/>
      </w:pPr>
      <w:r>
        <w:t xml:space="preserve">“How does an Uninterruptible Power Supply (UPS) work? | CyberPower Power Blog.” </w:t>
      </w:r>
    </w:p>
    <w:p w14:paraId="3D65B7E8" w14:textId="77777777" w:rsidR="008D1D12" w:rsidRDefault="00F51D47">
      <w:pPr>
        <w:spacing w:after="123"/>
        <w:ind w:left="651" w:right="52"/>
      </w:pPr>
      <w:r>
        <w:t xml:space="preserve">[Online]. Available: https://www.cyberpowersystems.com/blog/how-does-a-ups-work/. </w:t>
      </w:r>
    </w:p>
    <w:p w14:paraId="024D0C89" w14:textId="77777777" w:rsidR="008D1D12" w:rsidRDefault="00F51D47">
      <w:pPr>
        <w:spacing w:after="293"/>
        <w:ind w:left="651" w:right="52"/>
      </w:pPr>
      <w:r>
        <w:t xml:space="preserve">[Accessed: 24-Dec-2018]. </w:t>
      </w:r>
    </w:p>
    <w:p w14:paraId="60E6A1A9" w14:textId="77777777" w:rsidR="008D1D12" w:rsidRDefault="00F51D47">
      <w:pPr>
        <w:numPr>
          <w:ilvl w:val="0"/>
          <w:numId w:val="8"/>
        </w:numPr>
        <w:spacing w:after="125"/>
        <w:ind w:right="52" w:hanging="641"/>
      </w:pPr>
      <w:r>
        <w:t xml:space="preserve">A. Luscombe, “Powering Up,” </w:t>
      </w:r>
      <w:r>
        <w:rPr>
          <w:i/>
        </w:rPr>
        <w:t>Facilities Management Journal</w:t>
      </w:r>
      <w:r>
        <w:t xml:space="preserve">, 2016. [Online]. </w:t>
      </w:r>
    </w:p>
    <w:p w14:paraId="0AD4AB97" w14:textId="77777777" w:rsidR="008D1D12" w:rsidRDefault="00F51D47">
      <w:pPr>
        <w:spacing w:after="284"/>
        <w:ind w:left="651" w:right="52"/>
      </w:pPr>
      <w:r>
        <w:t xml:space="preserve">Available: http://www.fmj.co.uk/powering-up/. [Accessed: 17-Nov-2018]. </w:t>
      </w:r>
    </w:p>
    <w:p w14:paraId="1BC76625" w14:textId="77777777" w:rsidR="008D1D12" w:rsidRDefault="00F51D47">
      <w:pPr>
        <w:numPr>
          <w:ilvl w:val="0"/>
          <w:numId w:val="8"/>
        </w:numPr>
        <w:spacing w:after="190" w:line="357" w:lineRule="auto"/>
        <w:ind w:right="52" w:hanging="641"/>
      </w:pPr>
      <w:r>
        <w:t xml:space="preserve">W. Stallings, </w:t>
      </w:r>
      <w:r>
        <w:rPr>
          <w:i/>
        </w:rPr>
        <w:t>Cryptography and Network Security; Principles and Practice (Global Edition)</w:t>
      </w:r>
      <w:r>
        <w:t xml:space="preserve">, 7th ed. Pearson Education Limited, 2017. </w:t>
      </w:r>
    </w:p>
    <w:p w14:paraId="4BA66C50" w14:textId="77777777" w:rsidR="008D1D12" w:rsidRDefault="00F51D47">
      <w:pPr>
        <w:numPr>
          <w:ilvl w:val="0"/>
          <w:numId w:val="8"/>
        </w:numPr>
        <w:spacing w:after="129"/>
        <w:ind w:right="52" w:hanging="641"/>
      </w:pPr>
      <w:r>
        <w:t xml:space="preserve">“VMware </w:t>
      </w:r>
      <w:r>
        <w:tab/>
        <w:t xml:space="preserve">and </w:t>
      </w:r>
      <w:r>
        <w:tab/>
      </w:r>
      <w:proofErr w:type="spellStart"/>
      <w:r>
        <w:t>AirWatch</w:t>
      </w:r>
      <w:proofErr w:type="spellEnd"/>
      <w:r>
        <w:t xml:space="preserve"> </w:t>
      </w:r>
      <w:r>
        <w:tab/>
        <w:t xml:space="preserve">| </w:t>
      </w:r>
      <w:r>
        <w:tab/>
        <w:t xml:space="preserve">UK.” </w:t>
      </w:r>
      <w:r>
        <w:tab/>
        <w:t xml:space="preserve">[Online]. </w:t>
      </w:r>
      <w:r>
        <w:tab/>
        <w:t xml:space="preserve">Available: </w:t>
      </w:r>
    </w:p>
    <w:p w14:paraId="4A960EDB" w14:textId="77777777" w:rsidR="008D1D12" w:rsidRDefault="00F51D47">
      <w:pPr>
        <w:spacing w:after="209" w:line="356" w:lineRule="auto"/>
        <w:ind w:left="651" w:right="52"/>
      </w:pPr>
      <w:r>
        <w:t xml:space="preserve">https://www.vmware.com/uk/company/acquisitions/airwatch.html. [Accessed: 16-Dec2018]. </w:t>
      </w:r>
    </w:p>
    <w:p w14:paraId="79C4C092" w14:textId="77777777" w:rsidR="008D1D12" w:rsidRDefault="00F51D47">
      <w:pPr>
        <w:numPr>
          <w:ilvl w:val="0"/>
          <w:numId w:val="8"/>
        </w:numPr>
        <w:spacing w:after="2" w:line="356" w:lineRule="auto"/>
        <w:ind w:right="52" w:hanging="641"/>
      </w:pPr>
      <w:r>
        <w:t xml:space="preserve">“VMware acquires Boxer to enhance </w:t>
      </w:r>
      <w:proofErr w:type="spellStart"/>
      <w:r>
        <w:t>AirWatch</w:t>
      </w:r>
      <w:proofErr w:type="spellEnd"/>
      <w:r>
        <w:t xml:space="preserve"> Inbox Solution | UK.” [Online]. Available: https://www.vmware.com/uk/company/acquisitions/boxer.html. [Accessed: </w:t>
      </w:r>
    </w:p>
    <w:p w14:paraId="0C1C9927" w14:textId="77777777" w:rsidR="008D1D12" w:rsidRDefault="00F51D47">
      <w:pPr>
        <w:spacing w:after="320"/>
        <w:ind w:left="651" w:right="52"/>
      </w:pPr>
      <w:r>
        <w:t xml:space="preserve">16-Dec-2018]. </w:t>
      </w:r>
    </w:p>
    <w:p w14:paraId="402C273D" w14:textId="77777777" w:rsidR="008D1D12" w:rsidRDefault="00F51D47">
      <w:pPr>
        <w:numPr>
          <w:ilvl w:val="0"/>
          <w:numId w:val="8"/>
        </w:numPr>
        <w:spacing w:line="356" w:lineRule="auto"/>
        <w:ind w:right="52" w:hanging="641"/>
      </w:pPr>
      <w:r>
        <w:t xml:space="preserve">“Security | Wi-Fi Alliance,” 2018. [Online]. Available: https://www.wi-fi.org/discoverwi-fi/security. [Accessed: 21-Dec-2018]. </w:t>
      </w:r>
    </w:p>
    <w:p w14:paraId="78EA203B" w14:textId="77777777" w:rsidR="008D1D12" w:rsidRDefault="00F51D47">
      <w:pPr>
        <w:numPr>
          <w:ilvl w:val="0"/>
          <w:numId w:val="8"/>
        </w:numPr>
        <w:spacing w:after="178" w:line="362" w:lineRule="auto"/>
        <w:ind w:right="52" w:hanging="641"/>
      </w:pPr>
      <w:r>
        <w:t>“Wi-Fi Alliance® introduces Wi-Fi CERTIFIED WPA3</w:t>
      </w:r>
      <w:r>
        <w:rPr>
          <w:vertAlign w:val="superscript"/>
        </w:rPr>
        <w:t>TM</w:t>
      </w:r>
      <w:r>
        <w:t xml:space="preserve"> security | Wi-Fi Alliance,” 2018. [Online]. Available: https://www.wi-fi.org/news-events/newsroom/wi-fialliance-introduces-wi-fi-certified-wpa3-security. [Accessed: 21-Dec-2018]. </w:t>
      </w:r>
    </w:p>
    <w:p w14:paraId="48E365CE" w14:textId="77777777" w:rsidR="008D1D12" w:rsidRDefault="00F51D47">
      <w:pPr>
        <w:numPr>
          <w:ilvl w:val="0"/>
          <w:numId w:val="8"/>
        </w:numPr>
        <w:spacing w:after="177" w:line="357" w:lineRule="auto"/>
        <w:ind w:right="52" w:hanging="641"/>
      </w:pPr>
      <w:r>
        <w:lastRenderedPageBreak/>
        <w:t xml:space="preserve">S. </w:t>
      </w:r>
      <w:proofErr w:type="spellStart"/>
      <w:r>
        <w:t>Mudrakola</w:t>
      </w:r>
      <w:proofErr w:type="spellEnd"/>
      <w:r>
        <w:t xml:space="preserve">, “WPA3: Much-awaited </w:t>
      </w:r>
      <w:proofErr w:type="spellStart"/>
      <w:r>
        <w:t>WiFi</w:t>
      </w:r>
      <w:proofErr w:type="spellEnd"/>
      <w:r>
        <w:t xml:space="preserve"> security upgrade finally announced,” </w:t>
      </w:r>
      <w:proofErr w:type="spellStart"/>
      <w:r>
        <w:rPr>
          <w:i/>
        </w:rPr>
        <w:t>TechGenix</w:t>
      </w:r>
      <w:proofErr w:type="spellEnd"/>
      <w:r>
        <w:t xml:space="preserve">, 2018. [Online]. Available: http://techgenix.com/wpa3-wifi-upgrade/. [Accessed: 21-Dec-2018]. </w:t>
      </w:r>
    </w:p>
    <w:p w14:paraId="56C558BD" w14:textId="77777777" w:rsidR="008D1D12" w:rsidRDefault="00F51D47">
      <w:pPr>
        <w:numPr>
          <w:ilvl w:val="0"/>
          <w:numId w:val="8"/>
        </w:numPr>
        <w:spacing w:after="0" w:line="375" w:lineRule="auto"/>
        <w:ind w:right="52" w:hanging="641"/>
      </w:pPr>
      <w:r>
        <w:t xml:space="preserve">R. </w:t>
      </w:r>
      <w:proofErr w:type="spellStart"/>
      <w:r>
        <w:t>Priday</w:t>
      </w:r>
      <w:proofErr w:type="spellEnd"/>
      <w:r>
        <w:t xml:space="preserve">, “WPA3 explained: Wi-Fi is about to get one of its biggest ever security updates | WIRED UK,” </w:t>
      </w:r>
      <w:r>
        <w:rPr>
          <w:i/>
        </w:rPr>
        <w:t>Wired</w:t>
      </w:r>
      <w:r>
        <w:t xml:space="preserve">, 2018. [Online]. Available: </w:t>
      </w:r>
    </w:p>
    <w:p w14:paraId="6BEA40BF" w14:textId="77777777" w:rsidR="008D1D12" w:rsidRDefault="00F51D47">
      <w:pPr>
        <w:spacing w:after="189" w:line="364" w:lineRule="auto"/>
        <w:ind w:left="651" w:right="52"/>
      </w:pPr>
      <w:r>
        <w:t xml:space="preserve">https://www.wired.co.uk/article/wpa3-wifi-standard-security. </w:t>
      </w:r>
      <w:r>
        <w:tab/>
        <w:t xml:space="preserve">[Accessed: </w:t>
      </w:r>
      <w:r>
        <w:tab/>
        <w:t xml:space="preserve">21-Dec2018]. </w:t>
      </w:r>
    </w:p>
    <w:p w14:paraId="14C2C36B" w14:textId="77777777" w:rsidR="008D1D12" w:rsidRDefault="00F51D47">
      <w:pPr>
        <w:numPr>
          <w:ilvl w:val="0"/>
          <w:numId w:val="8"/>
        </w:numPr>
        <w:spacing w:after="204" w:line="357" w:lineRule="auto"/>
        <w:ind w:right="52" w:hanging="641"/>
      </w:pPr>
      <w:r>
        <w:t xml:space="preserve">G. </w:t>
      </w:r>
      <w:proofErr w:type="spellStart"/>
      <w:r>
        <w:t>Dorai</w:t>
      </w:r>
      <w:proofErr w:type="spellEnd"/>
      <w:r>
        <w:t xml:space="preserve">, “Greater Wi-Fi Adoption brings the need of higher security,” </w:t>
      </w:r>
      <w:r>
        <w:rPr>
          <w:i/>
        </w:rPr>
        <w:t>Cisco Blog</w:t>
      </w:r>
      <w:r>
        <w:t xml:space="preserve">, 2018. [Online]. Available: https://blogs.cisco.com/wireless/greater-wi-fi-adoptionbrings-the-need-of-higher-security. [Accessed: 21-Dec-2018]. </w:t>
      </w:r>
    </w:p>
    <w:p w14:paraId="0ECFA63B" w14:textId="77777777" w:rsidR="008D1D12" w:rsidRDefault="00F51D47">
      <w:pPr>
        <w:numPr>
          <w:ilvl w:val="0"/>
          <w:numId w:val="8"/>
        </w:numPr>
        <w:spacing w:after="129"/>
        <w:ind w:right="52" w:hanging="641"/>
      </w:pPr>
      <w:r>
        <w:t xml:space="preserve">“RT2600ac </w:t>
      </w:r>
      <w:r>
        <w:tab/>
        <w:t xml:space="preserve">Release </w:t>
      </w:r>
      <w:r>
        <w:tab/>
        <w:t xml:space="preserve">Notes </w:t>
      </w:r>
      <w:r>
        <w:tab/>
        <w:t xml:space="preserve">| </w:t>
      </w:r>
      <w:r>
        <w:tab/>
        <w:t xml:space="preserve">Synology </w:t>
      </w:r>
      <w:r>
        <w:tab/>
        <w:t xml:space="preserve">Inc.,” </w:t>
      </w:r>
      <w:r>
        <w:tab/>
        <w:t xml:space="preserve">2018. </w:t>
      </w:r>
      <w:r>
        <w:tab/>
        <w:t xml:space="preserve">[Online]. </w:t>
      </w:r>
      <w:r>
        <w:tab/>
        <w:t xml:space="preserve">Available: </w:t>
      </w:r>
    </w:p>
    <w:p w14:paraId="4F28EE6A" w14:textId="77777777" w:rsidR="008D1D12" w:rsidRDefault="00F51D47">
      <w:pPr>
        <w:spacing w:after="286"/>
        <w:ind w:left="651" w:right="52"/>
      </w:pPr>
      <w:r>
        <w:t xml:space="preserve">https://www.synology.com/en-uk/releaseNote/RT2600ac. [Accessed: 21-Dec-2018]. </w:t>
      </w:r>
    </w:p>
    <w:p w14:paraId="704F2F32" w14:textId="77777777" w:rsidR="008D1D12" w:rsidRDefault="00F51D47">
      <w:pPr>
        <w:spacing w:after="274" w:line="259" w:lineRule="auto"/>
        <w:ind w:left="0" w:firstLine="0"/>
        <w:jc w:val="left"/>
      </w:pPr>
      <w:r>
        <w:t xml:space="preserve"> </w:t>
      </w:r>
    </w:p>
    <w:p w14:paraId="28D29770" w14:textId="77777777" w:rsidR="008D1D12" w:rsidRDefault="00F51D47">
      <w:pPr>
        <w:spacing w:after="0" w:line="259" w:lineRule="auto"/>
        <w:ind w:left="0" w:firstLine="0"/>
        <w:jc w:val="left"/>
      </w:pPr>
      <w:r>
        <w:t xml:space="preserve"> </w:t>
      </w:r>
      <w:r>
        <w:tab/>
        <w:t xml:space="preserve"> </w:t>
      </w:r>
    </w:p>
    <w:p w14:paraId="32086A59" w14:textId="77777777" w:rsidR="008D1D12" w:rsidRDefault="00F51D47">
      <w:pPr>
        <w:pStyle w:val="Heading1"/>
        <w:spacing w:after="358"/>
        <w:ind w:left="343" w:hanging="358"/>
      </w:pPr>
      <w:bookmarkStart w:id="41" w:name="_Toc30434"/>
      <w:r>
        <w:t xml:space="preserve">Further reading </w:t>
      </w:r>
      <w:bookmarkEnd w:id="41"/>
    </w:p>
    <w:p w14:paraId="07E496D3" w14:textId="77777777" w:rsidR="008D1D12" w:rsidRDefault="00F51D47">
      <w:pPr>
        <w:spacing w:after="268"/>
        <w:ind w:left="465" w:right="52" w:hanging="480"/>
      </w:pPr>
      <w:r>
        <w:t xml:space="preserve">Bennett, L., &amp; Tucker, H. (2012). Bring Your Own Device. </w:t>
      </w:r>
      <w:r>
        <w:rPr>
          <w:i/>
        </w:rPr>
        <w:t>ITNOW</w:t>
      </w:r>
      <w:r>
        <w:t xml:space="preserve">, </w:t>
      </w:r>
      <w:r>
        <w:rPr>
          <w:i/>
        </w:rPr>
        <w:t>54</w:t>
      </w:r>
      <w:r>
        <w:t xml:space="preserve">(1), 24–25. https://doi.org/10.1093/itnow/bws010 </w:t>
      </w:r>
    </w:p>
    <w:p w14:paraId="677AE2DC" w14:textId="77777777" w:rsidR="008D1D12" w:rsidRDefault="00F51D47">
      <w:pPr>
        <w:spacing w:after="256" w:line="259" w:lineRule="auto"/>
        <w:ind w:left="-15" w:firstLine="0"/>
        <w:jc w:val="left"/>
      </w:pPr>
      <w:r>
        <w:t xml:space="preserve">Lee, P., &amp; Struthers, T. (2013). </w:t>
      </w:r>
      <w:r>
        <w:rPr>
          <w:i/>
        </w:rPr>
        <w:t>Understanding the Bring-Your-Own-Device landscape</w:t>
      </w:r>
      <w:r>
        <w:t xml:space="preserve">. </w:t>
      </w:r>
    </w:p>
    <w:p w14:paraId="705DF353" w14:textId="77777777" w:rsidR="008D1D12" w:rsidRDefault="00F51D47">
      <w:pPr>
        <w:spacing w:after="281" w:line="238" w:lineRule="auto"/>
        <w:ind w:left="475" w:hanging="490"/>
        <w:jc w:val="left"/>
      </w:pPr>
      <w:proofErr w:type="spellStart"/>
      <w:r>
        <w:t>Olalere</w:t>
      </w:r>
      <w:proofErr w:type="spellEnd"/>
      <w:r>
        <w:t xml:space="preserve">, M., Abdullah, M. T., </w:t>
      </w:r>
      <w:proofErr w:type="spellStart"/>
      <w:r>
        <w:t>Mahmod</w:t>
      </w:r>
      <w:proofErr w:type="spellEnd"/>
      <w:r>
        <w:t xml:space="preserve">, R., &amp; Abdullah, A. (2015). A Review of Bring Your Own Device on Security Issues. </w:t>
      </w:r>
      <w:r>
        <w:rPr>
          <w:i/>
        </w:rPr>
        <w:t>SAGE Open</w:t>
      </w:r>
      <w:r>
        <w:t xml:space="preserve">, </w:t>
      </w:r>
      <w:r>
        <w:rPr>
          <w:i/>
        </w:rPr>
        <w:t>5</w:t>
      </w:r>
      <w:r>
        <w:t xml:space="preserve">(2). https://doi.org/10.1177/2158244015580372 </w:t>
      </w:r>
    </w:p>
    <w:p w14:paraId="5F4CBC73" w14:textId="77777777" w:rsidR="008D1D12" w:rsidRDefault="00F51D47">
      <w:pPr>
        <w:spacing w:after="156" w:line="259" w:lineRule="auto"/>
        <w:ind w:left="0" w:firstLine="0"/>
        <w:jc w:val="left"/>
      </w:pPr>
      <w:r>
        <w:t xml:space="preserve"> </w:t>
      </w:r>
    </w:p>
    <w:p w14:paraId="1DE66703" w14:textId="77777777" w:rsidR="008D1D12" w:rsidRDefault="00F51D47">
      <w:pPr>
        <w:spacing w:after="0" w:line="259" w:lineRule="auto"/>
        <w:ind w:left="0" w:firstLine="0"/>
        <w:jc w:val="left"/>
      </w:pPr>
      <w:r>
        <w:t xml:space="preserve"> </w:t>
      </w:r>
      <w:r>
        <w:tab/>
        <w:t xml:space="preserve"> </w:t>
      </w:r>
      <w:r>
        <w:br w:type="page"/>
      </w:r>
    </w:p>
    <w:p w14:paraId="2B0AB2C3" w14:textId="77777777" w:rsidR="008D1D12" w:rsidRDefault="00F51D47">
      <w:pPr>
        <w:pStyle w:val="Heading1"/>
        <w:ind w:left="705" w:hanging="720"/>
      </w:pPr>
      <w:bookmarkStart w:id="42" w:name="_Toc30435"/>
      <w:r>
        <w:lastRenderedPageBreak/>
        <w:t xml:space="preserve">Appendices </w:t>
      </w:r>
      <w:bookmarkEnd w:id="42"/>
    </w:p>
    <w:p w14:paraId="5478A00E" w14:textId="77777777" w:rsidR="008D1D12" w:rsidRDefault="00F51D47">
      <w:pPr>
        <w:pStyle w:val="Heading2"/>
        <w:ind w:left="705" w:hanging="720"/>
      </w:pPr>
      <w:bookmarkStart w:id="43" w:name="_Toc30436"/>
      <w:r>
        <w:t xml:space="preserve">Appendix A – example app services </w:t>
      </w:r>
      <w:bookmarkEnd w:id="43"/>
    </w:p>
    <w:p w14:paraId="32A12249" w14:textId="77777777" w:rsidR="008D1D12" w:rsidRDefault="00F51D47">
      <w:pPr>
        <w:spacing w:after="161" w:line="356" w:lineRule="auto"/>
        <w:ind w:left="-5" w:right="52"/>
      </w:pPr>
      <w:r>
        <w:t xml:space="preserve">Services required by the BlackBerry UEM Client on Android (version 12.34.0.155084 from 03/12/2018). </w:t>
      </w:r>
    </w:p>
    <w:p w14:paraId="6AAD2541" w14:textId="77777777" w:rsidR="008D1D12" w:rsidRDefault="00F51D47">
      <w:pPr>
        <w:spacing w:after="275"/>
        <w:ind w:left="-5" w:right="52"/>
      </w:pPr>
      <w:r>
        <w:t xml:space="preserve">This app has access to: </w:t>
      </w:r>
    </w:p>
    <w:p w14:paraId="0F7B2D8C" w14:textId="77777777" w:rsidR="008D1D12" w:rsidRDefault="00F51D47">
      <w:pPr>
        <w:spacing w:after="309"/>
        <w:ind w:left="-5" w:right="52"/>
      </w:pPr>
      <w:r>
        <w:rPr>
          <w:noProof/>
        </w:rPr>
        <w:drawing>
          <wp:inline distT="0" distB="0" distL="0" distR="0" wp14:anchorId="4B048DF2" wp14:editId="08C661FF">
            <wp:extent cx="190500" cy="190500"/>
            <wp:effectExtent l="0" t="0" r="0" b="0"/>
            <wp:docPr id="3946" name="Picture 3946"/>
            <wp:cNvGraphicFramePr/>
            <a:graphic xmlns:a="http://schemas.openxmlformats.org/drawingml/2006/main">
              <a:graphicData uri="http://schemas.openxmlformats.org/drawingml/2006/picture">
                <pic:pic xmlns:pic="http://schemas.openxmlformats.org/drawingml/2006/picture">
                  <pic:nvPicPr>
                    <pic:cNvPr id="3946" name="Picture 3946"/>
                    <pic:cNvPicPr/>
                  </pic:nvPicPr>
                  <pic:blipFill>
                    <a:blip r:embed="rId13"/>
                    <a:stretch>
                      <a:fillRect/>
                    </a:stretch>
                  </pic:blipFill>
                  <pic:spPr>
                    <a:xfrm>
                      <a:off x="0" y="0"/>
                      <a:ext cx="190500" cy="190500"/>
                    </a:xfrm>
                    <a:prstGeom prst="rect">
                      <a:avLst/>
                    </a:prstGeom>
                  </pic:spPr>
                </pic:pic>
              </a:graphicData>
            </a:graphic>
          </wp:inline>
        </w:drawing>
      </w:r>
      <w:r>
        <w:t xml:space="preserve">Device &amp; app history </w:t>
      </w:r>
    </w:p>
    <w:p w14:paraId="038EFBCD" w14:textId="77777777" w:rsidR="008D1D12" w:rsidRDefault="00F51D47">
      <w:pPr>
        <w:numPr>
          <w:ilvl w:val="0"/>
          <w:numId w:val="9"/>
        </w:numPr>
        <w:ind w:right="52" w:hanging="360"/>
      </w:pPr>
      <w:r>
        <w:t xml:space="preserve">retrieve running apps </w:t>
      </w:r>
    </w:p>
    <w:p w14:paraId="1F5E93D5" w14:textId="77777777" w:rsidR="008D1D12" w:rsidRDefault="00F51D47">
      <w:pPr>
        <w:spacing w:after="308"/>
        <w:ind w:left="-5" w:right="52"/>
      </w:pPr>
      <w:r>
        <w:rPr>
          <w:noProof/>
        </w:rPr>
        <w:drawing>
          <wp:inline distT="0" distB="0" distL="0" distR="0" wp14:anchorId="3DAA2863" wp14:editId="43DC3302">
            <wp:extent cx="190500" cy="190500"/>
            <wp:effectExtent l="0" t="0" r="0" b="0"/>
            <wp:docPr id="3948" name="Picture 3948"/>
            <wp:cNvGraphicFramePr/>
            <a:graphic xmlns:a="http://schemas.openxmlformats.org/drawingml/2006/main">
              <a:graphicData uri="http://schemas.openxmlformats.org/drawingml/2006/picture">
                <pic:pic xmlns:pic="http://schemas.openxmlformats.org/drawingml/2006/picture">
                  <pic:nvPicPr>
                    <pic:cNvPr id="3948" name="Picture 3948"/>
                    <pic:cNvPicPr/>
                  </pic:nvPicPr>
                  <pic:blipFill>
                    <a:blip r:embed="rId14"/>
                    <a:stretch>
                      <a:fillRect/>
                    </a:stretch>
                  </pic:blipFill>
                  <pic:spPr>
                    <a:xfrm>
                      <a:off x="0" y="0"/>
                      <a:ext cx="190500" cy="190500"/>
                    </a:xfrm>
                    <a:prstGeom prst="rect">
                      <a:avLst/>
                    </a:prstGeom>
                  </pic:spPr>
                </pic:pic>
              </a:graphicData>
            </a:graphic>
          </wp:inline>
        </w:drawing>
      </w:r>
      <w:r>
        <w:t xml:space="preserve">Identity </w:t>
      </w:r>
    </w:p>
    <w:p w14:paraId="0A5A1A3D" w14:textId="77777777" w:rsidR="008D1D12" w:rsidRDefault="00F51D47">
      <w:pPr>
        <w:numPr>
          <w:ilvl w:val="0"/>
          <w:numId w:val="9"/>
        </w:numPr>
        <w:spacing w:after="104"/>
        <w:ind w:right="52" w:hanging="360"/>
      </w:pPr>
      <w:r>
        <w:t xml:space="preserve">find accounts on the device </w:t>
      </w:r>
    </w:p>
    <w:p w14:paraId="3DAD510E" w14:textId="77777777" w:rsidR="008D1D12" w:rsidRDefault="00F51D47">
      <w:pPr>
        <w:numPr>
          <w:ilvl w:val="0"/>
          <w:numId w:val="9"/>
        </w:numPr>
        <w:ind w:right="52" w:hanging="360"/>
      </w:pPr>
      <w:r>
        <w:t xml:space="preserve">add or remove accounts </w:t>
      </w:r>
    </w:p>
    <w:p w14:paraId="3D0B5715" w14:textId="77777777" w:rsidR="008D1D12" w:rsidRDefault="00F51D47">
      <w:pPr>
        <w:spacing w:after="308"/>
        <w:ind w:left="-5" w:right="52"/>
      </w:pPr>
      <w:r>
        <w:rPr>
          <w:noProof/>
        </w:rPr>
        <w:drawing>
          <wp:inline distT="0" distB="0" distL="0" distR="0" wp14:anchorId="719DB3C8" wp14:editId="4A06FA9D">
            <wp:extent cx="190500" cy="190500"/>
            <wp:effectExtent l="0" t="0" r="0" b="0"/>
            <wp:docPr id="3950" name="Picture 3950"/>
            <wp:cNvGraphicFramePr/>
            <a:graphic xmlns:a="http://schemas.openxmlformats.org/drawingml/2006/main">
              <a:graphicData uri="http://schemas.openxmlformats.org/drawingml/2006/picture">
                <pic:pic xmlns:pic="http://schemas.openxmlformats.org/drawingml/2006/picture">
                  <pic:nvPicPr>
                    <pic:cNvPr id="3950" name="Picture 3950"/>
                    <pic:cNvPicPr/>
                  </pic:nvPicPr>
                  <pic:blipFill>
                    <a:blip r:embed="rId15"/>
                    <a:stretch>
                      <a:fillRect/>
                    </a:stretch>
                  </pic:blipFill>
                  <pic:spPr>
                    <a:xfrm>
                      <a:off x="0" y="0"/>
                      <a:ext cx="190500" cy="190500"/>
                    </a:xfrm>
                    <a:prstGeom prst="rect">
                      <a:avLst/>
                    </a:prstGeom>
                  </pic:spPr>
                </pic:pic>
              </a:graphicData>
            </a:graphic>
          </wp:inline>
        </w:drawing>
      </w:r>
      <w:r>
        <w:t xml:space="preserve">Contacts </w:t>
      </w:r>
    </w:p>
    <w:p w14:paraId="7718A807" w14:textId="77777777" w:rsidR="008D1D12" w:rsidRDefault="00F51D47">
      <w:pPr>
        <w:numPr>
          <w:ilvl w:val="0"/>
          <w:numId w:val="9"/>
        </w:numPr>
        <w:ind w:right="52" w:hanging="360"/>
      </w:pPr>
      <w:r>
        <w:t xml:space="preserve">find accounts on the device </w:t>
      </w:r>
    </w:p>
    <w:p w14:paraId="07F307DD" w14:textId="77777777" w:rsidR="008D1D12" w:rsidRDefault="00F51D47">
      <w:pPr>
        <w:spacing w:after="308"/>
        <w:ind w:left="-5" w:right="52"/>
      </w:pPr>
      <w:r>
        <w:rPr>
          <w:noProof/>
        </w:rPr>
        <w:drawing>
          <wp:inline distT="0" distB="0" distL="0" distR="0" wp14:anchorId="08C935BA" wp14:editId="2A1EC822">
            <wp:extent cx="190500" cy="190500"/>
            <wp:effectExtent l="0" t="0" r="0" b="0"/>
            <wp:docPr id="3952" name="Picture 3952"/>
            <wp:cNvGraphicFramePr/>
            <a:graphic xmlns:a="http://schemas.openxmlformats.org/drawingml/2006/main">
              <a:graphicData uri="http://schemas.openxmlformats.org/drawingml/2006/picture">
                <pic:pic xmlns:pic="http://schemas.openxmlformats.org/drawingml/2006/picture">
                  <pic:nvPicPr>
                    <pic:cNvPr id="3952" name="Picture 3952"/>
                    <pic:cNvPicPr/>
                  </pic:nvPicPr>
                  <pic:blipFill>
                    <a:blip r:embed="rId16"/>
                    <a:stretch>
                      <a:fillRect/>
                    </a:stretch>
                  </pic:blipFill>
                  <pic:spPr>
                    <a:xfrm>
                      <a:off x="0" y="0"/>
                      <a:ext cx="190500" cy="190500"/>
                    </a:xfrm>
                    <a:prstGeom prst="rect">
                      <a:avLst/>
                    </a:prstGeom>
                  </pic:spPr>
                </pic:pic>
              </a:graphicData>
            </a:graphic>
          </wp:inline>
        </w:drawing>
      </w:r>
      <w:r>
        <w:t xml:space="preserve">Location </w:t>
      </w:r>
    </w:p>
    <w:p w14:paraId="11814B61" w14:textId="77777777" w:rsidR="008D1D12" w:rsidRDefault="00F51D47">
      <w:pPr>
        <w:numPr>
          <w:ilvl w:val="0"/>
          <w:numId w:val="9"/>
        </w:numPr>
        <w:ind w:right="52" w:hanging="360"/>
      </w:pPr>
      <w:r>
        <w:t xml:space="preserve">precise location (GPS and network-based) </w:t>
      </w:r>
    </w:p>
    <w:p w14:paraId="28359484" w14:textId="77777777" w:rsidR="008D1D12" w:rsidRDefault="00F51D47">
      <w:pPr>
        <w:spacing w:after="308"/>
        <w:ind w:left="-5" w:right="52"/>
      </w:pPr>
      <w:r>
        <w:rPr>
          <w:noProof/>
        </w:rPr>
        <w:drawing>
          <wp:inline distT="0" distB="0" distL="0" distR="0" wp14:anchorId="79F09697" wp14:editId="1DCE21AF">
            <wp:extent cx="190500" cy="190500"/>
            <wp:effectExtent l="0" t="0" r="0" b="0"/>
            <wp:docPr id="3954" name="Picture 3954"/>
            <wp:cNvGraphicFramePr/>
            <a:graphic xmlns:a="http://schemas.openxmlformats.org/drawingml/2006/main">
              <a:graphicData uri="http://schemas.openxmlformats.org/drawingml/2006/picture">
                <pic:pic xmlns:pic="http://schemas.openxmlformats.org/drawingml/2006/picture">
                  <pic:nvPicPr>
                    <pic:cNvPr id="3954" name="Picture 3954"/>
                    <pic:cNvPicPr/>
                  </pic:nvPicPr>
                  <pic:blipFill>
                    <a:blip r:embed="rId17"/>
                    <a:stretch>
                      <a:fillRect/>
                    </a:stretch>
                  </pic:blipFill>
                  <pic:spPr>
                    <a:xfrm>
                      <a:off x="0" y="0"/>
                      <a:ext cx="190500" cy="190500"/>
                    </a:xfrm>
                    <a:prstGeom prst="rect">
                      <a:avLst/>
                    </a:prstGeom>
                  </pic:spPr>
                </pic:pic>
              </a:graphicData>
            </a:graphic>
          </wp:inline>
        </w:drawing>
      </w:r>
      <w:r>
        <w:t xml:space="preserve">SMS </w:t>
      </w:r>
    </w:p>
    <w:p w14:paraId="2A8F6259" w14:textId="77777777" w:rsidR="008D1D12" w:rsidRDefault="00F51D47">
      <w:pPr>
        <w:numPr>
          <w:ilvl w:val="0"/>
          <w:numId w:val="9"/>
        </w:numPr>
        <w:ind w:right="52" w:hanging="360"/>
      </w:pPr>
      <w:r>
        <w:t xml:space="preserve">read your text messages (SMS or MMS) </w:t>
      </w:r>
    </w:p>
    <w:p w14:paraId="59BCB45E" w14:textId="77777777" w:rsidR="008D1D12" w:rsidRDefault="00F51D47">
      <w:pPr>
        <w:spacing w:after="307"/>
        <w:ind w:left="-5" w:right="52"/>
      </w:pPr>
      <w:r>
        <w:rPr>
          <w:noProof/>
        </w:rPr>
        <w:drawing>
          <wp:inline distT="0" distB="0" distL="0" distR="0" wp14:anchorId="07EEEFC0" wp14:editId="74703C90">
            <wp:extent cx="190500" cy="190500"/>
            <wp:effectExtent l="0" t="0" r="0" b="0"/>
            <wp:docPr id="3956" name="Picture 3956"/>
            <wp:cNvGraphicFramePr/>
            <a:graphic xmlns:a="http://schemas.openxmlformats.org/drawingml/2006/main">
              <a:graphicData uri="http://schemas.openxmlformats.org/drawingml/2006/picture">
                <pic:pic xmlns:pic="http://schemas.openxmlformats.org/drawingml/2006/picture">
                  <pic:nvPicPr>
                    <pic:cNvPr id="3956" name="Picture 3956"/>
                    <pic:cNvPicPr/>
                  </pic:nvPicPr>
                  <pic:blipFill>
                    <a:blip r:embed="rId18"/>
                    <a:stretch>
                      <a:fillRect/>
                    </a:stretch>
                  </pic:blipFill>
                  <pic:spPr>
                    <a:xfrm>
                      <a:off x="0" y="0"/>
                      <a:ext cx="190500" cy="190500"/>
                    </a:xfrm>
                    <a:prstGeom prst="rect">
                      <a:avLst/>
                    </a:prstGeom>
                  </pic:spPr>
                </pic:pic>
              </a:graphicData>
            </a:graphic>
          </wp:inline>
        </w:drawing>
      </w:r>
      <w:r>
        <w:t xml:space="preserve">Phone </w:t>
      </w:r>
    </w:p>
    <w:p w14:paraId="3760514A" w14:textId="77777777" w:rsidR="008D1D12" w:rsidRDefault="00F51D47">
      <w:pPr>
        <w:numPr>
          <w:ilvl w:val="0"/>
          <w:numId w:val="9"/>
        </w:numPr>
        <w:spacing w:after="104"/>
        <w:ind w:right="52" w:hanging="360"/>
      </w:pPr>
      <w:r>
        <w:t xml:space="preserve">read call log </w:t>
      </w:r>
    </w:p>
    <w:p w14:paraId="051B673E" w14:textId="77777777" w:rsidR="008D1D12" w:rsidRDefault="00F51D47">
      <w:pPr>
        <w:numPr>
          <w:ilvl w:val="0"/>
          <w:numId w:val="9"/>
        </w:numPr>
        <w:ind w:right="52" w:hanging="360"/>
      </w:pPr>
      <w:r>
        <w:t xml:space="preserve">read phone status and identity </w:t>
      </w:r>
    </w:p>
    <w:p w14:paraId="07546375" w14:textId="77777777" w:rsidR="008D1D12" w:rsidRDefault="00F51D47">
      <w:pPr>
        <w:spacing w:after="308"/>
        <w:ind w:left="-5" w:right="52"/>
      </w:pPr>
      <w:r>
        <w:rPr>
          <w:noProof/>
        </w:rPr>
        <w:drawing>
          <wp:inline distT="0" distB="0" distL="0" distR="0" wp14:anchorId="10D059C6" wp14:editId="2410C557">
            <wp:extent cx="190500" cy="190500"/>
            <wp:effectExtent l="0" t="0" r="0" b="0"/>
            <wp:docPr id="3958" name="Picture 3958"/>
            <wp:cNvGraphicFramePr/>
            <a:graphic xmlns:a="http://schemas.openxmlformats.org/drawingml/2006/main">
              <a:graphicData uri="http://schemas.openxmlformats.org/drawingml/2006/picture">
                <pic:pic xmlns:pic="http://schemas.openxmlformats.org/drawingml/2006/picture">
                  <pic:nvPicPr>
                    <pic:cNvPr id="3958" name="Picture 3958"/>
                    <pic:cNvPicPr/>
                  </pic:nvPicPr>
                  <pic:blipFill>
                    <a:blip r:embed="rId19"/>
                    <a:stretch>
                      <a:fillRect/>
                    </a:stretch>
                  </pic:blipFill>
                  <pic:spPr>
                    <a:xfrm>
                      <a:off x="0" y="0"/>
                      <a:ext cx="190500" cy="190500"/>
                    </a:xfrm>
                    <a:prstGeom prst="rect">
                      <a:avLst/>
                    </a:prstGeom>
                  </pic:spPr>
                </pic:pic>
              </a:graphicData>
            </a:graphic>
          </wp:inline>
        </w:drawing>
      </w:r>
      <w:r>
        <w:t xml:space="preserve">Photos / Media / Files </w:t>
      </w:r>
    </w:p>
    <w:p w14:paraId="4B78403E" w14:textId="77777777" w:rsidR="008D1D12" w:rsidRDefault="00F51D47">
      <w:pPr>
        <w:numPr>
          <w:ilvl w:val="0"/>
          <w:numId w:val="9"/>
        </w:numPr>
        <w:spacing w:after="103"/>
        <w:ind w:right="52" w:hanging="360"/>
      </w:pPr>
      <w:r>
        <w:t xml:space="preserve">read the contents of your USB storage </w:t>
      </w:r>
    </w:p>
    <w:p w14:paraId="5F4561F7" w14:textId="77777777" w:rsidR="008D1D12" w:rsidRDefault="00F51D47">
      <w:pPr>
        <w:numPr>
          <w:ilvl w:val="0"/>
          <w:numId w:val="9"/>
        </w:numPr>
        <w:ind w:right="52" w:hanging="360"/>
      </w:pPr>
      <w:r>
        <w:t xml:space="preserve">modify or delete the contents of your USB storage </w:t>
      </w:r>
    </w:p>
    <w:p w14:paraId="03CC1999" w14:textId="77777777" w:rsidR="008D1D12" w:rsidRDefault="00F51D47">
      <w:pPr>
        <w:spacing w:after="308"/>
        <w:ind w:left="-5" w:right="52"/>
      </w:pPr>
      <w:r>
        <w:rPr>
          <w:noProof/>
        </w:rPr>
        <w:drawing>
          <wp:inline distT="0" distB="0" distL="0" distR="0" wp14:anchorId="326F6E3A" wp14:editId="77E475D1">
            <wp:extent cx="190500" cy="190500"/>
            <wp:effectExtent l="0" t="0" r="0" b="0"/>
            <wp:docPr id="3960" name="Picture 3960"/>
            <wp:cNvGraphicFramePr/>
            <a:graphic xmlns:a="http://schemas.openxmlformats.org/drawingml/2006/main">
              <a:graphicData uri="http://schemas.openxmlformats.org/drawingml/2006/picture">
                <pic:pic xmlns:pic="http://schemas.openxmlformats.org/drawingml/2006/picture">
                  <pic:nvPicPr>
                    <pic:cNvPr id="3960" name="Picture 3960"/>
                    <pic:cNvPicPr/>
                  </pic:nvPicPr>
                  <pic:blipFill>
                    <a:blip r:embed="rId20"/>
                    <a:stretch>
                      <a:fillRect/>
                    </a:stretch>
                  </pic:blipFill>
                  <pic:spPr>
                    <a:xfrm>
                      <a:off x="0" y="0"/>
                      <a:ext cx="190500" cy="190500"/>
                    </a:xfrm>
                    <a:prstGeom prst="rect">
                      <a:avLst/>
                    </a:prstGeom>
                  </pic:spPr>
                </pic:pic>
              </a:graphicData>
            </a:graphic>
          </wp:inline>
        </w:drawing>
      </w:r>
      <w:r>
        <w:t xml:space="preserve">Storage </w:t>
      </w:r>
    </w:p>
    <w:p w14:paraId="47FEC664" w14:textId="77777777" w:rsidR="008D1D12" w:rsidRDefault="00F51D47">
      <w:pPr>
        <w:numPr>
          <w:ilvl w:val="0"/>
          <w:numId w:val="9"/>
        </w:numPr>
        <w:ind w:right="52" w:hanging="360"/>
      </w:pPr>
      <w:r>
        <w:t xml:space="preserve">read the contents of your USB storage </w:t>
      </w:r>
    </w:p>
    <w:p w14:paraId="140DD2EE" w14:textId="77777777" w:rsidR="008D1D12" w:rsidRDefault="00F51D47">
      <w:pPr>
        <w:numPr>
          <w:ilvl w:val="0"/>
          <w:numId w:val="9"/>
        </w:numPr>
        <w:ind w:right="52" w:hanging="360"/>
      </w:pPr>
      <w:r>
        <w:t xml:space="preserve">modify or delete the contents of your USB storage </w:t>
      </w:r>
    </w:p>
    <w:p w14:paraId="7161BDD0" w14:textId="77777777" w:rsidR="008D1D12" w:rsidRDefault="00F51D47">
      <w:pPr>
        <w:spacing w:after="308"/>
        <w:ind w:left="-5" w:right="52"/>
      </w:pPr>
      <w:r>
        <w:rPr>
          <w:noProof/>
        </w:rPr>
        <w:lastRenderedPageBreak/>
        <w:drawing>
          <wp:inline distT="0" distB="0" distL="0" distR="0" wp14:anchorId="1288CF76" wp14:editId="258B9126">
            <wp:extent cx="190500" cy="190500"/>
            <wp:effectExtent l="0" t="0" r="0" b="0"/>
            <wp:docPr id="4083" name="Picture 4083"/>
            <wp:cNvGraphicFramePr/>
            <a:graphic xmlns:a="http://schemas.openxmlformats.org/drawingml/2006/main">
              <a:graphicData uri="http://schemas.openxmlformats.org/drawingml/2006/picture">
                <pic:pic xmlns:pic="http://schemas.openxmlformats.org/drawingml/2006/picture">
                  <pic:nvPicPr>
                    <pic:cNvPr id="4083" name="Picture 4083"/>
                    <pic:cNvPicPr/>
                  </pic:nvPicPr>
                  <pic:blipFill>
                    <a:blip r:embed="rId21"/>
                    <a:stretch>
                      <a:fillRect/>
                    </a:stretch>
                  </pic:blipFill>
                  <pic:spPr>
                    <a:xfrm>
                      <a:off x="0" y="0"/>
                      <a:ext cx="190500" cy="190500"/>
                    </a:xfrm>
                    <a:prstGeom prst="rect">
                      <a:avLst/>
                    </a:prstGeom>
                  </pic:spPr>
                </pic:pic>
              </a:graphicData>
            </a:graphic>
          </wp:inline>
        </w:drawing>
      </w:r>
      <w:r>
        <w:t xml:space="preserve">Camera </w:t>
      </w:r>
    </w:p>
    <w:p w14:paraId="4DBBCE18" w14:textId="77777777" w:rsidR="008D1D12" w:rsidRDefault="00F51D47">
      <w:pPr>
        <w:numPr>
          <w:ilvl w:val="0"/>
          <w:numId w:val="9"/>
        </w:numPr>
        <w:ind w:right="52" w:hanging="360"/>
      </w:pPr>
      <w:r>
        <w:t xml:space="preserve">take pictures and videos </w:t>
      </w:r>
    </w:p>
    <w:p w14:paraId="38DE6089" w14:textId="77777777" w:rsidR="008D1D12" w:rsidRDefault="00F51D47">
      <w:pPr>
        <w:spacing w:after="308"/>
        <w:ind w:left="-5" w:right="52"/>
      </w:pPr>
      <w:r>
        <w:rPr>
          <w:noProof/>
        </w:rPr>
        <w:drawing>
          <wp:inline distT="0" distB="0" distL="0" distR="0" wp14:anchorId="764C29E1" wp14:editId="62EF9D17">
            <wp:extent cx="190500" cy="190500"/>
            <wp:effectExtent l="0" t="0" r="0" b="0"/>
            <wp:docPr id="4085" name="Picture 4085"/>
            <wp:cNvGraphicFramePr/>
            <a:graphic xmlns:a="http://schemas.openxmlformats.org/drawingml/2006/main">
              <a:graphicData uri="http://schemas.openxmlformats.org/drawingml/2006/picture">
                <pic:pic xmlns:pic="http://schemas.openxmlformats.org/drawingml/2006/picture">
                  <pic:nvPicPr>
                    <pic:cNvPr id="4085" name="Picture 4085"/>
                    <pic:cNvPicPr/>
                  </pic:nvPicPr>
                  <pic:blipFill>
                    <a:blip r:embed="rId22"/>
                    <a:stretch>
                      <a:fillRect/>
                    </a:stretch>
                  </pic:blipFill>
                  <pic:spPr>
                    <a:xfrm>
                      <a:off x="0" y="0"/>
                      <a:ext cx="190500" cy="190500"/>
                    </a:xfrm>
                    <a:prstGeom prst="rect">
                      <a:avLst/>
                    </a:prstGeom>
                  </pic:spPr>
                </pic:pic>
              </a:graphicData>
            </a:graphic>
          </wp:inline>
        </w:drawing>
      </w:r>
      <w:r>
        <w:t xml:space="preserve">Wi-Fi connection information </w:t>
      </w:r>
    </w:p>
    <w:p w14:paraId="462A3E3D" w14:textId="77777777" w:rsidR="008D1D12" w:rsidRDefault="00F51D47">
      <w:pPr>
        <w:numPr>
          <w:ilvl w:val="0"/>
          <w:numId w:val="9"/>
        </w:numPr>
        <w:ind w:right="52" w:hanging="360"/>
      </w:pPr>
      <w:r>
        <w:t xml:space="preserve">view Wi-Fi connections </w:t>
      </w:r>
    </w:p>
    <w:p w14:paraId="5DA27529" w14:textId="77777777" w:rsidR="008D1D12" w:rsidRDefault="00F51D47">
      <w:pPr>
        <w:spacing w:after="306"/>
        <w:ind w:left="-5" w:right="52"/>
      </w:pPr>
      <w:r>
        <w:rPr>
          <w:noProof/>
        </w:rPr>
        <w:drawing>
          <wp:inline distT="0" distB="0" distL="0" distR="0" wp14:anchorId="1D6A5B0B" wp14:editId="143366C0">
            <wp:extent cx="190500" cy="190500"/>
            <wp:effectExtent l="0" t="0" r="0" b="0"/>
            <wp:docPr id="4087" name="Picture 4087"/>
            <wp:cNvGraphicFramePr/>
            <a:graphic xmlns:a="http://schemas.openxmlformats.org/drawingml/2006/main">
              <a:graphicData uri="http://schemas.openxmlformats.org/drawingml/2006/picture">
                <pic:pic xmlns:pic="http://schemas.openxmlformats.org/drawingml/2006/picture">
                  <pic:nvPicPr>
                    <pic:cNvPr id="4087" name="Picture 4087"/>
                    <pic:cNvPicPr/>
                  </pic:nvPicPr>
                  <pic:blipFill>
                    <a:blip r:embed="rId23"/>
                    <a:stretch>
                      <a:fillRect/>
                    </a:stretch>
                  </pic:blipFill>
                  <pic:spPr>
                    <a:xfrm>
                      <a:off x="0" y="0"/>
                      <a:ext cx="190500" cy="190500"/>
                    </a:xfrm>
                    <a:prstGeom prst="rect">
                      <a:avLst/>
                    </a:prstGeom>
                  </pic:spPr>
                </pic:pic>
              </a:graphicData>
            </a:graphic>
          </wp:inline>
        </w:drawing>
      </w:r>
      <w:r>
        <w:t xml:space="preserve">Device ID &amp; call information </w:t>
      </w:r>
    </w:p>
    <w:p w14:paraId="3C759F47" w14:textId="77777777" w:rsidR="008D1D12" w:rsidRDefault="00F51D47">
      <w:pPr>
        <w:numPr>
          <w:ilvl w:val="0"/>
          <w:numId w:val="9"/>
        </w:numPr>
        <w:ind w:right="52" w:hanging="360"/>
      </w:pPr>
      <w:r>
        <w:t xml:space="preserve">read phone status and identity </w:t>
      </w:r>
    </w:p>
    <w:p w14:paraId="076C4A87" w14:textId="77777777" w:rsidR="008D1D12" w:rsidRDefault="00F51D47">
      <w:pPr>
        <w:spacing w:after="308"/>
        <w:ind w:left="-5" w:right="52"/>
      </w:pPr>
      <w:r>
        <w:t xml:space="preserve">Other </w:t>
      </w:r>
    </w:p>
    <w:p w14:paraId="6073C773" w14:textId="77777777" w:rsidR="008D1D12" w:rsidRDefault="00F51D47">
      <w:pPr>
        <w:numPr>
          <w:ilvl w:val="0"/>
          <w:numId w:val="9"/>
        </w:numPr>
        <w:spacing w:after="106"/>
        <w:ind w:right="52" w:hanging="360"/>
      </w:pPr>
      <w:r>
        <w:t xml:space="preserve">interact with a device admin </w:t>
      </w:r>
    </w:p>
    <w:p w14:paraId="54B77FA3" w14:textId="77777777" w:rsidR="008D1D12" w:rsidRDefault="00F51D47">
      <w:pPr>
        <w:numPr>
          <w:ilvl w:val="0"/>
          <w:numId w:val="9"/>
        </w:numPr>
        <w:spacing w:after="101"/>
        <w:ind w:right="52" w:hanging="360"/>
      </w:pPr>
      <w:r>
        <w:t xml:space="preserve">delete apps </w:t>
      </w:r>
    </w:p>
    <w:p w14:paraId="1EA86988" w14:textId="77777777" w:rsidR="008D1D12" w:rsidRDefault="00F51D47">
      <w:pPr>
        <w:numPr>
          <w:ilvl w:val="0"/>
          <w:numId w:val="9"/>
        </w:numPr>
        <w:spacing w:after="104"/>
        <w:ind w:right="52" w:hanging="360"/>
      </w:pPr>
      <w:r>
        <w:t xml:space="preserve">download files without notification </w:t>
      </w:r>
    </w:p>
    <w:p w14:paraId="3DE54DAA" w14:textId="77777777" w:rsidR="008D1D12" w:rsidRDefault="00F51D47">
      <w:pPr>
        <w:numPr>
          <w:ilvl w:val="0"/>
          <w:numId w:val="9"/>
        </w:numPr>
        <w:spacing w:after="104"/>
        <w:ind w:right="52" w:hanging="360"/>
      </w:pPr>
      <w:r>
        <w:t xml:space="preserve">modify secure system settings </w:t>
      </w:r>
    </w:p>
    <w:p w14:paraId="20E142A2" w14:textId="77777777" w:rsidR="008D1D12" w:rsidRDefault="00F51D47">
      <w:pPr>
        <w:numPr>
          <w:ilvl w:val="0"/>
          <w:numId w:val="9"/>
        </w:numPr>
        <w:spacing w:after="101"/>
        <w:ind w:right="52" w:hanging="360"/>
      </w:pPr>
      <w:r>
        <w:t xml:space="preserve">receive data from Internet </w:t>
      </w:r>
    </w:p>
    <w:p w14:paraId="7CC60C73" w14:textId="77777777" w:rsidR="008D1D12" w:rsidRDefault="00F51D47">
      <w:pPr>
        <w:numPr>
          <w:ilvl w:val="0"/>
          <w:numId w:val="9"/>
        </w:numPr>
        <w:spacing w:after="104"/>
        <w:ind w:right="52" w:hanging="360"/>
      </w:pPr>
      <w:r>
        <w:t xml:space="preserve">view network connections </w:t>
      </w:r>
    </w:p>
    <w:p w14:paraId="54D8A28B" w14:textId="77777777" w:rsidR="008D1D12" w:rsidRDefault="00F51D47">
      <w:pPr>
        <w:numPr>
          <w:ilvl w:val="0"/>
          <w:numId w:val="9"/>
        </w:numPr>
        <w:spacing w:after="101"/>
        <w:ind w:right="52" w:hanging="360"/>
      </w:pPr>
      <w:r>
        <w:t xml:space="preserve">pair with Bluetooth devices </w:t>
      </w:r>
    </w:p>
    <w:p w14:paraId="15E097A0" w14:textId="77777777" w:rsidR="008D1D12" w:rsidRDefault="00F51D47">
      <w:pPr>
        <w:numPr>
          <w:ilvl w:val="0"/>
          <w:numId w:val="9"/>
        </w:numPr>
        <w:spacing w:after="103"/>
        <w:ind w:right="52" w:hanging="360"/>
      </w:pPr>
      <w:r>
        <w:t xml:space="preserve">access Bluetooth settings </w:t>
      </w:r>
    </w:p>
    <w:p w14:paraId="64258288" w14:textId="77777777" w:rsidR="008D1D12" w:rsidRDefault="00F51D47">
      <w:pPr>
        <w:numPr>
          <w:ilvl w:val="0"/>
          <w:numId w:val="9"/>
        </w:numPr>
        <w:spacing w:after="104"/>
        <w:ind w:right="52" w:hanging="360"/>
      </w:pPr>
      <w:r>
        <w:t xml:space="preserve">connect and disconnect from Wi-Fi </w:t>
      </w:r>
    </w:p>
    <w:p w14:paraId="0E0D7819" w14:textId="77777777" w:rsidR="008D1D12" w:rsidRDefault="00F51D47">
      <w:pPr>
        <w:numPr>
          <w:ilvl w:val="0"/>
          <w:numId w:val="9"/>
        </w:numPr>
        <w:spacing w:after="102"/>
        <w:ind w:right="52" w:hanging="360"/>
      </w:pPr>
      <w:r>
        <w:t xml:space="preserve">measure app storage space </w:t>
      </w:r>
    </w:p>
    <w:p w14:paraId="35C4FEA5" w14:textId="77777777" w:rsidR="008D1D12" w:rsidRDefault="00F51D47">
      <w:pPr>
        <w:numPr>
          <w:ilvl w:val="0"/>
          <w:numId w:val="9"/>
        </w:numPr>
        <w:spacing w:after="105"/>
        <w:ind w:right="52" w:hanging="360"/>
      </w:pPr>
      <w:r>
        <w:t xml:space="preserve">full network access </w:t>
      </w:r>
    </w:p>
    <w:p w14:paraId="6169D62F" w14:textId="77777777" w:rsidR="008D1D12" w:rsidRDefault="00F51D47">
      <w:pPr>
        <w:numPr>
          <w:ilvl w:val="0"/>
          <w:numId w:val="9"/>
        </w:numPr>
        <w:spacing w:after="105"/>
        <w:ind w:right="52" w:hanging="360"/>
      </w:pPr>
      <w:r>
        <w:t xml:space="preserve">close other apps </w:t>
      </w:r>
    </w:p>
    <w:p w14:paraId="344AA589" w14:textId="77777777" w:rsidR="008D1D12" w:rsidRDefault="00F51D47">
      <w:pPr>
        <w:numPr>
          <w:ilvl w:val="0"/>
          <w:numId w:val="9"/>
        </w:numPr>
        <w:spacing w:after="102"/>
        <w:ind w:right="52" w:hanging="360"/>
      </w:pPr>
      <w:r>
        <w:t xml:space="preserve">run at </w:t>
      </w:r>
      <w:proofErr w:type="spellStart"/>
      <w:r>
        <w:t>startup</w:t>
      </w:r>
      <w:proofErr w:type="spellEnd"/>
      <w:r>
        <w:t xml:space="preserve"> </w:t>
      </w:r>
    </w:p>
    <w:p w14:paraId="2EBD5828" w14:textId="77777777" w:rsidR="008D1D12" w:rsidRDefault="00F51D47">
      <w:pPr>
        <w:numPr>
          <w:ilvl w:val="0"/>
          <w:numId w:val="9"/>
        </w:numPr>
        <w:spacing w:after="106"/>
        <w:ind w:right="52" w:hanging="360"/>
      </w:pPr>
      <w:r>
        <w:t xml:space="preserve">enable app debugging </w:t>
      </w:r>
    </w:p>
    <w:p w14:paraId="30EBB2C6" w14:textId="77777777" w:rsidR="008D1D12" w:rsidRDefault="00F51D47">
      <w:pPr>
        <w:numPr>
          <w:ilvl w:val="0"/>
          <w:numId w:val="9"/>
        </w:numPr>
        <w:spacing w:after="105"/>
        <w:ind w:right="52" w:hanging="360"/>
      </w:pPr>
      <w:r>
        <w:t xml:space="preserve">set wallpaper </w:t>
      </w:r>
    </w:p>
    <w:p w14:paraId="5D363144" w14:textId="77777777" w:rsidR="008D1D12" w:rsidRDefault="00F51D47">
      <w:pPr>
        <w:numPr>
          <w:ilvl w:val="0"/>
          <w:numId w:val="9"/>
        </w:numPr>
        <w:spacing w:after="101"/>
        <w:ind w:right="52" w:hanging="360"/>
      </w:pPr>
      <w:r>
        <w:t xml:space="preserve">control vibration </w:t>
      </w:r>
    </w:p>
    <w:p w14:paraId="030CE7A8" w14:textId="77777777" w:rsidR="008D1D12" w:rsidRDefault="00F51D47">
      <w:pPr>
        <w:numPr>
          <w:ilvl w:val="0"/>
          <w:numId w:val="9"/>
        </w:numPr>
        <w:spacing w:after="104"/>
        <w:ind w:right="52" w:hanging="360"/>
      </w:pPr>
      <w:r>
        <w:t xml:space="preserve">prevent device from sleeping </w:t>
      </w:r>
    </w:p>
    <w:p w14:paraId="211FC55D" w14:textId="77777777" w:rsidR="008D1D12" w:rsidRDefault="00F51D47">
      <w:pPr>
        <w:numPr>
          <w:ilvl w:val="0"/>
          <w:numId w:val="9"/>
        </w:numPr>
        <w:spacing w:after="104"/>
        <w:ind w:right="52" w:hanging="360"/>
      </w:pPr>
      <w:r>
        <w:t xml:space="preserve">modify system settings </w:t>
      </w:r>
    </w:p>
    <w:p w14:paraId="5AE35681" w14:textId="77777777" w:rsidR="008D1D12" w:rsidRDefault="00F51D47">
      <w:pPr>
        <w:numPr>
          <w:ilvl w:val="0"/>
          <w:numId w:val="9"/>
        </w:numPr>
        <w:spacing w:after="102"/>
        <w:ind w:right="52" w:hanging="360"/>
      </w:pPr>
      <w:r>
        <w:t xml:space="preserve">toggle sync on and off </w:t>
      </w:r>
    </w:p>
    <w:p w14:paraId="5E7A7BE9" w14:textId="77777777" w:rsidR="008D1D12" w:rsidRDefault="00F51D47">
      <w:pPr>
        <w:numPr>
          <w:ilvl w:val="0"/>
          <w:numId w:val="9"/>
        </w:numPr>
        <w:spacing w:after="104"/>
        <w:ind w:right="52" w:hanging="360"/>
      </w:pPr>
      <w:r>
        <w:t xml:space="preserve">install shortcuts </w:t>
      </w:r>
    </w:p>
    <w:p w14:paraId="1BF08CD0" w14:textId="77777777" w:rsidR="008D1D12" w:rsidRDefault="00F51D47">
      <w:pPr>
        <w:numPr>
          <w:ilvl w:val="0"/>
          <w:numId w:val="9"/>
        </w:numPr>
        <w:ind w:right="52" w:hanging="360"/>
      </w:pPr>
      <w:r>
        <w:t xml:space="preserve">uninstall shortcuts </w:t>
      </w:r>
    </w:p>
    <w:p w14:paraId="7656C201" w14:textId="77777777" w:rsidR="008D1D12" w:rsidRDefault="00F51D47">
      <w:pPr>
        <w:numPr>
          <w:ilvl w:val="0"/>
          <w:numId w:val="9"/>
        </w:numPr>
        <w:spacing w:after="283" w:line="259" w:lineRule="auto"/>
        <w:ind w:right="52" w:hanging="360"/>
      </w:pPr>
      <w:r>
        <w:t xml:space="preserve">read Google service configuration </w:t>
      </w:r>
    </w:p>
    <w:p w14:paraId="795D9446" w14:textId="77777777" w:rsidR="008D1D12" w:rsidRDefault="00F51D47">
      <w:pPr>
        <w:spacing w:after="0" w:line="259" w:lineRule="auto"/>
        <w:ind w:left="0" w:firstLine="0"/>
        <w:jc w:val="left"/>
      </w:pPr>
      <w:r>
        <w:t xml:space="preserve"> </w:t>
      </w:r>
      <w:r>
        <w:tab/>
      </w:r>
      <w:r>
        <w:rPr>
          <w:b/>
          <w:sz w:val="28"/>
        </w:rPr>
        <w:t xml:space="preserve"> </w:t>
      </w:r>
      <w:r>
        <w:br w:type="page"/>
      </w:r>
    </w:p>
    <w:p w14:paraId="160E41A3" w14:textId="77777777" w:rsidR="008D1D12" w:rsidRDefault="00F51D47">
      <w:pPr>
        <w:pStyle w:val="Heading2"/>
        <w:ind w:left="705" w:hanging="720"/>
      </w:pPr>
      <w:bookmarkStart w:id="44" w:name="_Toc30437"/>
      <w:r>
        <w:lastRenderedPageBreak/>
        <w:t xml:space="preserve">Appendix B – sample Wireless Access Policy </w:t>
      </w:r>
      <w:bookmarkEnd w:id="44"/>
    </w:p>
    <w:p w14:paraId="3BF8B599" w14:textId="77777777" w:rsidR="008D1D12" w:rsidRDefault="00F51D47">
      <w:pPr>
        <w:spacing w:after="0" w:line="259" w:lineRule="auto"/>
        <w:ind w:left="0" w:firstLine="0"/>
        <w:jc w:val="right"/>
      </w:pPr>
      <w:r>
        <w:rPr>
          <w:noProof/>
        </w:rPr>
        <w:drawing>
          <wp:inline distT="0" distB="0" distL="0" distR="0" wp14:anchorId="12F99E9B" wp14:editId="0D466565">
            <wp:extent cx="5731510" cy="8140065"/>
            <wp:effectExtent l="0" t="0" r="0" b="0"/>
            <wp:docPr id="4113" name="Picture 4113"/>
            <wp:cNvGraphicFramePr/>
            <a:graphic xmlns:a="http://schemas.openxmlformats.org/drawingml/2006/main">
              <a:graphicData uri="http://schemas.openxmlformats.org/drawingml/2006/picture">
                <pic:pic xmlns:pic="http://schemas.openxmlformats.org/drawingml/2006/picture">
                  <pic:nvPicPr>
                    <pic:cNvPr id="4113" name="Picture 4113"/>
                    <pic:cNvPicPr/>
                  </pic:nvPicPr>
                  <pic:blipFill>
                    <a:blip r:embed="rId24"/>
                    <a:stretch>
                      <a:fillRect/>
                    </a:stretch>
                  </pic:blipFill>
                  <pic:spPr>
                    <a:xfrm>
                      <a:off x="0" y="0"/>
                      <a:ext cx="5731510" cy="8140065"/>
                    </a:xfrm>
                    <a:prstGeom prst="rect">
                      <a:avLst/>
                    </a:prstGeom>
                  </pic:spPr>
                </pic:pic>
              </a:graphicData>
            </a:graphic>
          </wp:inline>
        </w:drawing>
      </w:r>
      <w:r>
        <w:t xml:space="preserve"> </w:t>
      </w:r>
    </w:p>
    <w:p w14:paraId="4F5B8EF0" w14:textId="77777777" w:rsidR="008D1D12" w:rsidRDefault="00F51D47">
      <w:pPr>
        <w:spacing w:after="220" w:line="259" w:lineRule="auto"/>
        <w:ind w:left="0" w:firstLine="0"/>
        <w:jc w:val="right"/>
      </w:pPr>
      <w:r>
        <w:rPr>
          <w:noProof/>
        </w:rPr>
        <w:lastRenderedPageBreak/>
        <w:drawing>
          <wp:inline distT="0" distB="0" distL="0" distR="0" wp14:anchorId="60AC994C" wp14:editId="5881EEFF">
            <wp:extent cx="5731510" cy="5725160"/>
            <wp:effectExtent l="0" t="0" r="0" b="0"/>
            <wp:docPr id="4122" name="Picture 4122"/>
            <wp:cNvGraphicFramePr/>
            <a:graphic xmlns:a="http://schemas.openxmlformats.org/drawingml/2006/main">
              <a:graphicData uri="http://schemas.openxmlformats.org/drawingml/2006/picture">
                <pic:pic xmlns:pic="http://schemas.openxmlformats.org/drawingml/2006/picture">
                  <pic:nvPicPr>
                    <pic:cNvPr id="4122" name="Picture 4122"/>
                    <pic:cNvPicPr/>
                  </pic:nvPicPr>
                  <pic:blipFill>
                    <a:blip r:embed="rId25"/>
                    <a:stretch>
                      <a:fillRect/>
                    </a:stretch>
                  </pic:blipFill>
                  <pic:spPr>
                    <a:xfrm>
                      <a:off x="0" y="0"/>
                      <a:ext cx="5731510" cy="5725160"/>
                    </a:xfrm>
                    <a:prstGeom prst="rect">
                      <a:avLst/>
                    </a:prstGeom>
                  </pic:spPr>
                </pic:pic>
              </a:graphicData>
            </a:graphic>
          </wp:inline>
        </w:drawing>
      </w:r>
      <w:r>
        <w:t xml:space="preserve"> </w:t>
      </w:r>
    </w:p>
    <w:p w14:paraId="06877DA9" w14:textId="77777777" w:rsidR="008D1D12" w:rsidRDefault="00F51D47">
      <w:pPr>
        <w:spacing w:after="0" w:line="259" w:lineRule="auto"/>
        <w:ind w:left="0" w:firstLine="0"/>
        <w:jc w:val="left"/>
      </w:pPr>
      <w:r>
        <w:t xml:space="preserve"> </w:t>
      </w:r>
      <w:r>
        <w:tab/>
        <w:t xml:space="preserve"> </w:t>
      </w:r>
    </w:p>
    <w:p w14:paraId="16EC6229" w14:textId="77777777" w:rsidR="008D1D12" w:rsidRDefault="00F51D47">
      <w:pPr>
        <w:pStyle w:val="Heading2"/>
        <w:ind w:left="705" w:hanging="720"/>
      </w:pPr>
      <w:bookmarkStart w:id="45" w:name="_Toc30438"/>
      <w:r>
        <w:t xml:space="preserve">Appendix C – Packet Tracer screenshot </w:t>
      </w:r>
      <w:bookmarkEnd w:id="45"/>
    </w:p>
    <w:p w14:paraId="057E875B" w14:textId="77777777" w:rsidR="008D1D12" w:rsidRDefault="00F51D47">
      <w:pPr>
        <w:spacing w:after="274"/>
        <w:ind w:left="-5" w:right="52"/>
      </w:pPr>
      <w:r>
        <w:t xml:space="preserve">Screenshot of Packet Tracer example.  </w:t>
      </w:r>
    </w:p>
    <w:p w14:paraId="621B53F8" w14:textId="77777777" w:rsidR="008D1D12" w:rsidRDefault="00F51D47">
      <w:pPr>
        <w:tabs>
          <w:tab w:val="center" w:pos="8490"/>
        </w:tabs>
        <w:spacing w:after="0" w:line="259" w:lineRule="auto"/>
        <w:ind w:left="0" w:firstLine="0"/>
        <w:jc w:val="left"/>
      </w:pPr>
      <w:r>
        <w:rPr>
          <w:noProof/>
        </w:rPr>
        <w:lastRenderedPageBreak/>
        <w:drawing>
          <wp:inline distT="0" distB="0" distL="0" distR="0" wp14:anchorId="0BBA862E" wp14:editId="0DBA4883">
            <wp:extent cx="3556000" cy="7823836"/>
            <wp:effectExtent l="0" t="0" r="0" b="0"/>
            <wp:docPr id="4141" name="Picture 4141"/>
            <wp:cNvGraphicFramePr/>
            <a:graphic xmlns:a="http://schemas.openxmlformats.org/drawingml/2006/main">
              <a:graphicData uri="http://schemas.openxmlformats.org/drawingml/2006/picture">
                <pic:pic xmlns:pic="http://schemas.openxmlformats.org/drawingml/2006/picture">
                  <pic:nvPicPr>
                    <pic:cNvPr id="4141" name="Picture 4141"/>
                    <pic:cNvPicPr/>
                  </pic:nvPicPr>
                  <pic:blipFill>
                    <a:blip r:embed="rId26"/>
                    <a:stretch>
                      <a:fillRect/>
                    </a:stretch>
                  </pic:blipFill>
                  <pic:spPr>
                    <a:xfrm>
                      <a:off x="0" y="0"/>
                      <a:ext cx="3556000" cy="7823836"/>
                    </a:xfrm>
                    <a:prstGeom prst="rect">
                      <a:avLst/>
                    </a:prstGeom>
                  </pic:spPr>
                </pic:pic>
              </a:graphicData>
            </a:graphic>
          </wp:inline>
        </w:drawing>
      </w:r>
      <w:r>
        <w:t xml:space="preserve"> </w:t>
      </w:r>
      <w:r>
        <w:tab/>
        <w:t xml:space="preserve"> </w:t>
      </w:r>
    </w:p>
    <w:p w14:paraId="4D714DD9" w14:textId="77777777" w:rsidR="008D1D12" w:rsidRDefault="00F51D47">
      <w:pPr>
        <w:pStyle w:val="Heading2"/>
        <w:ind w:left="705" w:hanging="720"/>
      </w:pPr>
      <w:bookmarkStart w:id="46" w:name="_Toc30439"/>
      <w:r>
        <w:t xml:space="preserve">Appendix D – flowchart of staff user connecting to network </w:t>
      </w:r>
      <w:bookmarkEnd w:id="46"/>
    </w:p>
    <w:p w14:paraId="0EC4683C" w14:textId="77777777" w:rsidR="008D1D12" w:rsidRDefault="00F51D47">
      <w:pPr>
        <w:spacing w:after="114"/>
        <w:ind w:left="-5" w:right="52"/>
      </w:pPr>
      <w:r>
        <w:t>An example flowchart of a staff user connecting to the network.</w:t>
      </w:r>
    </w:p>
    <w:p w14:paraId="1FDF7694" w14:textId="77777777" w:rsidR="00AB0CAA" w:rsidRDefault="00F51D47">
      <w:pPr>
        <w:spacing w:after="0" w:line="259" w:lineRule="auto"/>
        <w:ind w:left="0" w:firstLine="0"/>
        <w:jc w:val="right"/>
        <w:sectPr w:rsidR="00AB0CAA">
          <w:footerReference w:type="even" r:id="rId27"/>
          <w:footerReference w:type="default" r:id="rId28"/>
          <w:footerReference w:type="first" r:id="rId29"/>
          <w:pgSz w:w="11906" w:h="16838"/>
          <w:pgMar w:top="1440" w:right="1376" w:bottom="1444" w:left="1440" w:header="720" w:footer="707" w:gutter="0"/>
          <w:pgNumType w:start="1"/>
          <w:cols w:space="720"/>
        </w:sectPr>
      </w:pPr>
      <w:r>
        <w:rPr>
          <w:noProof/>
        </w:rPr>
        <w:lastRenderedPageBreak/>
        <w:drawing>
          <wp:inline distT="0" distB="0" distL="0" distR="0" wp14:anchorId="3E7C8D1A" wp14:editId="4B3DEB2C">
            <wp:extent cx="5731510" cy="7914640"/>
            <wp:effectExtent l="0" t="0" r="0" b="0"/>
            <wp:docPr id="4158" name="Picture 4158"/>
            <wp:cNvGraphicFramePr/>
            <a:graphic xmlns:a="http://schemas.openxmlformats.org/drawingml/2006/main">
              <a:graphicData uri="http://schemas.openxmlformats.org/drawingml/2006/picture">
                <pic:pic xmlns:pic="http://schemas.openxmlformats.org/drawingml/2006/picture">
                  <pic:nvPicPr>
                    <pic:cNvPr id="4158" name="Picture 4158"/>
                    <pic:cNvPicPr/>
                  </pic:nvPicPr>
                  <pic:blipFill>
                    <a:blip r:embed="rId30"/>
                    <a:stretch>
                      <a:fillRect/>
                    </a:stretch>
                  </pic:blipFill>
                  <pic:spPr>
                    <a:xfrm>
                      <a:off x="0" y="0"/>
                      <a:ext cx="5731510" cy="7914640"/>
                    </a:xfrm>
                    <a:prstGeom prst="rect">
                      <a:avLst/>
                    </a:prstGeom>
                  </pic:spPr>
                </pic:pic>
              </a:graphicData>
            </a:graphic>
          </wp:inline>
        </w:drawing>
      </w:r>
      <w:r>
        <w:t xml:space="preserve"> </w:t>
      </w:r>
    </w:p>
    <w:p w14:paraId="5AD4C8C2" w14:textId="77777777" w:rsidR="00AB0CAA" w:rsidRPr="00AB0CAA" w:rsidRDefault="00AB0CAA" w:rsidP="00AB0CAA">
      <w:pPr>
        <w:spacing w:after="0" w:line="240" w:lineRule="auto"/>
        <w:ind w:left="0" w:firstLine="0"/>
        <w:jc w:val="left"/>
        <w:rPr>
          <w:rFonts w:ascii="Calibri" w:hAnsi="Calibri" w:cs="Calibri"/>
          <w:b/>
          <w:color w:val="auto"/>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56"/>
      </w:tblGrid>
      <w:tr w:rsidR="00AB0CAA" w:rsidRPr="00AB0CAA" w14:paraId="524002AB" w14:textId="77777777" w:rsidTr="00A37519">
        <w:trPr>
          <w:jc w:val="center"/>
        </w:trPr>
        <w:tc>
          <w:tcPr>
            <w:tcW w:w="10670" w:type="dxa"/>
            <w:shd w:val="clear" w:color="auto" w:fill="BFBFBF"/>
          </w:tcPr>
          <w:p w14:paraId="30268EC6" w14:textId="77777777" w:rsidR="00AB0CAA" w:rsidRPr="00AB0CAA" w:rsidRDefault="00AB0CAA" w:rsidP="00AB0CAA">
            <w:pPr>
              <w:spacing w:after="0" w:line="240" w:lineRule="auto"/>
              <w:ind w:left="0" w:firstLine="0"/>
              <w:jc w:val="left"/>
              <w:rPr>
                <w:color w:val="auto"/>
                <w:sz w:val="20"/>
                <w:szCs w:val="20"/>
              </w:rPr>
            </w:pPr>
            <w:r w:rsidRPr="00AB0CAA">
              <w:rPr>
                <w:color w:val="auto"/>
                <w:sz w:val="32"/>
                <w:szCs w:val="32"/>
              </w:rPr>
              <w:br w:type="page"/>
            </w:r>
            <w:r w:rsidRPr="00AB0CAA">
              <w:rPr>
                <w:rFonts w:ascii="Calibri" w:hAnsi="Calibri" w:cs="Arial"/>
                <w:b/>
                <w:caps/>
                <w:color w:val="auto"/>
                <w:sz w:val="40"/>
                <w:szCs w:val="20"/>
              </w:rPr>
              <w:t xml:space="preserve">                 marking criteria and Student FEEDBACK</w:t>
            </w:r>
          </w:p>
        </w:tc>
      </w:tr>
    </w:tbl>
    <w:p w14:paraId="7CB3318F" w14:textId="77777777" w:rsidR="00AB0CAA" w:rsidRPr="00AB0CAA" w:rsidRDefault="00AB0CAA" w:rsidP="00AB0CAA">
      <w:pPr>
        <w:spacing w:after="0" w:line="240" w:lineRule="auto"/>
        <w:ind w:left="0" w:firstLine="0"/>
        <w:jc w:val="left"/>
        <w:rPr>
          <w:color w:val="auto"/>
          <w:sz w:val="16"/>
          <w:szCs w:val="20"/>
        </w:rPr>
      </w:pPr>
    </w:p>
    <w:p w14:paraId="01813A2E" w14:textId="77777777" w:rsidR="00AB0CAA" w:rsidRPr="00AB0CAA" w:rsidRDefault="00AB0CAA" w:rsidP="00AB0CAA">
      <w:pPr>
        <w:spacing w:after="0" w:line="240" w:lineRule="auto"/>
        <w:ind w:left="0" w:firstLine="0"/>
        <w:rPr>
          <w:rFonts w:ascii="Calibri" w:hAnsi="Calibri"/>
          <w:color w:val="auto"/>
          <w:sz w:val="20"/>
          <w:szCs w:val="20"/>
          <w:lang w:eastAsia="en-US"/>
        </w:rPr>
      </w:pPr>
      <w:r w:rsidRPr="00AB0CAA">
        <w:rPr>
          <w:rFonts w:ascii="Calibri" w:hAnsi="Calibri"/>
          <w:color w:val="auto"/>
          <w:sz w:val="20"/>
          <w:szCs w:val="20"/>
          <w:lang w:eastAsia="en-US"/>
        </w:rPr>
        <w:t xml:space="preserve">This section details the assessment criteria. The </w:t>
      </w:r>
      <w:r w:rsidRPr="00AB0CAA">
        <w:rPr>
          <w:rFonts w:ascii="Calibri" w:hAnsi="Calibri"/>
          <w:i/>
          <w:color w:val="auto"/>
          <w:sz w:val="20"/>
          <w:szCs w:val="20"/>
          <w:lang w:eastAsia="en-US"/>
        </w:rPr>
        <w:t>extent</w:t>
      </w:r>
      <w:r w:rsidRPr="00AB0CAA">
        <w:rPr>
          <w:rFonts w:ascii="Calibri" w:hAnsi="Calibri"/>
          <w:color w:val="auto"/>
          <w:sz w:val="20"/>
          <w:szCs w:val="20"/>
          <w:lang w:eastAsia="en-US"/>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14:paraId="55A1BAAB" w14:textId="77777777" w:rsidR="00AB0CAA" w:rsidRPr="00AB0CAA" w:rsidRDefault="00AB0CAA" w:rsidP="00AB0CAA">
      <w:pPr>
        <w:spacing w:after="0" w:line="240" w:lineRule="auto"/>
        <w:ind w:left="0" w:firstLine="0"/>
        <w:jc w:val="left"/>
        <w:rPr>
          <w:rFonts w:ascii="Calibri" w:hAnsi="Calibri"/>
          <w:b/>
          <w:color w:val="auto"/>
          <w:sz w:val="20"/>
        </w:rPr>
      </w:pPr>
    </w:p>
    <w:tbl>
      <w:tblPr>
        <w:tblW w:w="5000" w:type="pct"/>
        <w:tblLayout w:type="fixed"/>
        <w:tblLook w:val="04A0" w:firstRow="1" w:lastRow="0" w:firstColumn="1" w:lastColumn="0" w:noHBand="0" w:noVBand="1"/>
      </w:tblPr>
      <w:tblGrid>
        <w:gridCol w:w="9274"/>
        <w:gridCol w:w="592"/>
        <w:gridCol w:w="590"/>
      </w:tblGrid>
      <w:tr w:rsidR="00AB0CAA" w:rsidRPr="00AB0CAA" w14:paraId="6A1F31E1" w14:textId="77777777" w:rsidTr="00A37519">
        <w:trPr>
          <w:trHeight w:val="1002"/>
        </w:trPr>
        <w:tc>
          <w:tcPr>
            <w:tcW w:w="4435" w:type="pct"/>
            <w:tcBorders>
              <w:top w:val="single" w:sz="4" w:space="0" w:color="auto"/>
              <w:left w:val="single" w:sz="4" w:space="0" w:color="auto"/>
              <w:right w:val="single" w:sz="4" w:space="0" w:color="auto"/>
            </w:tcBorders>
            <w:shd w:val="clear" w:color="auto" w:fill="BFBFBF"/>
            <w:vAlign w:val="center"/>
          </w:tcPr>
          <w:p w14:paraId="388328A9" w14:textId="77777777" w:rsidR="00AB0CAA" w:rsidRPr="00AB0CAA" w:rsidRDefault="00AB0CAA" w:rsidP="00AB0CAA">
            <w:pPr>
              <w:spacing w:after="0" w:line="240" w:lineRule="auto"/>
              <w:ind w:left="0" w:firstLine="0"/>
              <w:jc w:val="left"/>
              <w:rPr>
                <w:rFonts w:ascii="Calibri" w:hAnsi="Calibri"/>
                <w:b/>
                <w:color w:val="auto"/>
                <w:sz w:val="22"/>
                <w:szCs w:val="20"/>
              </w:rPr>
            </w:pPr>
            <w:r w:rsidRPr="00AB0CAA">
              <w:rPr>
                <w:rFonts w:ascii="Calibri" w:hAnsi="Calibri"/>
                <w:b/>
                <w:color w:val="auto"/>
                <w:sz w:val="22"/>
                <w:szCs w:val="16"/>
              </w:rPr>
              <w:t xml:space="preserve">Common Assessment Criteria </w:t>
            </w:r>
            <w:proofErr w:type="gramStart"/>
            <w:r w:rsidRPr="00AB0CAA">
              <w:rPr>
                <w:rFonts w:ascii="Calibri" w:hAnsi="Calibri"/>
                <w:b/>
                <w:color w:val="auto"/>
                <w:sz w:val="22"/>
                <w:szCs w:val="20"/>
              </w:rPr>
              <w:t xml:space="preserve">Applied </w:t>
            </w:r>
            <w:bookmarkStart w:id="47" w:name="assessmentComponent"/>
            <w:bookmarkEnd w:id="47"/>
            <w:r w:rsidRPr="00AB0CAA">
              <w:rPr>
                <w:rFonts w:ascii="Calibri" w:hAnsi="Calibri"/>
                <w:b/>
                <w:color w:val="auto"/>
                <w:sz w:val="22"/>
                <w:szCs w:val="20"/>
              </w:rPr>
              <w:t xml:space="preserve"> (</w:t>
            </w:r>
            <w:proofErr w:type="gramEnd"/>
            <w:r w:rsidRPr="00AB0CAA">
              <w:rPr>
                <w:rFonts w:ascii="Calibri" w:hAnsi="Calibri"/>
                <w:b/>
                <w:color w:val="auto"/>
                <w:sz w:val="22"/>
                <w:szCs w:val="20"/>
              </w:rPr>
              <w:t>Assignment 1)</w:t>
            </w:r>
          </w:p>
        </w:tc>
        <w:tc>
          <w:tcPr>
            <w:tcW w:w="283" w:type="pct"/>
            <w:tcBorders>
              <w:top w:val="single" w:sz="4" w:space="0" w:color="auto"/>
              <w:left w:val="single" w:sz="4" w:space="0" w:color="auto"/>
              <w:right w:val="single" w:sz="4" w:space="0" w:color="auto"/>
            </w:tcBorders>
            <w:shd w:val="clear" w:color="auto" w:fill="BFBFBF"/>
            <w:textDirection w:val="btLr"/>
          </w:tcPr>
          <w:p w14:paraId="1ABBA7F9" w14:textId="77777777" w:rsidR="00AB0CAA" w:rsidRPr="00AB0CAA" w:rsidRDefault="00AB0CAA" w:rsidP="00AB0CAA">
            <w:pPr>
              <w:spacing w:after="0" w:line="240" w:lineRule="auto"/>
              <w:ind w:left="34" w:right="113" w:firstLine="0"/>
              <w:jc w:val="center"/>
              <w:rPr>
                <w:rFonts w:ascii="Calibri" w:hAnsi="Calibri"/>
                <w:b/>
                <w:color w:val="auto"/>
                <w:sz w:val="14"/>
                <w:szCs w:val="14"/>
              </w:rPr>
            </w:pPr>
            <w:r w:rsidRPr="00AB0CAA">
              <w:rPr>
                <w:rFonts w:ascii="Calibri" w:hAnsi="Calibri"/>
                <w:b/>
                <w:color w:val="auto"/>
                <w:sz w:val="14"/>
                <w:szCs w:val="14"/>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C27C75C" w14:textId="77777777" w:rsidR="00AB0CAA" w:rsidRPr="00AB0CAA" w:rsidRDefault="00AB0CAA" w:rsidP="00AB0CAA">
            <w:pPr>
              <w:spacing w:after="0" w:line="240" w:lineRule="auto"/>
              <w:ind w:left="113" w:right="113" w:firstLine="0"/>
              <w:jc w:val="center"/>
              <w:rPr>
                <w:rFonts w:ascii="Calibri" w:hAnsi="Calibri"/>
                <w:b/>
                <w:color w:val="auto"/>
                <w:sz w:val="14"/>
                <w:szCs w:val="14"/>
              </w:rPr>
            </w:pPr>
            <w:r w:rsidRPr="00AB0CAA">
              <w:rPr>
                <w:rFonts w:ascii="Calibri" w:hAnsi="Calibri"/>
                <w:b/>
                <w:color w:val="auto"/>
                <w:sz w:val="14"/>
                <w:szCs w:val="14"/>
              </w:rPr>
              <w:t xml:space="preserve">Marks </w:t>
            </w:r>
          </w:p>
          <w:p w14:paraId="0D17EE57" w14:textId="77777777" w:rsidR="00AB0CAA" w:rsidRPr="00AB0CAA" w:rsidRDefault="00AB0CAA" w:rsidP="00AB0CAA">
            <w:pPr>
              <w:spacing w:after="0" w:line="240" w:lineRule="auto"/>
              <w:ind w:left="113" w:right="113" w:firstLine="0"/>
              <w:jc w:val="center"/>
              <w:rPr>
                <w:rFonts w:ascii="Calibri" w:hAnsi="Calibri"/>
                <w:b/>
                <w:color w:val="auto"/>
                <w:sz w:val="14"/>
                <w:szCs w:val="14"/>
              </w:rPr>
            </w:pPr>
            <w:r w:rsidRPr="00AB0CAA">
              <w:rPr>
                <w:rFonts w:ascii="Calibri" w:hAnsi="Calibri"/>
                <w:b/>
                <w:color w:val="auto"/>
                <w:sz w:val="14"/>
                <w:szCs w:val="14"/>
              </w:rPr>
              <w:t>awarded</w:t>
            </w:r>
          </w:p>
        </w:tc>
      </w:tr>
      <w:tr w:rsidR="00AB0CAA" w:rsidRPr="00AB0CAA" w14:paraId="0CA37CF2" w14:textId="77777777" w:rsidTr="00A37519">
        <w:trPr>
          <w:trHeight w:val="450"/>
        </w:trPr>
        <w:tc>
          <w:tcPr>
            <w:tcW w:w="4435" w:type="pct"/>
            <w:tcBorders>
              <w:top w:val="single" w:sz="4" w:space="0" w:color="auto"/>
              <w:left w:val="single" w:sz="4" w:space="0" w:color="auto"/>
              <w:right w:val="single" w:sz="4" w:space="0" w:color="auto"/>
            </w:tcBorders>
            <w:shd w:val="clear" w:color="auto" w:fill="D9D9D9"/>
          </w:tcPr>
          <w:p w14:paraId="49C9805F" w14:textId="77777777" w:rsidR="00AB0CAA" w:rsidRPr="00AB0CAA" w:rsidRDefault="00AB0CAA" w:rsidP="00AB0CAA">
            <w:pPr>
              <w:spacing w:after="0" w:line="240" w:lineRule="auto"/>
              <w:ind w:left="0" w:firstLine="0"/>
              <w:jc w:val="left"/>
              <w:rPr>
                <w:rFonts w:ascii="Calibri" w:hAnsi="Calibri"/>
                <w:b/>
                <w:color w:val="auto"/>
                <w:sz w:val="16"/>
                <w:szCs w:val="16"/>
              </w:rPr>
            </w:pPr>
            <w:r w:rsidRPr="00AB0CAA">
              <w:rPr>
                <w:rFonts w:ascii="Calibri" w:hAnsi="Calibri"/>
                <w:b/>
                <w:color w:val="auto"/>
                <w:sz w:val="20"/>
                <w:szCs w:val="16"/>
              </w:rPr>
              <w:t xml:space="preserve">1. </w:t>
            </w:r>
            <w:r w:rsidRPr="00AB0CAA">
              <w:rPr>
                <w:rFonts w:ascii="Calibri" w:hAnsi="Calibri"/>
                <w:b/>
                <w:color w:val="auto"/>
                <w:sz w:val="20"/>
                <w:szCs w:val="20"/>
              </w:rPr>
              <w:t>Research-informed Literature</w:t>
            </w:r>
            <w:r w:rsidRPr="00AB0CAA">
              <w:rPr>
                <w:rFonts w:ascii="Calibri" w:hAnsi="Calibri"/>
                <w:b/>
                <w:color w:val="auto"/>
                <w:sz w:val="16"/>
                <w:szCs w:val="16"/>
              </w:rPr>
              <w:t xml:space="preserve"> </w:t>
            </w:r>
          </w:p>
          <w:p w14:paraId="524E8B1C" w14:textId="77777777" w:rsidR="00AB0CAA" w:rsidRPr="00AB0CAA" w:rsidRDefault="00AB0CAA" w:rsidP="00AB0CAA">
            <w:pPr>
              <w:spacing w:after="120" w:line="240" w:lineRule="auto"/>
              <w:ind w:left="0" w:firstLine="0"/>
              <w:jc w:val="left"/>
              <w:rPr>
                <w:rFonts w:ascii="Calibri" w:hAnsi="Calibri"/>
                <w:color w:val="auto"/>
                <w:sz w:val="14"/>
                <w:szCs w:val="14"/>
              </w:rPr>
            </w:pPr>
            <w:r w:rsidRPr="00AB0CAA">
              <w:rPr>
                <w:rFonts w:ascii="Calibri" w:hAnsi="Calibri"/>
                <w:color w:val="auto"/>
                <w:sz w:val="14"/>
                <w:szCs w:val="14"/>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14:paraId="2A3B9FC5" w14:textId="77777777" w:rsidR="00AB0CAA" w:rsidRPr="00AB0CAA" w:rsidRDefault="00AB0CAA" w:rsidP="00AB0CAA">
            <w:pPr>
              <w:spacing w:after="0" w:line="240" w:lineRule="auto"/>
              <w:ind w:left="0" w:firstLine="0"/>
              <w:jc w:val="center"/>
              <w:rPr>
                <w:rFonts w:ascii="Calibri" w:hAnsi="Calibri"/>
                <w:color w:val="auto"/>
                <w:sz w:val="32"/>
                <w:szCs w:val="20"/>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4C6CFFF0" w14:textId="77777777" w:rsidR="00AB0CAA" w:rsidRPr="00AB0CAA" w:rsidRDefault="00AB0CAA" w:rsidP="00AB0CAA">
            <w:pPr>
              <w:spacing w:after="0" w:line="240" w:lineRule="auto"/>
              <w:ind w:left="0" w:firstLine="0"/>
              <w:jc w:val="center"/>
              <w:rPr>
                <w:rFonts w:ascii="Calibri" w:hAnsi="Calibri"/>
                <w:color w:val="auto"/>
                <w:sz w:val="32"/>
                <w:szCs w:val="20"/>
              </w:rPr>
            </w:pPr>
          </w:p>
        </w:tc>
      </w:tr>
      <w:tr w:rsidR="00AB0CAA" w:rsidRPr="00AB0CAA" w14:paraId="7698F652" w14:textId="77777777" w:rsidTr="00A37519">
        <w:trPr>
          <w:trHeight w:val="450"/>
        </w:trPr>
        <w:tc>
          <w:tcPr>
            <w:tcW w:w="4435" w:type="pct"/>
            <w:vMerge w:val="restart"/>
            <w:tcBorders>
              <w:top w:val="single" w:sz="4" w:space="0" w:color="auto"/>
              <w:left w:val="single" w:sz="4" w:space="0" w:color="auto"/>
              <w:right w:val="single" w:sz="4" w:space="0" w:color="auto"/>
            </w:tcBorders>
          </w:tcPr>
          <w:p w14:paraId="76FD12D2" w14:textId="77777777" w:rsidR="00AB0CAA" w:rsidRPr="00AB0CAA" w:rsidRDefault="00AB0CAA" w:rsidP="00AB0CAA">
            <w:pPr>
              <w:spacing w:after="120" w:line="240" w:lineRule="auto"/>
              <w:ind w:left="0" w:firstLine="0"/>
              <w:jc w:val="left"/>
              <w:rPr>
                <w:rFonts w:ascii="Calibri" w:hAnsi="Calibri"/>
                <w:color w:val="auto"/>
                <w:sz w:val="20"/>
                <w:szCs w:val="14"/>
              </w:rPr>
            </w:pPr>
            <w:bookmarkStart w:id="48" w:name="feedbackRIL"/>
            <w:bookmarkEnd w:id="48"/>
            <w:r w:rsidRPr="00AB0CAA">
              <w:rPr>
                <w:rFonts w:ascii="Calibri" w:hAnsi="Calibri"/>
                <w:color w:val="auto"/>
                <w:sz w:val="20"/>
                <w:szCs w:val="14"/>
              </w:rPr>
              <w:t>A comprehensive literature research has been carried out. A broad enough scope of references is used throughout the report to underpin the theory and justify arguments. (Grade mark: 93.33%)</w:t>
            </w:r>
          </w:p>
        </w:tc>
        <w:tc>
          <w:tcPr>
            <w:tcW w:w="283" w:type="pct"/>
            <w:tcBorders>
              <w:top w:val="single" w:sz="4" w:space="0" w:color="auto"/>
              <w:left w:val="single" w:sz="4" w:space="0" w:color="auto"/>
              <w:right w:val="single" w:sz="4" w:space="0" w:color="auto"/>
            </w:tcBorders>
          </w:tcPr>
          <w:p w14:paraId="65C80A5B" w14:textId="77777777" w:rsidR="00AB0CAA" w:rsidRPr="00AB0CAA" w:rsidRDefault="00AB0CAA" w:rsidP="00AB0CAA">
            <w:pPr>
              <w:spacing w:after="0" w:line="240" w:lineRule="auto"/>
              <w:ind w:left="0" w:firstLine="0"/>
              <w:jc w:val="center"/>
              <w:rPr>
                <w:rFonts w:ascii="Calibri" w:hAnsi="Calibri"/>
                <w:color w:val="auto"/>
                <w:sz w:val="20"/>
                <w:szCs w:val="20"/>
              </w:rPr>
            </w:pPr>
            <w:bookmarkStart w:id="49" w:name="totalRIL"/>
            <w:bookmarkEnd w:id="49"/>
            <w:r w:rsidRPr="00AB0CAA">
              <w:rPr>
                <w:rFonts w:ascii="Calibri" w:hAnsi="Calibri"/>
                <w:color w:val="auto"/>
                <w:sz w:val="20"/>
                <w:szCs w:val="20"/>
              </w:rPr>
              <w:t>15</w:t>
            </w:r>
          </w:p>
        </w:tc>
        <w:tc>
          <w:tcPr>
            <w:tcW w:w="283" w:type="pct"/>
            <w:vMerge w:val="restart"/>
            <w:tcBorders>
              <w:top w:val="single" w:sz="4" w:space="0" w:color="auto"/>
              <w:left w:val="single" w:sz="4" w:space="0" w:color="auto"/>
              <w:bottom w:val="single" w:sz="4" w:space="0" w:color="auto"/>
              <w:right w:val="single" w:sz="4" w:space="0" w:color="auto"/>
            </w:tcBorders>
          </w:tcPr>
          <w:p w14:paraId="46423FDE" w14:textId="77777777" w:rsidR="00AB0CAA" w:rsidRPr="00AB0CAA" w:rsidRDefault="00AB0CAA" w:rsidP="00AB0CAA">
            <w:pPr>
              <w:spacing w:after="0" w:line="240" w:lineRule="auto"/>
              <w:ind w:left="0" w:firstLine="0"/>
              <w:jc w:val="center"/>
              <w:rPr>
                <w:rFonts w:ascii="Calibri" w:hAnsi="Calibri"/>
                <w:color w:val="auto"/>
                <w:sz w:val="20"/>
                <w:szCs w:val="20"/>
              </w:rPr>
            </w:pPr>
            <w:bookmarkStart w:id="50" w:name="markRIL"/>
            <w:bookmarkEnd w:id="50"/>
            <w:r w:rsidRPr="00AB0CAA">
              <w:rPr>
                <w:rFonts w:ascii="Calibri" w:hAnsi="Calibri"/>
                <w:color w:val="auto"/>
                <w:sz w:val="20"/>
                <w:szCs w:val="20"/>
              </w:rPr>
              <w:t>14</w:t>
            </w:r>
          </w:p>
        </w:tc>
      </w:tr>
      <w:tr w:rsidR="00AB0CAA" w:rsidRPr="00AB0CAA" w14:paraId="3BA0E0A9" w14:textId="77777777" w:rsidTr="00A37519">
        <w:trPr>
          <w:trHeight w:val="451"/>
        </w:trPr>
        <w:tc>
          <w:tcPr>
            <w:tcW w:w="4435" w:type="pct"/>
            <w:vMerge/>
            <w:tcBorders>
              <w:left w:val="single" w:sz="4" w:space="0" w:color="auto"/>
              <w:bottom w:val="single" w:sz="4" w:space="0" w:color="auto"/>
              <w:right w:val="single" w:sz="4" w:space="0" w:color="auto"/>
            </w:tcBorders>
          </w:tcPr>
          <w:p w14:paraId="652E9D5A" w14:textId="77777777" w:rsidR="00AB0CAA" w:rsidRPr="00AB0CAA" w:rsidRDefault="00AB0CAA" w:rsidP="00AB0CAA">
            <w:pPr>
              <w:spacing w:after="0" w:line="240" w:lineRule="auto"/>
              <w:ind w:left="0" w:firstLine="0"/>
              <w:jc w:val="left"/>
              <w:rPr>
                <w:rFonts w:ascii="Calibri" w:hAnsi="Calibri"/>
                <w:b/>
                <w:color w:val="auto"/>
                <w:sz w:val="16"/>
                <w:szCs w:val="16"/>
              </w:rPr>
            </w:pPr>
          </w:p>
        </w:tc>
        <w:tc>
          <w:tcPr>
            <w:tcW w:w="283" w:type="pct"/>
            <w:tcBorders>
              <w:left w:val="single" w:sz="4" w:space="0" w:color="auto"/>
              <w:bottom w:val="single" w:sz="4" w:space="0" w:color="auto"/>
              <w:right w:val="single" w:sz="4" w:space="0" w:color="auto"/>
            </w:tcBorders>
          </w:tcPr>
          <w:p w14:paraId="48575F62" w14:textId="77777777" w:rsidR="00AB0CAA" w:rsidRPr="00AB0CAA" w:rsidRDefault="00AB0CAA" w:rsidP="00AB0CAA">
            <w:pPr>
              <w:spacing w:after="0" w:line="240" w:lineRule="auto"/>
              <w:ind w:left="0" w:firstLine="0"/>
              <w:jc w:val="left"/>
              <w:rPr>
                <w:rFonts w:ascii="Calibri" w:hAnsi="Calibri"/>
                <w:color w:val="auto"/>
                <w:sz w:val="20"/>
                <w:szCs w:val="20"/>
              </w:rPr>
            </w:pPr>
          </w:p>
        </w:tc>
        <w:tc>
          <w:tcPr>
            <w:tcW w:w="283" w:type="pct"/>
            <w:vMerge/>
            <w:tcBorders>
              <w:top w:val="single" w:sz="4" w:space="0" w:color="auto"/>
              <w:left w:val="single" w:sz="4" w:space="0" w:color="auto"/>
              <w:bottom w:val="single" w:sz="4" w:space="0" w:color="auto"/>
              <w:right w:val="single" w:sz="4" w:space="0" w:color="auto"/>
            </w:tcBorders>
          </w:tcPr>
          <w:p w14:paraId="5AF31CB3" w14:textId="77777777" w:rsidR="00AB0CAA" w:rsidRPr="00AB0CAA" w:rsidRDefault="00AB0CAA" w:rsidP="00AB0CAA">
            <w:pPr>
              <w:spacing w:after="0" w:line="240" w:lineRule="auto"/>
              <w:ind w:left="0" w:firstLine="0"/>
              <w:jc w:val="center"/>
              <w:rPr>
                <w:rFonts w:ascii="Calibri" w:hAnsi="Calibri"/>
                <w:color w:val="auto"/>
                <w:sz w:val="32"/>
                <w:szCs w:val="20"/>
              </w:rPr>
            </w:pPr>
          </w:p>
        </w:tc>
      </w:tr>
      <w:tr w:rsidR="00AB0CAA" w:rsidRPr="00AB0CAA" w14:paraId="5EF6F0CC" w14:textId="77777777" w:rsidTr="00A37519">
        <w:trPr>
          <w:trHeight w:val="450"/>
        </w:trPr>
        <w:tc>
          <w:tcPr>
            <w:tcW w:w="4435" w:type="pct"/>
            <w:tcBorders>
              <w:top w:val="single" w:sz="4" w:space="0" w:color="auto"/>
              <w:left w:val="single" w:sz="4" w:space="0" w:color="auto"/>
              <w:right w:val="single" w:sz="4" w:space="0" w:color="auto"/>
            </w:tcBorders>
            <w:shd w:val="clear" w:color="auto" w:fill="D9D9D9"/>
          </w:tcPr>
          <w:p w14:paraId="25D780DF" w14:textId="77777777" w:rsidR="00AB0CAA" w:rsidRPr="00AB0CAA" w:rsidRDefault="00AB0CAA" w:rsidP="00AB0CAA">
            <w:pPr>
              <w:spacing w:after="0" w:line="240" w:lineRule="auto"/>
              <w:ind w:left="0" w:firstLine="0"/>
              <w:jc w:val="left"/>
              <w:rPr>
                <w:rFonts w:ascii="Calibri" w:hAnsi="Calibri"/>
                <w:b/>
                <w:color w:val="auto"/>
                <w:sz w:val="20"/>
                <w:szCs w:val="20"/>
              </w:rPr>
            </w:pPr>
            <w:r w:rsidRPr="00AB0CAA">
              <w:rPr>
                <w:rFonts w:ascii="Calibri" w:hAnsi="Calibri"/>
                <w:b/>
                <w:color w:val="auto"/>
                <w:sz w:val="20"/>
                <w:szCs w:val="16"/>
              </w:rPr>
              <w:t xml:space="preserve">2. </w:t>
            </w:r>
            <w:r w:rsidRPr="00AB0CAA">
              <w:rPr>
                <w:rFonts w:ascii="Calibri" w:hAnsi="Calibri"/>
                <w:b/>
                <w:color w:val="auto"/>
                <w:sz w:val="20"/>
                <w:szCs w:val="20"/>
              </w:rPr>
              <w:t>Knowledge and Understanding of Subject</w:t>
            </w:r>
          </w:p>
          <w:p w14:paraId="5777BDCE" w14:textId="77777777" w:rsidR="00AB0CAA" w:rsidRPr="00AB0CAA" w:rsidRDefault="00AB0CAA" w:rsidP="00AB0CAA">
            <w:pPr>
              <w:spacing w:after="120" w:line="240" w:lineRule="auto"/>
              <w:ind w:left="0" w:firstLine="0"/>
              <w:jc w:val="left"/>
              <w:rPr>
                <w:rFonts w:ascii="Calibri" w:hAnsi="Calibri"/>
                <w:color w:val="auto"/>
                <w:sz w:val="14"/>
                <w:szCs w:val="14"/>
              </w:rPr>
            </w:pPr>
            <w:r w:rsidRPr="00AB0CAA">
              <w:rPr>
                <w:rFonts w:ascii="Calibri" w:hAnsi="Calibri"/>
                <w:color w:val="auto"/>
                <w:sz w:val="14"/>
                <w:szCs w:val="14"/>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14:paraId="27B97D07" w14:textId="77777777" w:rsidR="00AB0CAA" w:rsidRPr="00AB0CAA" w:rsidRDefault="00AB0CAA" w:rsidP="00AB0CAA">
            <w:pPr>
              <w:spacing w:after="0" w:line="240" w:lineRule="auto"/>
              <w:ind w:left="0" w:firstLine="0"/>
              <w:jc w:val="center"/>
              <w:rPr>
                <w:rFonts w:ascii="Calibri" w:hAnsi="Calibri"/>
                <w:color w:val="auto"/>
                <w:sz w:val="32"/>
                <w:szCs w:val="20"/>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11FE2C52" w14:textId="77777777" w:rsidR="00AB0CAA" w:rsidRPr="00AB0CAA" w:rsidRDefault="00AB0CAA" w:rsidP="00AB0CAA">
            <w:pPr>
              <w:spacing w:after="0" w:line="240" w:lineRule="auto"/>
              <w:ind w:left="0" w:firstLine="0"/>
              <w:jc w:val="center"/>
              <w:rPr>
                <w:rFonts w:ascii="Calibri" w:hAnsi="Calibri"/>
                <w:color w:val="auto"/>
                <w:sz w:val="32"/>
                <w:szCs w:val="20"/>
              </w:rPr>
            </w:pPr>
          </w:p>
        </w:tc>
      </w:tr>
      <w:tr w:rsidR="00AB0CAA" w:rsidRPr="00AB0CAA" w14:paraId="43C11A84" w14:textId="77777777" w:rsidTr="00A37519">
        <w:trPr>
          <w:trHeight w:val="450"/>
        </w:trPr>
        <w:tc>
          <w:tcPr>
            <w:tcW w:w="4435" w:type="pct"/>
            <w:vMerge w:val="restart"/>
            <w:tcBorders>
              <w:top w:val="single" w:sz="4" w:space="0" w:color="auto"/>
              <w:left w:val="single" w:sz="4" w:space="0" w:color="auto"/>
              <w:right w:val="single" w:sz="4" w:space="0" w:color="auto"/>
            </w:tcBorders>
          </w:tcPr>
          <w:p w14:paraId="4280A5FD" w14:textId="77777777" w:rsidR="00AB0CAA" w:rsidRPr="00AB0CAA" w:rsidRDefault="00AB0CAA" w:rsidP="00AB0CAA">
            <w:pPr>
              <w:spacing w:after="120" w:line="240" w:lineRule="auto"/>
              <w:ind w:left="0" w:firstLine="0"/>
              <w:jc w:val="left"/>
              <w:rPr>
                <w:rFonts w:ascii="Calibri" w:hAnsi="Calibri"/>
                <w:color w:val="auto"/>
                <w:sz w:val="20"/>
                <w:szCs w:val="14"/>
              </w:rPr>
            </w:pPr>
            <w:bookmarkStart w:id="51" w:name="feedbackKUS"/>
            <w:bookmarkEnd w:id="51"/>
            <w:r w:rsidRPr="00AB0CAA">
              <w:rPr>
                <w:rFonts w:ascii="Calibri" w:hAnsi="Calibri"/>
                <w:color w:val="auto"/>
                <w:sz w:val="20"/>
                <w:szCs w:val="14"/>
              </w:rPr>
              <w:t>Reading through the report, one can clearly identify the author has an advanced level of knowledge and understanding on the subject area. (Grade mark: 93.33%)</w:t>
            </w:r>
          </w:p>
        </w:tc>
        <w:tc>
          <w:tcPr>
            <w:tcW w:w="283" w:type="pct"/>
            <w:tcBorders>
              <w:top w:val="single" w:sz="4" w:space="0" w:color="auto"/>
              <w:left w:val="single" w:sz="4" w:space="0" w:color="auto"/>
              <w:right w:val="single" w:sz="4" w:space="0" w:color="auto"/>
            </w:tcBorders>
          </w:tcPr>
          <w:p w14:paraId="5C6CB99E" w14:textId="77777777" w:rsidR="00AB0CAA" w:rsidRPr="00AB0CAA" w:rsidRDefault="00AB0CAA" w:rsidP="00AB0CAA">
            <w:pPr>
              <w:spacing w:after="0" w:line="240" w:lineRule="auto"/>
              <w:ind w:left="0" w:firstLine="0"/>
              <w:jc w:val="center"/>
              <w:rPr>
                <w:rFonts w:ascii="Calibri" w:hAnsi="Calibri"/>
                <w:color w:val="auto"/>
                <w:sz w:val="20"/>
                <w:szCs w:val="20"/>
              </w:rPr>
            </w:pPr>
            <w:bookmarkStart w:id="52" w:name="totalKUS"/>
            <w:bookmarkEnd w:id="52"/>
            <w:r w:rsidRPr="00AB0CAA">
              <w:rPr>
                <w:rFonts w:ascii="Calibri" w:hAnsi="Calibri"/>
                <w:color w:val="auto"/>
                <w:sz w:val="20"/>
                <w:szCs w:val="20"/>
              </w:rPr>
              <w:t>15</w:t>
            </w:r>
          </w:p>
        </w:tc>
        <w:tc>
          <w:tcPr>
            <w:tcW w:w="283" w:type="pct"/>
            <w:vMerge w:val="restart"/>
            <w:tcBorders>
              <w:top w:val="single" w:sz="4" w:space="0" w:color="auto"/>
              <w:left w:val="single" w:sz="4" w:space="0" w:color="auto"/>
              <w:bottom w:val="single" w:sz="4" w:space="0" w:color="auto"/>
              <w:right w:val="single" w:sz="4" w:space="0" w:color="auto"/>
            </w:tcBorders>
          </w:tcPr>
          <w:p w14:paraId="5219D304" w14:textId="77777777" w:rsidR="00AB0CAA" w:rsidRPr="00AB0CAA" w:rsidRDefault="00AB0CAA" w:rsidP="00AB0CAA">
            <w:pPr>
              <w:spacing w:after="0" w:line="240" w:lineRule="auto"/>
              <w:ind w:left="0" w:firstLine="0"/>
              <w:jc w:val="center"/>
              <w:rPr>
                <w:rFonts w:ascii="Calibri" w:hAnsi="Calibri"/>
                <w:color w:val="auto"/>
                <w:sz w:val="20"/>
                <w:szCs w:val="20"/>
              </w:rPr>
            </w:pPr>
            <w:bookmarkStart w:id="53" w:name="markKUS"/>
            <w:bookmarkEnd w:id="53"/>
            <w:r w:rsidRPr="00AB0CAA">
              <w:rPr>
                <w:rFonts w:ascii="Calibri" w:hAnsi="Calibri"/>
                <w:color w:val="auto"/>
                <w:sz w:val="20"/>
                <w:szCs w:val="20"/>
              </w:rPr>
              <w:t>14</w:t>
            </w:r>
          </w:p>
        </w:tc>
      </w:tr>
      <w:tr w:rsidR="00AB0CAA" w:rsidRPr="00AB0CAA" w14:paraId="2D51791D" w14:textId="77777777" w:rsidTr="00A37519">
        <w:trPr>
          <w:trHeight w:val="451"/>
        </w:trPr>
        <w:tc>
          <w:tcPr>
            <w:tcW w:w="4435" w:type="pct"/>
            <w:vMerge/>
            <w:tcBorders>
              <w:left w:val="single" w:sz="4" w:space="0" w:color="auto"/>
              <w:bottom w:val="single" w:sz="4" w:space="0" w:color="auto"/>
              <w:right w:val="single" w:sz="4" w:space="0" w:color="auto"/>
            </w:tcBorders>
          </w:tcPr>
          <w:p w14:paraId="62232087" w14:textId="77777777" w:rsidR="00AB0CAA" w:rsidRPr="00AB0CAA" w:rsidRDefault="00AB0CAA" w:rsidP="00AB0CAA">
            <w:pPr>
              <w:spacing w:after="0" w:line="240" w:lineRule="auto"/>
              <w:ind w:left="0" w:firstLine="0"/>
              <w:jc w:val="left"/>
              <w:rPr>
                <w:rFonts w:ascii="Calibri" w:hAnsi="Calibri"/>
                <w:b/>
                <w:color w:val="auto"/>
                <w:sz w:val="16"/>
                <w:szCs w:val="16"/>
              </w:rPr>
            </w:pPr>
          </w:p>
        </w:tc>
        <w:tc>
          <w:tcPr>
            <w:tcW w:w="283" w:type="pct"/>
            <w:tcBorders>
              <w:left w:val="single" w:sz="4" w:space="0" w:color="auto"/>
              <w:bottom w:val="single" w:sz="4" w:space="0" w:color="auto"/>
              <w:right w:val="single" w:sz="4" w:space="0" w:color="auto"/>
            </w:tcBorders>
          </w:tcPr>
          <w:p w14:paraId="78A3CE6E" w14:textId="77777777" w:rsidR="00AB0CAA" w:rsidRPr="00AB0CAA" w:rsidRDefault="00AB0CAA" w:rsidP="00AB0CAA">
            <w:pPr>
              <w:spacing w:after="0" w:line="240" w:lineRule="auto"/>
              <w:ind w:left="0" w:firstLine="0"/>
              <w:jc w:val="left"/>
              <w:rPr>
                <w:rFonts w:ascii="Calibri" w:hAnsi="Calibri"/>
                <w:color w:val="auto"/>
                <w:sz w:val="20"/>
                <w:szCs w:val="20"/>
              </w:rPr>
            </w:pPr>
          </w:p>
        </w:tc>
        <w:tc>
          <w:tcPr>
            <w:tcW w:w="283" w:type="pct"/>
            <w:vMerge/>
            <w:tcBorders>
              <w:top w:val="single" w:sz="4" w:space="0" w:color="auto"/>
              <w:left w:val="single" w:sz="4" w:space="0" w:color="auto"/>
              <w:bottom w:val="single" w:sz="4" w:space="0" w:color="auto"/>
              <w:right w:val="single" w:sz="4" w:space="0" w:color="auto"/>
            </w:tcBorders>
          </w:tcPr>
          <w:p w14:paraId="3F3347AC" w14:textId="77777777" w:rsidR="00AB0CAA" w:rsidRPr="00AB0CAA" w:rsidRDefault="00AB0CAA" w:rsidP="00AB0CAA">
            <w:pPr>
              <w:spacing w:after="0" w:line="240" w:lineRule="auto"/>
              <w:ind w:left="0" w:firstLine="0"/>
              <w:jc w:val="center"/>
              <w:rPr>
                <w:rFonts w:ascii="Calibri" w:hAnsi="Calibri"/>
                <w:color w:val="auto"/>
                <w:sz w:val="32"/>
                <w:szCs w:val="20"/>
              </w:rPr>
            </w:pPr>
          </w:p>
        </w:tc>
      </w:tr>
      <w:tr w:rsidR="00AB0CAA" w:rsidRPr="00AB0CAA" w14:paraId="2B775BA2" w14:textId="77777777" w:rsidTr="00A37519">
        <w:trPr>
          <w:trHeight w:val="450"/>
        </w:trPr>
        <w:tc>
          <w:tcPr>
            <w:tcW w:w="4435" w:type="pct"/>
            <w:tcBorders>
              <w:top w:val="single" w:sz="4" w:space="0" w:color="auto"/>
              <w:left w:val="single" w:sz="4" w:space="0" w:color="auto"/>
              <w:right w:val="single" w:sz="4" w:space="0" w:color="auto"/>
            </w:tcBorders>
            <w:shd w:val="clear" w:color="auto" w:fill="D9D9D9"/>
          </w:tcPr>
          <w:p w14:paraId="29A00908" w14:textId="77777777" w:rsidR="00AB0CAA" w:rsidRPr="00AB0CAA" w:rsidRDefault="00AB0CAA" w:rsidP="00AB0CAA">
            <w:pPr>
              <w:spacing w:after="0" w:line="240" w:lineRule="auto"/>
              <w:ind w:left="0" w:firstLine="0"/>
              <w:jc w:val="left"/>
              <w:rPr>
                <w:rFonts w:ascii="Calibri" w:hAnsi="Calibri"/>
                <w:b/>
                <w:color w:val="auto"/>
                <w:sz w:val="16"/>
                <w:szCs w:val="16"/>
              </w:rPr>
            </w:pPr>
            <w:r w:rsidRPr="00AB0CAA">
              <w:rPr>
                <w:rFonts w:ascii="Calibri" w:hAnsi="Calibri"/>
                <w:b/>
                <w:color w:val="auto"/>
                <w:sz w:val="20"/>
                <w:szCs w:val="16"/>
              </w:rPr>
              <w:t xml:space="preserve">3. </w:t>
            </w:r>
            <w:r w:rsidRPr="00AB0CAA">
              <w:rPr>
                <w:rFonts w:ascii="Calibri" w:hAnsi="Calibri"/>
                <w:b/>
                <w:color w:val="auto"/>
                <w:sz w:val="20"/>
                <w:szCs w:val="20"/>
              </w:rPr>
              <w:t>Analysis</w:t>
            </w:r>
          </w:p>
          <w:p w14:paraId="7B8733EC" w14:textId="77777777" w:rsidR="00AB0CAA" w:rsidRPr="00AB0CAA" w:rsidRDefault="00AB0CAA" w:rsidP="00AB0CAA">
            <w:pPr>
              <w:spacing w:after="120" w:line="240" w:lineRule="auto"/>
              <w:ind w:left="0" w:firstLine="0"/>
              <w:jc w:val="left"/>
              <w:rPr>
                <w:rFonts w:ascii="Calibri" w:hAnsi="Calibri"/>
                <w:color w:val="auto"/>
                <w:sz w:val="14"/>
                <w:szCs w:val="14"/>
              </w:rPr>
            </w:pPr>
            <w:r w:rsidRPr="00AB0CAA">
              <w:rPr>
                <w:rFonts w:ascii="Calibri" w:hAnsi="Calibri"/>
                <w:color w:val="auto"/>
                <w:sz w:val="14"/>
                <w:szCs w:val="14"/>
              </w:rPr>
              <w:t xml:space="preserve">Analysis, evaluation and synthesis; logic, argument and judgement; analytical reflection; </w:t>
            </w:r>
            <w:proofErr w:type="gramStart"/>
            <w:r w:rsidRPr="00AB0CAA">
              <w:rPr>
                <w:rFonts w:ascii="Calibri" w:hAnsi="Calibri"/>
                <w:color w:val="auto"/>
                <w:sz w:val="14"/>
                <w:szCs w:val="14"/>
              </w:rPr>
              <w:t>organisation  of</w:t>
            </w:r>
            <w:proofErr w:type="gramEnd"/>
            <w:r w:rsidRPr="00AB0CAA">
              <w:rPr>
                <w:rFonts w:ascii="Calibri" w:hAnsi="Calibri"/>
                <w:color w:val="auto"/>
                <w:sz w:val="14"/>
                <w:szCs w:val="14"/>
              </w:rPr>
              <w:t xml:space="preserve"> ideas and evidence</w:t>
            </w:r>
          </w:p>
        </w:tc>
        <w:tc>
          <w:tcPr>
            <w:tcW w:w="283" w:type="pct"/>
            <w:tcBorders>
              <w:top w:val="single" w:sz="4" w:space="0" w:color="auto"/>
              <w:left w:val="single" w:sz="4" w:space="0" w:color="auto"/>
              <w:right w:val="single" w:sz="4" w:space="0" w:color="auto"/>
            </w:tcBorders>
            <w:shd w:val="clear" w:color="auto" w:fill="D9D9D9"/>
          </w:tcPr>
          <w:p w14:paraId="0CDFD189" w14:textId="77777777" w:rsidR="00AB0CAA" w:rsidRPr="00AB0CAA" w:rsidRDefault="00AB0CAA" w:rsidP="00AB0CAA">
            <w:pPr>
              <w:spacing w:after="0" w:line="240" w:lineRule="auto"/>
              <w:ind w:left="0" w:firstLine="0"/>
              <w:jc w:val="center"/>
              <w:rPr>
                <w:rFonts w:ascii="Calibri" w:hAnsi="Calibri"/>
                <w:color w:val="auto"/>
                <w:sz w:val="32"/>
                <w:szCs w:val="20"/>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01761E5C" w14:textId="77777777" w:rsidR="00AB0CAA" w:rsidRPr="00AB0CAA" w:rsidRDefault="00AB0CAA" w:rsidP="00AB0CAA">
            <w:pPr>
              <w:spacing w:after="0" w:line="240" w:lineRule="auto"/>
              <w:ind w:left="0" w:firstLine="0"/>
              <w:jc w:val="center"/>
              <w:rPr>
                <w:rFonts w:ascii="Calibri" w:hAnsi="Calibri"/>
                <w:color w:val="auto"/>
                <w:sz w:val="32"/>
                <w:szCs w:val="20"/>
              </w:rPr>
            </w:pPr>
          </w:p>
        </w:tc>
      </w:tr>
      <w:tr w:rsidR="00AB0CAA" w:rsidRPr="00AB0CAA" w14:paraId="219D79E6" w14:textId="77777777" w:rsidTr="00A37519">
        <w:trPr>
          <w:trHeight w:val="450"/>
        </w:trPr>
        <w:tc>
          <w:tcPr>
            <w:tcW w:w="4435" w:type="pct"/>
            <w:vMerge w:val="restart"/>
            <w:tcBorders>
              <w:top w:val="single" w:sz="4" w:space="0" w:color="auto"/>
              <w:left w:val="single" w:sz="4" w:space="0" w:color="auto"/>
              <w:right w:val="single" w:sz="4" w:space="0" w:color="auto"/>
            </w:tcBorders>
          </w:tcPr>
          <w:p w14:paraId="1D030FC6" w14:textId="77777777" w:rsidR="00AB0CAA" w:rsidRPr="00AB0CAA" w:rsidRDefault="00AB0CAA" w:rsidP="00AB0CAA">
            <w:pPr>
              <w:spacing w:after="120" w:line="240" w:lineRule="auto"/>
              <w:ind w:left="0" w:firstLine="0"/>
              <w:jc w:val="left"/>
              <w:rPr>
                <w:rFonts w:ascii="Calibri" w:hAnsi="Calibri"/>
                <w:color w:val="auto"/>
                <w:sz w:val="20"/>
                <w:szCs w:val="14"/>
              </w:rPr>
            </w:pPr>
            <w:bookmarkStart w:id="54" w:name="feedbackANA"/>
            <w:bookmarkEnd w:id="54"/>
            <w:r w:rsidRPr="00AB0CAA">
              <w:rPr>
                <w:rFonts w:ascii="Calibri" w:hAnsi="Calibri"/>
                <w:color w:val="auto"/>
                <w:sz w:val="20"/>
                <w:szCs w:val="14"/>
              </w:rPr>
              <w:t>Very pleased with the comparisons made between the various methods. Excellent application of critical evaluation skills. (Grade mark: 95.00%)</w:t>
            </w:r>
          </w:p>
        </w:tc>
        <w:tc>
          <w:tcPr>
            <w:tcW w:w="283" w:type="pct"/>
            <w:tcBorders>
              <w:top w:val="single" w:sz="4" w:space="0" w:color="auto"/>
              <w:left w:val="single" w:sz="4" w:space="0" w:color="auto"/>
              <w:right w:val="single" w:sz="4" w:space="0" w:color="auto"/>
            </w:tcBorders>
          </w:tcPr>
          <w:p w14:paraId="1980ED92" w14:textId="77777777" w:rsidR="00AB0CAA" w:rsidRPr="00AB0CAA" w:rsidRDefault="00AB0CAA" w:rsidP="00AB0CAA">
            <w:pPr>
              <w:spacing w:after="0" w:line="240" w:lineRule="auto"/>
              <w:ind w:left="0" w:firstLine="0"/>
              <w:jc w:val="center"/>
              <w:rPr>
                <w:rFonts w:ascii="Calibri" w:hAnsi="Calibri"/>
                <w:color w:val="auto"/>
                <w:sz w:val="20"/>
                <w:szCs w:val="20"/>
              </w:rPr>
            </w:pPr>
            <w:bookmarkStart w:id="55" w:name="totalANA"/>
            <w:bookmarkEnd w:id="55"/>
            <w:r w:rsidRPr="00AB0CAA">
              <w:rPr>
                <w:rFonts w:ascii="Calibri" w:hAnsi="Calibri"/>
                <w:color w:val="auto"/>
                <w:sz w:val="20"/>
                <w:szCs w:val="20"/>
              </w:rPr>
              <w:t>40</w:t>
            </w:r>
          </w:p>
        </w:tc>
        <w:tc>
          <w:tcPr>
            <w:tcW w:w="283" w:type="pct"/>
            <w:vMerge w:val="restart"/>
            <w:tcBorders>
              <w:top w:val="single" w:sz="4" w:space="0" w:color="auto"/>
              <w:left w:val="single" w:sz="4" w:space="0" w:color="auto"/>
              <w:bottom w:val="single" w:sz="4" w:space="0" w:color="auto"/>
              <w:right w:val="single" w:sz="4" w:space="0" w:color="auto"/>
            </w:tcBorders>
          </w:tcPr>
          <w:p w14:paraId="0226B294" w14:textId="77777777" w:rsidR="00AB0CAA" w:rsidRPr="00AB0CAA" w:rsidRDefault="00AB0CAA" w:rsidP="00AB0CAA">
            <w:pPr>
              <w:spacing w:after="0" w:line="240" w:lineRule="auto"/>
              <w:ind w:left="0" w:firstLine="0"/>
              <w:jc w:val="center"/>
              <w:rPr>
                <w:rFonts w:ascii="Calibri" w:hAnsi="Calibri"/>
                <w:color w:val="auto"/>
                <w:sz w:val="20"/>
                <w:szCs w:val="20"/>
              </w:rPr>
            </w:pPr>
            <w:bookmarkStart w:id="56" w:name="markANA"/>
            <w:bookmarkEnd w:id="56"/>
            <w:r w:rsidRPr="00AB0CAA">
              <w:rPr>
                <w:rFonts w:ascii="Calibri" w:hAnsi="Calibri"/>
                <w:color w:val="auto"/>
                <w:sz w:val="20"/>
                <w:szCs w:val="20"/>
              </w:rPr>
              <w:t>38</w:t>
            </w:r>
          </w:p>
        </w:tc>
      </w:tr>
      <w:tr w:rsidR="00AB0CAA" w:rsidRPr="00AB0CAA" w14:paraId="0BB728DE" w14:textId="77777777" w:rsidTr="00A37519">
        <w:trPr>
          <w:trHeight w:val="451"/>
        </w:trPr>
        <w:tc>
          <w:tcPr>
            <w:tcW w:w="4435" w:type="pct"/>
            <w:vMerge/>
            <w:tcBorders>
              <w:left w:val="single" w:sz="4" w:space="0" w:color="auto"/>
              <w:bottom w:val="single" w:sz="4" w:space="0" w:color="auto"/>
              <w:right w:val="single" w:sz="4" w:space="0" w:color="auto"/>
            </w:tcBorders>
          </w:tcPr>
          <w:p w14:paraId="315A2923" w14:textId="77777777" w:rsidR="00AB0CAA" w:rsidRPr="00AB0CAA" w:rsidRDefault="00AB0CAA" w:rsidP="00AB0CAA">
            <w:pPr>
              <w:spacing w:after="0" w:line="240" w:lineRule="auto"/>
              <w:ind w:left="0" w:firstLine="0"/>
              <w:jc w:val="left"/>
              <w:rPr>
                <w:rFonts w:ascii="Calibri" w:hAnsi="Calibri"/>
                <w:b/>
                <w:color w:val="auto"/>
                <w:sz w:val="16"/>
                <w:szCs w:val="16"/>
              </w:rPr>
            </w:pPr>
          </w:p>
        </w:tc>
        <w:tc>
          <w:tcPr>
            <w:tcW w:w="283" w:type="pct"/>
            <w:tcBorders>
              <w:left w:val="single" w:sz="4" w:space="0" w:color="auto"/>
              <w:bottom w:val="single" w:sz="4" w:space="0" w:color="auto"/>
              <w:right w:val="single" w:sz="4" w:space="0" w:color="auto"/>
            </w:tcBorders>
          </w:tcPr>
          <w:p w14:paraId="6AE8FBDE" w14:textId="77777777" w:rsidR="00AB0CAA" w:rsidRPr="00AB0CAA" w:rsidRDefault="00AB0CAA" w:rsidP="00AB0CAA">
            <w:pPr>
              <w:spacing w:after="0" w:line="240" w:lineRule="auto"/>
              <w:ind w:left="0" w:firstLine="0"/>
              <w:jc w:val="left"/>
              <w:rPr>
                <w:rFonts w:ascii="Calibri" w:hAnsi="Calibri"/>
                <w:color w:val="auto"/>
                <w:sz w:val="20"/>
                <w:szCs w:val="20"/>
              </w:rPr>
            </w:pPr>
          </w:p>
        </w:tc>
        <w:tc>
          <w:tcPr>
            <w:tcW w:w="283" w:type="pct"/>
            <w:vMerge/>
            <w:tcBorders>
              <w:top w:val="single" w:sz="4" w:space="0" w:color="auto"/>
              <w:left w:val="single" w:sz="4" w:space="0" w:color="auto"/>
              <w:bottom w:val="single" w:sz="4" w:space="0" w:color="auto"/>
              <w:right w:val="single" w:sz="4" w:space="0" w:color="auto"/>
            </w:tcBorders>
          </w:tcPr>
          <w:p w14:paraId="0713552C" w14:textId="77777777" w:rsidR="00AB0CAA" w:rsidRPr="00AB0CAA" w:rsidRDefault="00AB0CAA" w:rsidP="00AB0CAA">
            <w:pPr>
              <w:spacing w:after="0" w:line="240" w:lineRule="auto"/>
              <w:ind w:left="0" w:firstLine="0"/>
              <w:jc w:val="center"/>
              <w:rPr>
                <w:rFonts w:ascii="Calibri" w:hAnsi="Calibri"/>
                <w:color w:val="auto"/>
                <w:sz w:val="32"/>
                <w:szCs w:val="20"/>
              </w:rPr>
            </w:pPr>
          </w:p>
        </w:tc>
      </w:tr>
      <w:tr w:rsidR="00AB0CAA" w:rsidRPr="00AB0CAA" w14:paraId="559E3ABD" w14:textId="77777777" w:rsidTr="00A37519">
        <w:trPr>
          <w:trHeight w:val="450"/>
        </w:trPr>
        <w:tc>
          <w:tcPr>
            <w:tcW w:w="4435" w:type="pct"/>
            <w:tcBorders>
              <w:top w:val="single" w:sz="4" w:space="0" w:color="auto"/>
              <w:left w:val="single" w:sz="4" w:space="0" w:color="auto"/>
              <w:right w:val="single" w:sz="4" w:space="0" w:color="auto"/>
            </w:tcBorders>
            <w:shd w:val="clear" w:color="auto" w:fill="D9D9D9"/>
          </w:tcPr>
          <w:p w14:paraId="0CA782C0" w14:textId="77777777" w:rsidR="00AB0CAA" w:rsidRPr="00AB0CAA" w:rsidRDefault="00AB0CAA" w:rsidP="00AB0CAA">
            <w:pPr>
              <w:spacing w:after="0" w:line="240" w:lineRule="auto"/>
              <w:ind w:left="0" w:firstLine="0"/>
              <w:jc w:val="left"/>
              <w:rPr>
                <w:rFonts w:ascii="Calibri" w:hAnsi="Calibri"/>
                <w:b/>
                <w:color w:val="auto"/>
                <w:sz w:val="16"/>
                <w:szCs w:val="16"/>
              </w:rPr>
            </w:pPr>
            <w:r w:rsidRPr="00AB0CAA">
              <w:rPr>
                <w:rFonts w:ascii="Calibri" w:hAnsi="Calibri"/>
                <w:b/>
                <w:color w:val="auto"/>
                <w:sz w:val="20"/>
                <w:szCs w:val="16"/>
              </w:rPr>
              <w:t xml:space="preserve">4. </w:t>
            </w:r>
            <w:r w:rsidRPr="00AB0CAA">
              <w:rPr>
                <w:rFonts w:ascii="Calibri" w:hAnsi="Calibri"/>
                <w:b/>
                <w:color w:val="auto"/>
                <w:sz w:val="20"/>
                <w:szCs w:val="20"/>
              </w:rPr>
              <w:t>Practical Application and Deployment</w:t>
            </w:r>
          </w:p>
          <w:p w14:paraId="114FB8C6" w14:textId="77777777" w:rsidR="00AB0CAA" w:rsidRPr="00AB0CAA" w:rsidRDefault="00AB0CAA" w:rsidP="00AB0CAA">
            <w:pPr>
              <w:spacing w:after="120" w:line="240" w:lineRule="auto"/>
              <w:ind w:left="0" w:firstLine="0"/>
              <w:jc w:val="left"/>
              <w:rPr>
                <w:rFonts w:ascii="Calibri" w:hAnsi="Calibri"/>
                <w:color w:val="auto"/>
                <w:sz w:val="14"/>
                <w:szCs w:val="14"/>
              </w:rPr>
            </w:pPr>
            <w:r w:rsidRPr="00AB0CAA">
              <w:rPr>
                <w:rFonts w:ascii="Calibri" w:hAnsi="Calibri"/>
                <w:color w:val="auto"/>
                <w:sz w:val="14"/>
                <w:szCs w:val="14"/>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14:paraId="3A70402C" w14:textId="77777777" w:rsidR="00AB0CAA" w:rsidRPr="00AB0CAA" w:rsidRDefault="00AB0CAA" w:rsidP="00AB0CAA">
            <w:pPr>
              <w:spacing w:after="0" w:line="240" w:lineRule="auto"/>
              <w:ind w:left="0" w:firstLine="0"/>
              <w:jc w:val="center"/>
              <w:rPr>
                <w:rFonts w:ascii="Calibri" w:hAnsi="Calibri"/>
                <w:color w:val="auto"/>
                <w:sz w:val="32"/>
                <w:szCs w:val="20"/>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7F5AB352" w14:textId="77777777" w:rsidR="00AB0CAA" w:rsidRPr="00AB0CAA" w:rsidRDefault="00AB0CAA" w:rsidP="00AB0CAA">
            <w:pPr>
              <w:spacing w:after="0" w:line="240" w:lineRule="auto"/>
              <w:ind w:left="0" w:firstLine="0"/>
              <w:jc w:val="center"/>
              <w:rPr>
                <w:rFonts w:ascii="Calibri" w:hAnsi="Calibri"/>
                <w:color w:val="auto"/>
                <w:sz w:val="32"/>
                <w:szCs w:val="20"/>
              </w:rPr>
            </w:pPr>
          </w:p>
        </w:tc>
      </w:tr>
      <w:tr w:rsidR="00AB0CAA" w:rsidRPr="00AB0CAA" w14:paraId="7DE963E0" w14:textId="77777777" w:rsidTr="00A37519">
        <w:trPr>
          <w:trHeight w:val="451"/>
        </w:trPr>
        <w:tc>
          <w:tcPr>
            <w:tcW w:w="4435" w:type="pct"/>
            <w:vMerge w:val="restart"/>
            <w:tcBorders>
              <w:top w:val="single" w:sz="4" w:space="0" w:color="auto"/>
              <w:left w:val="single" w:sz="4" w:space="0" w:color="auto"/>
              <w:right w:val="single" w:sz="4" w:space="0" w:color="auto"/>
            </w:tcBorders>
          </w:tcPr>
          <w:p w14:paraId="32403882" w14:textId="77777777" w:rsidR="00AB0CAA" w:rsidRPr="00AB0CAA" w:rsidRDefault="00AB0CAA" w:rsidP="00AB0CAA">
            <w:pPr>
              <w:spacing w:after="120" w:line="240" w:lineRule="auto"/>
              <w:ind w:left="0" w:firstLine="0"/>
              <w:jc w:val="left"/>
              <w:rPr>
                <w:rFonts w:ascii="Calibri" w:hAnsi="Calibri"/>
                <w:color w:val="auto"/>
                <w:sz w:val="20"/>
                <w:szCs w:val="14"/>
              </w:rPr>
            </w:pPr>
            <w:bookmarkStart w:id="57" w:name="feedbackPAD"/>
            <w:bookmarkEnd w:id="57"/>
            <w:r w:rsidRPr="00AB0CAA">
              <w:rPr>
                <w:rFonts w:ascii="Calibri" w:hAnsi="Calibri"/>
                <w:color w:val="auto"/>
                <w:sz w:val="20"/>
                <w:szCs w:val="14"/>
              </w:rPr>
              <w:t xml:space="preserve">Excellent topology. Ticks all the boxes. Good security and redundancy practices. </w:t>
            </w:r>
            <w:proofErr w:type="spellStart"/>
            <w:r w:rsidRPr="00AB0CAA">
              <w:rPr>
                <w:rFonts w:ascii="Calibri" w:hAnsi="Calibri"/>
                <w:color w:val="auto"/>
                <w:sz w:val="20"/>
                <w:szCs w:val="14"/>
              </w:rPr>
              <w:t>Well structured</w:t>
            </w:r>
            <w:proofErr w:type="spellEnd"/>
            <w:r w:rsidRPr="00AB0CAA">
              <w:rPr>
                <w:rFonts w:ascii="Calibri" w:hAnsi="Calibri"/>
                <w:color w:val="auto"/>
                <w:sz w:val="20"/>
                <w:szCs w:val="14"/>
              </w:rPr>
              <w:t xml:space="preserve"> hierarchical design and appropriate integration of the suggested solution. (Grade mark: 100.00%)</w:t>
            </w:r>
          </w:p>
        </w:tc>
        <w:tc>
          <w:tcPr>
            <w:tcW w:w="283" w:type="pct"/>
            <w:tcBorders>
              <w:top w:val="single" w:sz="4" w:space="0" w:color="auto"/>
              <w:left w:val="single" w:sz="4" w:space="0" w:color="auto"/>
              <w:right w:val="single" w:sz="4" w:space="0" w:color="auto"/>
            </w:tcBorders>
          </w:tcPr>
          <w:p w14:paraId="64C49084" w14:textId="77777777" w:rsidR="00AB0CAA" w:rsidRPr="00AB0CAA" w:rsidRDefault="00AB0CAA" w:rsidP="00AB0CAA">
            <w:pPr>
              <w:spacing w:after="0" w:line="240" w:lineRule="auto"/>
              <w:ind w:left="0" w:firstLine="0"/>
              <w:jc w:val="center"/>
              <w:rPr>
                <w:rFonts w:ascii="Calibri" w:hAnsi="Calibri"/>
                <w:color w:val="auto"/>
                <w:sz w:val="20"/>
                <w:szCs w:val="20"/>
              </w:rPr>
            </w:pPr>
            <w:bookmarkStart w:id="58" w:name="totalPAD"/>
            <w:bookmarkEnd w:id="58"/>
            <w:r w:rsidRPr="00AB0CAA">
              <w:rPr>
                <w:rFonts w:ascii="Calibri" w:hAnsi="Calibri"/>
                <w:color w:val="auto"/>
                <w:sz w:val="20"/>
                <w:szCs w:val="20"/>
              </w:rPr>
              <w:t>20</w:t>
            </w:r>
          </w:p>
        </w:tc>
        <w:tc>
          <w:tcPr>
            <w:tcW w:w="283" w:type="pct"/>
            <w:vMerge w:val="restart"/>
            <w:tcBorders>
              <w:top w:val="single" w:sz="4" w:space="0" w:color="auto"/>
              <w:left w:val="single" w:sz="4" w:space="0" w:color="auto"/>
              <w:bottom w:val="single" w:sz="4" w:space="0" w:color="auto"/>
              <w:right w:val="single" w:sz="4" w:space="0" w:color="auto"/>
            </w:tcBorders>
          </w:tcPr>
          <w:p w14:paraId="63E9081E" w14:textId="77777777" w:rsidR="00AB0CAA" w:rsidRPr="00AB0CAA" w:rsidRDefault="00AB0CAA" w:rsidP="00AB0CAA">
            <w:pPr>
              <w:spacing w:after="0" w:line="240" w:lineRule="auto"/>
              <w:ind w:left="0" w:firstLine="0"/>
              <w:jc w:val="center"/>
              <w:rPr>
                <w:rFonts w:ascii="Calibri" w:hAnsi="Calibri"/>
                <w:color w:val="auto"/>
                <w:sz w:val="20"/>
                <w:szCs w:val="20"/>
              </w:rPr>
            </w:pPr>
            <w:bookmarkStart w:id="59" w:name="markPAD"/>
            <w:bookmarkEnd w:id="59"/>
            <w:r w:rsidRPr="00AB0CAA">
              <w:rPr>
                <w:rFonts w:ascii="Calibri" w:hAnsi="Calibri"/>
                <w:color w:val="auto"/>
                <w:sz w:val="20"/>
                <w:szCs w:val="20"/>
              </w:rPr>
              <w:t>20</w:t>
            </w:r>
          </w:p>
        </w:tc>
      </w:tr>
      <w:tr w:rsidR="00AB0CAA" w:rsidRPr="00AB0CAA" w14:paraId="05E20DE6" w14:textId="77777777" w:rsidTr="00A37519">
        <w:trPr>
          <w:trHeight w:val="450"/>
        </w:trPr>
        <w:tc>
          <w:tcPr>
            <w:tcW w:w="4435" w:type="pct"/>
            <w:vMerge/>
            <w:tcBorders>
              <w:left w:val="single" w:sz="4" w:space="0" w:color="auto"/>
              <w:bottom w:val="single" w:sz="4" w:space="0" w:color="auto"/>
              <w:right w:val="single" w:sz="4" w:space="0" w:color="auto"/>
            </w:tcBorders>
          </w:tcPr>
          <w:p w14:paraId="7DA987AD" w14:textId="77777777" w:rsidR="00AB0CAA" w:rsidRPr="00AB0CAA" w:rsidRDefault="00AB0CAA" w:rsidP="00AB0CAA">
            <w:pPr>
              <w:spacing w:after="0" w:line="240" w:lineRule="auto"/>
              <w:ind w:left="0" w:firstLine="0"/>
              <w:jc w:val="left"/>
              <w:rPr>
                <w:rFonts w:ascii="Calibri" w:hAnsi="Calibri"/>
                <w:b/>
                <w:color w:val="auto"/>
                <w:sz w:val="16"/>
                <w:szCs w:val="16"/>
              </w:rPr>
            </w:pPr>
          </w:p>
        </w:tc>
        <w:tc>
          <w:tcPr>
            <w:tcW w:w="283" w:type="pct"/>
            <w:tcBorders>
              <w:left w:val="single" w:sz="4" w:space="0" w:color="auto"/>
              <w:bottom w:val="single" w:sz="4" w:space="0" w:color="auto"/>
              <w:right w:val="single" w:sz="4" w:space="0" w:color="auto"/>
            </w:tcBorders>
          </w:tcPr>
          <w:p w14:paraId="6BC6E910" w14:textId="77777777" w:rsidR="00AB0CAA" w:rsidRPr="00AB0CAA" w:rsidRDefault="00AB0CAA" w:rsidP="00AB0CAA">
            <w:pPr>
              <w:spacing w:after="0" w:line="240" w:lineRule="auto"/>
              <w:ind w:left="0" w:firstLine="0"/>
              <w:jc w:val="left"/>
              <w:rPr>
                <w:rFonts w:ascii="Calibri" w:hAnsi="Calibri"/>
                <w:color w:val="auto"/>
                <w:sz w:val="20"/>
                <w:szCs w:val="20"/>
              </w:rPr>
            </w:pPr>
          </w:p>
        </w:tc>
        <w:tc>
          <w:tcPr>
            <w:tcW w:w="283" w:type="pct"/>
            <w:vMerge/>
            <w:tcBorders>
              <w:top w:val="single" w:sz="4" w:space="0" w:color="auto"/>
              <w:left w:val="single" w:sz="4" w:space="0" w:color="auto"/>
              <w:bottom w:val="single" w:sz="4" w:space="0" w:color="auto"/>
              <w:right w:val="single" w:sz="4" w:space="0" w:color="auto"/>
            </w:tcBorders>
          </w:tcPr>
          <w:p w14:paraId="48E7F656" w14:textId="77777777" w:rsidR="00AB0CAA" w:rsidRPr="00AB0CAA" w:rsidRDefault="00AB0CAA" w:rsidP="00AB0CAA">
            <w:pPr>
              <w:spacing w:after="0" w:line="240" w:lineRule="auto"/>
              <w:ind w:left="0" w:firstLine="0"/>
              <w:jc w:val="center"/>
              <w:rPr>
                <w:rFonts w:ascii="Calibri" w:hAnsi="Calibri"/>
                <w:color w:val="auto"/>
                <w:sz w:val="32"/>
                <w:szCs w:val="20"/>
              </w:rPr>
            </w:pPr>
          </w:p>
        </w:tc>
      </w:tr>
      <w:tr w:rsidR="00AB0CAA" w:rsidRPr="00AB0CAA" w14:paraId="528A73E9" w14:textId="77777777" w:rsidTr="00A37519">
        <w:trPr>
          <w:trHeight w:val="450"/>
        </w:trPr>
        <w:tc>
          <w:tcPr>
            <w:tcW w:w="4435" w:type="pct"/>
            <w:tcBorders>
              <w:top w:val="single" w:sz="4" w:space="0" w:color="auto"/>
              <w:left w:val="single" w:sz="4" w:space="0" w:color="auto"/>
              <w:right w:val="single" w:sz="4" w:space="0" w:color="auto"/>
            </w:tcBorders>
            <w:shd w:val="clear" w:color="auto" w:fill="D9D9D9"/>
          </w:tcPr>
          <w:p w14:paraId="4C3BDD10" w14:textId="77777777" w:rsidR="00AB0CAA" w:rsidRPr="00AB0CAA" w:rsidRDefault="00AB0CAA" w:rsidP="00AB0CAA">
            <w:pPr>
              <w:spacing w:after="0" w:line="240" w:lineRule="auto"/>
              <w:ind w:left="0" w:firstLine="0"/>
              <w:jc w:val="left"/>
              <w:rPr>
                <w:rFonts w:ascii="Calibri" w:hAnsi="Calibri"/>
                <w:b/>
                <w:color w:val="auto"/>
                <w:sz w:val="16"/>
                <w:szCs w:val="16"/>
              </w:rPr>
            </w:pPr>
            <w:r w:rsidRPr="00AB0CAA">
              <w:rPr>
                <w:rFonts w:ascii="Calibri" w:hAnsi="Calibri"/>
                <w:b/>
                <w:color w:val="auto"/>
                <w:sz w:val="20"/>
                <w:szCs w:val="16"/>
              </w:rPr>
              <w:t xml:space="preserve">5. </w:t>
            </w:r>
            <w:r w:rsidRPr="00AB0CAA">
              <w:rPr>
                <w:rFonts w:ascii="Calibri" w:hAnsi="Calibri"/>
                <w:b/>
                <w:color w:val="auto"/>
                <w:sz w:val="20"/>
                <w:szCs w:val="20"/>
              </w:rPr>
              <w:t>Skills for Professional Practice</w:t>
            </w:r>
            <w:r w:rsidRPr="00AB0CAA">
              <w:rPr>
                <w:rFonts w:ascii="Calibri" w:hAnsi="Calibri"/>
                <w:b/>
                <w:color w:val="auto"/>
                <w:sz w:val="16"/>
                <w:szCs w:val="16"/>
              </w:rPr>
              <w:t xml:space="preserve"> </w:t>
            </w:r>
          </w:p>
          <w:p w14:paraId="2F9C849B" w14:textId="77777777" w:rsidR="00AB0CAA" w:rsidRPr="00AB0CAA" w:rsidRDefault="00AB0CAA" w:rsidP="00AB0CAA">
            <w:pPr>
              <w:spacing w:after="120" w:line="240" w:lineRule="auto"/>
              <w:ind w:left="0" w:firstLine="0"/>
              <w:jc w:val="left"/>
              <w:rPr>
                <w:rFonts w:ascii="Calibri" w:hAnsi="Calibri"/>
                <w:color w:val="auto"/>
                <w:sz w:val="14"/>
                <w:szCs w:val="14"/>
              </w:rPr>
            </w:pPr>
            <w:r w:rsidRPr="00AB0CAA">
              <w:rPr>
                <w:rFonts w:ascii="Calibri" w:hAnsi="Calibri"/>
                <w:color w:val="auto"/>
                <w:sz w:val="14"/>
                <w:szCs w:val="14"/>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14:paraId="22980753" w14:textId="77777777" w:rsidR="00AB0CAA" w:rsidRPr="00AB0CAA" w:rsidRDefault="00AB0CAA" w:rsidP="00AB0CAA">
            <w:pPr>
              <w:spacing w:after="0" w:line="240" w:lineRule="auto"/>
              <w:ind w:left="0" w:firstLine="0"/>
              <w:jc w:val="center"/>
              <w:rPr>
                <w:rFonts w:ascii="Calibri" w:hAnsi="Calibri"/>
                <w:color w:val="auto"/>
                <w:sz w:val="32"/>
                <w:szCs w:val="20"/>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3D5DCCE6" w14:textId="77777777" w:rsidR="00AB0CAA" w:rsidRPr="00AB0CAA" w:rsidRDefault="00AB0CAA" w:rsidP="00AB0CAA">
            <w:pPr>
              <w:spacing w:after="0" w:line="240" w:lineRule="auto"/>
              <w:ind w:left="0" w:firstLine="0"/>
              <w:jc w:val="center"/>
              <w:rPr>
                <w:rFonts w:ascii="Calibri" w:hAnsi="Calibri"/>
                <w:color w:val="auto"/>
                <w:sz w:val="32"/>
                <w:szCs w:val="20"/>
              </w:rPr>
            </w:pPr>
          </w:p>
        </w:tc>
      </w:tr>
      <w:tr w:rsidR="00AB0CAA" w:rsidRPr="00AB0CAA" w14:paraId="4D247242" w14:textId="77777777" w:rsidTr="00A37519">
        <w:trPr>
          <w:trHeight w:val="451"/>
        </w:trPr>
        <w:tc>
          <w:tcPr>
            <w:tcW w:w="4435" w:type="pct"/>
            <w:vMerge w:val="restart"/>
            <w:tcBorders>
              <w:top w:val="single" w:sz="4" w:space="0" w:color="auto"/>
              <w:left w:val="single" w:sz="4" w:space="0" w:color="auto"/>
              <w:right w:val="single" w:sz="4" w:space="0" w:color="auto"/>
            </w:tcBorders>
          </w:tcPr>
          <w:p w14:paraId="248DA21D" w14:textId="77777777" w:rsidR="00AB0CAA" w:rsidRPr="00AB0CAA" w:rsidRDefault="00AB0CAA" w:rsidP="00AB0CAA">
            <w:pPr>
              <w:spacing w:after="120" w:line="240" w:lineRule="auto"/>
              <w:ind w:left="0" w:firstLine="0"/>
              <w:jc w:val="left"/>
              <w:rPr>
                <w:rFonts w:ascii="Calibri" w:hAnsi="Calibri"/>
                <w:color w:val="auto"/>
                <w:sz w:val="20"/>
                <w:szCs w:val="14"/>
              </w:rPr>
            </w:pPr>
            <w:bookmarkStart w:id="60" w:name="feedbackSPP"/>
            <w:bookmarkEnd w:id="60"/>
            <w:r w:rsidRPr="00AB0CAA">
              <w:rPr>
                <w:rFonts w:ascii="Calibri" w:hAnsi="Calibri"/>
                <w:color w:val="auto"/>
                <w:sz w:val="20"/>
                <w:szCs w:val="14"/>
              </w:rPr>
              <w:t>Thoroughly enjoyed reading this report. Very pleased with how it's structured. Excellent work overall. Well done. (Grade mark: 90.00%)</w:t>
            </w:r>
          </w:p>
        </w:tc>
        <w:tc>
          <w:tcPr>
            <w:tcW w:w="283" w:type="pct"/>
            <w:tcBorders>
              <w:top w:val="single" w:sz="4" w:space="0" w:color="auto"/>
              <w:left w:val="single" w:sz="4" w:space="0" w:color="auto"/>
              <w:right w:val="single" w:sz="4" w:space="0" w:color="auto"/>
            </w:tcBorders>
          </w:tcPr>
          <w:p w14:paraId="6890FEA9" w14:textId="77777777" w:rsidR="00AB0CAA" w:rsidRPr="00AB0CAA" w:rsidRDefault="00AB0CAA" w:rsidP="00AB0CAA">
            <w:pPr>
              <w:spacing w:after="0" w:line="240" w:lineRule="auto"/>
              <w:ind w:left="0" w:firstLine="0"/>
              <w:jc w:val="center"/>
              <w:rPr>
                <w:rFonts w:ascii="Calibri" w:hAnsi="Calibri"/>
                <w:color w:val="auto"/>
                <w:sz w:val="20"/>
                <w:szCs w:val="20"/>
              </w:rPr>
            </w:pPr>
            <w:bookmarkStart w:id="61" w:name="totalSPP"/>
            <w:bookmarkEnd w:id="61"/>
            <w:r w:rsidRPr="00AB0CAA">
              <w:rPr>
                <w:rFonts w:ascii="Calibri" w:hAnsi="Calibri"/>
                <w:color w:val="auto"/>
                <w:sz w:val="20"/>
                <w:szCs w:val="20"/>
              </w:rPr>
              <w:t>10</w:t>
            </w:r>
          </w:p>
        </w:tc>
        <w:tc>
          <w:tcPr>
            <w:tcW w:w="283" w:type="pct"/>
            <w:vMerge w:val="restart"/>
            <w:tcBorders>
              <w:top w:val="single" w:sz="4" w:space="0" w:color="auto"/>
              <w:left w:val="single" w:sz="4" w:space="0" w:color="auto"/>
              <w:bottom w:val="single" w:sz="4" w:space="0" w:color="auto"/>
              <w:right w:val="single" w:sz="4" w:space="0" w:color="auto"/>
            </w:tcBorders>
          </w:tcPr>
          <w:p w14:paraId="1D868837" w14:textId="77777777" w:rsidR="00AB0CAA" w:rsidRPr="00AB0CAA" w:rsidRDefault="00AB0CAA" w:rsidP="00AB0CAA">
            <w:pPr>
              <w:spacing w:after="0" w:line="240" w:lineRule="auto"/>
              <w:ind w:left="0" w:firstLine="0"/>
              <w:jc w:val="center"/>
              <w:rPr>
                <w:rFonts w:ascii="Calibri" w:hAnsi="Calibri"/>
                <w:color w:val="auto"/>
                <w:sz w:val="20"/>
                <w:szCs w:val="20"/>
              </w:rPr>
            </w:pPr>
            <w:bookmarkStart w:id="62" w:name="markSPP"/>
            <w:bookmarkEnd w:id="62"/>
            <w:r w:rsidRPr="00AB0CAA">
              <w:rPr>
                <w:rFonts w:ascii="Calibri" w:hAnsi="Calibri"/>
                <w:color w:val="auto"/>
                <w:sz w:val="20"/>
                <w:szCs w:val="20"/>
              </w:rPr>
              <w:t>9</w:t>
            </w:r>
          </w:p>
        </w:tc>
      </w:tr>
      <w:tr w:rsidR="00AB0CAA" w:rsidRPr="00AB0CAA" w14:paraId="2E15E15B" w14:textId="77777777" w:rsidTr="00A37519">
        <w:trPr>
          <w:trHeight w:val="450"/>
        </w:trPr>
        <w:tc>
          <w:tcPr>
            <w:tcW w:w="4435" w:type="pct"/>
            <w:vMerge/>
            <w:tcBorders>
              <w:left w:val="single" w:sz="4" w:space="0" w:color="auto"/>
              <w:bottom w:val="single" w:sz="4" w:space="0" w:color="auto"/>
              <w:right w:val="single" w:sz="4" w:space="0" w:color="auto"/>
            </w:tcBorders>
          </w:tcPr>
          <w:p w14:paraId="0A40245F" w14:textId="77777777" w:rsidR="00AB0CAA" w:rsidRPr="00AB0CAA" w:rsidRDefault="00AB0CAA" w:rsidP="00AB0CAA">
            <w:pPr>
              <w:spacing w:after="0" w:line="240" w:lineRule="auto"/>
              <w:ind w:left="0" w:firstLine="0"/>
              <w:jc w:val="left"/>
              <w:rPr>
                <w:rFonts w:ascii="Calibri" w:hAnsi="Calibri"/>
                <w:b/>
                <w:color w:val="auto"/>
                <w:sz w:val="20"/>
                <w:szCs w:val="16"/>
              </w:rPr>
            </w:pPr>
          </w:p>
        </w:tc>
        <w:tc>
          <w:tcPr>
            <w:tcW w:w="283" w:type="pct"/>
            <w:tcBorders>
              <w:left w:val="single" w:sz="4" w:space="0" w:color="auto"/>
              <w:bottom w:val="single" w:sz="4" w:space="0" w:color="auto"/>
              <w:right w:val="single" w:sz="4" w:space="0" w:color="auto"/>
            </w:tcBorders>
          </w:tcPr>
          <w:p w14:paraId="59C0148C" w14:textId="77777777" w:rsidR="00AB0CAA" w:rsidRPr="00AB0CAA" w:rsidRDefault="00AB0CAA" w:rsidP="00AB0CAA">
            <w:pPr>
              <w:spacing w:after="0" w:line="240" w:lineRule="auto"/>
              <w:ind w:left="0" w:firstLine="0"/>
              <w:jc w:val="left"/>
              <w:rPr>
                <w:rFonts w:ascii="Calibri" w:hAnsi="Calibri"/>
                <w:color w:val="auto"/>
                <w:sz w:val="20"/>
                <w:szCs w:val="20"/>
              </w:rPr>
            </w:pPr>
          </w:p>
        </w:tc>
        <w:tc>
          <w:tcPr>
            <w:tcW w:w="283" w:type="pct"/>
            <w:vMerge/>
            <w:tcBorders>
              <w:top w:val="single" w:sz="4" w:space="0" w:color="auto"/>
              <w:left w:val="single" w:sz="4" w:space="0" w:color="auto"/>
              <w:bottom w:val="single" w:sz="4" w:space="0" w:color="auto"/>
              <w:right w:val="single" w:sz="4" w:space="0" w:color="auto"/>
            </w:tcBorders>
          </w:tcPr>
          <w:p w14:paraId="38E11600" w14:textId="77777777" w:rsidR="00AB0CAA" w:rsidRPr="00AB0CAA" w:rsidRDefault="00AB0CAA" w:rsidP="00AB0CAA">
            <w:pPr>
              <w:spacing w:after="0" w:line="240" w:lineRule="auto"/>
              <w:ind w:left="0" w:firstLine="0"/>
              <w:jc w:val="center"/>
              <w:rPr>
                <w:rFonts w:ascii="Calibri" w:hAnsi="Calibri"/>
                <w:color w:val="auto"/>
                <w:sz w:val="20"/>
                <w:szCs w:val="20"/>
              </w:rPr>
            </w:pPr>
          </w:p>
        </w:tc>
      </w:tr>
    </w:tbl>
    <w:p w14:paraId="1873345B" w14:textId="77777777" w:rsidR="00AB0CAA" w:rsidRPr="00AB0CAA" w:rsidRDefault="00AB0CAA" w:rsidP="00AB0CAA">
      <w:pPr>
        <w:spacing w:after="0" w:line="240" w:lineRule="auto"/>
        <w:ind w:left="284" w:right="533" w:firstLine="0"/>
        <w:contextualSpacing/>
        <w:jc w:val="left"/>
        <w:rPr>
          <w:rFonts w:ascii="Calibri" w:hAnsi="Calibri"/>
          <w:b/>
          <w:color w:val="auto"/>
          <w:sz w:val="14"/>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AB0CAA" w:rsidRPr="00AB0CAA" w14:paraId="47F3DC2A" w14:textId="77777777" w:rsidTr="00A37519">
        <w:trPr>
          <w:cantSplit/>
        </w:trPr>
        <w:tc>
          <w:tcPr>
            <w:tcW w:w="6062" w:type="dxa"/>
            <w:vMerge w:val="restart"/>
            <w:shd w:val="pct15" w:color="auto" w:fill="auto"/>
            <w:vAlign w:val="center"/>
          </w:tcPr>
          <w:p w14:paraId="16AC47CD" w14:textId="77777777" w:rsidR="00AB0CAA" w:rsidRPr="00AB0CAA" w:rsidRDefault="00AB0CAA" w:rsidP="00AB0CAA">
            <w:pPr>
              <w:spacing w:after="0" w:line="240" w:lineRule="auto"/>
              <w:ind w:left="0" w:firstLine="0"/>
              <w:jc w:val="left"/>
              <w:rPr>
                <w:rFonts w:ascii="Calibri" w:hAnsi="Calibri"/>
                <w:color w:val="auto"/>
                <w:sz w:val="16"/>
                <w:szCs w:val="16"/>
              </w:rPr>
            </w:pPr>
            <w:r w:rsidRPr="00AB0CAA">
              <w:rPr>
                <w:rFonts w:ascii="Calibri" w:hAnsi="Calibri" w:cs="Arial"/>
                <w:b/>
                <w:bCs/>
                <w:color w:val="auto"/>
                <w:sz w:val="22"/>
              </w:rPr>
              <w:t xml:space="preserve">Assignment Mark </w:t>
            </w:r>
            <w:r w:rsidRPr="00AB0CAA">
              <w:rPr>
                <w:rFonts w:ascii="Calibri" w:hAnsi="Calibri" w:cs="Arial"/>
                <w:bCs/>
                <w:color w:val="auto"/>
                <w:sz w:val="22"/>
              </w:rPr>
              <w:t>(</w:t>
            </w:r>
            <w:r w:rsidRPr="00AB0CAA">
              <w:rPr>
                <w:rFonts w:ascii="Calibri" w:hAnsi="Calibri"/>
                <w:color w:val="auto"/>
                <w:sz w:val="16"/>
                <w:szCs w:val="16"/>
              </w:rPr>
              <w:t>Assessment marks are subject to ratification at the Exam Board.  These comments and marks are to give feedback on module work and are for guidance only until they are confirmed. )</w:t>
            </w:r>
          </w:p>
        </w:tc>
        <w:tc>
          <w:tcPr>
            <w:tcW w:w="3328" w:type="dxa"/>
            <w:gridSpan w:val="2"/>
            <w:tcBorders>
              <w:bottom w:val="single" w:sz="4" w:space="0" w:color="auto"/>
            </w:tcBorders>
            <w:shd w:val="pct15" w:color="auto" w:fill="auto"/>
            <w:vAlign w:val="bottom"/>
          </w:tcPr>
          <w:p w14:paraId="6A4B348C" w14:textId="77777777" w:rsidR="00AB0CAA" w:rsidRPr="00AB0CAA" w:rsidRDefault="00AB0CAA" w:rsidP="00AB0CAA">
            <w:pPr>
              <w:spacing w:after="0" w:line="240" w:lineRule="auto"/>
              <w:ind w:left="0" w:firstLine="0"/>
              <w:jc w:val="left"/>
              <w:rPr>
                <w:rFonts w:ascii="Calibri" w:hAnsi="Calibri" w:cs="Arial"/>
                <w:b/>
                <w:bCs/>
                <w:color w:val="auto"/>
                <w:sz w:val="16"/>
                <w:szCs w:val="16"/>
              </w:rPr>
            </w:pPr>
            <w:r w:rsidRPr="00AB0CAA">
              <w:rPr>
                <w:rFonts w:ascii="Calibri" w:hAnsi="Calibri" w:cs="Arial"/>
                <w:b/>
                <w:color w:val="auto"/>
                <w:sz w:val="16"/>
                <w:szCs w:val="16"/>
              </w:rPr>
              <w:t>Late Submission Penalties (tick if appropriate)</w:t>
            </w:r>
          </w:p>
        </w:tc>
        <w:tc>
          <w:tcPr>
            <w:tcW w:w="1276" w:type="dxa"/>
            <w:vMerge w:val="restart"/>
            <w:vAlign w:val="center"/>
          </w:tcPr>
          <w:p w14:paraId="622BDE16" w14:textId="77777777" w:rsidR="00AB0CAA" w:rsidRPr="00AB0CAA" w:rsidRDefault="00AB0CAA" w:rsidP="00AB0CAA">
            <w:pPr>
              <w:spacing w:after="0" w:line="240" w:lineRule="auto"/>
              <w:ind w:left="0" w:firstLine="0"/>
              <w:jc w:val="right"/>
              <w:rPr>
                <w:rFonts w:ascii="Calibri" w:hAnsi="Calibri" w:cs="Arial"/>
                <w:b/>
                <w:bCs/>
                <w:color w:val="auto"/>
                <w:sz w:val="20"/>
                <w:szCs w:val="20"/>
              </w:rPr>
            </w:pPr>
            <w:bookmarkStart w:id="63" w:name="totalMark"/>
            <w:bookmarkEnd w:id="63"/>
            <w:r w:rsidRPr="00AB0CAA">
              <w:rPr>
                <w:rFonts w:ascii="Calibri" w:hAnsi="Calibri" w:cs="Arial"/>
                <w:b/>
                <w:bCs/>
                <w:color w:val="auto"/>
                <w:sz w:val="20"/>
                <w:szCs w:val="20"/>
              </w:rPr>
              <w:t>95%</w:t>
            </w:r>
          </w:p>
        </w:tc>
      </w:tr>
      <w:tr w:rsidR="00AB0CAA" w:rsidRPr="00AB0CAA" w14:paraId="38E45890" w14:textId="77777777" w:rsidTr="00A37519">
        <w:trPr>
          <w:cantSplit/>
        </w:trPr>
        <w:tc>
          <w:tcPr>
            <w:tcW w:w="6062" w:type="dxa"/>
            <w:vMerge/>
            <w:vAlign w:val="bottom"/>
          </w:tcPr>
          <w:p w14:paraId="71521FDB" w14:textId="77777777" w:rsidR="00AB0CAA" w:rsidRPr="00AB0CAA" w:rsidRDefault="00AB0CAA" w:rsidP="00AB0CAA">
            <w:pPr>
              <w:spacing w:after="0" w:line="240" w:lineRule="auto"/>
              <w:ind w:left="0" w:firstLine="0"/>
              <w:jc w:val="left"/>
              <w:rPr>
                <w:rFonts w:ascii="Calibri" w:hAnsi="Calibri" w:cs="Arial"/>
                <w:color w:val="auto"/>
                <w:sz w:val="20"/>
                <w:szCs w:val="20"/>
              </w:rPr>
            </w:pPr>
          </w:p>
        </w:tc>
        <w:tc>
          <w:tcPr>
            <w:tcW w:w="2903" w:type="dxa"/>
            <w:vAlign w:val="bottom"/>
          </w:tcPr>
          <w:p w14:paraId="769D0446" w14:textId="77777777" w:rsidR="00AB0CAA" w:rsidRPr="00AB0CAA" w:rsidRDefault="00AB0CAA" w:rsidP="00AB0CAA">
            <w:pPr>
              <w:spacing w:after="0" w:line="240" w:lineRule="auto"/>
              <w:ind w:left="0" w:firstLine="0"/>
              <w:jc w:val="left"/>
              <w:rPr>
                <w:rFonts w:ascii="Calibri" w:hAnsi="Calibri" w:cs="Arial"/>
                <w:b/>
                <w:bCs/>
                <w:color w:val="auto"/>
                <w:sz w:val="16"/>
                <w:szCs w:val="16"/>
              </w:rPr>
            </w:pPr>
            <w:r w:rsidRPr="00AB0CAA">
              <w:rPr>
                <w:rFonts w:ascii="Calibri" w:hAnsi="Calibri" w:cs="Arial"/>
                <w:color w:val="auto"/>
                <w:sz w:val="16"/>
                <w:szCs w:val="16"/>
              </w:rPr>
              <w:t>Up to four weeks late</w:t>
            </w:r>
          </w:p>
        </w:tc>
        <w:tc>
          <w:tcPr>
            <w:tcW w:w="425" w:type="dxa"/>
            <w:vAlign w:val="bottom"/>
          </w:tcPr>
          <w:p w14:paraId="00B9EB0B" w14:textId="77777777" w:rsidR="00AB0CAA" w:rsidRPr="00AB0CAA" w:rsidRDefault="00AB0CAA" w:rsidP="00AB0CAA">
            <w:pPr>
              <w:spacing w:after="0" w:line="240" w:lineRule="auto"/>
              <w:ind w:left="0" w:firstLine="0"/>
              <w:jc w:val="center"/>
              <w:rPr>
                <w:rFonts w:ascii="Calibri" w:hAnsi="Calibri" w:cs="Arial"/>
                <w:color w:val="auto"/>
                <w:sz w:val="12"/>
                <w:szCs w:val="12"/>
              </w:rPr>
            </w:pPr>
            <w:bookmarkStart w:id="64" w:name="fourWeeksLate"/>
            <w:bookmarkEnd w:id="64"/>
          </w:p>
        </w:tc>
        <w:tc>
          <w:tcPr>
            <w:tcW w:w="1276" w:type="dxa"/>
            <w:vMerge/>
            <w:vAlign w:val="bottom"/>
          </w:tcPr>
          <w:p w14:paraId="777AB0FA" w14:textId="77777777" w:rsidR="00AB0CAA" w:rsidRPr="00AB0CAA" w:rsidRDefault="00AB0CAA" w:rsidP="00AB0CAA">
            <w:pPr>
              <w:spacing w:after="0" w:line="240" w:lineRule="auto"/>
              <w:ind w:leftChars="71" w:left="170" w:firstLine="0"/>
              <w:jc w:val="left"/>
              <w:rPr>
                <w:rFonts w:ascii="Calibri" w:hAnsi="Calibri" w:cs="Arial"/>
                <w:color w:val="auto"/>
                <w:sz w:val="20"/>
                <w:szCs w:val="20"/>
              </w:rPr>
            </w:pPr>
          </w:p>
        </w:tc>
      </w:tr>
      <w:tr w:rsidR="00AB0CAA" w:rsidRPr="00AB0CAA" w14:paraId="3837BB63" w14:textId="77777777" w:rsidTr="00A37519">
        <w:trPr>
          <w:cantSplit/>
        </w:trPr>
        <w:tc>
          <w:tcPr>
            <w:tcW w:w="6062" w:type="dxa"/>
            <w:vMerge/>
            <w:vAlign w:val="bottom"/>
          </w:tcPr>
          <w:p w14:paraId="2B26675A" w14:textId="77777777" w:rsidR="00AB0CAA" w:rsidRPr="00AB0CAA" w:rsidRDefault="00AB0CAA" w:rsidP="00AB0CAA">
            <w:pPr>
              <w:spacing w:after="0" w:line="240" w:lineRule="auto"/>
              <w:ind w:left="0" w:firstLine="0"/>
              <w:jc w:val="left"/>
              <w:rPr>
                <w:rFonts w:ascii="Calibri" w:hAnsi="Calibri" w:cs="Arial"/>
                <w:color w:val="auto"/>
                <w:sz w:val="20"/>
                <w:szCs w:val="20"/>
              </w:rPr>
            </w:pPr>
          </w:p>
        </w:tc>
        <w:tc>
          <w:tcPr>
            <w:tcW w:w="2903" w:type="dxa"/>
            <w:vAlign w:val="bottom"/>
          </w:tcPr>
          <w:p w14:paraId="7B57B5C4" w14:textId="77777777" w:rsidR="00AB0CAA" w:rsidRPr="00AB0CAA" w:rsidRDefault="00AB0CAA" w:rsidP="00AB0CAA">
            <w:pPr>
              <w:spacing w:after="0" w:line="240" w:lineRule="auto"/>
              <w:ind w:left="0" w:firstLine="0"/>
              <w:jc w:val="left"/>
              <w:rPr>
                <w:rFonts w:ascii="Calibri" w:hAnsi="Calibri" w:cs="Arial"/>
                <w:b/>
                <w:bCs/>
                <w:color w:val="auto"/>
                <w:sz w:val="16"/>
                <w:szCs w:val="16"/>
              </w:rPr>
            </w:pPr>
            <w:r w:rsidRPr="00AB0CAA">
              <w:rPr>
                <w:rFonts w:ascii="Calibri" w:hAnsi="Calibri" w:cs="Arial"/>
                <w:color w:val="auto"/>
                <w:sz w:val="16"/>
                <w:szCs w:val="16"/>
              </w:rPr>
              <w:t>First Attempt?</w:t>
            </w:r>
          </w:p>
        </w:tc>
        <w:tc>
          <w:tcPr>
            <w:tcW w:w="425" w:type="dxa"/>
            <w:vAlign w:val="bottom"/>
          </w:tcPr>
          <w:p w14:paraId="6EE52ABE" w14:textId="77777777" w:rsidR="00AB0CAA" w:rsidRPr="00AB0CAA" w:rsidRDefault="00AB0CAA" w:rsidP="00AB0CAA">
            <w:pPr>
              <w:spacing w:after="0" w:line="240" w:lineRule="auto"/>
              <w:ind w:left="0" w:firstLine="0"/>
              <w:jc w:val="center"/>
              <w:rPr>
                <w:rFonts w:ascii="Calibri" w:hAnsi="Calibri" w:cs="Arial"/>
                <w:color w:val="auto"/>
                <w:sz w:val="12"/>
                <w:szCs w:val="12"/>
              </w:rPr>
            </w:pPr>
            <w:bookmarkStart w:id="65" w:name="firstAttempt"/>
            <w:bookmarkEnd w:id="65"/>
          </w:p>
        </w:tc>
        <w:tc>
          <w:tcPr>
            <w:tcW w:w="1276" w:type="dxa"/>
            <w:vMerge/>
            <w:vAlign w:val="bottom"/>
          </w:tcPr>
          <w:p w14:paraId="68A5B5AE" w14:textId="77777777" w:rsidR="00AB0CAA" w:rsidRPr="00AB0CAA" w:rsidRDefault="00AB0CAA" w:rsidP="00AB0CAA">
            <w:pPr>
              <w:spacing w:after="0" w:line="240" w:lineRule="auto"/>
              <w:ind w:left="0" w:firstLineChars="141" w:firstLine="282"/>
              <w:jc w:val="left"/>
              <w:rPr>
                <w:rFonts w:ascii="Calibri" w:hAnsi="Calibri" w:cs="Arial"/>
                <w:color w:val="auto"/>
                <w:sz w:val="20"/>
                <w:szCs w:val="20"/>
              </w:rPr>
            </w:pPr>
          </w:p>
        </w:tc>
      </w:tr>
    </w:tbl>
    <w:p w14:paraId="4D1CA360" w14:textId="77777777" w:rsidR="00AB0CAA" w:rsidRPr="00AB0CAA" w:rsidRDefault="00AB0CAA" w:rsidP="00AB0CAA">
      <w:pPr>
        <w:spacing w:after="200" w:line="276" w:lineRule="auto"/>
        <w:ind w:left="0" w:firstLine="0"/>
        <w:jc w:val="left"/>
        <w:rPr>
          <w:rFonts w:ascii="Calibri" w:eastAsia="Calibri" w:hAnsi="Calibri" w:cs="Arial"/>
          <w:color w:val="auto"/>
          <w:sz w:val="22"/>
          <w:lang w:eastAsia="en-US"/>
        </w:rPr>
      </w:pPr>
    </w:p>
    <w:p w14:paraId="5EB46E9E" w14:textId="77777777" w:rsidR="008D1D12" w:rsidRDefault="008D1D12">
      <w:pPr>
        <w:spacing w:after="0" w:line="259" w:lineRule="auto"/>
        <w:ind w:left="0" w:firstLine="0"/>
        <w:jc w:val="right"/>
      </w:pPr>
      <w:bookmarkStart w:id="66" w:name="_GoBack"/>
      <w:bookmarkEnd w:id="66"/>
    </w:p>
    <w:sectPr w:rsidR="008D1D12" w:rsidSect="00C57238">
      <w:footerReference w:type="default" r:id="rId31"/>
      <w:pgSz w:w="11906" w:h="16838"/>
      <w:pgMar w:top="567" w:right="720" w:bottom="567" w:left="720" w:header="709" w:footer="709"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arya sdgh" w:date="2019-02-06T10:24:00Z" w:initials="as">
    <w:p w14:paraId="238816DA" w14:textId="77777777" w:rsidR="00F51D47" w:rsidRDefault="00F51D47">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 xml:space="preserve">Could expand a little and give some more detail here. But at the same time, very simple and gets straight to the point. </w:t>
      </w:r>
    </w:p>
  </w:comment>
  <w:comment w:id="2" w:author="arya sdgh" w:date="2019-02-06T10:26:00Z" w:initials="as">
    <w:p w14:paraId="36E16B0F" w14:textId="77777777" w:rsidR="00F51D47" w:rsidRDefault="00F51D47">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It is also helpful to include an overview of how your report is organised. It gives the reader an idea on what to expect to see in various sections.</w:t>
      </w:r>
    </w:p>
  </w:comment>
  <w:comment w:id="7" w:author="arya sdgh" w:date="2019-02-06T10:28:00Z" w:initials="as">
    <w:p w14:paraId="00D4EB54" w14:textId="77777777" w:rsidR="00F51D47" w:rsidRDefault="00F51D47">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 xml:space="preserve">You don't always need to bring in the title to your citations. You could just use them as numerical entries. </w:t>
      </w:r>
      <w:proofErr w:type="spellStart"/>
      <w:r>
        <w:t>eg.</w:t>
      </w:r>
      <w:proofErr w:type="spellEnd"/>
      <w:r>
        <w:t xml:space="preserve"> Authors of [3] demonstrated this method. or According to the findings of [4], ...</w:t>
      </w:r>
    </w:p>
  </w:comment>
  <w:comment w:id="17" w:author="arya sdgh" w:date="2019-02-06T10:30:00Z" w:initials="as">
    <w:p w14:paraId="0354B6EF" w14:textId="77777777" w:rsidR="00F51D47" w:rsidRDefault="00F51D47">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Good to see assumptions before making recommendations.</w:t>
      </w:r>
    </w:p>
  </w:comment>
  <w:comment w:id="24" w:author="arya sdgh" w:date="2019-02-06T10:33:00Z" w:initials="as">
    <w:p w14:paraId="63FA91E4" w14:textId="77777777" w:rsidR="00AB0CAA" w:rsidRDefault="00AB0CAA">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Consider rewording?</w:t>
      </w:r>
    </w:p>
  </w:comment>
  <w:comment w:id="26" w:author="arya sdgh" w:date="2019-02-06T10:34:00Z" w:initials="as">
    <w:p w14:paraId="1EBBBD78" w14:textId="77777777" w:rsidR="00AB0CAA" w:rsidRDefault="00AB0CAA">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 xml:space="preserve">Outside the scope of this assignment, but good practice is to not use VLAN1. </w:t>
      </w:r>
    </w:p>
  </w:comment>
  <w:comment w:id="31" w:author="arya sdgh" w:date="2019-02-06T10:34:00Z" w:initials="as">
    <w:p w14:paraId="23606376" w14:textId="77777777" w:rsidR="00AB0CAA" w:rsidRDefault="00AB0CAA">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Very important section. Excellent critical evaluation here. well done.</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238816DA" w15:done="0"/>
  <w15:commentEx w15:paraId="36E16B0F" w15:done="0"/>
  <w15:commentEx w15:paraId="00D4EB54" w15:done="0"/>
  <w15:commentEx w15:paraId="0354B6EF" w15:done="0"/>
  <w15:commentEx w15:paraId="63FA91E4" w15:done="0"/>
  <w15:commentEx w15:paraId="1EBBBD78" w15:done="0"/>
  <w15:commentEx w15:paraId="23606376"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238816DA" w16cid:durableId="20053467"/>
  <w16cid:commentId w16cid:paraId="36E16B0F" w16cid:durableId="200534C4"/>
  <w16cid:commentId w16cid:paraId="00D4EB54" w16cid:durableId="2005355F"/>
  <w16cid:commentId w16cid:paraId="0354B6EF" w16cid:durableId="200535DE"/>
  <w16cid:commentId w16cid:paraId="63FA91E4" w16cid:durableId="2005365D"/>
  <w16cid:commentId w16cid:paraId="1EBBBD78" w16cid:durableId="20053698"/>
  <w16cid:commentId w16cid:paraId="23606376" w16cid:durableId="200536CB"/>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46E0E3D" w14:textId="77777777" w:rsidR="00135A6F" w:rsidRDefault="00135A6F">
      <w:pPr>
        <w:spacing w:after="0" w:line="240" w:lineRule="auto"/>
      </w:pPr>
      <w:r>
        <w:separator/>
      </w:r>
    </w:p>
  </w:endnote>
  <w:endnote w:type="continuationSeparator" w:id="0">
    <w:p w14:paraId="472BBFBE" w14:textId="77777777" w:rsidR="00135A6F" w:rsidRDefault="00135A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F31E7C3" w14:textId="77777777" w:rsidR="00F51D47" w:rsidRDefault="00F51D47">
    <w:pPr>
      <w:spacing w:after="160" w:line="259" w:lineRule="auto"/>
      <w:ind w:left="0" w:firstLine="0"/>
      <w:jc w:val="lef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68FD0FD" w14:textId="77777777" w:rsidR="00F51D47" w:rsidRDefault="00F51D47">
    <w:pPr>
      <w:spacing w:after="160" w:line="259" w:lineRule="auto"/>
      <w:ind w:lef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6889B23" w14:textId="77777777" w:rsidR="00F51D47" w:rsidRDefault="00F51D47">
    <w:pPr>
      <w:spacing w:after="160" w:line="259" w:lineRule="auto"/>
      <w:ind w:left="0" w:firstLine="0"/>
      <w:jc w:val="left"/>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A445156" w14:textId="77777777" w:rsidR="00F51D47" w:rsidRDefault="00F51D47">
    <w:pPr>
      <w:spacing w:after="0" w:line="259" w:lineRule="auto"/>
      <w:ind w:left="0" w:right="65" w:firstLine="0"/>
      <w:jc w:val="center"/>
    </w:pPr>
    <w:r>
      <w:fldChar w:fldCharType="begin"/>
    </w:r>
    <w:r>
      <w:instrText xml:space="preserve"> PAGE   \* MERGEFORMAT </w:instrText>
    </w:r>
    <w:r>
      <w:fldChar w:fldCharType="separate"/>
    </w:r>
    <w:r>
      <w:t>1</w:t>
    </w:r>
    <w:r>
      <w:fldChar w:fldCharType="end"/>
    </w:r>
    <w:r>
      <w:t xml:space="preserve">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F97886" w14:textId="77777777" w:rsidR="00F51D47" w:rsidRDefault="00F51D47">
    <w:pPr>
      <w:spacing w:after="0" w:line="259" w:lineRule="auto"/>
      <w:ind w:left="0" w:right="65" w:firstLine="0"/>
      <w:jc w:val="center"/>
    </w:pPr>
    <w:r>
      <w:fldChar w:fldCharType="begin"/>
    </w:r>
    <w:r>
      <w:instrText xml:space="preserve"> PAGE   \* MERGEFORMAT </w:instrText>
    </w:r>
    <w:r>
      <w:fldChar w:fldCharType="separate"/>
    </w:r>
    <w:r>
      <w:t>1</w:t>
    </w:r>
    <w:r>
      <w:fldChar w:fldCharType="end"/>
    </w:r>
    <w:r>
      <w:t xml:space="preserve"> </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DC574E" w14:textId="77777777" w:rsidR="00F51D47" w:rsidRDefault="00F51D47">
    <w:pPr>
      <w:spacing w:after="0" w:line="259" w:lineRule="auto"/>
      <w:ind w:left="0" w:right="65" w:firstLine="0"/>
      <w:jc w:val="center"/>
    </w:pPr>
    <w:r>
      <w:fldChar w:fldCharType="begin"/>
    </w:r>
    <w:r>
      <w:instrText xml:space="preserve"> PAGE   \* MERGEFORMAT </w:instrText>
    </w:r>
    <w:r>
      <w:fldChar w:fldCharType="separate"/>
    </w:r>
    <w:r>
      <w:t>1</w:t>
    </w:r>
    <w:r>
      <w:fldChar w:fldCharType="end"/>
    </w:r>
    <w:r>
      <w:t xml:space="preserve"> </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7951C7" w14:textId="77777777" w:rsidR="00C57238" w:rsidRDefault="00135A6F">
    <w:pPr>
      <w:pStyle w:val="Footer1"/>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1</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1</w:t>
    </w:r>
    <w:r>
      <w:rPr>
        <w:b/>
        <w:sz w:val="24"/>
        <w:szCs w:val="24"/>
      </w:rPr>
      <w:fldChar w:fldCharType="end"/>
    </w:r>
  </w:p>
  <w:p w14:paraId="4543056D" w14:textId="77777777" w:rsidR="00C57238" w:rsidRDefault="00135A6F">
    <w:pPr>
      <w:pStyle w:val="Footer1"/>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D5739E1" w14:textId="77777777" w:rsidR="00135A6F" w:rsidRDefault="00135A6F">
      <w:pPr>
        <w:spacing w:after="0" w:line="240" w:lineRule="auto"/>
      </w:pPr>
      <w:r>
        <w:separator/>
      </w:r>
    </w:p>
  </w:footnote>
  <w:footnote w:type="continuationSeparator" w:id="0">
    <w:p w14:paraId="56B1F524" w14:textId="77777777" w:rsidR="00135A6F" w:rsidRDefault="00135A6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FE5DEF"/>
    <w:multiLevelType w:val="hybridMultilevel"/>
    <w:tmpl w:val="E9725DE0"/>
    <w:lvl w:ilvl="0" w:tplc="CAB899DA">
      <w:start w:val="1"/>
      <w:numFmt w:val="decimal"/>
      <w:lvlText w:val="[%1]"/>
      <w:lvlJc w:val="left"/>
      <w:pPr>
        <w:ind w:left="64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DBC6CF0A">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726E418C">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228258D6">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84BA4A04">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CDED736">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D542E226">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51CEE288">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3C78133C">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1F635BCB"/>
    <w:multiLevelType w:val="hybridMultilevel"/>
    <w:tmpl w:val="7EFABA04"/>
    <w:lvl w:ilvl="0" w:tplc="B5365592">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199A76B8">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E1CE59F2">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0AD27040">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C28AD6DC">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711A7EF6">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2B2A7034">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0DB889FA">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E296513E">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1FAD66A8"/>
    <w:multiLevelType w:val="hybridMultilevel"/>
    <w:tmpl w:val="F87AF444"/>
    <w:lvl w:ilvl="0" w:tplc="9912B7B6">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65142524">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4FA83A62">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314EC2AE">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4078A210">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BF28FD84">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6C86B910">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1A00F1F6">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0B1CACA2">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2228194D"/>
    <w:multiLevelType w:val="hybridMultilevel"/>
    <w:tmpl w:val="BB78674C"/>
    <w:lvl w:ilvl="0" w:tplc="62B88D66">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F228AE6E">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4EC4389C">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107CAEC6">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51B028AC">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CB38CEC6">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04BCEAB2">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7178ACEA">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26A859E8">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2658262B"/>
    <w:multiLevelType w:val="multilevel"/>
    <w:tmpl w:val="D636528A"/>
    <w:lvl w:ilvl="0">
      <w:start w:val="1"/>
      <w:numFmt w:val="decimal"/>
      <w:pStyle w:val="Heading1"/>
      <w:lvlText w:val="%1."/>
      <w:lvlJc w:val="left"/>
      <w:pPr>
        <w:ind w:left="0"/>
      </w:pPr>
      <w:rPr>
        <w:rFonts w:ascii="Times New Roman" w:eastAsia="Times New Roman" w:hAnsi="Times New Roman" w:cs="Times New Roman"/>
        <w:b/>
        <w:bCs/>
        <w:i w:val="0"/>
        <w:strike w:val="0"/>
        <w:dstrike w:val="0"/>
        <w:color w:val="000000"/>
        <w:sz w:val="32"/>
        <w:szCs w:val="32"/>
        <w:u w:val="none" w:color="000000"/>
        <w:bdr w:val="none" w:sz="0" w:space="0" w:color="auto"/>
        <w:shd w:val="clear" w:color="auto" w:fill="auto"/>
        <w:vertAlign w:val="baseline"/>
      </w:rPr>
    </w:lvl>
    <w:lvl w:ilvl="1">
      <w:start w:val="1"/>
      <w:numFmt w:val="decimal"/>
      <w:pStyle w:val="Heading2"/>
      <w:lvlText w:val="%1.%2."/>
      <w:lvlJc w:val="left"/>
      <w:pPr>
        <w:ind w:left="0"/>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2">
      <w:start w:val="1"/>
      <w:numFmt w:val="decimal"/>
      <w:pStyle w:val="Heading3"/>
      <w:lvlText w:val="%1.%2.%3."/>
      <w:lvlJc w:val="left"/>
      <w:pPr>
        <w:ind w:left="0"/>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3">
      <w:start w:val="1"/>
      <w:numFmt w:val="decimal"/>
      <w:pStyle w:val="Heading4"/>
      <w:lvlText w:val="%1.%2.%3.%4."/>
      <w:lvlJc w:val="left"/>
      <w:pPr>
        <w:ind w:left="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346705B0"/>
    <w:multiLevelType w:val="hybridMultilevel"/>
    <w:tmpl w:val="DB40D1F8"/>
    <w:lvl w:ilvl="0" w:tplc="D6FE5CE4">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F4867A76">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6706B452">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30CA4352">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F6B8B932">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3F065990">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858A9BEC">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236EB9CA">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EB5CE138">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47890363"/>
    <w:multiLevelType w:val="hybridMultilevel"/>
    <w:tmpl w:val="3B70AA7C"/>
    <w:lvl w:ilvl="0" w:tplc="E2DE0BCE">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3F343638">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94947988">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CEB48594">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F7D8C58C">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21EE2FEE">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24289382">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64163D3C">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9B80EC52">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4B745797"/>
    <w:multiLevelType w:val="hybridMultilevel"/>
    <w:tmpl w:val="2392E7A8"/>
    <w:lvl w:ilvl="0" w:tplc="ACFAA5DA">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2640B4E8">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B41868D4">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067E8298">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A1D27A84">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9F08A542">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81E0E712">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2A542D96">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31ACF8D2">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55457370"/>
    <w:multiLevelType w:val="hybridMultilevel"/>
    <w:tmpl w:val="AB6CC142"/>
    <w:lvl w:ilvl="0" w:tplc="92A2BFDA">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B8CE2BB2">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9962D3C6">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FFF4E5A2">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025A8A02">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F3BAE9EE">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0DFAAEAC">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9BDCDEEC">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BFFA7B2A">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9" w15:restartNumberingAfterBreak="0">
    <w:nsid w:val="719C3585"/>
    <w:multiLevelType w:val="hybridMultilevel"/>
    <w:tmpl w:val="D34A400E"/>
    <w:lvl w:ilvl="0" w:tplc="D0EEF63C">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E6AE3B1A">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A6B60AC4">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59A6A828">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8AF0B9AA">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5D3633BC">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231C3996">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931E93CA">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1F5A16F8">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num w:numId="1">
    <w:abstractNumId w:val="3"/>
  </w:num>
  <w:num w:numId="2">
    <w:abstractNumId w:val="8"/>
  </w:num>
  <w:num w:numId="3">
    <w:abstractNumId w:val="5"/>
  </w:num>
  <w:num w:numId="4">
    <w:abstractNumId w:val="9"/>
  </w:num>
  <w:num w:numId="5">
    <w:abstractNumId w:val="6"/>
  </w:num>
  <w:num w:numId="6">
    <w:abstractNumId w:val="7"/>
  </w:num>
  <w:num w:numId="7">
    <w:abstractNumId w:val="1"/>
  </w:num>
  <w:num w:numId="8">
    <w:abstractNumId w:val="0"/>
  </w:num>
  <w:num w:numId="9">
    <w:abstractNumId w:val="2"/>
  </w:num>
  <w:num w:numId="10">
    <w:abstractNumId w:val="4"/>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arya sdgh">
    <w15:presenceInfo w15:providerId="Windows Live" w15:userId="8f4ac3a11c471f6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trackRevisions/>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D1D12"/>
    <w:rsid w:val="00135A6F"/>
    <w:rsid w:val="005C0DA0"/>
    <w:rsid w:val="008D1D12"/>
    <w:rsid w:val="00AB0CAA"/>
    <w:rsid w:val="00F51D47"/>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7F70C4"/>
  <w15:docId w15:val="{730769AA-B310-45BE-869F-9DB2448A3E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pacing w:after="231" w:line="249" w:lineRule="auto"/>
      <w:ind w:left="2471" w:hanging="10"/>
      <w:jc w:val="both"/>
    </w:pPr>
    <w:rPr>
      <w:rFonts w:ascii="Times New Roman" w:eastAsia="Times New Roman" w:hAnsi="Times New Roman" w:cs="Times New Roman"/>
      <w:color w:val="000000"/>
      <w:sz w:val="24"/>
    </w:rPr>
  </w:style>
  <w:style w:type="paragraph" w:styleId="Heading1">
    <w:name w:val="heading 1"/>
    <w:next w:val="Normal"/>
    <w:link w:val="Heading1Char"/>
    <w:uiPriority w:val="9"/>
    <w:qFormat/>
    <w:pPr>
      <w:keepNext/>
      <w:keepLines/>
      <w:numPr>
        <w:numId w:val="10"/>
      </w:numPr>
      <w:spacing w:after="283"/>
      <w:ind w:left="10" w:hanging="10"/>
      <w:outlineLvl w:val="0"/>
    </w:pPr>
    <w:rPr>
      <w:rFonts w:ascii="Times New Roman" w:eastAsia="Times New Roman" w:hAnsi="Times New Roman" w:cs="Times New Roman"/>
      <w:b/>
      <w:color w:val="000000"/>
      <w:sz w:val="32"/>
    </w:rPr>
  </w:style>
  <w:style w:type="paragraph" w:styleId="Heading2">
    <w:name w:val="heading 2"/>
    <w:next w:val="Normal"/>
    <w:link w:val="Heading2Char"/>
    <w:uiPriority w:val="9"/>
    <w:unhideWhenUsed/>
    <w:qFormat/>
    <w:pPr>
      <w:keepNext/>
      <w:keepLines/>
      <w:numPr>
        <w:ilvl w:val="1"/>
        <w:numId w:val="10"/>
      </w:numPr>
      <w:spacing w:after="256"/>
      <w:ind w:left="10" w:hanging="10"/>
      <w:outlineLvl w:val="1"/>
    </w:pPr>
    <w:rPr>
      <w:rFonts w:ascii="Times New Roman" w:eastAsia="Times New Roman" w:hAnsi="Times New Roman" w:cs="Times New Roman"/>
      <w:b/>
      <w:color w:val="000000"/>
      <w:sz w:val="28"/>
    </w:rPr>
  </w:style>
  <w:style w:type="paragraph" w:styleId="Heading3">
    <w:name w:val="heading 3"/>
    <w:next w:val="Normal"/>
    <w:link w:val="Heading3Char"/>
    <w:uiPriority w:val="9"/>
    <w:unhideWhenUsed/>
    <w:qFormat/>
    <w:pPr>
      <w:keepNext/>
      <w:keepLines/>
      <w:numPr>
        <w:ilvl w:val="2"/>
        <w:numId w:val="10"/>
      </w:numPr>
      <w:spacing w:after="256"/>
      <w:ind w:left="10" w:hanging="10"/>
      <w:outlineLvl w:val="2"/>
    </w:pPr>
    <w:rPr>
      <w:rFonts w:ascii="Times New Roman" w:eastAsia="Times New Roman" w:hAnsi="Times New Roman" w:cs="Times New Roman"/>
      <w:b/>
      <w:color w:val="000000"/>
      <w:sz w:val="28"/>
    </w:rPr>
  </w:style>
  <w:style w:type="paragraph" w:styleId="Heading4">
    <w:name w:val="heading 4"/>
    <w:next w:val="Normal"/>
    <w:link w:val="Heading4Char"/>
    <w:uiPriority w:val="9"/>
    <w:unhideWhenUsed/>
    <w:qFormat/>
    <w:pPr>
      <w:keepNext/>
      <w:keepLines/>
      <w:numPr>
        <w:ilvl w:val="3"/>
        <w:numId w:val="10"/>
      </w:numPr>
      <w:spacing w:after="278"/>
      <w:ind w:left="10" w:right="1869" w:hanging="10"/>
      <w:outlineLvl w:val="3"/>
    </w:pPr>
    <w:rPr>
      <w:rFonts w:ascii="Times New Roman" w:eastAsia="Times New Roman" w:hAnsi="Times New Roman" w:cs="Times New Roman"/>
      <w:b/>
      <w:color w:val="000000"/>
      <w:sz w:val="24"/>
    </w:rPr>
  </w:style>
  <w:style w:type="paragraph" w:styleId="Heading5">
    <w:name w:val="heading 5"/>
    <w:next w:val="Normal"/>
    <w:link w:val="Heading5Char"/>
    <w:uiPriority w:val="9"/>
    <w:unhideWhenUsed/>
    <w:qFormat/>
    <w:pPr>
      <w:keepNext/>
      <w:keepLines/>
      <w:spacing w:after="278"/>
      <w:ind w:left="10" w:right="1869" w:hanging="10"/>
      <w:outlineLvl w:val="4"/>
    </w:pPr>
    <w:rPr>
      <w:rFonts w:ascii="Times New Roman" w:eastAsia="Times New Roman" w:hAnsi="Times New Roman" w:cs="Times New Roman"/>
      <w:b/>
      <w:color w:val="000000"/>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link w:val="Heading5"/>
    <w:rPr>
      <w:rFonts w:ascii="Times New Roman" w:eastAsia="Times New Roman" w:hAnsi="Times New Roman" w:cs="Times New Roman"/>
      <w:b/>
      <w:color w:val="000000"/>
      <w:sz w:val="24"/>
    </w:rPr>
  </w:style>
  <w:style w:type="character" w:customStyle="1" w:styleId="Heading2Char">
    <w:name w:val="Heading 2 Char"/>
    <w:link w:val="Heading2"/>
    <w:rPr>
      <w:rFonts w:ascii="Times New Roman" w:eastAsia="Times New Roman" w:hAnsi="Times New Roman" w:cs="Times New Roman"/>
      <w:b/>
      <w:color w:val="000000"/>
      <w:sz w:val="28"/>
    </w:rPr>
  </w:style>
  <w:style w:type="character" w:customStyle="1" w:styleId="Heading3Char">
    <w:name w:val="Heading 3 Char"/>
    <w:link w:val="Heading3"/>
    <w:rPr>
      <w:rFonts w:ascii="Times New Roman" w:eastAsia="Times New Roman" w:hAnsi="Times New Roman" w:cs="Times New Roman"/>
      <w:b/>
      <w:color w:val="000000"/>
      <w:sz w:val="28"/>
    </w:rPr>
  </w:style>
  <w:style w:type="character" w:customStyle="1" w:styleId="Heading1Char">
    <w:name w:val="Heading 1 Char"/>
    <w:link w:val="Heading1"/>
    <w:rPr>
      <w:rFonts w:ascii="Times New Roman" w:eastAsia="Times New Roman" w:hAnsi="Times New Roman" w:cs="Times New Roman"/>
      <w:b/>
      <w:color w:val="000000"/>
      <w:sz w:val="32"/>
    </w:rPr>
  </w:style>
  <w:style w:type="character" w:customStyle="1" w:styleId="Heading4Char">
    <w:name w:val="Heading 4 Char"/>
    <w:link w:val="Heading4"/>
    <w:rPr>
      <w:rFonts w:ascii="Times New Roman" w:eastAsia="Times New Roman" w:hAnsi="Times New Roman" w:cs="Times New Roman"/>
      <w:b/>
      <w:color w:val="000000"/>
      <w:sz w:val="24"/>
    </w:rPr>
  </w:style>
  <w:style w:type="paragraph" w:styleId="TOC1">
    <w:name w:val="toc 1"/>
    <w:hidden/>
    <w:pPr>
      <w:spacing w:after="231" w:line="249" w:lineRule="auto"/>
      <w:ind w:left="25" w:right="71" w:hanging="10"/>
      <w:jc w:val="both"/>
    </w:pPr>
    <w:rPr>
      <w:rFonts w:ascii="Times New Roman" w:eastAsia="Times New Roman" w:hAnsi="Times New Roman" w:cs="Times New Roman"/>
      <w:color w:val="000000"/>
      <w:sz w:val="24"/>
    </w:rPr>
  </w:style>
  <w:style w:type="paragraph" w:styleId="TOC2">
    <w:name w:val="toc 2"/>
    <w:hidden/>
    <w:pPr>
      <w:spacing w:after="231" w:line="249" w:lineRule="auto"/>
      <w:ind w:left="265" w:right="71" w:hanging="10"/>
      <w:jc w:val="both"/>
    </w:pPr>
    <w:rPr>
      <w:rFonts w:ascii="Times New Roman" w:eastAsia="Times New Roman" w:hAnsi="Times New Roman" w:cs="Times New Roman"/>
      <w:color w:val="000000"/>
      <w:sz w:val="24"/>
    </w:rPr>
  </w:style>
  <w:style w:type="paragraph" w:styleId="TOC3">
    <w:name w:val="toc 3"/>
    <w:hidden/>
    <w:pPr>
      <w:spacing w:after="220"/>
      <w:ind w:left="370" w:right="22" w:hanging="10"/>
      <w:jc w:val="right"/>
    </w:pPr>
    <w:rPr>
      <w:rFonts w:ascii="Times New Roman" w:eastAsia="Times New Roman" w:hAnsi="Times New Roman" w:cs="Times New Roman"/>
      <w:color w:val="000000"/>
      <w:sz w:val="24"/>
    </w:rPr>
  </w:style>
  <w:style w:type="paragraph" w:styleId="TOC4">
    <w:name w:val="toc 4"/>
    <w:hidden/>
    <w:pPr>
      <w:spacing w:after="231" w:line="249" w:lineRule="auto"/>
      <w:ind w:left="745" w:right="71" w:hanging="10"/>
      <w:jc w:val="both"/>
    </w:pPr>
    <w:rPr>
      <w:rFonts w:ascii="Times New Roman" w:eastAsia="Times New Roman" w:hAnsi="Times New Roman" w:cs="Times New Roman"/>
      <w:color w:val="000000"/>
      <w:sz w:val="24"/>
    </w:rPr>
  </w:style>
  <w:style w:type="table" w:customStyle="1" w:styleId="TableGrid">
    <w:name w:val="TableGrid"/>
    <w:pPr>
      <w:spacing w:after="0" w:line="240" w:lineRule="auto"/>
    </w:pPr>
    <w:tblPr>
      <w:tblCellMar>
        <w:top w:w="0" w:type="dxa"/>
        <w:left w:w="0" w:type="dxa"/>
        <w:bottom w:w="0" w:type="dxa"/>
        <w:right w:w="0" w:type="dxa"/>
      </w:tblCellMar>
    </w:tblPr>
  </w:style>
  <w:style w:type="character" w:styleId="CommentReference">
    <w:name w:val="annotation reference"/>
    <w:basedOn w:val="DefaultParagraphFont"/>
    <w:uiPriority w:val="99"/>
    <w:semiHidden/>
    <w:unhideWhenUsed/>
    <w:rsid w:val="00F51D47"/>
    <w:rPr>
      <w:sz w:val="16"/>
      <w:szCs w:val="16"/>
    </w:rPr>
  </w:style>
  <w:style w:type="paragraph" w:styleId="CommentText">
    <w:name w:val="annotation text"/>
    <w:basedOn w:val="Normal"/>
    <w:link w:val="CommentTextChar"/>
    <w:uiPriority w:val="99"/>
    <w:semiHidden/>
    <w:unhideWhenUsed/>
    <w:rsid w:val="00F51D47"/>
    <w:pPr>
      <w:spacing w:line="240" w:lineRule="auto"/>
    </w:pPr>
    <w:rPr>
      <w:sz w:val="20"/>
      <w:szCs w:val="20"/>
    </w:rPr>
  </w:style>
  <w:style w:type="character" w:customStyle="1" w:styleId="CommentTextChar">
    <w:name w:val="Comment Text Char"/>
    <w:basedOn w:val="DefaultParagraphFont"/>
    <w:link w:val="CommentText"/>
    <w:uiPriority w:val="99"/>
    <w:semiHidden/>
    <w:rsid w:val="00F51D47"/>
    <w:rPr>
      <w:rFonts w:ascii="Times New Roman" w:eastAsia="Times New Roman" w:hAnsi="Times New Roman" w:cs="Times New Roman"/>
      <w:color w:val="000000"/>
      <w:sz w:val="20"/>
      <w:szCs w:val="20"/>
    </w:rPr>
  </w:style>
  <w:style w:type="paragraph" w:styleId="CommentSubject">
    <w:name w:val="annotation subject"/>
    <w:basedOn w:val="CommentText"/>
    <w:next w:val="CommentText"/>
    <w:link w:val="CommentSubjectChar"/>
    <w:uiPriority w:val="99"/>
    <w:semiHidden/>
    <w:unhideWhenUsed/>
    <w:rsid w:val="00F51D47"/>
    <w:rPr>
      <w:b/>
      <w:bCs/>
    </w:rPr>
  </w:style>
  <w:style w:type="character" w:customStyle="1" w:styleId="CommentSubjectChar">
    <w:name w:val="Comment Subject Char"/>
    <w:basedOn w:val="CommentTextChar"/>
    <w:link w:val="CommentSubject"/>
    <w:uiPriority w:val="99"/>
    <w:semiHidden/>
    <w:rsid w:val="00F51D47"/>
    <w:rPr>
      <w:rFonts w:ascii="Times New Roman" w:eastAsia="Times New Roman" w:hAnsi="Times New Roman" w:cs="Times New Roman"/>
      <w:b/>
      <w:bCs/>
      <w:color w:val="000000"/>
      <w:sz w:val="20"/>
      <w:szCs w:val="20"/>
    </w:rPr>
  </w:style>
  <w:style w:type="paragraph" w:styleId="BalloonText">
    <w:name w:val="Balloon Text"/>
    <w:basedOn w:val="Normal"/>
    <w:link w:val="BalloonTextChar"/>
    <w:uiPriority w:val="99"/>
    <w:semiHidden/>
    <w:unhideWhenUsed/>
    <w:rsid w:val="00F51D4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51D47"/>
    <w:rPr>
      <w:rFonts w:ascii="Segoe UI" w:eastAsia="Times New Roman" w:hAnsi="Segoe UI" w:cs="Segoe UI"/>
      <w:color w:val="000000"/>
      <w:sz w:val="18"/>
      <w:szCs w:val="18"/>
    </w:rPr>
  </w:style>
  <w:style w:type="paragraph" w:customStyle="1" w:styleId="Footer1">
    <w:name w:val="Footer1"/>
    <w:basedOn w:val="Normal"/>
    <w:next w:val="Footer"/>
    <w:link w:val="FooterChar"/>
    <w:uiPriority w:val="99"/>
    <w:semiHidden/>
    <w:unhideWhenUsed/>
    <w:rsid w:val="00AB0CAA"/>
    <w:pPr>
      <w:tabs>
        <w:tab w:val="center" w:pos="4513"/>
        <w:tab w:val="right" w:pos="9026"/>
      </w:tabs>
      <w:spacing w:after="0" w:line="240" w:lineRule="auto"/>
      <w:ind w:left="0" w:firstLine="0"/>
      <w:jc w:val="left"/>
    </w:pPr>
    <w:rPr>
      <w:rFonts w:asciiTheme="minorHAnsi" w:eastAsiaTheme="minorEastAsia" w:hAnsiTheme="minorHAnsi" w:cstheme="minorBidi"/>
      <w:color w:val="auto"/>
      <w:sz w:val="22"/>
    </w:rPr>
  </w:style>
  <w:style w:type="character" w:customStyle="1" w:styleId="FooterChar">
    <w:name w:val="Footer Char"/>
    <w:basedOn w:val="DefaultParagraphFont"/>
    <w:link w:val="Footer1"/>
    <w:uiPriority w:val="99"/>
    <w:semiHidden/>
    <w:rsid w:val="00AB0CAA"/>
  </w:style>
  <w:style w:type="paragraph" w:styleId="Footer">
    <w:name w:val="footer"/>
    <w:basedOn w:val="Normal"/>
    <w:link w:val="FooterChar1"/>
    <w:uiPriority w:val="99"/>
    <w:semiHidden/>
    <w:unhideWhenUsed/>
    <w:rsid w:val="00AB0CAA"/>
    <w:pPr>
      <w:tabs>
        <w:tab w:val="center" w:pos="4513"/>
        <w:tab w:val="right" w:pos="9026"/>
      </w:tabs>
      <w:spacing w:after="0" w:line="240" w:lineRule="auto"/>
    </w:pPr>
  </w:style>
  <w:style w:type="character" w:customStyle="1" w:styleId="FooterChar1">
    <w:name w:val="Footer Char1"/>
    <w:basedOn w:val="DefaultParagraphFont"/>
    <w:link w:val="Footer"/>
    <w:uiPriority w:val="99"/>
    <w:semiHidden/>
    <w:rsid w:val="00AB0CAA"/>
    <w:rPr>
      <w:rFonts w:ascii="Times New Roman" w:eastAsia="Times New Roman" w:hAnsi="Times New Roman" w:cs="Times New Roman"/>
      <w:color w:val="00000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microsoft.com/office/2011/relationships/commentsExtended" Target="commentsExtended.xml"/><Relationship Id="rId13" Type="http://schemas.openxmlformats.org/officeDocument/2006/relationships/image" Target="media/image1.png"/><Relationship Id="rId18" Type="http://schemas.openxmlformats.org/officeDocument/2006/relationships/image" Target="media/image6.png"/><Relationship Id="rId26" Type="http://schemas.openxmlformats.org/officeDocument/2006/relationships/image" Target="media/image14.jpg"/><Relationship Id="rId3" Type="http://schemas.openxmlformats.org/officeDocument/2006/relationships/settings" Target="settings.xml"/><Relationship Id="rId21" Type="http://schemas.openxmlformats.org/officeDocument/2006/relationships/image" Target="media/image9.png"/><Relationship Id="rId34" Type="http://schemas.openxmlformats.org/officeDocument/2006/relationships/theme" Target="theme/theme1.xml"/><Relationship Id="rId7" Type="http://schemas.openxmlformats.org/officeDocument/2006/relationships/comments" Target="comments.xml"/><Relationship Id="rId12" Type="http://schemas.openxmlformats.org/officeDocument/2006/relationships/footer" Target="footer3.xml"/><Relationship Id="rId17" Type="http://schemas.openxmlformats.org/officeDocument/2006/relationships/image" Target="media/image5.png"/><Relationship Id="rId25" Type="http://schemas.openxmlformats.org/officeDocument/2006/relationships/image" Target="media/image13.jpg"/><Relationship Id="rId33" Type="http://schemas.microsoft.com/office/2011/relationships/people" Target="people.xml"/><Relationship Id="rId2" Type="http://schemas.openxmlformats.org/officeDocument/2006/relationships/styles" Target="styles.xml"/><Relationship Id="rId16" Type="http://schemas.openxmlformats.org/officeDocument/2006/relationships/image" Target="media/image4.png"/><Relationship Id="rId20" Type="http://schemas.openxmlformats.org/officeDocument/2006/relationships/image" Target="media/image8.png"/><Relationship Id="rId29" Type="http://schemas.openxmlformats.org/officeDocument/2006/relationships/footer" Target="footer6.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24" Type="http://schemas.openxmlformats.org/officeDocument/2006/relationships/image" Target="media/image12.jpg"/><Relationship Id="rId32"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3.png"/><Relationship Id="rId23" Type="http://schemas.openxmlformats.org/officeDocument/2006/relationships/image" Target="media/image11.png"/><Relationship Id="rId28" Type="http://schemas.openxmlformats.org/officeDocument/2006/relationships/footer" Target="footer5.xml"/><Relationship Id="rId10" Type="http://schemas.openxmlformats.org/officeDocument/2006/relationships/footer" Target="footer1.xml"/><Relationship Id="rId19" Type="http://schemas.openxmlformats.org/officeDocument/2006/relationships/image" Target="media/image7.png"/><Relationship Id="rId31" Type="http://schemas.openxmlformats.org/officeDocument/2006/relationships/footer" Target="footer7.xml"/><Relationship Id="rId4" Type="http://schemas.openxmlformats.org/officeDocument/2006/relationships/webSettings" Target="webSettings.xml"/><Relationship Id="rId9" Type="http://schemas.microsoft.com/office/2016/09/relationships/commentsIds" Target="commentsIds.xml"/><Relationship Id="rId14" Type="http://schemas.openxmlformats.org/officeDocument/2006/relationships/image" Target="media/image2.png"/><Relationship Id="rId22" Type="http://schemas.openxmlformats.org/officeDocument/2006/relationships/image" Target="media/image10.png"/><Relationship Id="rId27" Type="http://schemas.openxmlformats.org/officeDocument/2006/relationships/footer" Target="footer4.xml"/><Relationship Id="rId30" Type="http://schemas.openxmlformats.org/officeDocument/2006/relationships/image" Target="media/image15.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21</TotalTime>
  <Pages>29</Pages>
  <Words>6881</Words>
  <Characters>39225</Characters>
  <Application>Microsoft Office Word</Application>
  <DocSecurity>0</DocSecurity>
  <Lines>326</Lines>
  <Paragraphs>92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46014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Patrick Atkinson (1811357)</dc:creator>
  <cp:keywords/>
  <cp:lastModifiedBy>arya sdgh</cp:lastModifiedBy>
  <cp:revision>3</cp:revision>
  <dcterms:created xsi:type="dcterms:W3CDTF">2019-02-06T10:22:00Z</dcterms:created>
  <dcterms:modified xsi:type="dcterms:W3CDTF">2019-02-06T10:43:00Z</dcterms:modified>
</cp:coreProperties>
</file>