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0993" w:rsidRDefault="00550993" w:rsidP="00ED1CE1">
      <w:pPr>
        <w:jc w:val="left"/>
        <w:rPr>
          <w:sz w:val="48"/>
          <w:szCs w:val="48"/>
        </w:rPr>
      </w:pPr>
      <w:r>
        <w:rPr>
          <w:rFonts w:ascii="Arial" w:hAnsi="Arial" w:cs="Arial"/>
          <w:color w:val="283C46"/>
          <w:szCs w:val="24"/>
          <w:shd w:val="clear" w:color="auto" w:fill="FFFFFF"/>
        </w:rPr>
        <w:t xml:space="preserve">              </w:t>
      </w:r>
    </w:p>
    <w:tbl>
      <w:tblPr>
        <w:tblW w:w="9016" w:type="dxa"/>
        <w:tblCellMar>
          <w:left w:w="10" w:type="dxa"/>
          <w:right w:w="10" w:type="dxa"/>
        </w:tblCellMar>
        <w:tblLook w:val="0000" w:firstRow="0" w:lastRow="0" w:firstColumn="0" w:lastColumn="0" w:noHBand="0" w:noVBand="0"/>
      </w:tblPr>
      <w:tblGrid>
        <w:gridCol w:w="4508"/>
        <w:gridCol w:w="4508"/>
      </w:tblGrid>
      <w:tr w:rsidR="00550993" w:rsidTr="00DA444C">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550993" w:rsidRDefault="00550993" w:rsidP="00DA444C">
            <w:pPr>
              <w:spacing w:after="0" w:line="240" w:lineRule="auto"/>
              <w:rPr>
                <w:rFonts w:ascii="Arial" w:hAnsi="Arial" w:cs="Arial"/>
                <w:sz w:val="48"/>
                <w:szCs w:val="48"/>
              </w:rPr>
            </w:pPr>
            <w:r>
              <w:rPr>
                <w:rFonts w:ascii="Arial" w:hAnsi="Arial" w:cs="Arial"/>
                <w:sz w:val="48"/>
                <w:szCs w:val="48"/>
              </w:rPr>
              <w:t>Student 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50993" w:rsidRDefault="00550993" w:rsidP="00DA444C">
            <w:pPr>
              <w:spacing w:after="0" w:line="240" w:lineRule="auto"/>
              <w:rPr>
                <w:rFonts w:ascii="Arial" w:hAnsi="Arial" w:cs="Arial"/>
                <w:sz w:val="36"/>
                <w:szCs w:val="36"/>
              </w:rPr>
            </w:pPr>
            <w:proofErr w:type="spellStart"/>
            <w:r>
              <w:rPr>
                <w:rFonts w:ascii="Arial" w:hAnsi="Arial" w:cs="Arial"/>
                <w:sz w:val="36"/>
                <w:szCs w:val="36"/>
              </w:rPr>
              <w:t>Olakayode</w:t>
            </w:r>
            <w:proofErr w:type="spellEnd"/>
            <w:r>
              <w:rPr>
                <w:rFonts w:ascii="Arial" w:hAnsi="Arial" w:cs="Arial"/>
                <w:sz w:val="36"/>
                <w:szCs w:val="36"/>
              </w:rPr>
              <w:t xml:space="preserve"> </w:t>
            </w:r>
            <w:proofErr w:type="spellStart"/>
            <w:r>
              <w:rPr>
                <w:rFonts w:ascii="Arial" w:hAnsi="Arial" w:cs="Arial"/>
                <w:sz w:val="36"/>
                <w:szCs w:val="36"/>
              </w:rPr>
              <w:t>Awoliyi</w:t>
            </w:r>
            <w:proofErr w:type="spellEnd"/>
          </w:p>
        </w:tc>
      </w:tr>
      <w:tr w:rsidR="00550993" w:rsidTr="00DA444C">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550993" w:rsidRDefault="00550993" w:rsidP="00DA444C">
            <w:pPr>
              <w:spacing w:after="0" w:line="240" w:lineRule="auto"/>
              <w:rPr>
                <w:rFonts w:ascii="Arial" w:hAnsi="Arial" w:cs="Arial"/>
                <w:sz w:val="48"/>
                <w:szCs w:val="48"/>
              </w:rPr>
            </w:pPr>
            <w:r>
              <w:rPr>
                <w:rFonts w:ascii="Arial" w:hAnsi="Arial" w:cs="Arial"/>
                <w:sz w:val="48"/>
                <w:szCs w:val="48"/>
              </w:rPr>
              <w:t>Student Number:</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50993" w:rsidRDefault="00550993" w:rsidP="00DA444C">
            <w:pPr>
              <w:spacing w:after="0" w:line="240" w:lineRule="auto"/>
              <w:rPr>
                <w:rFonts w:ascii="Arial" w:hAnsi="Arial" w:cs="Arial"/>
                <w:sz w:val="36"/>
                <w:szCs w:val="36"/>
              </w:rPr>
            </w:pPr>
            <w:r>
              <w:rPr>
                <w:rFonts w:ascii="Arial" w:hAnsi="Arial" w:cs="Arial"/>
                <w:sz w:val="36"/>
                <w:szCs w:val="36"/>
              </w:rPr>
              <w:t>1812591</w:t>
            </w:r>
          </w:p>
        </w:tc>
      </w:tr>
      <w:tr w:rsidR="00550993" w:rsidTr="00DA444C">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550993" w:rsidRDefault="00550993" w:rsidP="00DA444C">
            <w:pPr>
              <w:spacing w:after="0" w:line="240" w:lineRule="auto"/>
              <w:rPr>
                <w:rFonts w:ascii="Arial" w:hAnsi="Arial" w:cs="Arial"/>
                <w:sz w:val="48"/>
                <w:szCs w:val="48"/>
              </w:rPr>
            </w:pPr>
            <w:r>
              <w:rPr>
                <w:rFonts w:ascii="Arial" w:hAnsi="Arial" w:cs="Arial"/>
                <w:sz w:val="48"/>
                <w:szCs w:val="48"/>
              </w:rPr>
              <w:t>Module 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50993" w:rsidRDefault="00550993" w:rsidP="00DA444C">
            <w:pPr>
              <w:spacing w:after="0" w:line="240" w:lineRule="auto"/>
              <w:rPr>
                <w:rFonts w:ascii="Arial" w:hAnsi="Arial" w:cs="Arial"/>
                <w:sz w:val="36"/>
                <w:szCs w:val="36"/>
              </w:rPr>
            </w:pPr>
            <w:r>
              <w:rPr>
                <w:rFonts w:ascii="Arial" w:hAnsi="Arial" w:cs="Arial"/>
                <w:sz w:val="36"/>
                <w:szCs w:val="36"/>
              </w:rPr>
              <w:t>Managing Enterprise in the 21</w:t>
            </w:r>
            <w:r w:rsidRPr="00550993">
              <w:rPr>
                <w:rFonts w:ascii="Arial" w:hAnsi="Arial" w:cs="Arial"/>
                <w:sz w:val="36"/>
                <w:szCs w:val="36"/>
                <w:vertAlign w:val="superscript"/>
              </w:rPr>
              <w:t>st</w:t>
            </w:r>
            <w:r>
              <w:rPr>
                <w:rFonts w:ascii="Arial" w:hAnsi="Arial" w:cs="Arial"/>
                <w:sz w:val="36"/>
                <w:szCs w:val="36"/>
              </w:rPr>
              <w:t xml:space="preserve"> Century</w:t>
            </w:r>
          </w:p>
        </w:tc>
        <w:bookmarkStart w:id="0" w:name="_GoBack"/>
        <w:bookmarkEnd w:id="0"/>
      </w:tr>
      <w:tr w:rsidR="00550993" w:rsidTr="00DA444C">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550993" w:rsidRDefault="00550993" w:rsidP="00DA444C">
            <w:pPr>
              <w:spacing w:after="0" w:line="240" w:lineRule="auto"/>
              <w:rPr>
                <w:rFonts w:ascii="Arial" w:hAnsi="Arial" w:cs="Arial"/>
                <w:sz w:val="48"/>
                <w:szCs w:val="48"/>
              </w:rPr>
            </w:pPr>
            <w:r>
              <w:rPr>
                <w:rFonts w:ascii="Arial" w:hAnsi="Arial" w:cs="Arial"/>
                <w:sz w:val="48"/>
                <w:szCs w:val="48"/>
              </w:rPr>
              <w:t>Module Number:</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50993" w:rsidRDefault="00550993" w:rsidP="00DA444C">
            <w:pPr>
              <w:spacing w:after="0" w:line="240" w:lineRule="auto"/>
              <w:rPr>
                <w:rFonts w:ascii="Arial" w:hAnsi="Arial" w:cs="Arial"/>
                <w:sz w:val="36"/>
                <w:szCs w:val="36"/>
              </w:rPr>
            </w:pPr>
            <w:r>
              <w:rPr>
                <w:rFonts w:ascii="Arial" w:hAnsi="Arial" w:cs="Arial"/>
                <w:sz w:val="36"/>
                <w:szCs w:val="36"/>
              </w:rPr>
              <w:t>BMSK4006</w:t>
            </w:r>
          </w:p>
        </w:tc>
      </w:tr>
      <w:tr w:rsidR="00550993" w:rsidTr="00DA444C">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550993" w:rsidRDefault="00550993" w:rsidP="00DA444C">
            <w:pPr>
              <w:spacing w:after="0" w:line="240" w:lineRule="auto"/>
              <w:rPr>
                <w:rFonts w:ascii="Arial" w:hAnsi="Arial" w:cs="Arial"/>
                <w:sz w:val="48"/>
                <w:szCs w:val="48"/>
              </w:rPr>
            </w:pPr>
            <w:r>
              <w:rPr>
                <w:rFonts w:ascii="Arial" w:hAnsi="Arial" w:cs="Arial"/>
                <w:sz w:val="48"/>
                <w:szCs w:val="48"/>
              </w:rPr>
              <w:t>Lecturer Name: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550993" w:rsidRPr="00790EC5" w:rsidRDefault="00550993" w:rsidP="00DA444C">
            <w:pPr>
              <w:spacing w:after="0" w:line="240" w:lineRule="auto"/>
              <w:rPr>
                <w:rFonts w:ascii="Arial" w:hAnsi="Arial" w:cs="Arial"/>
                <w:sz w:val="36"/>
                <w:szCs w:val="36"/>
              </w:rPr>
            </w:pPr>
            <w:r>
              <w:rPr>
                <w:rFonts w:ascii="Arial" w:hAnsi="Arial" w:cs="Arial"/>
                <w:sz w:val="36"/>
                <w:szCs w:val="36"/>
              </w:rPr>
              <w:t xml:space="preserve">Dr </w:t>
            </w:r>
            <w:proofErr w:type="spellStart"/>
            <w:r>
              <w:rPr>
                <w:rFonts w:ascii="Arial" w:hAnsi="Arial" w:cs="Arial"/>
                <w:sz w:val="36"/>
                <w:szCs w:val="36"/>
              </w:rPr>
              <w:t>Navid</w:t>
            </w:r>
            <w:proofErr w:type="spellEnd"/>
            <w:r>
              <w:rPr>
                <w:rFonts w:ascii="Arial" w:hAnsi="Arial" w:cs="Arial"/>
                <w:sz w:val="36"/>
                <w:szCs w:val="36"/>
              </w:rPr>
              <w:t xml:space="preserve"> </w:t>
            </w:r>
            <w:proofErr w:type="spellStart"/>
            <w:r>
              <w:rPr>
                <w:rFonts w:ascii="Arial" w:hAnsi="Arial" w:cs="Arial"/>
                <w:sz w:val="36"/>
                <w:szCs w:val="36"/>
              </w:rPr>
              <w:t>Nas</w:t>
            </w:r>
            <w:proofErr w:type="spellEnd"/>
          </w:p>
        </w:tc>
      </w:tr>
    </w:tbl>
    <w:p w:rsidR="00550993" w:rsidRDefault="00550993" w:rsidP="00550993">
      <w:pPr>
        <w:rPr>
          <w:sz w:val="48"/>
          <w:szCs w:val="48"/>
        </w:rPr>
      </w:pPr>
    </w:p>
    <w:p w:rsidR="00550993" w:rsidRDefault="00550993" w:rsidP="00550993">
      <w:pPr>
        <w:rPr>
          <w:rFonts w:ascii="Arial" w:hAnsi="Arial" w:cs="Arial"/>
          <w:szCs w:val="24"/>
        </w:rPr>
      </w:pPr>
      <w:r>
        <w:rPr>
          <w:rFonts w:ascii="Arial" w:hAnsi="Arial" w:cs="Arial"/>
          <w:szCs w:val="24"/>
        </w:rPr>
        <w:t>School: University of Wales Trinity Saint David. London Campus</w:t>
      </w:r>
    </w:p>
    <w:p w:rsidR="00550993" w:rsidRDefault="00550993" w:rsidP="00550993">
      <w:pPr>
        <w:rPr>
          <w:rFonts w:ascii="Arial" w:hAnsi="Arial" w:cs="Arial"/>
          <w:szCs w:val="24"/>
        </w:rPr>
      </w:pPr>
      <w:r>
        <w:rPr>
          <w:rFonts w:ascii="Arial" w:hAnsi="Arial" w:cs="Arial"/>
          <w:szCs w:val="24"/>
        </w:rPr>
        <w:t xml:space="preserve">Submission date: </w:t>
      </w:r>
      <w:r w:rsidR="00AA3653">
        <w:rPr>
          <w:rFonts w:ascii="Arial" w:hAnsi="Arial" w:cs="Arial"/>
          <w:szCs w:val="24"/>
        </w:rPr>
        <w:t>02</w:t>
      </w:r>
      <w:r>
        <w:rPr>
          <w:rFonts w:ascii="Arial" w:hAnsi="Arial" w:cs="Arial"/>
          <w:szCs w:val="24"/>
        </w:rPr>
        <w:t>/0</w:t>
      </w:r>
      <w:r w:rsidR="00AA3653">
        <w:rPr>
          <w:rFonts w:ascii="Arial" w:hAnsi="Arial" w:cs="Arial"/>
          <w:szCs w:val="24"/>
        </w:rPr>
        <w:t>9</w:t>
      </w:r>
      <w:r>
        <w:rPr>
          <w:rFonts w:ascii="Arial" w:hAnsi="Arial" w:cs="Arial"/>
          <w:szCs w:val="24"/>
        </w:rPr>
        <w:t>/2019</w:t>
      </w:r>
    </w:p>
    <w:p w:rsidR="00887ABE" w:rsidRDefault="00887ABE" w:rsidP="000217F4">
      <w:pPr>
        <w:pStyle w:val="Heading1"/>
        <w:rPr>
          <w:lang w:val="en-GB"/>
        </w:rPr>
      </w:pPr>
    </w:p>
    <w:p w:rsidR="00887ABE" w:rsidRDefault="00887ABE" w:rsidP="000217F4">
      <w:pPr>
        <w:pStyle w:val="Heading1"/>
        <w:rPr>
          <w:lang w:val="en-GB"/>
        </w:rPr>
      </w:pPr>
    </w:p>
    <w:p w:rsidR="00887ABE" w:rsidRDefault="00887ABE" w:rsidP="000217F4">
      <w:pPr>
        <w:pStyle w:val="Heading1"/>
        <w:rPr>
          <w:lang w:val="en-GB"/>
        </w:rPr>
      </w:pPr>
    </w:p>
    <w:p w:rsidR="006F43D1" w:rsidRPr="005A72A2" w:rsidRDefault="000217F4" w:rsidP="000217F4">
      <w:pPr>
        <w:pStyle w:val="Heading1"/>
        <w:rPr>
          <w:lang w:val="en-GB"/>
        </w:rPr>
      </w:pPr>
      <w:r w:rsidRPr="005A72A2">
        <w:rPr>
          <w:lang w:val="en-GB"/>
        </w:rPr>
        <w:t xml:space="preserve">Introduction </w:t>
      </w:r>
      <w:r w:rsidR="00D46C2F">
        <w:rPr>
          <w:lang w:val="en-GB"/>
        </w:rPr>
        <w:t xml:space="preserve"> </w:t>
      </w:r>
    </w:p>
    <w:p w:rsidR="000217F4" w:rsidRPr="005A72A2" w:rsidRDefault="000217F4" w:rsidP="000217F4">
      <w:pPr>
        <w:rPr>
          <w:lang w:val="en-GB"/>
        </w:rPr>
      </w:pPr>
      <w:r w:rsidRPr="005A72A2">
        <w:rPr>
          <w:lang w:val="en-GB"/>
        </w:rPr>
        <w:t xml:space="preserve">In this module, </w:t>
      </w:r>
      <w:r w:rsidR="005E3879">
        <w:rPr>
          <w:lang w:val="en-GB"/>
        </w:rPr>
        <w:t xml:space="preserve">I will be talking about my learning experience during the last term </w:t>
      </w:r>
      <w:r w:rsidRPr="005A72A2">
        <w:rPr>
          <w:lang w:val="en-GB"/>
        </w:rPr>
        <w:t>group pr</w:t>
      </w:r>
      <w:r w:rsidR="005E3879">
        <w:rPr>
          <w:lang w:val="en-GB"/>
        </w:rPr>
        <w:t>esentation</w:t>
      </w:r>
      <w:r w:rsidRPr="005A72A2">
        <w:rPr>
          <w:lang w:val="en-GB"/>
        </w:rPr>
        <w:t xml:space="preserve"> of developing a business plan, which, personally and as a group, came with a lot of learning and new ideas. In this regard, this can be used as a further learning by reflecting on the </w:t>
      </w:r>
      <w:r w:rsidR="005E3879" w:rsidRPr="005A72A2">
        <w:rPr>
          <w:lang w:val="en-GB"/>
        </w:rPr>
        <w:t>events</w:t>
      </w:r>
      <w:r w:rsidRPr="005A72A2">
        <w:rPr>
          <w:lang w:val="en-GB"/>
        </w:rPr>
        <w:t>, which were the lowlights and highlights of this group experience. Reflection is an effective approach of critically evaluating the experience in order to find the areas of improvement that can be subsequently address through a plan of action</w:t>
      </w:r>
      <w:r w:rsidR="00010D94">
        <w:rPr>
          <w:lang w:val="en-GB"/>
        </w:rPr>
        <w:t xml:space="preserve"> </w:t>
      </w:r>
      <w:r w:rsidR="00670B70">
        <w:rPr>
          <w:lang w:val="en-GB"/>
        </w:rPr>
        <w:fldChar w:fldCharType="begin" w:fldLock="1"/>
      </w:r>
      <w:r w:rsidR="00670B70">
        <w:rPr>
          <w:lang w:val="en-GB"/>
        </w:rPr>
        <w:instrText>ADDIN CSL_CITATION {"citationItems":[{"id":"ITEM-1","itemData":{"DOI":"10.1108/JWAM-10-2015-003","ISBN":"0420170014","ISSN":"2205-2062","PMID":"42012058","abstract":"Purpose – The purpose of this paper is to analyse the critical role reflection plays in work-based learning (WBL). Design/methodology/approach – This paper presents an contextualist examination of reflection in the WBL environment. Findings – People consciously reflect in order to understand events in their lives and as a consequence hopefully add and enhance meaning. Research limitations/implications – Reflection is associated therefore with \" looking back \" and examining the past in order to learn from what happened and perhaps not repeat mistakes. However, it is also increasingly associated with reflecting on action (Schon, 1983) and encourages an exploring of thoughts and feelings; looking for insights; and maximizing on self-awareness which all tie the process closely to identity formation (Lacan, 1977). Practical implications – If used effectively and purposefully reflection facilitates ongoing personal and professional learning, and creates and develops practitioners capable of demonstrating their progression towards learning outcomes and required standards. Reflection can also provide a structure in which to make sense of learning, so that concepts and theories become embedded in practice, and constant thought and innovation are simultaneously fostered. Social implications – By actively considering the thoughts and actions one becomes aware of the power of reflective thinking as a tool for continuous improvement, and one that has implications beyond the personal. Originality/value – This paper represents the first study which examines the role reflection plays in WBL.","author":[{"dropping-particle":"","family":"Helyer","given":"Ruth","non-dropping-particle":"","parse-names":false,"suffix":""}],"container-title":"Journal of Work-Applied Management","id":"ITEM-1","issue":"1","issued":{"date-parts":[["2015"]]},"page":"15-27","title":"Learning through reflection: the critical role of reflection in work-based learning (WBL)","type":"article-journal","volume":"7"},"uris":["http://www.mendeley.com/documents/?uuid=dc731898-0e12-4cb5-9fdf-0e368bd068ea"]},{"id":"ITEM-2","itemData":{"DOI":"10.1080/14623943.2011.616687","ISBN":"1462-3943","ISSN":"1462-3943","PMID":"188489","abstract":"In this paper, I explore reflective practice literature and the elements of critical reflection, and I reflect on my experiences of learning and using a critical reflection approach to better understand a significant incident. This reflective paper is written from my personal perspective as a social worker using Fook and Gardner?s model of critical reflection to provide a framework to reflect, explore and learn from my own experiences. The Fook and Gardner approach to critical reflection encourages deconstruction and analysis of a personal or professional experience to understand the different assumptions, relationships and influences embedded within it and how it affects our practice. As new understandings emerge, the individual is able to reconstruct this incident and develop new techniques to deal with a similar incident in the future.\\nIn this paper, I explore reflective practice literature and the elements of critical reflection, and I reflect on my experiences of learning and using a critical reflection approach to better understand a significant incident. This reflective paper is written from my personal perspective as a social worker using Fook and Gardner?s model of critical reflection to provide a framework to reflect, explore and learn from my own experiences. The Fook and Gardner approach to critical reflection encourages deconstruction and analysis of a personal or professional experience to understand the different assumptions, relationships and influences embedded within it and how it affects our practice. As new understandings emerge, the individual is able to reconstruct this incident and develop new techniques to deal with a similar incident in the future.","author":[{"dropping-particle":"","family":"Hickson","given":"Helen","non-dropping-particle":"","parse-names":false,"suffix":""}],"container-title":"Reflective Practice","id":"ITEM-2","issue":"6","issued":{"date-parts":[["2011"]]},"page":"829-839","title":"Critical reflection: reflecting on learning to be reflective","type":"article-journal","volume":"12"},"uris":["http://www.mendeley.com/documents/?uuid=4b952276-d745-4a5a-bf9f-12b0fe6315d4"]}],"mendeley":{"formattedCitation":"(Helyer, 2015; Hickson, 2011)","plainTextFormattedCitation":"(Helyer, 2015; Hickson, 2011)","previouslyFormattedCitation":"(Helyer, 2015; Hickson, 2011)"},"properties":{"noteIndex":0},"schema":"https://github.com/citation-style-language/schema/raw/master/csl-citation.json"}</w:instrText>
      </w:r>
      <w:r w:rsidR="00670B70">
        <w:rPr>
          <w:lang w:val="en-GB"/>
        </w:rPr>
        <w:fldChar w:fldCharType="separate"/>
      </w:r>
      <w:r w:rsidR="00670B70" w:rsidRPr="00670B70">
        <w:rPr>
          <w:noProof/>
          <w:lang w:val="en-GB"/>
        </w:rPr>
        <w:t>(Helyer, 2015; Hickson, 2011)</w:t>
      </w:r>
      <w:r w:rsidR="00670B70">
        <w:rPr>
          <w:lang w:val="en-GB"/>
        </w:rPr>
        <w:fldChar w:fldCharType="end"/>
      </w:r>
      <w:r w:rsidRPr="005A72A2">
        <w:rPr>
          <w:lang w:val="en-GB"/>
        </w:rPr>
        <w:t>. In comparison to other learning approaches, reflection is effective in order to provide a practical exposure and development through a hand-on experience</w:t>
      </w:r>
      <w:r w:rsidR="00670B70">
        <w:rPr>
          <w:lang w:val="en-GB"/>
        </w:rPr>
        <w:t xml:space="preserve"> </w:t>
      </w:r>
      <w:r w:rsidR="00670B70">
        <w:rPr>
          <w:lang w:val="en-GB"/>
        </w:rPr>
        <w:fldChar w:fldCharType="begin" w:fldLock="1"/>
      </w:r>
      <w:r w:rsidR="00670B70">
        <w:rPr>
          <w:lang w:val="en-GB"/>
        </w:rPr>
        <w:instrText>ADDIN CSL_CITATION {"citationItems":[{"id":"ITEM-1","itemData":{"DOI":"10.1177/1469787410387722","abstract":"Applied learning pedagogies—including service-learning, internships/practica, study abroad, and undergraduate research—have in common both the potential for significant student learning and the challenges of facilitating and assessing that learning, often in non-traditional ways that involve experiential strategies outside the classroom as well as individualized outcomes. Critical reflection oriented toward well-articulated learning outcomes is key to generating, deepening, and documenting student learning in applied learning. This article will consider the meaning of critical reflection and principles of good practice for designing it effectively and will present a research-grounded, flexible model for integrating critical reflection and assessment.","author":[{"dropping-particle":"","family":"Ash","given":"Sarah L.","non-dropping-particle":"","parse-names":false,"suffix":""},{"dropping-particle":"","family":"Clayton","given":"Patti","non-dropping-particle":"","parse-names":false,"suffix":""}],"container-title":"Journal of Applied Learning in Higher Education","id":"ITEM-1","issue":"1","issued":{"date-parts":[["2009"]]},"page":"25-48","title":"Documenting Learning : the Power of Critical Reflection in Applied Learning","type":"article-journal","volume":"1"},"uris":["http://www.mendeley.com/documents/?uuid=69156dd8-4a19-47ce-ba15-359982c8f090"]}],"mendeley":{"formattedCitation":"(Ash &amp; Clayton, 2009)","plainTextFormattedCitation":"(Ash &amp; Clayton, 2009)","previouslyFormattedCitation":"(Ash &amp; Clayton, 2009)"},"properties":{"noteIndex":0},"schema":"https://github.com/citation-style-language/schema/raw/master/csl-citation.json"}</w:instrText>
      </w:r>
      <w:r w:rsidR="00670B70">
        <w:rPr>
          <w:lang w:val="en-GB"/>
        </w:rPr>
        <w:fldChar w:fldCharType="separate"/>
      </w:r>
      <w:r w:rsidR="00670B70" w:rsidRPr="00670B70">
        <w:rPr>
          <w:noProof/>
          <w:lang w:val="en-GB"/>
        </w:rPr>
        <w:t>(Ash &amp; Clayton, 2009)</w:t>
      </w:r>
      <w:r w:rsidR="00670B70">
        <w:rPr>
          <w:lang w:val="en-GB"/>
        </w:rPr>
        <w:fldChar w:fldCharType="end"/>
      </w:r>
      <w:r w:rsidRPr="005A72A2">
        <w:rPr>
          <w:lang w:val="en-GB"/>
        </w:rPr>
        <w:t>. In this regard, several reflection models are used and Gibb</w:t>
      </w:r>
      <w:r w:rsidR="007777BC" w:rsidRPr="005A72A2">
        <w:rPr>
          <w:lang w:val="en-GB"/>
        </w:rPr>
        <w:t>s’</w:t>
      </w:r>
      <w:r w:rsidRPr="005A72A2">
        <w:rPr>
          <w:lang w:val="en-GB"/>
        </w:rPr>
        <w:t xml:space="preserve"> reflection cycle is one of the most widely used approach</w:t>
      </w:r>
      <w:r w:rsidR="00670B70">
        <w:rPr>
          <w:lang w:val="en-GB"/>
        </w:rPr>
        <w:t xml:space="preserve"> </w:t>
      </w:r>
      <w:r w:rsidR="00670B70">
        <w:rPr>
          <w:lang w:val="en-GB"/>
        </w:rPr>
        <w:fldChar w:fldCharType="begin" w:fldLock="1"/>
      </w:r>
      <w:r w:rsidR="00670B70">
        <w:rPr>
          <w:lang w:val="en-GB"/>
        </w:rPr>
        <w:instrText>ADDIN CSL_CITATION {"citationItems":[{"id":"ITEM-1","itemData":{"abstract":"Gibbs’ reflective cycle encourages you to think systematically about the phases of an experience or activity, and you should use all the headings to structure your reflection. See how we have used Gibbs' reflective cycle in our Health Visitor example . Forgotten the Health Visitor example?","author":[{"dropping-particle":"","family":"Oxford Brooks University","given":"","non-dropping-particle":"","parse-names":false,"suffix":""}],"container-title":"Oxford Brookes University","id":"ITEM-1","issued":{"date-parts":[["2013"]]},"page":"1988","title":"The reflective cycle (Gibbs, 1988)","type":"article-journal"},"uris":["http://www.mendeley.com/documents/?uuid=348f5487-cb18-4ca5-ac41-288780410e98"]},{"id":"ITEM-2","itemData":{"DOI":"10.4324/9780203822296","abstract":"This chapter discusses the role professional development plays in maintaining current, applicable knowledge in an instructor’s field of study, and how online instructors can successfully accomplish this goal of professional development.","author":[{"dropping-particle":"","family":"Moon","given":"Jennifer A.","non-dropping-particle":"","parse-names":false,"suffix":""}],"container-title":"Reflection in Learning and Professional Development","id":"ITEM-2","issued":{"date-parts":[["2013"]]},"title":"Reflection in Learning and Professional Development","type":"book"},"uris":["http://www.mendeley.com/documents/?uuid=e99f0faa-5092-4190-8093-5055d9a488ec","http://www.mendeley.com/documents/?uuid=c8f027d3-de07-44b3-9061-5b662e0ec1d1"]}],"mendeley":{"formattedCitation":"(Moon, 2013; Oxford Brooks University, 2013)","plainTextFormattedCitation":"(Moon, 2013; Oxford Brooks University, 2013)","previouslyFormattedCitation":"(Moon, 2013; Oxford Brooks University, 2013)"},"properties":{"noteIndex":0},"schema":"https://github.com/citation-style-language/schema/raw/master/csl-citation.json"}</w:instrText>
      </w:r>
      <w:r w:rsidR="00670B70">
        <w:rPr>
          <w:lang w:val="en-GB"/>
        </w:rPr>
        <w:fldChar w:fldCharType="separate"/>
      </w:r>
      <w:r w:rsidR="00670B70" w:rsidRPr="00670B70">
        <w:rPr>
          <w:noProof/>
          <w:lang w:val="en-GB"/>
        </w:rPr>
        <w:t>(Moon, 2013; Oxford Brooks University, 2013)</w:t>
      </w:r>
      <w:r w:rsidR="00670B70">
        <w:rPr>
          <w:lang w:val="en-GB"/>
        </w:rPr>
        <w:fldChar w:fldCharType="end"/>
      </w:r>
      <w:r w:rsidRPr="005A72A2">
        <w:rPr>
          <w:lang w:val="en-GB"/>
        </w:rPr>
        <w:t>. This model is based on six distinct steps including description of the event, feelings, evaluation, analysis, conclusion and plan of action as indicated in the figure below (Figure 1)</w:t>
      </w:r>
      <w:r w:rsidR="00670B70">
        <w:rPr>
          <w:lang w:val="en-GB"/>
        </w:rPr>
        <w:t xml:space="preserve"> </w:t>
      </w:r>
      <w:r w:rsidR="00670B70">
        <w:rPr>
          <w:lang w:val="en-GB"/>
        </w:rPr>
        <w:fldChar w:fldCharType="begin" w:fldLock="1"/>
      </w:r>
      <w:r w:rsidR="00670B70">
        <w:rPr>
          <w:lang w:val="en-GB"/>
        </w:rPr>
        <w:instrText>ADDIN CSL_CITATION {"citationItems":[{"id":"ITEM-1","itemData":{"abstract":"Gibbs’ reflective cycle encourages you to think systematically about the phases of an experience or activity, and you should use all the headings to structure your reflection.","author":[{"dropping-particle":"","family":"EducationDrop-inCentre","given":"","non-dropping-particle":"","parse-names":false,"suffix":""}],"container-title":"University of South Wales","id":"ITEM-1","issued":{"date-parts":[["2013"]]},"title":"Gibbs’ Model of the Reflective Cycle","type":"article"},"uris":["http://www.mendeley.com/documents/?uuid=5458fd8b-b7e8-43ff-8e52-cd0f79983c85","http://www.mendeley.com/documents/?uuid=ddb0a697-893e-4caf-9d0d-f37750fb94aa"]}],"mendeley":{"formattedCitation":"(EducationDrop-inCentre, 2013)","plainTextFormattedCitation":"(EducationDrop-inCentre, 2013)","previouslyFormattedCitation":"(EducationDrop-inCentre, 2013)"},"properties":{"noteIndex":0},"schema":"https://github.com/citation-style-language/schema/raw/master/csl-citation.json"}</w:instrText>
      </w:r>
      <w:r w:rsidR="00670B70">
        <w:rPr>
          <w:lang w:val="en-GB"/>
        </w:rPr>
        <w:fldChar w:fldCharType="separate"/>
      </w:r>
      <w:r w:rsidR="00670B70" w:rsidRPr="00670B70">
        <w:rPr>
          <w:noProof/>
          <w:lang w:val="en-GB"/>
        </w:rPr>
        <w:t>(EducationDrop-inCentre, 2013)</w:t>
      </w:r>
      <w:r w:rsidR="00670B70">
        <w:rPr>
          <w:lang w:val="en-GB"/>
        </w:rPr>
        <w:fldChar w:fldCharType="end"/>
      </w:r>
      <w:r w:rsidRPr="005A72A2">
        <w:rPr>
          <w:lang w:val="en-GB"/>
        </w:rPr>
        <w:t xml:space="preserve">. This reflection essay will be based on Gibbs’ </w:t>
      </w:r>
      <w:r w:rsidR="007777BC" w:rsidRPr="005A72A2">
        <w:rPr>
          <w:lang w:val="en-GB"/>
        </w:rPr>
        <w:t xml:space="preserve">reflection cycle in order to demonstrate an awareness of the learning journey that has been undertaken during the team business plan interaction. </w:t>
      </w:r>
    </w:p>
    <w:p w:rsidR="007777BC" w:rsidRPr="005A72A2" w:rsidRDefault="007777BC" w:rsidP="007777BC">
      <w:pPr>
        <w:keepNext/>
        <w:jc w:val="center"/>
        <w:rPr>
          <w:lang w:val="en-GB"/>
        </w:rPr>
      </w:pPr>
      <w:r w:rsidRPr="005A72A2">
        <w:rPr>
          <w:noProof/>
        </w:rPr>
        <w:lastRenderedPageBreak/>
        <w:drawing>
          <wp:inline distT="0" distB="0" distL="0" distR="0" wp14:anchorId="72C0B898" wp14:editId="667681D3">
            <wp:extent cx="3171825" cy="2863215"/>
            <wp:effectExtent l="0" t="0" r="9525" b="0"/>
            <wp:docPr id="1" name="Picture 1" descr="Image result for Gibb'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model"/>
                    <pic:cNvPicPr>
                      <a:picLocks noChangeAspect="1" noChangeArrowheads="1"/>
                    </pic:cNvPicPr>
                  </pic:nvPicPr>
                  <pic:blipFill rotWithShape="1">
                    <a:blip r:embed="rId7">
                      <a:extLst>
                        <a:ext uri="{28A0092B-C50C-407E-A947-70E740481C1C}">
                          <a14:useLocalDpi xmlns:a14="http://schemas.microsoft.com/office/drawing/2010/main" val="0"/>
                        </a:ext>
                      </a:extLst>
                    </a:blip>
                    <a:srcRect t="9239"/>
                    <a:stretch/>
                  </pic:blipFill>
                  <pic:spPr bwMode="auto">
                    <a:xfrm>
                      <a:off x="0" y="0"/>
                      <a:ext cx="3175657" cy="2866674"/>
                    </a:xfrm>
                    <a:prstGeom prst="rect">
                      <a:avLst/>
                    </a:prstGeom>
                    <a:noFill/>
                    <a:ln>
                      <a:noFill/>
                    </a:ln>
                    <a:extLst>
                      <a:ext uri="{53640926-AAD7-44D8-BBD7-CCE9431645EC}">
                        <a14:shadowObscured xmlns:a14="http://schemas.microsoft.com/office/drawing/2010/main"/>
                      </a:ext>
                    </a:extLst>
                  </pic:spPr>
                </pic:pic>
              </a:graphicData>
            </a:graphic>
          </wp:inline>
        </w:drawing>
      </w:r>
    </w:p>
    <w:p w:rsidR="007777BC" w:rsidRPr="005A72A2" w:rsidRDefault="007777BC" w:rsidP="007777BC">
      <w:pPr>
        <w:pStyle w:val="Caption"/>
        <w:jc w:val="center"/>
        <w:rPr>
          <w:lang w:val="en-GB"/>
        </w:rPr>
      </w:pPr>
      <w:r w:rsidRPr="005A72A2">
        <w:rPr>
          <w:lang w:val="en-GB"/>
        </w:rPr>
        <w:t xml:space="preserve">Figure </w:t>
      </w:r>
      <w:r w:rsidRPr="005A72A2">
        <w:rPr>
          <w:lang w:val="en-GB"/>
        </w:rPr>
        <w:fldChar w:fldCharType="begin"/>
      </w:r>
      <w:r w:rsidRPr="005A72A2">
        <w:rPr>
          <w:lang w:val="en-GB"/>
        </w:rPr>
        <w:instrText xml:space="preserve"> SEQ Figure \* ARABIC </w:instrText>
      </w:r>
      <w:r w:rsidRPr="005A72A2">
        <w:rPr>
          <w:lang w:val="en-GB"/>
        </w:rPr>
        <w:fldChar w:fldCharType="separate"/>
      </w:r>
      <w:r w:rsidRPr="005A72A2">
        <w:rPr>
          <w:lang w:val="en-GB"/>
        </w:rPr>
        <w:t>1</w:t>
      </w:r>
      <w:r w:rsidRPr="005A72A2">
        <w:rPr>
          <w:lang w:val="en-GB"/>
        </w:rPr>
        <w:fldChar w:fldCharType="end"/>
      </w:r>
      <w:r w:rsidRPr="005A72A2">
        <w:rPr>
          <w:lang w:val="en-GB"/>
        </w:rPr>
        <w:t>: Gibbs' reflection cycle</w:t>
      </w:r>
    </w:p>
    <w:p w:rsidR="000217F4" w:rsidRPr="005A72A2" w:rsidRDefault="00C74B0E" w:rsidP="000217F4">
      <w:pPr>
        <w:pStyle w:val="Heading1"/>
        <w:rPr>
          <w:lang w:val="en-GB"/>
        </w:rPr>
      </w:pPr>
      <w:r>
        <w:rPr>
          <w:lang w:val="en-GB"/>
        </w:rPr>
        <w:t>Description</w:t>
      </w:r>
    </w:p>
    <w:p w:rsidR="007777BC" w:rsidRPr="005A72A2" w:rsidRDefault="007777BC" w:rsidP="007777BC">
      <w:pPr>
        <w:rPr>
          <w:lang w:val="en-GB"/>
        </w:rPr>
      </w:pPr>
      <w:r w:rsidRPr="005A72A2">
        <w:rPr>
          <w:lang w:val="en-GB"/>
        </w:rPr>
        <w:t>I would be reflecting on my experience of working in a group project that involved the development of a business plan. The group was developed randomly in the class and each of us in the group had different skills and competencies that subsequently helped in an effective completion of the group project. In addition to this, each of us was coming from a different social and cultural background, which was advantageous in terms of looking into the problems with diverse perspectives. However, this diversity, sometimes, also hinder the process</w:t>
      </w:r>
      <w:r w:rsidR="005E3879">
        <w:rPr>
          <w:lang w:val="en-GB"/>
        </w:rPr>
        <w:t>,</w:t>
      </w:r>
      <w:r w:rsidRPr="005A72A2">
        <w:rPr>
          <w:lang w:val="en-GB"/>
        </w:rPr>
        <w:t xml:space="preserve"> the team work and group collaboration. This is mainly because of the fact that the socio-cultural and religious background of an individual drive its personal thoughts and feelings about something or an event. If that </w:t>
      </w:r>
      <w:r w:rsidR="005E3879" w:rsidRPr="005A72A2">
        <w:rPr>
          <w:lang w:val="en-GB"/>
        </w:rPr>
        <w:t>individual</w:t>
      </w:r>
      <w:r w:rsidRPr="005A72A2">
        <w:rPr>
          <w:lang w:val="en-GB"/>
        </w:rPr>
        <w:t xml:space="preserve"> is rigid of his or her own beliefs, it may result into conflicts within </w:t>
      </w:r>
      <w:r w:rsidR="005E3879">
        <w:rPr>
          <w:lang w:val="en-GB"/>
        </w:rPr>
        <w:t>t</w:t>
      </w:r>
      <w:r w:rsidRPr="005A72A2">
        <w:rPr>
          <w:lang w:val="en-GB"/>
        </w:rPr>
        <w:t xml:space="preserve">he group, which will result into an overall decline in the efficiency and effectiveness of the group learning process. For the case under consideration, similar events had been observed, particularly at the start of the group development process when we were creating the business idea. Nonetheless, over the period of time, as the group collaboration increased, this was not any further limitation. To complete the project, we initially conducted a meeting in order to select the business idea. Each of us had different ideas to write on and we evaluated each idea in terms of our access to the data which would be necessary to </w:t>
      </w:r>
      <w:r w:rsidR="005E3879">
        <w:rPr>
          <w:lang w:val="en-GB"/>
        </w:rPr>
        <w:t>write</w:t>
      </w:r>
      <w:r w:rsidRPr="005A72A2">
        <w:rPr>
          <w:lang w:val="en-GB"/>
        </w:rPr>
        <w:t xml:space="preserve"> the plan. In addition, the suitability and overall impact of the idea had also been assessed in that meeting. Based on the results of the analysis and mutual agreement, an idea has been chosen and each of us worked at different parts of the business plan. Progress had been shared by the group members at regular intervals and we also created an instant messaging group to stay updated about the progress of other group members. Overall, this was a great experience. </w:t>
      </w:r>
    </w:p>
    <w:p w:rsidR="000217F4" w:rsidRPr="005A72A2" w:rsidRDefault="00C74B0E" w:rsidP="000217F4">
      <w:pPr>
        <w:pStyle w:val="Heading1"/>
        <w:rPr>
          <w:lang w:val="en-GB"/>
        </w:rPr>
      </w:pPr>
      <w:r>
        <w:rPr>
          <w:lang w:val="en-GB"/>
        </w:rPr>
        <w:lastRenderedPageBreak/>
        <w:t>Feelings</w:t>
      </w:r>
    </w:p>
    <w:p w:rsidR="005E4398" w:rsidRPr="005A72A2" w:rsidRDefault="005E4398" w:rsidP="005E4398">
      <w:pPr>
        <w:rPr>
          <w:lang w:val="en-GB"/>
        </w:rPr>
      </w:pPr>
      <w:r w:rsidRPr="005A72A2">
        <w:rPr>
          <w:lang w:val="en-GB"/>
        </w:rPr>
        <w:t xml:space="preserve">Prior to experience, I was reluctant to work in a group </w:t>
      </w:r>
      <w:r w:rsidR="004E0AAA" w:rsidRPr="005A72A2">
        <w:rPr>
          <w:lang w:val="en-GB"/>
        </w:rPr>
        <w:t xml:space="preserve">of people to whom I do not have a regular interaction. As I have communicated earlier, the group has been established randomly and we had a limited idea of the skills and preference of each other. Also, related to the </w:t>
      </w:r>
      <w:proofErr w:type="gramStart"/>
      <w:r w:rsidR="004E0AAA" w:rsidRPr="005A72A2">
        <w:rPr>
          <w:lang w:val="en-GB"/>
        </w:rPr>
        <w:t>particular project</w:t>
      </w:r>
      <w:proofErr w:type="gramEnd"/>
      <w:r w:rsidR="004E0AAA" w:rsidRPr="005A72A2">
        <w:rPr>
          <w:lang w:val="en-GB"/>
        </w:rPr>
        <w:t xml:space="preserve">, I had a perception that writing a business plan is something very difficult and we might not be able to develop a </w:t>
      </w:r>
      <w:r w:rsidR="00D7485F" w:rsidRPr="005A72A2">
        <w:rPr>
          <w:lang w:val="en-GB"/>
        </w:rPr>
        <w:t>high-level</w:t>
      </w:r>
      <w:r w:rsidR="004E0AAA" w:rsidRPr="005A72A2">
        <w:rPr>
          <w:lang w:val="en-GB"/>
        </w:rPr>
        <w:t xml:space="preserve"> plan. This was mainly </w:t>
      </w:r>
      <w:r w:rsidR="00D7485F" w:rsidRPr="005A72A2">
        <w:rPr>
          <w:lang w:val="en-GB"/>
        </w:rPr>
        <w:t>because</w:t>
      </w:r>
      <w:r w:rsidR="00D7485F">
        <w:rPr>
          <w:lang w:val="en-GB"/>
        </w:rPr>
        <w:t>,</w:t>
      </w:r>
      <w:r w:rsidR="004E0AAA" w:rsidRPr="005A72A2">
        <w:rPr>
          <w:lang w:val="en-GB"/>
        </w:rPr>
        <w:t xml:space="preserve"> I often tried to write a business plan to start my own business, but I always gave up due to limited information and lack of direction. Nevertheless, when we started with this project, in the initial meeting, we discussed several business ideas for the project. In this assessment process and by looking into the feedback of other group members, I was confident enough to achieve the desired objective. At this time, after the completion of this group project, along with several learnings related to group working, I got a confidence on my abilities of research and assessment of the business ideas in order to develop a workable plan. In addition, I also got</w:t>
      </w:r>
      <w:r w:rsidR="00A02383">
        <w:rPr>
          <w:lang w:val="en-GB"/>
        </w:rPr>
        <w:t xml:space="preserve"> </w:t>
      </w:r>
      <w:r w:rsidR="004E0AAA" w:rsidRPr="005A72A2">
        <w:rPr>
          <w:lang w:val="en-GB"/>
        </w:rPr>
        <w:t xml:space="preserve">confidence on my leadership, time management, communication and team work abilities, which will certainly help me in my professional life. </w:t>
      </w:r>
    </w:p>
    <w:p w:rsidR="000217F4" w:rsidRPr="005A72A2" w:rsidRDefault="00C74B0E" w:rsidP="000217F4">
      <w:pPr>
        <w:pStyle w:val="Heading1"/>
        <w:rPr>
          <w:lang w:val="en-GB"/>
        </w:rPr>
      </w:pPr>
      <w:r>
        <w:rPr>
          <w:lang w:val="en-GB"/>
        </w:rPr>
        <w:t>Evaluation</w:t>
      </w:r>
    </w:p>
    <w:p w:rsidR="004E0AAA" w:rsidRPr="005A72A2" w:rsidRDefault="004E0AAA" w:rsidP="004E0AAA">
      <w:pPr>
        <w:rPr>
          <w:lang w:val="en-GB"/>
        </w:rPr>
      </w:pPr>
      <w:r w:rsidRPr="005A72A2">
        <w:rPr>
          <w:lang w:val="en-GB"/>
        </w:rPr>
        <w:t>For the Gibbs’ model, an evaluation of the experience typically aims to understand the gaps in an experience to initiate further learnings</w:t>
      </w:r>
      <w:r w:rsidR="00670B70">
        <w:rPr>
          <w:lang w:val="en-GB"/>
        </w:rPr>
        <w:t xml:space="preserve"> </w:t>
      </w:r>
      <w:r w:rsidR="00670B70">
        <w:rPr>
          <w:lang w:val="en-GB"/>
        </w:rPr>
        <w:fldChar w:fldCharType="begin" w:fldLock="1"/>
      </w:r>
      <w:r w:rsidR="00670B70">
        <w:rPr>
          <w:lang w:val="en-GB"/>
        </w:rPr>
        <w:instrText>ADDIN CSL_CITATION {"citationItems":[{"id":"ITEM-1","itemData":{"DOI":"10.1177/0741713610380439","ISSN":"07417136","abstract":"The concept of reflection is common to a range of learning theories and therefore carries various meanings and differing significance. Within theories of adult education, reflection is predominantly conceptualized as the rational analytical process through which human beings extract knowledge from their experience. This article critiques this cognitive bias. However, the author argues that a perspective of embodied experiential learning should not give preference to the body over the mind as a source of knowledge. Nor should researchers reject reflection as an exclusively cognitive process. Reflective practices can facilitate a learning dialogue between our implicit embodied experience and conceptual aspects of our consciousness. The author illustrates this with the example of the theory and practice of Gendlin’s Focusing. In conclusion, the author proposes a set of elements, characteristic of individual and collective human experiential learning, that can provide a framework for a more expansive and integrative conceptualization of reflection. Keywords","author":[{"dropping-particle":"","family":"Jordi","given":"Richard","non-dropping-particle":"","parse-names":false,"suffix":""}],"container-title":"Adult Education Quarterly","id":"ITEM-1","issued":{"date-parts":[["2011"]]},"title":"Reframing the concept of reflection: Consciousness, experiential learning, and reflective learning practices","type":"article-journal"},"uris":["http://www.mendeley.com/documents/?uuid=1083f56f-449c-40ed-ab1c-6603ba03045a","http://www.mendeley.com/documents/?uuid=bfa32805-c74d-4b99-b180-759e9b412ee5"]},{"id":"ITEM-2","itemData":{"DOI":"10.12968/bjom.2017.25.10.662","ISSN":"09694900","abstract":"Reflection is a process of learning through everyday experiences and forms an integral part of undergraduate and post-graduate higher education midwifery programmes. Students are encouraged to use ...","author":[{"dropping-particle":"","family":"Wain","given":"Amanda","non-dropping-particle":"","parse-names":false,"suffix":""}],"container-title":"British Journal of Midwifery","id":"ITEM-2","issued":{"date-parts":[["2017"]]},"title":"Learning through reflection","type":"article-journal"},"uris":["http://www.mendeley.com/documents/?uuid=22987c6c-65dc-41cb-a56c-76f2d35b2392","http://www.mendeley.com/documents/?uuid=fa68f18d-98e9-47d5-b32c-23307560797f"]}],"mendeley":{"formattedCitation":"(Jordi, 2011; Wain, 2017)","plainTextFormattedCitation":"(Jordi, 2011; Wain, 2017)","previouslyFormattedCitation":"(Jordi, 2011; Wain, 2017)"},"properties":{"noteIndex":0},"schema":"https://github.com/citation-style-language/schema/raw/master/csl-citation.json"}</w:instrText>
      </w:r>
      <w:r w:rsidR="00670B70">
        <w:rPr>
          <w:lang w:val="en-GB"/>
        </w:rPr>
        <w:fldChar w:fldCharType="separate"/>
      </w:r>
      <w:r w:rsidR="00670B70" w:rsidRPr="00670B70">
        <w:rPr>
          <w:noProof/>
          <w:lang w:val="en-GB"/>
        </w:rPr>
        <w:t>(Jordi, 2011; Wain, 2017)</w:t>
      </w:r>
      <w:r w:rsidR="00670B70">
        <w:rPr>
          <w:lang w:val="en-GB"/>
        </w:rPr>
        <w:fldChar w:fldCharType="end"/>
      </w:r>
      <w:r w:rsidRPr="005A72A2">
        <w:rPr>
          <w:lang w:val="en-GB"/>
        </w:rPr>
        <w:t xml:space="preserve">. For the case under consideration, teamwork, research on the business ideas and related data, collaboration and communication went very well. This was mainly </w:t>
      </w:r>
      <w:r w:rsidR="00A02383" w:rsidRPr="005A72A2">
        <w:rPr>
          <w:lang w:val="en-GB"/>
        </w:rPr>
        <w:t>because</w:t>
      </w:r>
      <w:r w:rsidRPr="005A72A2">
        <w:rPr>
          <w:lang w:val="en-GB"/>
        </w:rPr>
        <w:t xml:space="preserve"> we agreed on a group leader who conducted an initial meeting in order to enhance interaction with other group members along with the demonstration of different skillsets and competencies that each of us was carrying. In addition to an evaluation of different options for the business plan, this initial meeting helped to enhance the group collaboration and internal engagement of the team. Each of us was aware of the skills and competencies of other group members and help was taken from each other in order to complete the </w:t>
      </w:r>
      <w:r w:rsidR="00A02383" w:rsidRPr="005A72A2">
        <w:rPr>
          <w:lang w:val="en-GB"/>
        </w:rPr>
        <w:t>tasks</w:t>
      </w:r>
      <w:r w:rsidRPr="005A72A2">
        <w:rPr>
          <w:lang w:val="en-GB"/>
        </w:rPr>
        <w:t xml:space="preserve"> that had been individually assigned. Moreover, communication worked very well and in addition to regular meetings, we also created a Whats</w:t>
      </w:r>
      <w:r w:rsidR="006B0FA0" w:rsidRPr="005A72A2">
        <w:rPr>
          <w:lang w:val="en-GB"/>
        </w:rPr>
        <w:t>App group for quick communication of the updates and any problem that a group member was facing. As far as the gaps or things that did not worked well are considered, this includes limited skills related to the financial calculations, limited understanding of writing the business documents</w:t>
      </w:r>
      <w:r w:rsidR="00EF6F29" w:rsidRPr="005A72A2">
        <w:rPr>
          <w:lang w:val="en-GB"/>
        </w:rPr>
        <w:t>, conflict management within the team,</w:t>
      </w:r>
      <w:r w:rsidR="006B0FA0" w:rsidRPr="005A72A2">
        <w:rPr>
          <w:lang w:val="en-GB"/>
        </w:rPr>
        <w:t xml:space="preserve"> and knowledge about assessing the financial viability of a business idea. Although our group managed to complete these parts of the business plan, we went through a tough time to learn the financial calculations such as break-evens, balance sheet and profit and loss statement. Other than this, the project, went very well. </w:t>
      </w:r>
    </w:p>
    <w:p w:rsidR="000217F4" w:rsidRPr="005A72A2" w:rsidRDefault="00C74B0E" w:rsidP="000217F4">
      <w:pPr>
        <w:pStyle w:val="Heading1"/>
        <w:rPr>
          <w:lang w:val="en-GB"/>
        </w:rPr>
      </w:pPr>
      <w:r>
        <w:rPr>
          <w:lang w:val="en-GB"/>
        </w:rPr>
        <w:t>Analysis</w:t>
      </w:r>
    </w:p>
    <w:p w:rsidR="00EF6F29" w:rsidRDefault="00EF6F29" w:rsidP="00EF6F29">
      <w:pPr>
        <w:rPr>
          <w:lang w:val="en-GB"/>
        </w:rPr>
      </w:pPr>
      <w:r w:rsidRPr="005A72A2">
        <w:rPr>
          <w:lang w:val="en-GB"/>
        </w:rPr>
        <w:t xml:space="preserve">In this part, we will be considering the causes and consequences of the events that went well </w:t>
      </w:r>
      <w:r w:rsidR="00236E31" w:rsidRPr="005A72A2">
        <w:rPr>
          <w:lang w:val="en-GB"/>
        </w:rPr>
        <w:t>and</w:t>
      </w:r>
      <w:r w:rsidRPr="005A72A2">
        <w:rPr>
          <w:lang w:val="en-GB"/>
        </w:rPr>
        <w:t xml:space="preserve"> those remained unable to achieve the desired outcomes. Firstly, looking at the positive sides, group collaboration and communication went very well. The consequences of this can be observed on </w:t>
      </w:r>
      <w:r w:rsidRPr="005A72A2">
        <w:rPr>
          <w:lang w:val="en-GB"/>
        </w:rPr>
        <w:lastRenderedPageBreak/>
        <w:t xml:space="preserve">the timely completion of this project. Starting from an initial meeting that helped to enhance group collaboration and engagement, each of us was clear on the direction and the </w:t>
      </w:r>
      <w:r w:rsidR="00FF2B0F" w:rsidRPr="005A72A2">
        <w:rPr>
          <w:lang w:val="en-GB"/>
        </w:rPr>
        <w:t>area</w:t>
      </w:r>
      <w:r w:rsidRPr="005A72A2">
        <w:rPr>
          <w:lang w:val="en-GB"/>
        </w:rPr>
        <w:t xml:space="preserve"> that needs to be completed. For the communication, it did not only help in sharing the updates, it also assisted in a timely completion of different tasks on which different group members were working. </w:t>
      </w:r>
      <w:r w:rsidR="005A72A2" w:rsidRPr="005A72A2">
        <w:rPr>
          <w:lang w:val="en-GB"/>
        </w:rPr>
        <w:t xml:space="preserve">For this purpose, I used my previous experience of working in a group in which we used WhatsApp group for quick communication and updates. In this experience as well, I used the same concept and it went very well for all of us. Other than this, I personally believe that research and assessment of the business idea and relevant information was the part that had been done very well. We spent most of our time at this stage in order to check the feasibility of a business idea and availability of relevant information on the internet. In this regard, teachers and various experts from the social circle of our group had also been consulted who helped us to get a clear direction on what we need to do. The reason why this </w:t>
      </w:r>
      <w:r w:rsidR="00FF2B0F" w:rsidRPr="005A72A2">
        <w:rPr>
          <w:lang w:val="en-GB"/>
        </w:rPr>
        <w:t>aspect</w:t>
      </w:r>
      <w:r w:rsidR="005A72A2" w:rsidRPr="005A72A2">
        <w:rPr>
          <w:lang w:val="en-GB"/>
        </w:rPr>
        <w:t xml:space="preserve"> of the process went well</w:t>
      </w:r>
      <w:r w:rsidR="00FF2B0F">
        <w:rPr>
          <w:lang w:val="en-GB"/>
        </w:rPr>
        <w:t>,</w:t>
      </w:r>
      <w:r w:rsidR="005A72A2" w:rsidRPr="005A72A2">
        <w:rPr>
          <w:lang w:val="en-GB"/>
        </w:rPr>
        <w:t xml:space="preserve"> was a clear direction that we set which avoided confusions in the later stages of practical implications. Upon </w:t>
      </w:r>
      <w:r w:rsidR="005A72A2">
        <w:rPr>
          <w:lang w:val="en-GB"/>
        </w:rPr>
        <w:t>finalis</w:t>
      </w:r>
      <w:r w:rsidR="005A72A2" w:rsidRPr="005A72A2">
        <w:rPr>
          <w:lang w:val="en-GB"/>
        </w:rPr>
        <w:t xml:space="preserve">ation of the </w:t>
      </w:r>
      <w:r w:rsidR="005A72A2">
        <w:rPr>
          <w:lang w:val="en-GB"/>
        </w:rPr>
        <w:t xml:space="preserve">business idea, each one of us was assigned with a separate part of the business plan on which updates were shared at regular intervals in order to keep each of us informed. This also helped to improve collaboration and teamwork. </w:t>
      </w:r>
    </w:p>
    <w:p w:rsidR="005A72A2" w:rsidRPr="005A72A2" w:rsidRDefault="005A72A2" w:rsidP="00EF6F29">
      <w:pPr>
        <w:rPr>
          <w:lang w:val="en-GB"/>
        </w:rPr>
      </w:pPr>
      <w:r>
        <w:rPr>
          <w:lang w:val="en-GB"/>
        </w:rPr>
        <w:t xml:space="preserve">For the negative sides, limited awareness about the financial calculations was among the key challenges. This was mainly </w:t>
      </w:r>
      <w:r w:rsidR="00FF2B0F">
        <w:rPr>
          <w:lang w:val="en-GB"/>
        </w:rPr>
        <w:t>because</w:t>
      </w:r>
      <w:r>
        <w:rPr>
          <w:lang w:val="en-GB"/>
        </w:rPr>
        <w:t xml:space="preserve"> no-one in our group had an interest in finance and had a limited understanding of practical exposure of key financial terms. Nonetheless, based on the readings, samples, and guidelines from the teachers, we managed to complete that part. Same was the case with business document writing, which had later been addressed by reviewing the samples of various business documents available online. </w:t>
      </w:r>
      <w:r w:rsidR="00723F2B">
        <w:rPr>
          <w:lang w:val="en-GB"/>
        </w:rPr>
        <w:t>For my personal experience, this group project helped me to enhance my leadership abilities, communication</w:t>
      </w:r>
      <w:r w:rsidR="0078629C">
        <w:rPr>
          <w:lang w:val="en-GB"/>
        </w:rPr>
        <w:t>,</w:t>
      </w:r>
      <w:r w:rsidR="00723F2B">
        <w:rPr>
          <w:lang w:val="en-GB"/>
        </w:rPr>
        <w:t xml:space="preserve"> time management and teamwork. By working in the team, I managed to understand the aspects that needs to be considered critically to avoid any conflicts. In addition, I also developed an understanding of communication</w:t>
      </w:r>
      <w:r w:rsidR="0078629C">
        <w:rPr>
          <w:lang w:val="en-GB"/>
        </w:rPr>
        <w:t>, its</w:t>
      </w:r>
      <w:r w:rsidR="00723F2B">
        <w:rPr>
          <w:lang w:val="en-GB"/>
        </w:rPr>
        <w:t xml:space="preserve"> importance and the channels that can be used effectively to </w:t>
      </w:r>
      <w:r w:rsidR="00E578DD">
        <w:rPr>
          <w:lang w:val="en-GB"/>
        </w:rPr>
        <w:t xml:space="preserve">avoid confusions and </w:t>
      </w:r>
      <w:r w:rsidR="00BF5574">
        <w:rPr>
          <w:lang w:val="en-GB"/>
        </w:rPr>
        <w:t>conflicts</w:t>
      </w:r>
      <w:r w:rsidR="00E578DD">
        <w:rPr>
          <w:lang w:val="en-GB"/>
        </w:rPr>
        <w:t xml:space="preserve">. </w:t>
      </w:r>
      <w:r w:rsidR="00BF5574">
        <w:rPr>
          <w:lang w:val="en-GB"/>
        </w:rPr>
        <w:t xml:space="preserve">The same behaviour had been demonstrated by the group members and I believe, this was a result of effective group collaboration. </w:t>
      </w:r>
    </w:p>
    <w:p w:rsidR="000217F4" w:rsidRDefault="000217F4" w:rsidP="000217F4">
      <w:pPr>
        <w:pStyle w:val="Heading1"/>
        <w:rPr>
          <w:lang w:val="en-GB"/>
        </w:rPr>
      </w:pPr>
      <w:r w:rsidRPr="005A72A2">
        <w:rPr>
          <w:lang w:val="en-GB"/>
        </w:rPr>
        <w:t>Co</w:t>
      </w:r>
      <w:r w:rsidR="00C74B0E">
        <w:rPr>
          <w:lang w:val="en-GB"/>
        </w:rPr>
        <w:t>nclusion</w:t>
      </w:r>
    </w:p>
    <w:p w:rsidR="00AB4A77" w:rsidRPr="00AB4A77" w:rsidRDefault="00AB4A77" w:rsidP="00AB4A77">
      <w:pPr>
        <w:rPr>
          <w:lang w:val="en-GB"/>
        </w:rPr>
      </w:pPr>
      <w:r>
        <w:rPr>
          <w:lang w:val="en-GB"/>
        </w:rPr>
        <w:t xml:space="preserve">One of the learning goals that I set at the start of this year was to improve my communication and leadership skills. This group project helped me to nourish these </w:t>
      </w:r>
      <w:r w:rsidR="0078629C">
        <w:rPr>
          <w:lang w:val="en-GB"/>
        </w:rPr>
        <w:t>skills</w:t>
      </w:r>
      <w:r>
        <w:rPr>
          <w:lang w:val="en-GB"/>
        </w:rPr>
        <w:t xml:space="preserve"> with a practical exposure of what needs to be done to assure an alignment of all group members. Other than this, time management and the factors that are critical to be considered to achieve the deadlines have also been improved. As far as the competencies are considered, financial calculations and business document writing skills have been improved. Although both were a challenge for all of us initially, we managed to learn those by analysing the samples and available material on the internet. To avoid the conflicts at the start of the process, we could have arranged an informal gathering first in order to get to know each other. This might have given us an idea of the likes and dislikes of </w:t>
      </w:r>
      <w:r>
        <w:rPr>
          <w:lang w:val="en-GB"/>
        </w:rPr>
        <w:lastRenderedPageBreak/>
        <w:t xml:space="preserve">each of us along with an understanding of each group member. With this extended level of understanding, the conflicts at the start of the process could have been avoided. </w:t>
      </w:r>
    </w:p>
    <w:p w:rsidR="000217F4" w:rsidRDefault="000217F4" w:rsidP="000217F4">
      <w:pPr>
        <w:pStyle w:val="Heading1"/>
        <w:rPr>
          <w:lang w:val="en-GB"/>
        </w:rPr>
      </w:pPr>
      <w:r w:rsidRPr="005A72A2">
        <w:rPr>
          <w:lang w:val="en-GB"/>
        </w:rPr>
        <w:t xml:space="preserve">Plan of action </w:t>
      </w:r>
    </w:p>
    <w:p w:rsidR="00AB4A77" w:rsidRPr="00AB4A77" w:rsidRDefault="00F64D77" w:rsidP="00AB4A77">
      <w:pPr>
        <w:rPr>
          <w:lang w:val="en-GB"/>
        </w:rPr>
      </w:pPr>
      <w:r>
        <w:rPr>
          <w:lang w:val="en-GB"/>
        </w:rPr>
        <w:t xml:space="preserve">Considering the learnings developed through this group project, I consider financial understanding and business document writing as my personal areas of improvement. Other than this, the process of collaborative learning could have been further improved by improving the relationship between the team members that could have avoided the conflicts at the start of this project. In order to improve my financial understanding and business document writing, I would take courses specific to these areas in the upcoming semesters. With an extended knowledge of financial terms, </w:t>
      </w:r>
      <w:r w:rsidR="00436B39">
        <w:rPr>
          <w:lang w:val="en-GB"/>
        </w:rPr>
        <w:t xml:space="preserve">I would also develop my interest to review the financial data of various companies that can be easily sourced on the internet. This will certainly help me to understand different financial terms that are used in the business and their practical implications. For business document writing, I will continue reviewing the samples of various business documents and would take the help </w:t>
      </w:r>
      <w:proofErr w:type="gramStart"/>
      <w:r w:rsidR="00436B39">
        <w:rPr>
          <w:lang w:val="en-GB"/>
        </w:rPr>
        <w:t>of  professionals</w:t>
      </w:r>
      <w:proofErr w:type="gramEnd"/>
      <w:r w:rsidR="00436B39">
        <w:rPr>
          <w:lang w:val="en-GB"/>
        </w:rPr>
        <w:t xml:space="preserve"> in my LinkedIn profile to further enhance this skill. </w:t>
      </w:r>
    </w:p>
    <w:p w:rsidR="000217F4" w:rsidRDefault="000217F4" w:rsidP="000217F4">
      <w:pPr>
        <w:pStyle w:val="Heading1"/>
        <w:rPr>
          <w:lang w:val="en-GB"/>
        </w:rPr>
      </w:pPr>
      <w:r w:rsidRPr="005A72A2">
        <w:rPr>
          <w:lang w:val="en-GB"/>
        </w:rPr>
        <w:t xml:space="preserve">Critical analysis and limitations of Gibb’s model </w:t>
      </w:r>
    </w:p>
    <w:p w:rsidR="00670B70" w:rsidRDefault="00C74B0E" w:rsidP="00C74B0E">
      <w:pPr>
        <w:rPr>
          <w:lang w:val="en-GB"/>
        </w:rPr>
      </w:pPr>
      <w:r>
        <w:rPr>
          <w:lang w:val="en-GB"/>
        </w:rPr>
        <w:t>A critical analysis of Gibb’s reflective model highlights that it is an easy to understand model that provides an opportunity to learn on the events with a step-by-step approach</w:t>
      </w:r>
      <w:r w:rsidR="00670B70">
        <w:rPr>
          <w:lang w:val="en-GB"/>
        </w:rPr>
        <w:t xml:space="preserve"> </w:t>
      </w:r>
      <w:r w:rsidR="00670B70">
        <w:rPr>
          <w:lang w:val="en-GB"/>
        </w:rPr>
        <w:fldChar w:fldCharType="begin" w:fldLock="1"/>
      </w:r>
      <w:r w:rsidR="00670B70">
        <w:rPr>
          <w:lang w:val="en-GB"/>
        </w:rPr>
        <w:instrText>ADDIN CSL_CITATION {"citationItems":[{"id":"ITEM-1","itemData":{"DOI":"10.1108/ICT-03-2015-0024","ISSN":"00197858","abstract":"Purpose – The purpose of this paper is to examine two contrasting leadership development methodologies, Reflective Practice and Scharmer’s Theory U. Design/methodology/approach – Gibbs’ Reflective Cycle and Scharmer’s Reflecting Deeply exercise were applied to the same leadership incident on separate days. Findings – Reflective Practice provided helpful insights through focusing on one’s thoughts, feelings and motives during the event, as well as the actions of others and the author’s responses to them. The author found that using Scharmer’s Reflecting Deeply exercise enabled a deeper understanding of the incident to emerge, which also provided new and distinct insights. Research limitations/implications – The main limitation was the case study nature of this exercise; these findings are merely the result of one person’s experiences. Practical implications – To develop rounded leadership skills, leaders can benefit from tapping into all of their resources; these two approaches allow different aspects of o...","author":[{"dropping-particle":"","family":"Potter","given":"Christopher","non-dropping-particle":"","parse-names":false,"suffix":""}],"container-title":"Industrial and Commercial Training","id":"ITEM-1","issued":{"date-parts":[["2015"]]},"title":"Leadership development: An applied comparison of Gibbs??? Reflective Cycle and Scharmer???s Theory U","type":"article-journal"},"uris":["http://www.mendeley.com/documents/?uuid=2ee5a16c-ba33-45d4-bf29-6ebcb47a2f04","http://www.mendeley.com/documents/?uuid=babb24a3-b44c-4daa-8f27-b4d28e10bcec"]},{"id":"ITEM-2","itemData":{"DOI":"10.1103/PhysRevB.74.245114","ISSN":"0022-0299; 0022-0299","PMID":"9161919","abstract":"The concentrations of seven types of microorganism in the milk produced by farms using high quality milking procedures were monitored monthly. The most commonly encountered bacterium was Pseudomonas, whose concentration varied greatly between samples, but lactococci, lactobacilli and yeasts were also present at more stable concentrations. Staphylococcus aureus and beta-glucuronidase-positive Escherichia coli were occasionally detected. Listeria monocytogenes was found in the samples from only one farm, while Yersinia enterocolitica was never detected. There were seasonal variations in the concentrations of lactobacilli and yeasts over the 2 years monitored. The changes in certain bacteria (Lactococcus, Lactobacillus) on any given farm were very similar from one year to the next. The microbiological characteristics of the milk from the farms examined seemed to be fairly constant. The profiles of some bacteria used for cheesemaking were relatively stable over time. It thus seems that the milk provided by different producers could be typed.","author":[{"dropping-particle":"","family":"Oxford Brookes University","given":"","non-dropping-particle":"","parse-names":false,"suffix":""}],"container-title":"Reflective writing: About Gibbs reflective cycle","id":"ITEM-2","issued":{"date-parts":[["2016"]]},"title":"Reflective writing: About Gibbs reflective cycle - Oxford Brookes University","type":"webpage"},"uris":["http://www.mendeley.com/documents/?uuid=5b24d23c-715f-4842-8a29-5f89bfc9b7f8","http://www.mendeley.com/documents/?uuid=81941e62-3726-4d23-bb47-d342feb6f2df"]}],"mendeley":{"formattedCitation":"(Oxford Brookes University, 2016; Potter, 2015)","plainTextFormattedCitation":"(Oxford Brookes University, 2016; Potter, 2015)","previouslyFormattedCitation":"(Oxford Brookes University, 2016; Potter, 2015)"},"properties":{"noteIndex":0},"schema":"https://github.com/citation-style-language/schema/raw/master/csl-citation.json"}</w:instrText>
      </w:r>
      <w:r w:rsidR="00670B70">
        <w:rPr>
          <w:lang w:val="en-GB"/>
        </w:rPr>
        <w:fldChar w:fldCharType="separate"/>
      </w:r>
      <w:r w:rsidR="00670B70" w:rsidRPr="00670B70">
        <w:rPr>
          <w:noProof/>
          <w:lang w:val="en-GB"/>
        </w:rPr>
        <w:t>(Oxford Brookes University, 2016; Potter, 2015)</w:t>
      </w:r>
      <w:r w:rsidR="00670B70">
        <w:rPr>
          <w:lang w:val="en-GB"/>
        </w:rPr>
        <w:fldChar w:fldCharType="end"/>
      </w:r>
      <w:r>
        <w:rPr>
          <w:lang w:val="en-GB"/>
        </w:rPr>
        <w:t>. Aside from its ability to provide an accurate and balanced judgements of positive and negative aspects of an experience, researchers often criticized that it is based on a reactive approach. Moreover, the reflection in this case might be superficial as there are not any requirements to critically review and link the ideas. Another limitation is related to the feelings, which is very difficult for several individuals to open up and write on this topic</w:t>
      </w:r>
      <w:r w:rsidR="00670B70">
        <w:rPr>
          <w:lang w:val="en-GB"/>
        </w:rPr>
        <w:t xml:space="preserve"> </w:t>
      </w:r>
      <w:r w:rsidR="00670B70">
        <w:rPr>
          <w:lang w:val="en-GB"/>
        </w:rPr>
        <w:fldChar w:fldCharType="begin" w:fldLock="1"/>
      </w:r>
      <w:r w:rsidR="00670B70">
        <w:rPr>
          <w:lang w:val="en-GB"/>
        </w:rPr>
        <w:instrText>ADDIN CSL_CITATION {"citationItems":[{"id":"ITEM-1","itemData":{"abstract":"Gibbs’ reflective cycle encourages you to think systematically about the phases of an experience or activity, and you should use all the headings to structure your reflection.","author":[{"dropping-particle":"","family":"EducationDrop-inCentre","given":"","non-dropping-particle":"","parse-names":false,"suffix":""}],"container-title":"University of South Wales","id":"ITEM-1","issued":{"date-parts":[["2013"]]},"title":"Gibbs’ Model of the Reflective Cycle","type":"article"},"uris":["http://www.mendeley.com/documents/?uuid=ddb0a697-893e-4caf-9d0d-f37750fb94aa"]}],"mendeley":{"formattedCitation":"(EducationDrop-inCentre, 2013)","plainTextFormattedCitation":"(EducationDrop-inCentre, 2013)","previouslyFormattedCitation":"(EducationDrop-inCentre, 2013)"},"properties":{"noteIndex":0},"schema":"https://github.com/citation-style-language/schema/raw/master/csl-citation.json"}</w:instrText>
      </w:r>
      <w:r w:rsidR="00670B70">
        <w:rPr>
          <w:lang w:val="en-GB"/>
        </w:rPr>
        <w:fldChar w:fldCharType="separate"/>
      </w:r>
      <w:r w:rsidR="00670B70" w:rsidRPr="00670B70">
        <w:rPr>
          <w:noProof/>
          <w:lang w:val="en-GB"/>
        </w:rPr>
        <w:t>(EducationDrop-inCentre, 2013)</w:t>
      </w:r>
      <w:r w:rsidR="00670B70">
        <w:rPr>
          <w:lang w:val="en-GB"/>
        </w:rPr>
        <w:fldChar w:fldCharType="end"/>
      </w:r>
      <w:r>
        <w:rPr>
          <w:lang w:val="en-GB"/>
        </w:rPr>
        <w:t xml:space="preserve">. Alternatively, Kolb’s learning model could have been utilised considering the end application. </w:t>
      </w:r>
      <w:r w:rsidR="00010D94">
        <w:rPr>
          <w:lang w:val="en-GB"/>
        </w:rPr>
        <w:t>In contrast to Gibb’s model, Kolb’s learning model is based on the cognitive development of the individual and it is based on 4 distinct steps through which an individual pass in order to improve his or her learning</w:t>
      </w:r>
      <w:r w:rsidR="00670B70">
        <w:rPr>
          <w:lang w:val="en-GB"/>
        </w:rPr>
        <w:t xml:space="preserve"> </w:t>
      </w:r>
      <w:r w:rsidR="00670B70">
        <w:rPr>
          <w:lang w:val="en-GB"/>
        </w:rPr>
        <w:fldChar w:fldCharType="begin" w:fldLock="1"/>
      </w:r>
      <w:r w:rsidR="00670B70">
        <w:rPr>
          <w:lang w:val="en-GB"/>
        </w:rPr>
        <w:instrText>ADDIN CSL_CITATION {"citationItems":[{"id":"ITEM-1","itemData":{"DOI":"10.19030/ajbe.v2i3.4049","ISSN":"1942-2504","abstract":"As educators our primary focus is that of ensuring that students experience positive learning outcomes. Research, however, has shown that there are differences in students learning styles and that these differences will impact on the overall learning process. One way of ensuring that these positive outcomes are achieved is by identifying the different learning styles of students and modifying our teaching methodology to meeting those needs. This paper examines Kolbs (1984) Learning Style Inventory and provides suggestions on how to address the different students learning styles in order to enhance the learning process.","author":[{"dropping-particle":"","family":"Gooden","given":"Doreen J.","non-dropping-particle":"","parse-names":false,"suffix":""},{"dropping-particle":"","family":"Preziosi","given":"Robert C.","non-dropping-particle":"","parse-names":false,"suffix":""},{"dropping-particle":"","family":"Barnes","given":"F. Barry","non-dropping-particle":"","parse-names":false,"suffix":""}],"container-title":"American Journal of Business Education (AJBE)","id":"ITEM-1","issued":{"date-parts":[["2011"]]},"title":"An Examination Of Kolb's Learning Style Inventory","type":"article-journal"},"uris":["http://www.mendeley.com/documents/?uuid=4f6e2691-1891-45d0-8e0f-ea1735794948","http://www.mendeley.com/documents/?uuid=6800aa6f-05b3-495b-b38e-57d400101b6f"]}],"mendeley":{"formattedCitation":"(Gooden, Preziosi, &amp; Barnes, 2011)","plainTextFormattedCitation":"(Gooden, Preziosi, &amp; Barnes, 2011)","previouslyFormattedCitation":"(Gooden, Preziosi, &amp; Barnes, 2011)"},"properties":{"noteIndex":0},"schema":"https://github.com/citation-style-language/schema/raw/master/csl-citation.json"}</w:instrText>
      </w:r>
      <w:r w:rsidR="00670B70">
        <w:rPr>
          <w:lang w:val="en-GB"/>
        </w:rPr>
        <w:fldChar w:fldCharType="separate"/>
      </w:r>
      <w:r w:rsidR="00670B70" w:rsidRPr="00670B70">
        <w:rPr>
          <w:noProof/>
          <w:lang w:val="en-GB"/>
        </w:rPr>
        <w:t>(Gooden, Preziosi, &amp; Barnes, 2011)</w:t>
      </w:r>
      <w:r w:rsidR="00670B70">
        <w:rPr>
          <w:lang w:val="en-GB"/>
        </w:rPr>
        <w:fldChar w:fldCharType="end"/>
      </w:r>
      <w:r w:rsidR="00010D94">
        <w:rPr>
          <w:lang w:val="en-GB"/>
        </w:rPr>
        <w:t xml:space="preserve">. This model may also be used effectively to deal with the limitations of Gibb’s reflective cycle. </w:t>
      </w:r>
    </w:p>
    <w:p w:rsidR="00670B70" w:rsidRDefault="00670B70">
      <w:pPr>
        <w:rPr>
          <w:lang w:val="en-GB"/>
        </w:rPr>
      </w:pPr>
      <w:r>
        <w:rPr>
          <w:lang w:val="en-GB"/>
        </w:rPr>
        <w:br w:type="page"/>
      </w:r>
    </w:p>
    <w:p w:rsidR="00C74B0E" w:rsidRDefault="00670B70" w:rsidP="00670B70">
      <w:pPr>
        <w:pStyle w:val="Heading1"/>
        <w:rPr>
          <w:lang w:val="en-GB"/>
        </w:rPr>
      </w:pPr>
      <w:r>
        <w:rPr>
          <w:lang w:val="en-GB"/>
        </w:rPr>
        <w:lastRenderedPageBreak/>
        <w:t xml:space="preserve">References </w:t>
      </w:r>
    </w:p>
    <w:p w:rsidR="00670B70" w:rsidRPr="00670B70" w:rsidRDefault="00670B70" w:rsidP="00670B70">
      <w:pPr>
        <w:widowControl w:val="0"/>
        <w:autoSpaceDE w:val="0"/>
        <w:autoSpaceDN w:val="0"/>
        <w:adjustRightInd w:val="0"/>
        <w:spacing w:line="240" w:lineRule="auto"/>
        <w:ind w:left="480" w:hanging="480"/>
        <w:rPr>
          <w:rFonts w:cs="Times New Roman"/>
          <w:noProof/>
          <w:szCs w:val="24"/>
        </w:rPr>
      </w:pPr>
      <w:r>
        <w:rPr>
          <w:lang w:val="en-GB"/>
        </w:rPr>
        <w:fldChar w:fldCharType="begin" w:fldLock="1"/>
      </w:r>
      <w:r>
        <w:rPr>
          <w:lang w:val="en-GB"/>
        </w:rPr>
        <w:instrText xml:space="preserve">ADDIN Mendeley Bibliography CSL_BIBLIOGRAPHY </w:instrText>
      </w:r>
      <w:r>
        <w:rPr>
          <w:lang w:val="en-GB"/>
        </w:rPr>
        <w:fldChar w:fldCharType="separate"/>
      </w:r>
      <w:r w:rsidRPr="00670B70">
        <w:rPr>
          <w:rFonts w:cs="Times New Roman"/>
          <w:noProof/>
          <w:szCs w:val="24"/>
        </w:rPr>
        <w:t xml:space="preserve">Ash, S. L., &amp; Clayton, P. (2009). Documenting Learning : the Power of Critical Reflection in Applied Learning. </w:t>
      </w:r>
      <w:r w:rsidRPr="00670B70">
        <w:rPr>
          <w:rFonts w:cs="Times New Roman"/>
          <w:i/>
          <w:iCs/>
          <w:noProof/>
          <w:szCs w:val="24"/>
        </w:rPr>
        <w:t>Journal of Applied Learning in Higher Education</w:t>
      </w:r>
      <w:r w:rsidRPr="00670B70">
        <w:rPr>
          <w:rFonts w:cs="Times New Roman"/>
          <w:noProof/>
          <w:szCs w:val="24"/>
        </w:rPr>
        <w:t xml:space="preserve">, </w:t>
      </w:r>
      <w:r w:rsidRPr="00670B70">
        <w:rPr>
          <w:rFonts w:cs="Times New Roman"/>
          <w:i/>
          <w:iCs/>
          <w:noProof/>
          <w:szCs w:val="24"/>
        </w:rPr>
        <w:t>1</w:t>
      </w:r>
      <w:r w:rsidRPr="00670B70">
        <w:rPr>
          <w:rFonts w:cs="Times New Roman"/>
          <w:noProof/>
          <w:szCs w:val="24"/>
        </w:rPr>
        <w:t>(1), 25–48. https://doi.org/10.1177/1469787410387722</w:t>
      </w:r>
    </w:p>
    <w:p w:rsidR="00670B70" w:rsidRPr="00670B70" w:rsidRDefault="00670B70" w:rsidP="00670B70">
      <w:pPr>
        <w:widowControl w:val="0"/>
        <w:autoSpaceDE w:val="0"/>
        <w:autoSpaceDN w:val="0"/>
        <w:adjustRightInd w:val="0"/>
        <w:spacing w:line="240" w:lineRule="auto"/>
        <w:ind w:left="480" w:hanging="480"/>
        <w:rPr>
          <w:rFonts w:cs="Times New Roman"/>
          <w:noProof/>
          <w:szCs w:val="24"/>
        </w:rPr>
      </w:pPr>
      <w:r w:rsidRPr="00670B70">
        <w:rPr>
          <w:rFonts w:cs="Times New Roman"/>
          <w:noProof/>
          <w:szCs w:val="24"/>
        </w:rPr>
        <w:t xml:space="preserve">EducationDrop-inCentre. (2013). Gibbs’ Model of the Reflective Cycle. </w:t>
      </w:r>
      <w:r w:rsidRPr="00670B70">
        <w:rPr>
          <w:rFonts w:cs="Times New Roman"/>
          <w:i/>
          <w:iCs/>
          <w:noProof/>
          <w:szCs w:val="24"/>
        </w:rPr>
        <w:t>University of South Wales</w:t>
      </w:r>
      <w:r w:rsidRPr="00670B70">
        <w:rPr>
          <w:rFonts w:cs="Times New Roman"/>
          <w:noProof/>
          <w:szCs w:val="24"/>
        </w:rPr>
        <w:t>.</w:t>
      </w:r>
    </w:p>
    <w:p w:rsidR="00670B70" w:rsidRPr="00670B70" w:rsidRDefault="00670B70" w:rsidP="00670B70">
      <w:pPr>
        <w:widowControl w:val="0"/>
        <w:autoSpaceDE w:val="0"/>
        <w:autoSpaceDN w:val="0"/>
        <w:adjustRightInd w:val="0"/>
        <w:spacing w:line="240" w:lineRule="auto"/>
        <w:ind w:left="480" w:hanging="480"/>
        <w:rPr>
          <w:rFonts w:cs="Times New Roman"/>
          <w:noProof/>
          <w:szCs w:val="24"/>
        </w:rPr>
      </w:pPr>
      <w:r w:rsidRPr="00670B70">
        <w:rPr>
          <w:rFonts w:cs="Times New Roman"/>
          <w:noProof/>
          <w:szCs w:val="24"/>
        </w:rPr>
        <w:t xml:space="preserve">Gooden, D. J., Preziosi, R. C., &amp; Barnes, F. B. (2011). An Examination Of Kolb’s Learning Style Inventory. </w:t>
      </w:r>
      <w:r w:rsidRPr="00670B70">
        <w:rPr>
          <w:rFonts w:cs="Times New Roman"/>
          <w:i/>
          <w:iCs/>
          <w:noProof/>
          <w:szCs w:val="24"/>
        </w:rPr>
        <w:t>American Journal of Business Education (AJBE)</w:t>
      </w:r>
      <w:r w:rsidRPr="00670B70">
        <w:rPr>
          <w:rFonts w:cs="Times New Roman"/>
          <w:noProof/>
          <w:szCs w:val="24"/>
        </w:rPr>
        <w:t>. https://doi.org/10.19030/ajbe.v2i3.4049</w:t>
      </w:r>
    </w:p>
    <w:p w:rsidR="00670B70" w:rsidRPr="00670B70" w:rsidRDefault="00670B70" w:rsidP="00670B70">
      <w:pPr>
        <w:widowControl w:val="0"/>
        <w:autoSpaceDE w:val="0"/>
        <w:autoSpaceDN w:val="0"/>
        <w:adjustRightInd w:val="0"/>
        <w:spacing w:line="240" w:lineRule="auto"/>
        <w:ind w:left="480" w:hanging="480"/>
        <w:rPr>
          <w:rFonts w:cs="Times New Roman"/>
          <w:noProof/>
          <w:szCs w:val="24"/>
        </w:rPr>
      </w:pPr>
      <w:r w:rsidRPr="00670B70">
        <w:rPr>
          <w:rFonts w:cs="Times New Roman"/>
          <w:noProof/>
          <w:szCs w:val="24"/>
        </w:rPr>
        <w:t xml:space="preserve">Helyer, R. (2015). Learning through reflection: the critical role of reflection in work-based learning (WBL). </w:t>
      </w:r>
      <w:r w:rsidRPr="00670B70">
        <w:rPr>
          <w:rFonts w:cs="Times New Roman"/>
          <w:i/>
          <w:iCs/>
          <w:noProof/>
          <w:szCs w:val="24"/>
        </w:rPr>
        <w:t>Journal of Work-Applied Management</w:t>
      </w:r>
      <w:r w:rsidRPr="00670B70">
        <w:rPr>
          <w:rFonts w:cs="Times New Roman"/>
          <w:noProof/>
          <w:szCs w:val="24"/>
        </w:rPr>
        <w:t xml:space="preserve">, </w:t>
      </w:r>
      <w:r w:rsidRPr="00670B70">
        <w:rPr>
          <w:rFonts w:cs="Times New Roman"/>
          <w:i/>
          <w:iCs/>
          <w:noProof/>
          <w:szCs w:val="24"/>
        </w:rPr>
        <w:t>7</w:t>
      </w:r>
      <w:r w:rsidRPr="00670B70">
        <w:rPr>
          <w:rFonts w:cs="Times New Roman"/>
          <w:noProof/>
          <w:szCs w:val="24"/>
        </w:rPr>
        <w:t>(1), 15–27. https://doi.org/10.1108/JWAM-10-2015-003</w:t>
      </w:r>
    </w:p>
    <w:p w:rsidR="00670B70" w:rsidRPr="00670B70" w:rsidRDefault="00670B70" w:rsidP="00670B70">
      <w:pPr>
        <w:widowControl w:val="0"/>
        <w:autoSpaceDE w:val="0"/>
        <w:autoSpaceDN w:val="0"/>
        <w:adjustRightInd w:val="0"/>
        <w:spacing w:line="240" w:lineRule="auto"/>
        <w:ind w:left="480" w:hanging="480"/>
        <w:rPr>
          <w:rFonts w:cs="Times New Roman"/>
          <w:noProof/>
          <w:szCs w:val="24"/>
        </w:rPr>
      </w:pPr>
      <w:r w:rsidRPr="00670B70">
        <w:rPr>
          <w:rFonts w:cs="Times New Roman"/>
          <w:noProof/>
          <w:szCs w:val="24"/>
        </w:rPr>
        <w:t xml:space="preserve">Hickson, H. (2011). Critical reflection: reflecting on learning to be reflective. </w:t>
      </w:r>
      <w:r w:rsidRPr="00670B70">
        <w:rPr>
          <w:rFonts w:cs="Times New Roman"/>
          <w:i/>
          <w:iCs/>
          <w:noProof/>
          <w:szCs w:val="24"/>
        </w:rPr>
        <w:t>Reflective Practice</w:t>
      </w:r>
      <w:r w:rsidRPr="00670B70">
        <w:rPr>
          <w:rFonts w:cs="Times New Roman"/>
          <w:noProof/>
          <w:szCs w:val="24"/>
        </w:rPr>
        <w:t xml:space="preserve">, </w:t>
      </w:r>
      <w:r w:rsidRPr="00670B70">
        <w:rPr>
          <w:rFonts w:cs="Times New Roman"/>
          <w:i/>
          <w:iCs/>
          <w:noProof/>
          <w:szCs w:val="24"/>
        </w:rPr>
        <w:t>12</w:t>
      </w:r>
      <w:r w:rsidRPr="00670B70">
        <w:rPr>
          <w:rFonts w:cs="Times New Roman"/>
          <w:noProof/>
          <w:szCs w:val="24"/>
        </w:rPr>
        <w:t>(6), 829–839. https://doi.org/10.1080/14623943.2011.616687</w:t>
      </w:r>
    </w:p>
    <w:p w:rsidR="00670B70" w:rsidRPr="00670B70" w:rsidRDefault="00670B70" w:rsidP="00670B70">
      <w:pPr>
        <w:widowControl w:val="0"/>
        <w:autoSpaceDE w:val="0"/>
        <w:autoSpaceDN w:val="0"/>
        <w:adjustRightInd w:val="0"/>
        <w:spacing w:line="240" w:lineRule="auto"/>
        <w:ind w:left="480" w:hanging="480"/>
        <w:rPr>
          <w:rFonts w:cs="Times New Roman"/>
          <w:noProof/>
          <w:szCs w:val="24"/>
        </w:rPr>
      </w:pPr>
      <w:r w:rsidRPr="00670B70">
        <w:rPr>
          <w:rFonts w:cs="Times New Roman"/>
          <w:noProof/>
          <w:szCs w:val="24"/>
        </w:rPr>
        <w:t xml:space="preserve">Jordi, R. (2011). Reframing the concept of reflection: Consciousness, experiential learning, and reflective learning practices. </w:t>
      </w:r>
      <w:r w:rsidRPr="00670B70">
        <w:rPr>
          <w:rFonts w:cs="Times New Roman"/>
          <w:i/>
          <w:iCs/>
          <w:noProof/>
          <w:szCs w:val="24"/>
        </w:rPr>
        <w:t>Adult Education Quarterly</w:t>
      </w:r>
      <w:r w:rsidRPr="00670B70">
        <w:rPr>
          <w:rFonts w:cs="Times New Roman"/>
          <w:noProof/>
          <w:szCs w:val="24"/>
        </w:rPr>
        <w:t>. https://doi.org/10.1177/0741713610380439</w:t>
      </w:r>
    </w:p>
    <w:p w:rsidR="00670B70" w:rsidRPr="00670B70" w:rsidRDefault="00670B70" w:rsidP="00670B70">
      <w:pPr>
        <w:widowControl w:val="0"/>
        <w:autoSpaceDE w:val="0"/>
        <w:autoSpaceDN w:val="0"/>
        <w:adjustRightInd w:val="0"/>
        <w:spacing w:line="240" w:lineRule="auto"/>
        <w:ind w:left="480" w:hanging="480"/>
        <w:rPr>
          <w:rFonts w:cs="Times New Roman"/>
          <w:noProof/>
          <w:szCs w:val="24"/>
        </w:rPr>
      </w:pPr>
      <w:r w:rsidRPr="00670B70">
        <w:rPr>
          <w:rFonts w:cs="Times New Roman"/>
          <w:noProof/>
          <w:szCs w:val="24"/>
        </w:rPr>
        <w:t xml:space="preserve">Moon, J. A. (2013). </w:t>
      </w:r>
      <w:r w:rsidRPr="00670B70">
        <w:rPr>
          <w:rFonts w:cs="Times New Roman"/>
          <w:i/>
          <w:iCs/>
          <w:noProof/>
          <w:szCs w:val="24"/>
        </w:rPr>
        <w:t>Reflection in Learning and Professional Development</w:t>
      </w:r>
      <w:r w:rsidRPr="00670B70">
        <w:rPr>
          <w:rFonts w:cs="Times New Roman"/>
          <w:noProof/>
          <w:szCs w:val="24"/>
        </w:rPr>
        <w:t xml:space="preserve">. </w:t>
      </w:r>
      <w:r w:rsidRPr="00670B70">
        <w:rPr>
          <w:rFonts w:cs="Times New Roman"/>
          <w:i/>
          <w:iCs/>
          <w:noProof/>
          <w:szCs w:val="24"/>
        </w:rPr>
        <w:t>Reflection in Learning and Professional Development</w:t>
      </w:r>
      <w:r w:rsidRPr="00670B70">
        <w:rPr>
          <w:rFonts w:cs="Times New Roman"/>
          <w:noProof/>
          <w:szCs w:val="24"/>
        </w:rPr>
        <w:t>. https://doi.org/10.4324/9780203822296</w:t>
      </w:r>
    </w:p>
    <w:p w:rsidR="00670B70" w:rsidRPr="00670B70" w:rsidRDefault="00670B70" w:rsidP="00670B70">
      <w:pPr>
        <w:widowControl w:val="0"/>
        <w:autoSpaceDE w:val="0"/>
        <w:autoSpaceDN w:val="0"/>
        <w:adjustRightInd w:val="0"/>
        <w:spacing w:line="240" w:lineRule="auto"/>
        <w:ind w:left="480" w:hanging="480"/>
        <w:rPr>
          <w:rFonts w:cs="Times New Roman"/>
          <w:noProof/>
          <w:szCs w:val="24"/>
        </w:rPr>
      </w:pPr>
      <w:r w:rsidRPr="00670B70">
        <w:rPr>
          <w:rFonts w:cs="Times New Roman"/>
          <w:noProof/>
          <w:szCs w:val="24"/>
        </w:rPr>
        <w:t>Oxford Brookes University. (2016). Reflective writing: About Gibbs reflective cycle - Oxford Brookes University. https://doi.org/10.1103/PhysRevB.74.245114</w:t>
      </w:r>
    </w:p>
    <w:p w:rsidR="00670B70" w:rsidRPr="00670B70" w:rsidRDefault="00670B70" w:rsidP="00670B70">
      <w:pPr>
        <w:widowControl w:val="0"/>
        <w:autoSpaceDE w:val="0"/>
        <w:autoSpaceDN w:val="0"/>
        <w:adjustRightInd w:val="0"/>
        <w:spacing w:line="240" w:lineRule="auto"/>
        <w:ind w:left="480" w:hanging="480"/>
        <w:rPr>
          <w:rFonts w:cs="Times New Roman"/>
          <w:noProof/>
          <w:szCs w:val="24"/>
        </w:rPr>
      </w:pPr>
      <w:r w:rsidRPr="00670B70">
        <w:rPr>
          <w:rFonts w:cs="Times New Roman"/>
          <w:noProof/>
          <w:szCs w:val="24"/>
        </w:rPr>
        <w:t xml:space="preserve">Oxford Brooks University. (2013). The reflective cycle (Gibbs, 1988). </w:t>
      </w:r>
      <w:r w:rsidRPr="00670B70">
        <w:rPr>
          <w:rFonts w:cs="Times New Roman"/>
          <w:i/>
          <w:iCs/>
          <w:noProof/>
          <w:szCs w:val="24"/>
        </w:rPr>
        <w:t>Oxford Brookes University</w:t>
      </w:r>
      <w:r w:rsidRPr="00670B70">
        <w:rPr>
          <w:rFonts w:cs="Times New Roman"/>
          <w:noProof/>
          <w:szCs w:val="24"/>
        </w:rPr>
        <w:t>, 1988.</w:t>
      </w:r>
    </w:p>
    <w:p w:rsidR="00670B70" w:rsidRPr="00670B70" w:rsidRDefault="00670B70" w:rsidP="00670B70">
      <w:pPr>
        <w:widowControl w:val="0"/>
        <w:autoSpaceDE w:val="0"/>
        <w:autoSpaceDN w:val="0"/>
        <w:adjustRightInd w:val="0"/>
        <w:spacing w:line="240" w:lineRule="auto"/>
        <w:ind w:left="480" w:hanging="480"/>
        <w:rPr>
          <w:rFonts w:cs="Times New Roman"/>
          <w:noProof/>
          <w:szCs w:val="24"/>
        </w:rPr>
      </w:pPr>
      <w:r w:rsidRPr="00670B70">
        <w:rPr>
          <w:rFonts w:cs="Times New Roman"/>
          <w:noProof/>
          <w:szCs w:val="24"/>
        </w:rPr>
        <w:t xml:space="preserve">Potter, C. (2015). Leadership development: An applied comparison of Gibbs??? Reflective Cycle and Scharmer???s Theory U. </w:t>
      </w:r>
      <w:r w:rsidRPr="00670B70">
        <w:rPr>
          <w:rFonts w:cs="Times New Roman"/>
          <w:i/>
          <w:iCs/>
          <w:noProof/>
          <w:szCs w:val="24"/>
        </w:rPr>
        <w:t>Industrial and Commercial Training</w:t>
      </w:r>
      <w:r w:rsidRPr="00670B70">
        <w:rPr>
          <w:rFonts w:cs="Times New Roman"/>
          <w:noProof/>
          <w:szCs w:val="24"/>
        </w:rPr>
        <w:t>. https://doi.org/10.1108/ICT-03-2015-0024</w:t>
      </w:r>
    </w:p>
    <w:p w:rsidR="00670B70" w:rsidRPr="00670B70" w:rsidRDefault="00670B70" w:rsidP="00670B70">
      <w:pPr>
        <w:widowControl w:val="0"/>
        <w:autoSpaceDE w:val="0"/>
        <w:autoSpaceDN w:val="0"/>
        <w:adjustRightInd w:val="0"/>
        <w:spacing w:line="240" w:lineRule="auto"/>
        <w:ind w:left="480" w:hanging="480"/>
        <w:rPr>
          <w:rFonts w:cs="Times New Roman"/>
          <w:noProof/>
        </w:rPr>
      </w:pPr>
      <w:r w:rsidRPr="00670B70">
        <w:rPr>
          <w:rFonts w:cs="Times New Roman"/>
          <w:noProof/>
          <w:szCs w:val="24"/>
        </w:rPr>
        <w:t xml:space="preserve">Wain, A. (2017). Learning through reflection. </w:t>
      </w:r>
      <w:r w:rsidRPr="00670B70">
        <w:rPr>
          <w:rFonts w:cs="Times New Roman"/>
          <w:i/>
          <w:iCs/>
          <w:noProof/>
          <w:szCs w:val="24"/>
        </w:rPr>
        <w:t>British Journal of Midwifery</w:t>
      </w:r>
      <w:r w:rsidRPr="00670B70">
        <w:rPr>
          <w:rFonts w:cs="Times New Roman"/>
          <w:noProof/>
          <w:szCs w:val="24"/>
        </w:rPr>
        <w:t>. https://doi.org/10.12968/bjom.2017.25.10.662</w:t>
      </w:r>
    </w:p>
    <w:p w:rsidR="00670B70" w:rsidRPr="00C74B0E" w:rsidRDefault="00670B70" w:rsidP="00670B70">
      <w:pPr>
        <w:rPr>
          <w:lang w:val="en-GB"/>
        </w:rPr>
      </w:pPr>
      <w:r>
        <w:rPr>
          <w:lang w:val="en-GB"/>
        </w:rPr>
        <w:fldChar w:fldCharType="end"/>
      </w:r>
    </w:p>
    <w:sectPr w:rsidR="00670B70" w:rsidRPr="00C74B0E">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2873" w:rsidRDefault="00502873" w:rsidP="00ED1CE1">
      <w:pPr>
        <w:spacing w:after="0" w:line="240" w:lineRule="auto"/>
      </w:pPr>
      <w:r>
        <w:separator/>
      </w:r>
    </w:p>
  </w:endnote>
  <w:endnote w:type="continuationSeparator" w:id="0">
    <w:p w:rsidR="00502873" w:rsidRDefault="00502873" w:rsidP="00ED1C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D1CE1" w:rsidRDefault="00ED1CE1">
    <w:pPr>
      <w:pStyle w:val="Foote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8E9CA5"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rPr>
      <w:t xml:space="preserve">pg. </w:t>
    </w:r>
    <w:r>
      <w:rPr>
        <w:rFonts w:asciiTheme="minorHAnsi" w:hAnsiTheme="minorHAnsi"/>
        <w:color w:val="5B9BD5" w:themeColor="accent1"/>
        <w:sz w:val="20"/>
      </w:rPr>
      <w:fldChar w:fldCharType="begin"/>
    </w:r>
    <w:r>
      <w:rPr>
        <w:color w:val="5B9BD5" w:themeColor="accent1"/>
        <w:sz w:val="20"/>
      </w:rPr>
      <w:instrText xml:space="preserve"> PAGE    \* MERGEFORMAT </w:instrText>
    </w:r>
    <w:r>
      <w:rPr>
        <w:rFonts w:asciiTheme="minorHAnsi" w:hAnsiTheme="minorHAnsi"/>
        <w:color w:val="5B9BD5" w:themeColor="accent1"/>
        <w:sz w:val="20"/>
      </w:rPr>
      <w:fldChar w:fldCharType="separate"/>
    </w:r>
    <w:r>
      <w:rPr>
        <w:rFonts w:asciiTheme="majorHAnsi" w:eastAsiaTheme="majorEastAsia" w:hAnsiTheme="majorHAnsi" w:cstheme="majorBidi"/>
        <w:noProof/>
        <w:color w:val="5B9BD5" w:themeColor="accent1"/>
        <w:sz w:val="20"/>
      </w:rPr>
      <w:t>2</w:t>
    </w:r>
    <w:r>
      <w:rPr>
        <w:rFonts w:asciiTheme="majorHAnsi" w:eastAsiaTheme="majorEastAsia" w:hAnsiTheme="majorHAnsi" w:cstheme="majorBidi"/>
        <w:noProof/>
        <w:color w:val="5B9BD5" w:themeColor="accent1"/>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2873" w:rsidRDefault="00502873" w:rsidP="00ED1CE1">
      <w:pPr>
        <w:spacing w:after="0" w:line="240" w:lineRule="auto"/>
      </w:pPr>
      <w:r>
        <w:separator/>
      </w:r>
    </w:p>
  </w:footnote>
  <w:footnote w:type="continuationSeparator" w:id="0">
    <w:p w:rsidR="00502873" w:rsidRDefault="00502873" w:rsidP="00ED1C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D1CE1" w:rsidRDefault="00ED1CE1">
    <w:pPr>
      <w:pStyle w:val="Header"/>
    </w:pPr>
    <w:r>
      <w:rPr>
        <w:noProof/>
      </w:rPr>
      <mc:AlternateContent>
        <mc:Choice Requires="wps">
          <w:drawing>
            <wp:anchor distT="0" distB="0" distL="118745" distR="118745" simplePos="0" relativeHeight="251661312"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ED1CE1" w:rsidRDefault="00ED1CE1">
                              <w:pPr>
                                <w:pStyle w:val="Header"/>
                                <w:jc w:val="center"/>
                                <w:rPr>
                                  <w:caps/>
                                  <w:color w:val="FFFFFF" w:themeColor="background1"/>
                                </w:rPr>
                              </w:pPr>
                              <w:r>
                                <w:rPr>
                                  <w:caps/>
                                  <w:color w:val="FFFFFF" w:themeColor="background1"/>
                                </w:rPr>
                                <w:t>Managing enterprise in the 21st century    o.o awoliyi</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6" style="position:absolute;left:0;text-align:left;margin-left:0;margin-top:0;width:468.5pt;height:21.3pt;z-index:-25165516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ED1CE1" w:rsidRDefault="00ED1CE1">
                        <w:pPr>
                          <w:pStyle w:val="Header"/>
                          <w:jc w:val="center"/>
                          <w:rPr>
                            <w:caps/>
                            <w:color w:val="FFFFFF" w:themeColor="background1"/>
                          </w:rPr>
                        </w:pPr>
                        <w:r>
                          <w:rPr>
                            <w:caps/>
                            <w:color w:val="FFFFFF" w:themeColor="background1"/>
                          </w:rPr>
                          <w:t>Managing enterprise in the 21st century    o.o awoliyi</w:t>
                        </w:r>
                      </w:p>
                    </w:sdtContent>
                  </w:sdt>
                </w:txbxContent>
              </v:textbox>
              <w10:wrap type="square" anchorx="margin"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1F93"/>
    <w:rsid w:val="00010D94"/>
    <w:rsid w:val="000217F4"/>
    <w:rsid w:val="00236E31"/>
    <w:rsid w:val="00401F93"/>
    <w:rsid w:val="00436B39"/>
    <w:rsid w:val="004E0AAA"/>
    <w:rsid w:val="00502873"/>
    <w:rsid w:val="00550993"/>
    <w:rsid w:val="005A72A2"/>
    <w:rsid w:val="005E3879"/>
    <w:rsid w:val="005E4398"/>
    <w:rsid w:val="00670B70"/>
    <w:rsid w:val="006B0FA0"/>
    <w:rsid w:val="006F43D1"/>
    <w:rsid w:val="00723F2B"/>
    <w:rsid w:val="007777BC"/>
    <w:rsid w:val="0078629C"/>
    <w:rsid w:val="00796006"/>
    <w:rsid w:val="00887ABE"/>
    <w:rsid w:val="00A02383"/>
    <w:rsid w:val="00AA3653"/>
    <w:rsid w:val="00AB4A77"/>
    <w:rsid w:val="00BF5574"/>
    <w:rsid w:val="00C74B0E"/>
    <w:rsid w:val="00C93294"/>
    <w:rsid w:val="00CE6167"/>
    <w:rsid w:val="00D253E1"/>
    <w:rsid w:val="00D46C2F"/>
    <w:rsid w:val="00D7485F"/>
    <w:rsid w:val="00E578DD"/>
    <w:rsid w:val="00ED1CE1"/>
    <w:rsid w:val="00EF6F29"/>
    <w:rsid w:val="00F64D77"/>
    <w:rsid w:val="00FF2B0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FE28A5"/>
  <w15:chartTrackingRefBased/>
  <w15:docId w15:val="{061A3A3C-4097-4972-8A00-274DB2B15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217F4"/>
    <w:rPr>
      <w:rFonts w:ascii="Times New Roman" w:hAnsi="Times New Roman"/>
      <w:sz w:val="24"/>
    </w:rPr>
  </w:style>
  <w:style w:type="paragraph" w:styleId="Heading1">
    <w:name w:val="heading 1"/>
    <w:basedOn w:val="Normal"/>
    <w:next w:val="Normal"/>
    <w:link w:val="Heading1Char"/>
    <w:uiPriority w:val="9"/>
    <w:qFormat/>
    <w:rsid w:val="000217F4"/>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0217F4"/>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0217F4"/>
    <w:pPr>
      <w:spacing w:after="0"/>
      <w:jc w:val="left"/>
      <w:outlineLvl w:val="2"/>
    </w:pPr>
    <w:rPr>
      <w:smallCaps/>
      <w:spacing w:val="5"/>
      <w:szCs w:val="24"/>
    </w:rPr>
  </w:style>
  <w:style w:type="paragraph" w:styleId="Heading4">
    <w:name w:val="heading 4"/>
    <w:basedOn w:val="Normal"/>
    <w:next w:val="Normal"/>
    <w:link w:val="Heading4Char"/>
    <w:uiPriority w:val="9"/>
    <w:semiHidden/>
    <w:unhideWhenUsed/>
    <w:qFormat/>
    <w:rsid w:val="000217F4"/>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0217F4"/>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0217F4"/>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0217F4"/>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0217F4"/>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0217F4"/>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7F4"/>
    <w:rPr>
      <w:smallCaps/>
      <w:spacing w:val="5"/>
      <w:sz w:val="32"/>
      <w:szCs w:val="32"/>
    </w:rPr>
  </w:style>
  <w:style w:type="character" w:customStyle="1" w:styleId="Heading2Char">
    <w:name w:val="Heading 2 Char"/>
    <w:basedOn w:val="DefaultParagraphFont"/>
    <w:link w:val="Heading2"/>
    <w:uiPriority w:val="9"/>
    <w:semiHidden/>
    <w:rsid w:val="000217F4"/>
    <w:rPr>
      <w:smallCaps/>
      <w:spacing w:val="5"/>
      <w:sz w:val="28"/>
      <w:szCs w:val="28"/>
    </w:rPr>
  </w:style>
  <w:style w:type="character" w:customStyle="1" w:styleId="Heading3Char">
    <w:name w:val="Heading 3 Char"/>
    <w:basedOn w:val="DefaultParagraphFont"/>
    <w:link w:val="Heading3"/>
    <w:uiPriority w:val="9"/>
    <w:semiHidden/>
    <w:rsid w:val="000217F4"/>
    <w:rPr>
      <w:smallCaps/>
      <w:spacing w:val="5"/>
      <w:sz w:val="24"/>
      <w:szCs w:val="24"/>
    </w:rPr>
  </w:style>
  <w:style w:type="character" w:customStyle="1" w:styleId="Heading4Char">
    <w:name w:val="Heading 4 Char"/>
    <w:basedOn w:val="DefaultParagraphFont"/>
    <w:link w:val="Heading4"/>
    <w:uiPriority w:val="9"/>
    <w:semiHidden/>
    <w:rsid w:val="000217F4"/>
    <w:rPr>
      <w:i/>
      <w:iCs/>
      <w:smallCaps/>
      <w:spacing w:val="10"/>
      <w:sz w:val="22"/>
      <w:szCs w:val="22"/>
    </w:rPr>
  </w:style>
  <w:style w:type="character" w:customStyle="1" w:styleId="Heading5Char">
    <w:name w:val="Heading 5 Char"/>
    <w:basedOn w:val="DefaultParagraphFont"/>
    <w:link w:val="Heading5"/>
    <w:uiPriority w:val="9"/>
    <w:semiHidden/>
    <w:rsid w:val="000217F4"/>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0217F4"/>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0217F4"/>
    <w:rPr>
      <w:b/>
      <w:bCs/>
      <w:smallCaps/>
      <w:color w:val="70AD47" w:themeColor="accent6"/>
      <w:spacing w:val="10"/>
    </w:rPr>
  </w:style>
  <w:style w:type="character" w:customStyle="1" w:styleId="Heading8Char">
    <w:name w:val="Heading 8 Char"/>
    <w:basedOn w:val="DefaultParagraphFont"/>
    <w:link w:val="Heading8"/>
    <w:uiPriority w:val="9"/>
    <w:semiHidden/>
    <w:rsid w:val="000217F4"/>
    <w:rPr>
      <w:b/>
      <w:bCs/>
      <w:i/>
      <w:iCs/>
      <w:smallCaps/>
      <w:color w:val="538135" w:themeColor="accent6" w:themeShade="BF"/>
    </w:rPr>
  </w:style>
  <w:style w:type="character" w:customStyle="1" w:styleId="Heading9Char">
    <w:name w:val="Heading 9 Char"/>
    <w:basedOn w:val="DefaultParagraphFont"/>
    <w:link w:val="Heading9"/>
    <w:uiPriority w:val="9"/>
    <w:semiHidden/>
    <w:rsid w:val="000217F4"/>
    <w:rPr>
      <w:b/>
      <w:bCs/>
      <w:i/>
      <w:iCs/>
      <w:smallCaps/>
      <w:color w:val="385623" w:themeColor="accent6" w:themeShade="80"/>
    </w:rPr>
  </w:style>
  <w:style w:type="paragraph" w:styleId="Caption">
    <w:name w:val="caption"/>
    <w:basedOn w:val="Normal"/>
    <w:next w:val="Normal"/>
    <w:uiPriority w:val="35"/>
    <w:unhideWhenUsed/>
    <w:qFormat/>
    <w:rsid w:val="000217F4"/>
    <w:rPr>
      <w:b/>
      <w:bCs/>
      <w:caps/>
      <w:sz w:val="16"/>
      <w:szCs w:val="16"/>
    </w:rPr>
  </w:style>
  <w:style w:type="paragraph" w:styleId="Title">
    <w:name w:val="Title"/>
    <w:basedOn w:val="Normal"/>
    <w:next w:val="Normal"/>
    <w:link w:val="TitleChar"/>
    <w:uiPriority w:val="10"/>
    <w:qFormat/>
    <w:rsid w:val="000217F4"/>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0217F4"/>
    <w:rPr>
      <w:smallCaps/>
      <w:color w:val="262626" w:themeColor="text1" w:themeTint="D9"/>
      <w:sz w:val="52"/>
      <w:szCs w:val="52"/>
    </w:rPr>
  </w:style>
  <w:style w:type="paragraph" w:styleId="Subtitle">
    <w:name w:val="Subtitle"/>
    <w:basedOn w:val="Normal"/>
    <w:next w:val="Normal"/>
    <w:link w:val="SubtitleChar"/>
    <w:uiPriority w:val="11"/>
    <w:qFormat/>
    <w:rsid w:val="000217F4"/>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0217F4"/>
    <w:rPr>
      <w:rFonts w:asciiTheme="majorHAnsi" w:eastAsiaTheme="majorEastAsia" w:hAnsiTheme="majorHAnsi" w:cstheme="majorBidi"/>
    </w:rPr>
  </w:style>
  <w:style w:type="character" w:styleId="Strong">
    <w:name w:val="Strong"/>
    <w:uiPriority w:val="22"/>
    <w:qFormat/>
    <w:rsid w:val="000217F4"/>
    <w:rPr>
      <w:b/>
      <w:bCs/>
      <w:color w:val="70AD47" w:themeColor="accent6"/>
    </w:rPr>
  </w:style>
  <w:style w:type="character" w:styleId="Emphasis">
    <w:name w:val="Emphasis"/>
    <w:uiPriority w:val="20"/>
    <w:qFormat/>
    <w:rsid w:val="000217F4"/>
    <w:rPr>
      <w:b/>
      <w:bCs/>
      <w:i/>
      <w:iCs/>
      <w:spacing w:val="10"/>
    </w:rPr>
  </w:style>
  <w:style w:type="paragraph" w:styleId="NoSpacing">
    <w:name w:val="No Spacing"/>
    <w:uiPriority w:val="1"/>
    <w:qFormat/>
    <w:rsid w:val="000217F4"/>
    <w:pPr>
      <w:spacing w:after="0" w:line="240" w:lineRule="auto"/>
    </w:pPr>
  </w:style>
  <w:style w:type="paragraph" w:styleId="Quote">
    <w:name w:val="Quote"/>
    <w:basedOn w:val="Normal"/>
    <w:next w:val="Normal"/>
    <w:link w:val="QuoteChar"/>
    <w:uiPriority w:val="29"/>
    <w:qFormat/>
    <w:rsid w:val="000217F4"/>
    <w:rPr>
      <w:i/>
      <w:iCs/>
    </w:rPr>
  </w:style>
  <w:style w:type="character" w:customStyle="1" w:styleId="QuoteChar">
    <w:name w:val="Quote Char"/>
    <w:basedOn w:val="DefaultParagraphFont"/>
    <w:link w:val="Quote"/>
    <w:uiPriority w:val="29"/>
    <w:rsid w:val="000217F4"/>
    <w:rPr>
      <w:i/>
      <w:iCs/>
    </w:rPr>
  </w:style>
  <w:style w:type="paragraph" w:styleId="IntenseQuote">
    <w:name w:val="Intense Quote"/>
    <w:basedOn w:val="Normal"/>
    <w:next w:val="Normal"/>
    <w:link w:val="IntenseQuoteChar"/>
    <w:uiPriority w:val="30"/>
    <w:qFormat/>
    <w:rsid w:val="000217F4"/>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0217F4"/>
    <w:rPr>
      <w:b/>
      <w:bCs/>
      <w:i/>
      <w:iCs/>
    </w:rPr>
  </w:style>
  <w:style w:type="character" w:styleId="SubtleEmphasis">
    <w:name w:val="Subtle Emphasis"/>
    <w:uiPriority w:val="19"/>
    <w:qFormat/>
    <w:rsid w:val="000217F4"/>
    <w:rPr>
      <w:i/>
      <w:iCs/>
    </w:rPr>
  </w:style>
  <w:style w:type="character" w:styleId="IntenseEmphasis">
    <w:name w:val="Intense Emphasis"/>
    <w:uiPriority w:val="21"/>
    <w:qFormat/>
    <w:rsid w:val="000217F4"/>
    <w:rPr>
      <w:b/>
      <w:bCs/>
      <w:i/>
      <w:iCs/>
      <w:color w:val="70AD47" w:themeColor="accent6"/>
      <w:spacing w:val="10"/>
    </w:rPr>
  </w:style>
  <w:style w:type="character" w:styleId="SubtleReference">
    <w:name w:val="Subtle Reference"/>
    <w:uiPriority w:val="31"/>
    <w:qFormat/>
    <w:rsid w:val="000217F4"/>
    <w:rPr>
      <w:b/>
      <w:bCs/>
    </w:rPr>
  </w:style>
  <w:style w:type="character" w:styleId="IntenseReference">
    <w:name w:val="Intense Reference"/>
    <w:uiPriority w:val="32"/>
    <w:qFormat/>
    <w:rsid w:val="000217F4"/>
    <w:rPr>
      <w:b/>
      <w:bCs/>
      <w:smallCaps/>
      <w:spacing w:val="5"/>
      <w:sz w:val="22"/>
      <w:szCs w:val="22"/>
      <w:u w:val="single"/>
    </w:rPr>
  </w:style>
  <w:style w:type="character" w:styleId="BookTitle">
    <w:name w:val="Book Title"/>
    <w:uiPriority w:val="33"/>
    <w:qFormat/>
    <w:rsid w:val="000217F4"/>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0217F4"/>
    <w:pPr>
      <w:outlineLvl w:val="9"/>
    </w:pPr>
  </w:style>
  <w:style w:type="paragraph" w:styleId="BalloonText">
    <w:name w:val="Balloon Text"/>
    <w:basedOn w:val="Normal"/>
    <w:link w:val="BalloonTextChar"/>
    <w:uiPriority w:val="99"/>
    <w:semiHidden/>
    <w:unhideWhenUsed/>
    <w:rsid w:val="00CE616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6167"/>
    <w:rPr>
      <w:rFonts w:ascii="Segoe UI" w:hAnsi="Segoe UI" w:cs="Segoe UI"/>
      <w:sz w:val="18"/>
      <w:szCs w:val="18"/>
    </w:rPr>
  </w:style>
  <w:style w:type="paragraph" w:styleId="Header">
    <w:name w:val="header"/>
    <w:basedOn w:val="Normal"/>
    <w:link w:val="HeaderChar"/>
    <w:uiPriority w:val="99"/>
    <w:unhideWhenUsed/>
    <w:rsid w:val="00ED1C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CE1"/>
    <w:rPr>
      <w:rFonts w:ascii="Times New Roman" w:hAnsi="Times New Roman"/>
      <w:sz w:val="24"/>
    </w:rPr>
  </w:style>
  <w:style w:type="paragraph" w:styleId="Footer">
    <w:name w:val="footer"/>
    <w:basedOn w:val="Normal"/>
    <w:link w:val="FooterChar"/>
    <w:uiPriority w:val="99"/>
    <w:unhideWhenUsed/>
    <w:rsid w:val="00ED1C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CE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CC80AD-169E-43FC-BA8C-0D5D74DC8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6</Pages>
  <Words>5007</Words>
  <Characters>28542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Midas Safety</Company>
  <LinksUpToDate>false</LinksUpToDate>
  <CharactersWithSpaces>33483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    o.o awoliyi</dc:title>
  <dc:subject/>
  <dc:creator>My Computer</dc:creator>
  <cp:keywords/>
  <dc:description/>
  <cp:lastModifiedBy>Prince Fantini</cp:lastModifiedBy>
  <cp:revision>10</cp:revision>
  <dcterms:created xsi:type="dcterms:W3CDTF">2019-09-01T21:03:00Z</dcterms:created>
  <dcterms:modified xsi:type="dcterms:W3CDTF">2019-09-02T20:42:00Z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http://www.zotero.org/styles/modern-humanities-research-association</vt:lpwstr>
  </property>
  <property fmtid="{D5CDD505-2E9C-101B-9397-08002B2CF9AE}" pid="15" name="Mendeley Recent Style Name 6_1">
    <vt:lpwstr>Modern Humanities Research Association 3rd edition (note with bibliography)</vt:lpwstr>
  </property>
  <property fmtid="{D5CDD505-2E9C-101B-9397-08002B2CF9AE}" pid="16" name="Mendeley Recent Style Id 7_1">
    <vt:lpwstr>http://www.zotero.org/styles/modern-language-association</vt:lpwstr>
  </property>
  <property fmtid="{D5CDD505-2E9C-101B-9397-08002B2CF9AE}" pid="17" name="Mendeley Recent Style Name 7_1">
    <vt:lpwstr>Modern Language Association 8th edition</vt:lpwstr>
  </property>
  <property fmtid="{D5CDD505-2E9C-101B-9397-08002B2CF9AE}" pid="18" name="Mendeley Recent Style Id 8_1">
    <vt:lpwstr>http://www.zotero.org/styles/nature</vt:lpwstr>
  </property>
  <property fmtid="{D5CDD505-2E9C-101B-9397-08002B2CF9AE}" pid="19" name="Mendeley Recent Style Name 8_1">
    <vt:lpwstr>Nature</vt:lpwstr>
  </property>
  <property fmtid="{D5CDD505-2E9C-101B-9397-08002B2CF9AE}" pid="20" name="Mendeley Recent Style Id 9_1">
    <vt:lpwstr>http://www.zotero.org/styles/vancouver</vt:lpwstr>
  </property>
  <property fmtid="{D5CDD505-2E9C-101B-9397-08002B2CF9AE}" pid="21" name="Mendeley Recent Style Name 9_1">
    <vt:lpwstr>Vancouver</vt:lpwstr>
  </property>
  <property fmtid="{D5CDD505-2E9C-101B-9397-08002B2CF9AE}" pid="22" name="Mendeley Document_1">
    <vt:lpwstr>True</vt:lpwstr>
  </property>
  <property fmtid="{D5CDD505-2E9C-101B-9397-08002B2CF9AE}" pid="23" name="Mendeley Unique User Id_1">
    <vt:lpwstr>12e11ec3-1d80-31ce-ac38-639cff8d7b13</vt:lpwstr>
  </property>
  <property fmtid="{D5CDD505-2E9C-101B-9397-08002B2CF9AE}" pid="24" name="Mendeley Citation Style_1">
    <vt:lpwstr>http://www.zotero.org/styles/apa</vt:lpwstr>
  </property>
</Properties>
</file>