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61263F" w14:textId="020C2882"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14:paraId="26929870" w14:textId="77777777" w:rsidTr="00AC4DCF">
        <w:tc>
          <w:tcPr>
            <w:tcW w:w="9776" w:type="dxa"/>
          </w:tcPr>
          <w:p w14:paraId="4CEC7C83" w14:textId="661AAD1B" w:rsidR="00476944"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months for part time students, after the commencement of the research degree or</w:t>
            </w:r>
            <w:r w:rsidR="005A6F56">
              <w:rPr>
                <w:rFonts w:cs="Arial"/>
                <w:sz w:val="22"/>
                <w:szCs w:val="22"/>
              </w:rPr>
              <w:t xml:space="preserve"> </w:t>
            </w:r>
            <w:r w:rsidR="00DB03EA">
              <w:rPr>
                <w:rFonts w:cs="Arial"/>
                <w:sz w:val="22"/>
                <w:szCs w:val="22"/>
              </w:rPr>
              <w:t xml:space="preserve">following progression to </w:t>
            </w:r>
            <w:r w:rsidRPr="00A830D5">
              <w:rPr>
                <w:rFonts w:cs="Arial"/>
                <w:sz w:val="22"/>
                <w:szCs w:val="22"/>
              </w:rPr>
              <w:t>Part Two</w:t>
            </w:r>
            <w:r w:rsidR="00DB03EA">
              <w:rPr>
                <w:rFonts w:cs="Arial"/>
                <w:sz w:val="22"/>
                <w:szCs w:val="22"/>
              </w:rPr>
              <w:t xml:space="preserve"> of your course</w:t>
            </w:r>
            <w:r w:rsidRPr="00A830D5">
              <w:rPr>
                <w:rFonts w:cs="Arial"/>
                <w:sz w:val="22"/>
                <w:szCs w:val="22"/>
              </w:rPr>
              <w:t xml:space="preserve">. </w:t>
            </w:r>
          </w:p>
          <w:p w14:paraId="47E429F6" w14:textId="77777777" w:rsidR="00476944" w:rsidRDefault="00476944"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1A5E303" w14:textId="4CA058C9" w:rsidR="008D129A"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A42F82">
              <w:rPr>
                <w:rFonts w:cs="Arial"/>
                <w:bCs/>
                <w:sz w:val="22"/>
                <w:szCs w:val="22"/>
              </w:rPr>
              <w:t xml:space="preserve">Once complete, submit this form via the </w:t>
            </w:r>
            <w:proofErr w:type="spellStart"/>
            <w:r w:rsidRPr="00A42F82">
              <w:rPr>
                <w:rFonts w:cs="Arial"/>
                <w:b/>
                <w:i/>
                <w:iCs/>
                <w:sz w:val="22"/>
                <w:szCs w:val="22"/>
                <w:u w:val="single"/>
              </w:rPr>
              <w:t>MyTSD</w:t>
            </w:r>
            <w:proofErr w:type="spellEnd"/>
            <w:r w:rsidRPr="00A42F82">
              <w:rPr>
                <w:rFonts w:cs="Arial"/>
                <w:b/>
                <w:i/>
                <w:iCs/>
                <w:sz w:val="22"/>
                <w:szCs w:val="22"/>
                <w:u w:val="single"/>
              </w:rPr>
              <w:t xml:space="preserve"> </w:t>
            </w:r>
            <w:r>
              <w:rPr>
                <w:rFonts w:cs="Arial"/>
                <w:b/>
                <w:i/>
                <w:iCs/>
                <w:sz w:val="22"/>
                <w:szCs w:val="22"/>
                <w:u w:val="single"/>
              </w:rPr>
              <w:t xml:space="preserve">Doctoral College </w:t>
            </w:r>
            <w:r w:rsidRPr="00A42F82">
              <w:rPr>
                <w:rFonts w:cs="Arial"/>
                <w:b/>
                <w:i/>
                <w:iCs/>
                <w:sz w:val="22"/>
                <w:szCs w:val="22"/>
                <w:u w:val="single"/>
              </w:rPr>
              <w:t>Portal</w:t>
            </w:r>
            <w:r w:rsidRPr="00A42F82">
              <w:rPr>
                <w:rFonts w:cs="Arial"/>
                <w:bCs/>
                <w:sz w:val="22"/>
                <w:szCs w:val="22"/>
              </w:rPr>
              <w:t xml:space="preserve"> at (</w:t>
            </w:r>
            <w:hyperlink r:id="rId11" w:history="1">
              <w:r w:rsidRPr="00A42F82">
                <w:rPr>
                  <w:rStyle w:val="Hyperlink"/>
                  <w:rFonts w:cs="Arial"/>
                  <w:bCs/>
                  <w:sz w:val="22"/>
                  <w:szCs w:val="22"/>
                </w:rPr>
                <w:t>https://mytsd.uwtsd.ac.uk</w:t>
              </w:r>
            </w:hyperlink>
            <w:r w:rsidRPr="00A42F82">
              <w:rPr>
                <w:rFonts w:cs="Arial"/>
                <w:bCs/>
                <w:sz w:val="22"/>
                <w:szCs w:val="22"/>
              </w:rPr>
              <w:t>).</w:t>
            </w:r>
          </w:p>
          <w:p w14:paraId="58018418" w14:textId="7777777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62AA7E3" w14:textId="691EC11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3D7CD9">
              <w:rPr>
                <w:rFonts w:cs="Arial"/>
                <w:bCs/>
                <w:sz w:val="22"/>
                <w:szCs w:val="22"/>
              </w:rPr>
              <w:t>This document is also available in Welsh.</w:t>
            </w:r>
          </w:p>
          <w:p w14:paraId="612A15C9" w14:textId="38EA5AB0" w:rsidR="004F5A06" w:rsidRPr="00AC4DCF"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tcPr>
          <w:p w14:paraId="43757C61" w14:textId="1D72E88D" w:rsidR="007C755A" w:rsidRPr="00A830D5" w:rsidRDefault="001D78B2" w:rsidP="003D2502">
            <w:pPr>
              <w:rPr>
                <w:rFonts w:cs="Arial"/>
                <w:sz w:val="22"/>
                <w:szCs w:val="22"/>
              </w:rPr>
            </w:pPr>
            <w:r>
              <w:rPr>
                <w:rFonts w:cs="Arial"/>
                <w:sz w:val="22"/>
                <w:szCs w:val="22"/>
              </w:rPr>
              <w:t>Lewis</w:t>
            </w: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tcPr>
          <w:p w14:paraId="0E14B460" w14:textId="45876A6F" w:rsidR="007C755A" w:rsidRPr="00A830D5" w:rsidRDefault="001D78B2" w:rsidP="003D2502">
            <w:pPr>
              <w:rPr>
                <w:rFonts w:cs="Arial"/>
                <w:sz w:val="22"/>
                <w:szCs w:val="22"/>
              </w:rPr>
            </w:pPr>
            <w:r>
              <w:rPr>
                <w:rFonts w:cs="Arial"/>
                <w:sz w:val="22"/>
                <w:szCs w:val="22"/>
              </w:rPr>
              <w:t>Esta</w:t>
            </w: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tcPr>
          <w:p w14:paraId="48500AF9" w14:textId="6DEC5595" w:rsidR="007C755A" w:rsidRPr="00A830D5" w:rsidRDefault="001D78B2" w:rsidP="003D2502">
            <w:pPr>
              <w:rPr>
                <w:rFonts w:cs="Arial"/>
                <w:sz w:val="22"/>
                <w:szCs w:val="22"/>
              </w:rPr>
            </w:pPr>
            <w:r>
              <w:rPr>
                <w:rFonts w:cs="Arial"/>
                <w:sz w:val="22"/>
                <w:szCs w:val="22"/>
              </w:rPr>
              <w:t>2005871</w:t>
            </w: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039290B4" w:rsidR="00682636" w:rsidRPr="00A830D5" w:rsidRDefault="001D78B2" w:rsidP="00682636">
            <w:pPr>
              <w:rPr>
                <w:rFonts w:cs="Arial"/>
                <w:sz w:val="22"/>
                <w:szCs w:val="22"/>
              </w:rPr>
            </w:pPr>
            <w:r>
              <w:rPr>
                <w:rFonts w:cs="Arial"/>
                <w:sz w:val="22"/>
                <w:szCs w:val="22"/>
              </w:rPr>
              <w:t>01/09/202</w:t>
            </w:r>
            <w:r w:rsidR="00531E63">
              <w:rPr>
                <w:rFonts w:cs="Arial"/>
                <w:sz w:val="22"/>
                <w:szCs w:val="22"/>
              </w:rPr>
              <w:t>5</w:t>
            </w:r>
          </w:p>
        </w:tc>
        <w:tc>
          <w:tcPr>
            <w:tcW w:w="2835" w:type="dxa"/>
            <w:shd w:val="clear" w:color="auto" w:fill="F2F2F2" w:themeFill="background1" w:themeFillShade="F2"/>
          </w:tcPr>
          <w:p w14:paraId="531A20AE" w14:textId="70938FA9" w:rsidR="00682636" w:rsidRPr="00A830D5" w:rsidRDefault="00CB652D" w:rsidP="00682636">
            <w:pPr>
              <w:rPr>
                <w:rFonts w:cs="Arial"/>
                <w:sz w:val="22"/>
                <w:szCs w:val="22"/>
              </w:rPr>
            </w:pPr>
            <w:r>
              <w:rPr>
                <w:rFonts w:cs="Arial"/>
                <w:sz w:val="22"/>
                <w:szCs w:val="22"/>
              </w:rPr>
              <w:t>End Date</w:t>
            </w:r>
          </w:p>
        </w:tc>
        <w:tc>
          <w:tcPr>
            <w:tcW w:w="2835" w:type="dxa"/>
          </w:tcPr>
          <w:p w14:paraId="02E52089" w14:textId="3C910B07" w:rsidR="00682636" w:rsidRPr="00A830D5" w:rsidRDefault="00531E63" w:rsidP="00682636">
            <w:pPr>
              <w:rPr>
                <w:rFonts w:cs="Arial"/>
                <w:sz w:val="22"/>
                <w:szCs w:val="22"/>
              </w:rPr>
            </w:pPr>
            <w:r>
              <w:rPr>
                <w:rFonts w:cs="Arial"/>
                <w:sz w:val="22"/>
                <w:szCs w:val="22"/>
              </w:rPr>
              <w:t>01/07/2031</w:t>
            </w:r>
          </w:p>
        </w:tc>
      </w:tr>
    </w:tbl>
    <w:p w14:paraId="26A96967" w14:textId="77777777" w:rsidR="00476944" w:rsidRDefault="00476944"/>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xml:space="preserve">, </w:t>
            </w:r>
            <w:proofErr w:type="spellStart"/>
            <w:r w:rsidR="0088683F" w:rsidRPr="00A830D5">
              <w:rPr>
                <w:rFonts w:cs="Arial"/>
                <w:szCs w:val="22"/>
              </w:rPr>
              <w:t>DProf</w:t>
            </w:r>
            <w:proofErr w:type="spellEnd"/>
            <w:r w:rsidR="0088683F" w:rsidRPr="00A830D5">
              <w:rPr>
                <w:rFonts w:cs="Arial"/>
                <w:szCs w:val="22"/>
              </w:rPr>
              <w:t>,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EndPr/>
            <w:sdtContent>
              <w:p w14:paraId="0F6A8570" w14:textId="3815E5A0" w:rsidR="003275B0" w:rsidRPr="00A830D5" w:rsidRDefault="0088683F" w:rsidP="00713F2E">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End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End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EndPr/>
          <w:sdtContent>
            <w:tc>
              <w:tcPr>
                <w:tcW w:w="1662" w:type="dxa"/>
              </w:tcPr>
              <w:p w14:paraId="70EDAF7C" w14:textId="53C33B03" w:rsidR="003275B0" w:rsidRPr="00A830D5" w:rsidRDefault="00531E63" w:rsidP="00713F2E">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End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End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End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E04FED">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1CD9B884" w14:textId="77777777" w:rsidR="00583A91" w:rsidRDefault="00583A91" w:rsidP="00E04FED">
            <w:pPr>
              <w:rPr>
                <w:b/>
                <w:bCs/>
              </w:rPr>
            </w:pPr>
          </w:p>
          <w:p w14:paraId="00C79107" w14:textId="03137770" w:rsidR="00660727" w:rsidRPr="00393C57" w:rsidRDefault="00583A91" w:rsidP="00E04FED">
            <w:pPr>
              <w:rPr>
                <w:rFonts w:asciiTheme="minorHAnsi" w:hAnsiTheme="minorHAnsi" w:cstheme="minorHAnsi"/>
                <w:sz w:val="24"/>
                <w:szCs w:val="24"/>
              </w:rPr>
            </w:pPr>
            <w:r w:rsidRPr="00393C57">
              <w:rPr>
                <w:rFonts w:asciiTheme="minorHAnsi" w:hAnsiTheme="minorHAnsi" w:cstheme="minorHAnsi"/>
                <w:sz w:val="24"/>
                <w:szCs w:val="24"/>
              </w:rPr>
              <w:t>How Does Heritage Education Influence the Preservation and Evolution of Welsh Identity Among Young People in Wales?</w:t>
            </w:r>
          </w:p>
          <w:p w14:paraId="657DE314" w14:textId="4CE073BF" w:rsidR="00583A91" w:rsidRPr="00583A91" w:rsidRDefault="00583A91" w:rsidP="00E04FED">
            <w:pPr>
              <w:rPr>
                <w:b/>
                <w:bCs/>
              </w:rPr>
            </w:pP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B5435" w:rsidRDefault="00660727" w:rsidP="00E04FED">
            <w:pPr>
              <w:rPr>
                <w:rFonts w:asciiTheme="minorHAnsi" w:hAnsiTheme="minorHAnsi" w:cstheme="minorHAnsi"/>
                <w:sz w:val="24"/>
                <w:szCs w:val="24"/>
              </w:rPr>
            </w:pPr>
            <w:r w:rsidRPr="00AB5435">
              <w:rPr>
                <w:rFonts w:asciiTheme="minorHAnsi" w:hAnsiTheme="minorHAnsi" w:cstheme="minorHAnsi"/>
                <w:sz w:val="24"/>
                <w:szCs w:val="24"/>
              </w:rPr>
              <w:t xml:space="preserve"> </w:t>
            </w:r>
          </w:p>
          <w:p w14:paraId="0911C9C7" w14:textId="77777777" w:rsidR="00660727" w:rsidRPr="00AB5435" w:rsidRDefault="00660727" w:rsidP="003E5663">
            <w:pPr>
              <w:rPr>
                <w:rFonts w:asciiTheme="minorHAnsi" w:hAnsiTheme="minorHAnsi" w:cstheme="minorHAnsi"/>
                <w:sz w:val="24"/>
                <w:szCs w:val="24"/>
              </w:rPr>
            </w:pPr>
            <w:r w:rsidRPr="00AB5435">
              <w:rPr>
                <w:rFonts w:asciiTheme="minorHAnsi" w:hAnsiTheme="minorHAnsi" w:cstheme="minorHAnsi"/>
                <w:sz w:val="24"/>
                <w:szCs w:val="24"/>
              </w:rPr>
              <w:t xml:space="preserve">Background &amp; </w:t>
            </w:r>
            <w:r w:rsidR="003E5663" w:rsidRPr="00AB5435">
              <w:rPr>
                <w:rFonts w:asciiTheme="minorHAnsi" w:hAnsiTheme="minorHAnsi" w:cstheme="minorHAnsi"/>
                <w:sz w:val="24"/>
                <w:szCs w:val="24"/>
              </w:rPr>
              <w:t>C</w:t>
            </w:r>
            <w:r w:rsidRPr="00AB5435">
              <w:rPr>
                <w:rFonts w:asciiTheme="minorHAnsi" w:hAnsiTheme="minorHAnsi" w:cstheme="minorHAnsi"/>
                <w:sz w:val="24"/>
                <w:szCs w:val="24"/>
              </w:rPr>
              <w:t>ontext (approx. 500 words)</w:t>
            </w:r>
          </w:p>
          <w:p w14:paraId="5179301E" w14:textId="0C32CBA1" w:rsidR="00430E87" w:rsidRPr="00AB5435" w:rsidRDefault="00430E87" w:rsidP="005419D3">
            <w:pPr>
              <w:rPr>
                <w:rFonts w:asciiTheme="minorHAnsi" w:hAnsiTheme="minorHAnsi" w:cstheme="minorHAnsi"/>
                <w:sz w:val="24"/>
                <w:szCs w:val="24"/>
              </w:rPr>
            </w:pPr>
          </w:p>
        </w:tc>
      </w:tr>
      <w:tr w:rsidR="00660727" w:rsidRPr="00A830D5" w14:paraId="31914861" w14:textId="77777777" w:rsidTr="00AC4DCF">
        <w:trPr>
          <w:trHeight w:val="397"/>
        </w:trPr>
        <w:tc>
          <w:tcPr>
            <w:tcW w:w="9781" w:type="dxa"/>
            <w:vAlign w:val="center"/>
          </w:tcPr>
          <w:p w14:paraId="440332DD" w14:textId="77777777" w:rsidR="00194399" w:rsidRPr="00AB5435" w:rsidRDefault="00194399" w:rsidP="00194399">
            <w:pPr>
              <w:rPr>
                <w:rFonts w:asciiTheme="minorHAnsi" w:hAnsiTheme="minorHAnsi" w:cstheme="minorHAnsi"/>
                <w:sz w:val="24"/>
                <w:szCs w:val="24"/>
              </w:rPr>
            </w:pPr>
          </w:p>
          <w:p w14:paraId="47EF0C25" w14:textId="0AE03185" w:rsidR="00194399" w:rsidRPr="00AB5435" w:rsidRDefault="00194399" w:rsidP="00194399">
            <w:pPr>
              <w:rPr>
                <w:rFonts w:asciiTheme="minorHAnsi" w:hAnsiTheme="minorHAnsi" w:cstheme="minorHAnsi"/>
                <w:sz w:val="24"/>
                <w:szCs w:val="24"/>
              </w:rPr>
            </w:pPr>
            <w:r w:rsidRPr="00AB5435">
              <w:rPr>
                <w:rFonts w:asciiTheme="minorHAnsi" w:hAnsiTheme="minorHAnsi" w:cstheme="minorHAnsi"/>
                <w:sz w:val="24"/>
                <w:szCs w:val="24"/>
              </w:rPr>
              <w:t xml:space="preserve">The relationship between heritage, identity and belonging has become increasingly important within Wales. Welsh identity has long been debated by academics who argue that national identity is shaped by a combination of historical, political, cultural and social influences rather than a single defining characteristic. Adamson suggests that ideas of nationhood in Wales have been influenced by class, political ideology and historical experience, while Balsom, Madgwick </w:t>
            </w:r>
            <w:r w:rsidRPr="00AB5435">
              <w:rPr>
                <w:rFonts w:asciiTheme="minorHAnsi" w:hAnsiTheme="minorHAnsi" w:cstheme="minorHAnsi"/>
                <w:sz w:val="24"/>
                <w:szCs w:val="24"/>
              </w:rPr>
              <w:lastRenderedPageBreak/>
              <w:t xml:space="preserve">and van Mechelen demonstrate that understandings of Welsh identity have significant social and political consequences.¹ </w:t>
            </w:r>
            <w:proofErr w:type="gramStart"/>
            <w:r w:rsidRPr="00AB5435">
              <w:rPr>
                <w:rFonts w:asciiTheme="minorHAnsi" w:hAnsiTheme="minorHAnsi" w:cstheme="minorHAnsi"/>
                <w:sz w:val="24"/>
                <w:szCs w:val="24"/>
              </w:rPr>
              <w:t>As</w:t>
            </w:r>
            <w:proofErr w:type="gramEnd"/>
            <w:r w:rsidRPr="00AB5435">
              <w:rPr>
                <w:rFonts w:asciiTheme="minorHAnsi" w:hAnsiTheme="minorHAnsi" w:cstheme="minorHAnsi"/>
                <w:sz w:val="24"/>
                <w:szCs w:val="24"/>
              </w:rPr>
              <w:t xml:space="preserve"> a result, Welshness cannot be considered a fixed concept but instead reflects a variety of experiences and perspectives that continue to evolve.</w:t>
            </w:r>
          </w:p>
          <w:p w14:paraId="35AFDF05" w14:textId="77777777" w:rsidR="00FD094B" w:rsidRPr="00AB5435" w:rsidRDefault="00FD094B" w:rsidP="00194399">
            <w:pPr>
              <w:rPr>
                <w:rFonts w:asciiTheme="minorHAnsi" w:hAnsiTheme="minorHAnsi" w:cstheme="minorHAnsi"/>
                <w:sz w:val="24"/>
                <w:szCs w:val="24"/>
              </w:rPr>
            </w:pPr>
          </w:p>
          <w:p w14:paraId="185341AE" w14:textId="504B4773" w:rsidR="00194399" w:rsidRPr="00AB5435" w:rsidRDefault="00194399" w:rsidP="00194399">
            <w:pPr>
              <w:rPr>
                <w:rFonts w:asciiTheme="minorHAnsi" w:hAnsiTheme="minorHAnsi" w:cstheme="minorHAnsi"/>
                <w:sz w:val="24"/>
                <w:szCs w:val="24"/>
                <w:vertAlign w:val="superscript"/>
              </w:rPr>
            </w:pPr>
            <w:r w:rsidRPr="00AB5435">
              <w:rPr>
                <w:rFonts w:asciiTheme="minorHAnsi" w:hAnsiTheme="minorHAnsi" w:cstheme="minorHAnsi"/>
                <w:sz w:val="24"/>
                <w:szCs w:val="24"/>
              </w:rPr>
              <w:t>Alongside these debates, heritage institutions have become increasingly important sites for public learning and cultural engagement. Museums, galleries and historic sites play a significant role in presenting narratives about the past and helping individuals connect with places, communities and cultural traditions. Falk and Dierking argue that museum learning is an active process in which visitors construct meanings through personal, social and environmental contexts rather than simply absorbing information.</w:t>
            </w:r>
            <w:r w:rsidR="005758DC" w:rsidRPr="00AB5435">
              <w:rPr>
                <w:rFonts w:asciiTheme="minorHAnsi" w:hAnsiTheme="minorHAnsi" w:cstheme="minorHAnsi"/>
                <w:sz w:val="24"/>
                <w:szCs w:val="24"/>
                <w:vertAlign w:val="superscript"/>
              </w:rPr>
              <w:t>2</w:t>
            </w:r>
            <w:r w:rsidR="005758DC" w:rsidRPr="00AB5435">
              <w:rPr>
                <w:rFonts w:asciiTheme="minorHAnsi" w:hAnsiTheme="minorHAnsi" w:cstheme="minorHAnsi"/>
                <w:sz w:val="24"/>
                <w:szCs w:val="24"/>
              </w:rPr>
              <w:t xml:space="preserve"> </w:t>
            </w:r>
            <w:r w:rsidRPr="00AB5435">
              <w:rPr>
                <w:rFonts w:asciiTheme="minorHAnsi" w:hAnsiTheme="minorHAnsi" w:cstheme="minorHAnsi"/>
                <w:sz w:val="24"/>
                <w:szCs w:val="24"/>
              </w:rPr>
              <w:t xml:space="preserve"> This perspective positions heritage organisations as spaces where individuals can engage critically with representations of history and culture. </w:t>
            </w:r>
            <w:proofErr w:type="spellStart"/>
            <w:r w:rsidRPr="00AB5435">
              <w:rPr>
                <w:rFonts w:asciiTheme="minorHAnsi" w:hAnsiTheme="minorHAnsi" w:cstheme="minorHAnsi"/>
                <w:sz w:val="24"/>
                <w:szCs w:val="24"/>
              </w:rPr>
              <w:t>Kemeza</w:t>
            </w:r>
            <w:proofErr w:type="spellEnd"/>
            <w:r w:rsidRPr="00AB5435">
              <w:rPr>
                <w:rFonts w:asciiTheme="minorHAnsi" w:hAnsiTheme="minorHAnsi" w:cstheme="minorHAnsi"/>
                <w:sz w:val="24"/>
                <w:szCs w:val="24"/>
              </w:rPr>
              <w:t xml:space="preserve"> further suggests that educational practice within galleries should encourage personal interpretation and individual meaning-making, allowing learners to relate heritage to their own experiences.</w:t>
            </w:r>
            <w:r w:rsidR="00182D79" w:rsidRPr="00AB5435">
              <w:rPr>
                <w:rFonts w:asciiTheme="minorHAnsi" w:hAnsiTheme="minorHAnsi" w:cstheme="minorHAnsi"/>
                <w:sz w:val="24"/>
                <w:szCs w:val="24"/>
                <w:vertAlign w:val="superscript"/>
              </w:rPr>
              <w:t>3</w:t>
            </w:r>
          </w:p>
          <w:p w14:paraId="06C3BBE6" w14:textId="77777777" w:rsidR="00182D79" w:rsidRPr="00AB5435" w:rsidRDefault="00182D79" w:rsidP="00194399">
            <w:pPr>
              <w:rPr>
                <w:rFonts w:asciiTheme="minorHAnsi" w:hAnsiTheme="minorHAnsi" w:cstheme="minorHAnsi"/>
                <w:sz w:val="24"/>
                <w:szCs w:val="24"/>
              </w:rPr>
            </w:pPr>
          </w:p>
          <w:p w14:paraId="4D0B80D5" w14:textId="6896A5D5" w:rsidR="00194399" w:rsidRPr="00AB5435" w:rsidRDefault="00194399" w:rsidP="00194399">
            <w:pPr>
              <w:rPr>
                <w:rFonts w:asciiTheme="minorHAnsi" w:hAnsiTheme="minorHAnsi" w:cstheme="minorHAnsi"/>
                <w:sz w:val="24"/>
                <w:szCs w:val="24"/>
              </w:rPr>
            </w:pPr>
            <w:r w:rsidRPr="00AB5435">
              <w:rPr>
                <w:rFonts w:asciiTheme="minorHAnsi" w:hAnsiTheme="minorHAnsi" w:cstheme="minorHAnsi"/>
                <w:sz w:val="24"/>
                <w:szCs w:val="24"/>
              </w:rPr>
              <w:t>Research in heritage and arts education also highlights the value of participation and dialogue in learning environments. Schlemmer, Carpenter and Hitchcock argue that socially engaged educational practices enable learners to reflect on social issues, citizenship and their relationship with wider communities.</w:t>
            </w:r>
            <w:r w:rsidR="00182D79" w:rsidRPr="00AB5435">
              <w:rPr>
                <w:rFonts w:asciiTheme="minorHAnsi" w:hAnsiTheme="minorHAnsi" w:cstheme="minorHAnsi"/>
                <w:sz w:val="24"/>
                <w:szCs w:val="24"/>
                <w:vertAlign w:val="superscript"/>
              </w:rPr>
              <w:t>4</w:t>
            </w:r>
            <w:r w:rsidR="00182D79" w:rsidRPr="00AB5435">
              <w:rPr>
                <w:rFonts w:asciiTheme="minorHAnsi" w:hAnsiTheme="minorHAnsi" w:cstheme="minorHAnsi"/>
                <w:sz w:val="24"/>
                <w:szCs w:val="24"/>
              </w:rPr>
              <w:t xml:space="preserve"> </w:t>
            </w:r>
            <w:r w:rsidRPr="00AB5435">
              <w:rPr>
                <w:rFonts w:asciiTheme="minorHAnsi" w:hAnsiTheme="minorHAnsi" w:cstheme="minorHAnsi"/>
                <w:sz w:val="24"/>
                <w:szCs w:val="24"/>
              </w:rPr>
              <w:t xml:space="preserve"> Such approaches are particularly relevant in Wales, where questions surrounding identity, belonging and cultural representation continue to be debated. Heritage education may therefore provide opportunities not only to learn about Welsh history but also to explore how Welshness is understood, challenged or reimagined.</w:t>
            </w:r>
          </w:p>
          <w:p w14:paraId="171C597D" w14:textId="77777777" w:rsidR="00182D79" w:rsidRPr="00AB5435" w:rsidRDefault="00182D79" w:rsidP="00194399">
            <w:pPr>
              <w:rPr>
                <w:rFonts w:asciiTheme="minorHAnsi" w:hAnsiTheme="minorHAnsi" w:cstheme="minorHAnsi"/>
                <w:sz w:val="24"/>
                <w:szCs w:val="24"/>
              </w:rPr>
            </w:pPr>
          </w:p>
          <w:p w14:paraId="4D5A564D" w14:textId="3C255D9A" w:rsidR="00194399" w:rsidRPr="00AB5435" w:rsidRDefault="00194399" w:rsidP="00194399">
            <w:pPr>
              <w:rPr>
                <w:rFonts w:asciiTheme="minorHAnsi" w:hAnsiTheme="minorHAnsi" w:cstheme="minorHAnsi"/>
                <w:sz w:val="24"/>
                <w:szCs w:val="24"/>
              </w:rPr>
            </w:pPr>
            <w:r w:rsidRPr="00AB5435">
              <w:rPr>
                <w:rFonts w:asciiTheme="minorHAnsi" w:hAnsiTheme="minorHAnsi" w:cstheme="minorHAnsi"/>
                <w:sz w:val="24"/>
                <w:szCs w:val="24"/>
              </w:rPr>
              <w:t>Existing literature further emphasises the importance of locality and community in the construction of Welsh identity. Roberts argues that identity is often rooted in local experiences and collective memories, particularly within former industrial communities.</w:t>
            </w:r>
            <w:r w:rsidR="00182D79" w:rsidRPr="00AB5435">
              <w:rPr>
                <w:rFonts w:asciiTheme="minorHAnsi" w:hAnsiTheme="minorHAnsi" w:cstheme="minorHAnsi"/>
                <w:sz w:val="24"/>
                <w:szCs w:val="24"/>
                <w:vertAlign w:val="superscript"/>
              </w:rPr>
              <w:t>5</w:t>
            </w:r>
            <w:r w:rsidRPr="00AB5435">
              <w:rPr>
                <w:rFonts w:asciiTheme="minorHAnsi" w:hAnsiTheme="minorHAnsi" w:cstheme="minorHAnsi"/>
                <w:sz w:val="24"/>
                <w:szCs w:val="24"/>
              </w:rPr>
              <w:t xml:space="preserve"> Thompson and Day similarly demonstrate that national identity is shaped through everyday experiences and connections to place, illustrating the close relationship between local and national forms of belonging.</w:t>
            </w:r>
            <w:r w:rsidR="004874CA" w:rsidRPr="00AB5435">
              <w:rPr>
                <w:rFonts w:asciiTheme="minorHAnsi" w:hAnsiTheme="minorHAnsi" w:cstheme="minorHAnsi"/>
                <w:sz w:val="24"/>
                <w:szCs w:val="24"/>
                <w:vertAlign w:val="superscript"/>
              </w:rPr>
              <w:t xml:space="preserve">6 </w:t>
            </w:r>
            <w:r w:rsidRPr="00AB5435">
              <w:rPr>
                <w:rFonts w:asciiTheme="minorHAnsi" w:hAnsiTheme="minorHAnsi" w:cstheme="minorHAnsi"/>
                <w:sz w:val="24"/>
                <w:szCs w:val="24"/>
              </w:rPr>
              <w:t>These findings suggest that heritage sites, which frequently interpret local histories and community narratives, may have an important role in shaping how young people understand Welsh identity.</w:t>
            </w:r>
          </w:p>
          <w:p w14:paraId="7D065E77" w14:textId="77777777" w:rsidR="004874CA" w:rsidRPr="00AB5435" w:rsidRDefault="004874CA" w:rsidP="00194399">
            <w:pPr>
              <w:rPr>
                <w:rFonts w:asciiTheme="minorHAnsi" w:hAnsiTheme="minorHAnsi" w:cstheme="minorHAnsi"/>
                <w:sz w:val="24"/>
                <w:szCs w:val="24"/>
              </w:rPr>
            </w:pPr>
          </w:p>
          <w:p w14:paraId="1DADA988" w14:textId="08DEA868" w:rsidR="00194399" w:rsidRPr="00AB5435" w:rsidRDefault="00194399" w:rsidP="00194399">
            <w:pPr>
              <w:rPr>
                <w:rFonts w:asciiTheme="minorHAnsi" w:hAnsiTheme="minorHAnsi" w:cstheme="minorHAnsi"/>
                <w:sz w:val="24"/>
                <w:szCs w:val="24"/>
              </w:rPr>
            </w:pPr>
            <w:r w:rsidRPr="00AB5435">
              <w:rPr>
                <w:rFonts w:asciiTheme="minorHAnsi" w:hAnsiTheme="minorHAnsi" w:cstheme="minorHAnsi"/>
                <w:sz w:val="24"/>
                <w:szCs w:val="24"/>
              </w:rPr>
              <w:t>Despite substantial research on museum learning, heritage interpretation</w:t>
            </w:r>
            <w:r w:rsidR="004874CA" w:rsidRPr="00AB5435">
              <w:rPr>
                <w:rFonts w:asciiTheme="minorHAnsi" w:hAnsiTheme="minorHAnsi" w:cstheme="minorHAnsi"/>
                <w:sz w:val="24"/>
                <w:szCs w:val="24"/>
              </w:rPr>
              <w:t>, and Welsh national identity, there remains limited investigation of the relationship among</w:t>
            </w:r>
            <w:r w:rsidRPr="00AB5435">
              <w:rPr>
                <w:rFonts w:asciiTheme="minorHAnsi" w:hAnsiTheme="minorHAnsi" w:cstheme="minorHAnsi"/>
                <w:sz w:val="24"/>
                <w:szCs w:val="24"/>
              </w:rPr>
              <w:t xml:space="preserve"> these fields. While scholars have explored how identities are formed and how heritage supports meaning-making, little research has examined how heritage education influences young people's perceptions of Welshness. This gap is significant because younger generations are developing identities within an increasingly diverse and multicultural Wales. Understanding whether heritage education reinforces traditional understandings of Welsh identity, encourages new interpretations, or simply provides a framework through which identities are expressed will contribute to both academic knowledge and professional practice. The research will therefore address an important gap in the literature by examining how heritage education contributes to the preservation, adaptation and evolution of Welsh identity among young people in contemporary Wales.</w:t>
            </w:r>
          </w:p>
          <w:p w14:paraId="2A4D8CEA" w14:textId="4683C4A9" w:rsidR="00194399" w:rsidRPr="00AB5435" w:rsidRDefault="00194399" w:rsidP="00194399">
            <w:pPr>
              <w:rPr>
                <w:rFonts w:asciiTheme="minorHAnsi" w:hAnsiTheme="minorHAnsi" w:cstheme="minorHAnsi"/>
                <w:sz w:val="24"/>
                <w:szCs w:val="24"/>
              </w:rPr>
            </w:pPr>
          </w:p>
          <w:p w14:paraId="7C23C3EC" w14:textId="77777777" w:rsidR="00194399" w:rsidRPr="00AB5435" w:rsidRDefault="00194399" w:rsidP="00194399">
            <w:pPr>
              <w:rPr>
                <w:rFonts w:asciiTheme="minorHAnsi" w:hAnsiTheme="minorHAnsi" w:cstheme="minorHAnsi"/>
                <w:b/>
                <w:bCs/>
                <w:sz w:val="24"/>
                <w:szCs w:val="24"/>
              </w:rPr>
            </w:pPr>
            <w:r w:rsidRPr="00AB5435">
              <w:rPr>
                <w:rFonts w:asciiTheme="minorHAnsi" w:hAnsiTheme="minorHAnsi" w:cstheme="minorHAnsi"/>
                <w:b/>
                <w:bCs/>
                <w:sz w:val="24"/>
                <w:szCs w:val="24"/>
              </w:rPr>
              <w:t>MHRA Footnotes</w:t>
            </w:r>
          </w:p>
          <w:p w14:paraId="0320298D" w14:textId="77777777" w:rsidR="00194399" w:rsidRPr="00AB5435" w:rsidRDefault="00194399" w:rsidP="00194399">
            <w:pPr>
              <w:numPr>
                <w:ilvl w:val="0"/>
                <w:numId w:val="24"/>
              </w:numPr>
              <w:rPr>
                <w:rFonts w:asciiTheme="minorHAnsi" w:hAnsiTheme="minorHAnsi" w:cstheme="minorHAnsi"/>
                <w:sz w:val="24"/>
                <w:szCs w:val="24"/>
              </w:rPr>
            </w:pPr>
            <w:r w:rsidRPr="00AB5435">
              <w:rPr>
                <w:rFonts w:asciiTheme="minorHAnsi" w:hAnsiTheme="minorHAnsi" w:cstheme="minorHAnsi"/>
                <w:sz w:val="24"/>
                <w:szCs w:val="24"/>
              </w:rPr>
              <w:lastRenderedPageBreak/>
              <w:t xml:space="preserve">David Adamson, </w:t>
            </w:r>
            <w:r w:rsidRPr="00AB5435">
              <w:rPr>
                <w:rFonts w:asciiTheme="minorHAnsi" w:hAnsiTheme="minorHAnsi" w:cstheme="minorHAnsi"/>
                <w:i/>
                <w:iCs/>
                <w:sz w:val="24"/>
                <w:szCs w:val="24"/>
              </w:rPr>
              <w:t>Class, Ideology and the Nation: A Theory of Welsh Nationalism</w:t>
            </w:r>
            <w:r w:rsidRPr="00AB5435">
              <w:rPr>
                <w:rFonts w:asciiTheme="minorHAnsi" w:hAnsiTheme="minorHAnsi" w:cstheme="minorHAnsi"/>
                <w:sz w:val="24"/>
                <w:szCs w:val="24"/>
              </w:rPr>
              <w:t xml:space="preserve"> (Cardiff: University of Wales Press, 1991); Denis Balsom, Peter Madgwick and Dien van Mechelen, ‘The Political Consequences of Welsh Identity’, </w:t>
            </w:r>
            <w:r w:rsidRPr="00AB5435">
              <w:rPr>
                <w:rFonts w:asciiTheme="minorHAnsi" w:hAnsiTheme="minorHAnsi" w:cstheme="minorHAnsi"/>
                <w:i/>
                <w:iCs/>
                <w:sz w:val="24"/>
                <w:szCs w:val="24"/>
              </w:rPr>
              <w:t>Ethnic and Racial Studies</w:t>
            </w:r>
            <w:r w:rsidRPr="00AB5435">
              <w:rPr>
                <w:rFonts w:asciiTheme="minorHAnsi" w:hAnsiTheme="minorHAnsi" w:cstheme="minorHAnsi"/>
                <w:sz w:val="24"/>
                <w:szCs w:val="24"/>
              </w:rPr>
              <w:t>, 7 (1984), 160-81.</w:t>
            </w:r>
          </w:p>
          <w:p w14:paraId="502AA309" w14:textId="77777777" w:rsidR="00194399" w:rsidRPr="00AB5435" w:rsidRDefault="00194399" w:rsidP="00194399">
            <w:pPr>
              <w:numPr>
                <w:ilvl w:val="0"/>
                <w:numId w:val="24"/>
              </w:numPr>
              <w:rPr>
                <w:rFonts w:asciiTheme="minorHAnsi" w:hAnsiTheme="minorHAnsi" w:cstheme="minorHAnsi"/>
                <w:sz w:val="24"/>
                <w:szCs w:val="24"/>
              </w:rPr>
            </w:pPr>
            <w:r w:rsidRPr="00AB5435">
              <w:rPr>
                <w:rFonts w:asciiTheme="minorHAnsi" w:hAnsiTheme="minorHAnsi" w:cstheme="minorHAnsi"/>
                <w:sz w:val="24"/>
                <w:szCs w:val="24"/>
              </w:rPr>
              <w:t xml:space="preserve">John H. Falk and Lynn D. Dierking, </w:t>
            </w:r>
            <w:r w:rsidRPr="00AB5435">
              <w:rPr>
                <w:rFonts w:asciiTheme="minorHAnsi" w:hAnsiTheme="minorHAnsi" w:cstheme="minorHAnsi"/>
                <w:i/>
                <w:iCs/>
                <w:sz w:val="24"/>
                <w:szCs w:val="24"/>
              </w:rPr>
              <w:t>Learning from Museums: Visitor Experiences and the Making of Meaning</w:t>
            </w:r>
            <w:r w:rsidRPr="00AB5435">
              <w:rPr>
                <w:rFonts w:asciiTheme="minorHAnsi" w:hAnsiTheme="minorHAnsi" w:cstheme="minorHAnsi"/>
                <w:sz w:val="24"/>
                <w:szCs w:val="24"/>
              </w:rPr>
              <w:t xml:space="preserve"> (Plymouth: Rowman and Littlefield Publishers Inc., 2000).</w:t>
            </w:r>
          </w:p>
          <w:p w14:paraId="55DC6D0E" w14:textId="339EF946" w:rsidR="00182D79" w:rsidRPr="00AB5435" w:rsidRDefault="00194399" w:rsidP="00182D79">
            <w:pPr>
              <w:numPr>
                <w:ilvl w:val="0"/>
                <w:numId w:val="24"/>
              </w:numPr>
              <w:rPr>
                <w:rFonts w:asciiTheme="minorHAnsi" w:hAnsiTheme="minorHAnsi" w:cstheme="minorHAnsi"/>
                <w:sz w:val="24"/>
                <w:szCs w:val="24"/>
              </w:rPr>
            </w:pPr>
            <w:r w:rsidRPr="00AB5435">
              <w:rPr>
                <w:rFonts w:asciiTheme="minorHAnsi" w:hAnsiTheme="minorHAnsi" w:cstheme="minorHAnsi"/>
                <w:sz w:val="24"/>
                <w:szCs w:val="24"/>
              </w:rPr>
              <w:t xml:space="preserve">Amy Briggs Kemeza, ‘Embracing Individualism and Encouraging Personal Style in Gallery Teaching’, </w:t>
            </w:r>
            <w:r w:rsidRPr="00AB5435">
              <w:rPr>
                <w:rFonts w:asciiTheme="minorHAnsi" w:hAnsiTheme="minorHAnsi" w:cstheme="minorHAnsi"/>
                <w:i/>
                <w:iCs/>
                <w:sz w:val="24"/>
                <w:szCs w:val="24"/>
              </w:rPr>
              <w:t>Journal of Museum Education</w:t>
            </w:r>
            <w:r w:rsidRPr="00AB5435">
              <w:rPr>
                <w:rFonts w:asciiTheme="minorHAnsi" w:hAnsiTheme="minorHAnsi" w:cstheme="minorHAnsi"/>
                <w:sz w:val="24"/>
                <w:szCs w:val="24"/>
              </w:rPr>
              <w:t>, 44.2 (2019), 147-54.</w:t>
            </w:r>
          </w:p>
          <w:p w14:paraId="147F9BA1" w14:textId="77777777" w:rsidR="00194399" w:rsidRPr="00AB5435" w:rsidRDefault="00194399" w:rsidP="00194399">
            <w:pPr>
              <w:numPr>
                <w:ilvl w:val="0"/>
                <w:numId w:val="24"/>
              </w:numPr>
              <w:rPr>
                <w:rFonts w:asciiTheme="minorHAnsi" w:hAnsiTheme="minorHAnsi" w:cstheme="minorHAnsi"/>
                <w:sz w:val="24"/>
                <w:szCs w:val="24"/>
              </w:rPr>
            </w:pPr>
            <w:r w:rsidRPr="00AB5435">
              <w:rPr>
                <w:rFonts w:asciiTheme="minorHAnsi" w:hAnsiTheme="minorHAnsi" w:cstheme="minorHAnsi"/>
                <w:sz w:val="24"/>
                <w:szCs w:val="24"/>
              </w:rPr>
              <w:t xml:space="preserve">Ross H. Schlemmer, B. Stephen Carpenter II and Erika Hitchcock, ‘Socially Engaged Art Education: Practices, Processes, and Possibilities’, </w:t>
            </w:r>
            <w:r w:rsidRPr="00AB5435">
              <w:rPr>
                <w:rFonts w:asciiTheme="minorHAnsi" w:hAnsiTheme="minorHAnsi" w:cstheme="minorHAnsi"/>
                <w:i/>
                <w:iCs/>
                <w:sz w:val="24"/>
                <w:szCs w:val="24"/>
              </w:rPr>
              <w:t>Art Education</w:t>
            </w:r>
            <w:r w:rsidRPr="00AB5435">
              <w:rPr>
                <w:rFonts w:asciiTheme="minorHAnsi" w:hAnsiTheme="minorHAnsi" w:cstheme="minorHAnsi"/>
                <w:sz w:val="24"/>
                <w:szCs w:val="24"/>
              </w:rPr>
              <w:t>, 70.4 (2017), 56-59.</w:t>
            </w:r>
          </w:p>
          <w:p w14:paraId="7E823638" w14:textId="77777777" w:rsidR="00194399" w:rsidRPr="00AB5435" w:rsidRDefault="00194399" w:rsidP="00194399">
            <w:pPr>
              <w:numPr>
                <w:ilvl w:val="0"/>
                <w:numId w:val="24"/>
              </w:numPr>
              <w:rPr>
                <w:rFonts w:asciiTheme="minorHAnsi" w:hAnsiTheme="minorHAnsi" w:cstheme="minorHAnsi"/>
                <w:sz w:val="24"/>
                <w:szCs w:val="24"/>
              </w:rPr>
            </w:pPr>
            <w:r w:rsidRPr="00AB5435">
              <w:rPr>
                <w:rFonts w:asciiTheme="minorHAnsi" w:hAnsiTheme="minorHAnsi" w:cstheme="minorHAnsi"/>
                <w:sz w:val="24"/>
                <w:szCs w:val="24"/>
              </w:rPr>
              <w:t xml:space="preserve">Brian Roberts, ‘Welsh Identity in a Former Mining Valley: Social Images and Imagined Communities’, in </w:t>
            </w:r>
            <w:r w:rsidRPr="00AB5435">
              <w:rPr>
                <w:rFonts w:asciiTheme="minorHAnsi" w:hAnsiTheme="minorHAnsi" w:cstheme="minorHAnsi"/>
                <w:i/>
                <w:iCs/>
                <w:sz w:val="24"/>
                <w:szCs w:val="24"/>
              </w:rPr>
              <w:t>Nation, Identity and Social Theory: Perspectives from Wales</w:t>
            </w:r>
            <w:r w:rsidRPr="00AB5435">
              <w:rPr>
                <w:rFonts w:asciiTheme="minorHAnsi" w:hAnsiTheme="minorHAnsi" w:cstheme="minorHAnsi"/>
                <w:sz w:val="24"/>
                <w:szCs w:val="24"/>
              </w:rPr>
              <w:t>, ed. by Richard Fevre and Andrew Thompson (Cardiff: University of Wales Press, 1999).</w:t>
            </w:r>
          </w:p>
          <w:p w14:paraId="6466EE2A" w14:textId="77777777" w:rsidR="00194399" w:rsidRPr="00AB5435" w:rsidRDefault="00194399" w:rsidP="00194399">
            <w:pPr>
              <w:numPr>
                <w:ilvl w:val="0"/>
                <w:numId w:val="24"/>
              </w:numPr>
              <w:rPr>
                <w:rFonts w:asciiTheme="minorHAnsi" w:hAnsiTheme="minorHAnsi" w:cstheme="minorHAnsi"/>
                <w:sz w:val="24"/>
                <w:szCs w:val="24"/>
              </w:rPr>
            </w:pPr>
            <w:r w:rsidRPr="00AB5435">
              <w:rPr>
                <w:rFonts w:asciiTheme="minorHAnsi" w:hAnsiTheme="minorHAnsi" w:cstheme="minorHAnsi"/>
                <w:sz w:val="24"/>
                <w:szCs w:val="24"/>
              </w:rPr>
              <w:t xml:space="preserve">Andrew Thompson and Graham Day, ‘Situating Welshness: "Local" Experience and National Identity’, in </w:t>
            </w:r>
            <w:r w:rsidRPr="00AB5435">
              <w:rPr>
                <w:rFonts w:asciiTheme="minorHAnsi" w:hAnsiTheme="minorHAnsi" w:cstheme="minorHAnsi"/>
                <w:i/>
                <w:iCs/>
                <w:sz w:val="24"/>
                <w:szCs w:val="24"/>
              </w:rPr>
              <w:t>Nation, Identity and Social Theory: Perspectives from Wales</w:t>
            </w:r>
            <w:r w:rsidRPr="00AB5435">
              <w:rPr>
                <w:rFonts w:asciiTheme="minorHAnsi" w:hAnsiTheme="minorHAnsi" w:cstheme="minorHAnsi"/>
                <w:sz w:val="24"/>
                <w:szCs w:val="24"/>
              </w:rPr>
              <w:t>, ed. by Richard Fevre and Andrew Thompson (Cardiff: University of Wales Press, 1999).</w:t>
            </w:r>
          </w:p>
          <w:p w14:paraId="4419EC76" w14:textId="77777777" w:rsidR="00660727" w:rsidRPr="00AB5435" w:rsidRDefault="00660727" w:rsidP="00AC4DCF">
            <w:pPr>
              <w:pStyle w:val="ListParagraph"/>
              <w:autoSpaceDE w:val="0"/>
              <w:autoSpaceDN w:val="0"/>
              <w:adjustRightInd w:val="0"/>
              <w:contextualSpacing/>
              <w:rPr>
                <w:rFonts w:asciiTheme="minorHAnsi" w:hAnsiTheme="minorHAnsi" w:cstheme="minorHAnsi"/>
                <w:sz w:val="24"/>
                <w:szCs w:val="24"/>
              </w:rPr>
            </w:pP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77777777" w:rsidR="00660727" w:rsidRPr="00A830D5" w:rsidRDefault="00660727" w:rsidP="00E04FED">
            <w:pPr>
              <w:rPr>
                <w:rFonts w:cs="Arial"/>
                <w:sz w:val="22"/>
                <w:szCs w:val="22"/>
              </w:rPr>
            </w:pPr>
            <w:r w:rsidRPr="00A830D5">
              <w:rPr>
                <w:rFonts w:cs="Arial"/>
                <w:sz w:val="22"/>
                <w:szCs w:val="22"/>
              </w:rPr>
              <w:t>Aims and Objectives (</w:t>
            </w:r>
            <w:proofErr w:type="gramStart"/>
            <w:r w:rsidRPr="00A830D5">
              <w:rPr>
                <w:rFonts w:cs="Arial"/>
                <w:sz w:val="22"/>
                <w:szCs w:val="22"/>
              </w:rPr>
              <w:t>approx..</w:t>
            </w:r>
            <w:proofErr w:type="gramEnd"/>
            <w:r w:rsidRPr="00A830D5">
              <w:rPr>
                <w:rFonts w:cs="Arial"/>
                <w:sz w:val="22"/>
                <w:szCs w:val="22"/>
              </w:rPr>
              <w:t xml:space="preserve"> 250 – 500 words)</w:t>
            </w:r>
          </w:p>
        </w:tc>
      </w:tr>
      <w:tr w:rsidR="00660727" w:rsidRPr="00A830D5" w14:paraId="72E64AFC" w14:textId="77777777" w:rsidTr="00AC4DCF">
        <w:trPr>
          <w:trHeight w:val="397"/>
        </w:trPr>
        <w:tc>
          <w:tcPr>
            <w:tcW w:w="9781" w:type="dxa"/>
            <w:vAlign w:val="center"/>
          </w:tcPr>
          <w:p w14:paraId="1040E07D" w14:textId="77777777" w:rsidR="000955AF" w:rsidRPr="00AB5435" w:rsidRDefault="000955AF" w:rsidP="000955AF">
            <w:pPr>
              <w:rPr>
                <w:rFonts w:asciiTheme="minorHAnsi" w:hAnsiTheme="minorHAnsi" w:cstheme="minorHAnsi"/>
                <w:b/>
                <w:bCs/>
                <w:sz w:val="24"/>
                <w:szCs w:val="24"/>
              </w:rPr>
            </w:pPr>
            <w:r w:rsidRPr="00AB5435">
              <w:rPr>
                <w:rFonts w:asciiTheme="minorHAnsi" w:hAnsiTheme="minorHAnsi" w:cstheme="minorHAnsi"/>
                <w:b/>
                <w:bCs/>
                <w:sz w:val="24"/>
                <w:szCs w:val="24"/>
              </w:rPr>
              <w:t>Aim</w:t>
            </w:r>
          </w:p>
          <w:p w14:paraId="23F0C4B3" w14:textId="77777777" w:rsidR="000955AF" w:rsidRPr="00AB5435" w:rsidRDefault="000955AF" w:rsidP="000955AF">
            <w:pPr>
              <w:rPr>
                <w:rFonts w:asciiTheme="minorHAnsi" w:hAnsiTheme="minorHAnsi" w:cstheme="minorHAnsi"/>
                <w:sz w:val="24"/>
                <w:szCs w:val="24"/>
              </w:rPr>
            </w:pPr>
            <w:r w:rsidRPr="00AB5435">
              <w:rPr>
                <w:rFonts w:asciiTheme="minorHAnsi" w:hAnsiTheme="minorHAnsi" w:cstheme="minorHAnsi"/>
                <w:sz w:val="24"/>
                <w:szCs w:val="24"/>
              </w:rPr>
              <w:t xml:space="preserve">To explore the role of heritage education in shaping young people's sense of identity and perceptions of Welshness and to investigate how heritage learning environments influence identity formation in Wales.  </w:t>
            </w:r>
          </w:p>
          <w:p w14:paraId="66B6BDB9" w14:textId="77777777" w:rsidR="000955AF" w:rsidRPr="00AB5435" w:rsidRDefault="000955AF" w:rsidP="000955AF">
            <w:pPr>
              <w:rPr>
                <w:rFonts w:asciiTheme="minorHAnsi" w:hAnsiTheme="minorHAnsi" w:cstheme="minorHAnsi"/>
                <w:sz w:val="24"/>
                <w:szCs w:val="24"/>
              </w:rPr>
            </w:pPr>
          </w:p>
          <w:p w14:paraId="14110276" w14:textId="77777777" w:rsidR="000955AF" w:rsidRPr="00AB5435" w:rsidRDefault="000955AF" w:rsidP="000955AF">
            <w:pPr>
              <w:rPr>
                <w:rFonts w:asciiTheme="minorHAnsi" w:hAnsiTheme="minorHAnsi" w:cstheme="minorHAnsi"/>
                <w:b/>
                <w:bCs/>
                <w:sz w:val="24"/>
                <w:szCs w:val="24"/>
              </w:rPr>
            </w:pPr>
            <w:r w:rsidRPr="00AB5435">
              <w:rPr>
                <w:rFonts w:asciiTheme="minorHAnsi" w:hAnsiTheme="minorHAnsi" w:cstheme="minorHAnsi"/>
                <w:b/>
                <w:bCs/>
                <w:sz w:val="24"/>
                <w:szCs w:val="24"/>
              </w:rPr>
              <w:t>Objectives</w:t>
            </w:r>
          </w:p>
          <w:p w14:paraId="6B9820D6" w14:textId="77777777" w:rsidR="000955AF" w:rsidRPr="00AB5435" w:rsidRDefault="000955AF" w:rsidP="000955AF">
            <w:pPr>
              <w:numPr>
                <w:ilvl w:val="0"/>
                <w:numId w:val="21"/>
              </w:numPr>
              <w:spacing w:after="160" w:line="278" w:lineRule="auto"/>
              <w:rPr>
                <w:rFonts w:asciiTheme="minorHAnsi" w:hAnsiTheme="minorHAnsi" w:cstheme="minorHAnsi"/>
                <w:sz w:val="24"/>
                <w:szCs w:val="24"/>
              </w:rPr>
            </w:pPr>
            <w:r w:rsidRPr="00AB5435">
              <w:rPr>
                <w:rFonts w:asciiTheme="minorHAnsi" w:hAnsiTheme="minorHAnsi" w:cstheme="minorHAnsi"/>
                <w:sz w:val="24"/>
                <w:szCs w:val="24"/>
              </w:rPr>
              <w:t>Analyse how heritage education theories are applied within Welsh heritage sites.</w:t>
            </w:r>
          </w:p>
          <w:p w14:paraId="4630A5E2" w14:textId="77777777" w:rsidR="000955AF" w:rsidRPr="00AB5435" w:rsidRDefault="000955AF" w:rsidP="000955AF">
            <w:pPr>
              <w:numPr>
                <w:ilvl w:val="0"/>
                <w:numId w:val="21"/>
              </w:numPr>
              <w:spacing w:after="160" w:line="278" w:lineRule="auto"/>
              <w:rPr>
                <w:rFonts w:asciiTheme="minorHAnsi" w:hAnsiTheme="minorHAnsi" w:cstheme="minorHAnsi"/>
                <w:sz w:val="24"/>
                <w:szCs w:val="24"/>
              </w:rPr>
            </w:pPr>
            <w:r w:rsidRPr="00AB5435">
              <w:rPr>
                <w:rFonts w:asciiTheme="minorHAnsi" w:hAnsiTheme="minorHAnsi" w:cstheme="minorHAnsi"/>
                <w:sz w:val="24"/>
                <w:szCs w:val="24"/>
              </w:rPr>
              <w:t>Explore young people's perceptions of Welsh identity and Welshness.</w:t>
            </w:r>
          </w:p>
          <w:p w14:paraId="5358978E" w14:textId="77777777" w:rsidR="000955AF" w:rsidRPr="00AB5435" w:rsidRDefault="000955AF" w:rsidP="000955AF">
            <w:pPr>
              <w:numPr>
                <w:ilvl w:val="0"/>
                <w:numId w:val="21"/>
              </w:numPr>
              <w:spacing w:after="160" w:line="278" w:lineRule="auto"/>
              <w:rPr>
                <w:rFonts w:asciiTheme="minorHAnsi" w:hAnsiTheme="minorHAnsi" w:cstheme="minorHAnsi"/>
                <w:sz w:val="24"/>
                <w:szCs w:val="24"/>
              </w:rPr>
            </w:pPr>
            <w:r w:rsidRPr="00AB5435">
              <w:rPr>
                <w:rFonts w:asciiTheme="minorHAnsi" w:hAnsiTheme="minorHAnsi" w:cstheme="minorHAnsi"/>
                <w:sz w:val="24"/>
                <w:szCs w:val="24"/>
              </w:rPr>
              <w:t>Examine whether young people adopt, reject, or reframe traditional identity narratives.</w:t>
            </w:r>
          </w:p>
          <w:p w14:paraId="08BB153B" w14:textId="77777777" w:rsidR="000955AF" w:rsidRPr="00AB5435" w:rsidRDefault="000955AF" w:rsidP="000955AF">
            <w:pPr>
              <w:numPr>
                <w:ilvl w:val="0"/>
                <w:numId w:val="21"/>
              </w:numPr>
              <w:spacing w:after="160" w:line="278" w:lineRule="auto"/>
              <w:rPr>
                <w:rFonts w:asciiTheme="minorHAnsi" w:hAnsiTheme="minorHAnsi" w:cstheme="minorHAnsi"/>
                <w:sz w:val="24"/>
                <w:szCs w:val="24"/>
              </w:rPr>
            </w:pPr>
            <w:r w:rsidRPr="00AB5435">
              <w:rPr>
                <w:rFonts w:asciiTheme="minorHAnsi" w:hAnsiTheme="minorHAnsi" w:cstheme="minorHAnsi"/>
                <w:sz w:val="24"/>
                <w:szCs w:val="24"/>
              </w:rPr>
              <w:t>Investigate how political, historical, and socio-economic heritage narratives influence identity formation.</w:t>
            </w:r>
          </w:p>
          <w:p w14:paraId="0C2A2877" w14:textId="77777777" w:rsidR="000955AF" w:rsidRPr="00AB5435" w:rsidRDefault="000955AF" w:rsidP="000955AF">
            <w:pPr>
              <w:numPr>
                <w:ilvl w:val="0"/>
                <w:numId w:val="21"/>
              </w:numPr>
              <w:spacing w:after="160" w:line="278" w:lineRule="auto"/>
              <w:rPr>
                <w:rFonts w:asciiTheme="minorHAnsi" w:hAnsiTheme="minorHAnsi" w:cstheme="minorHAnsi"/>
                <w:sz w:val="24"/>
                <w:szCs w:val="24"/>
              </w:rPr>
            </w:pPr>
            <w:r w:rsidRPr="00AB5435">
              <w:rPr>
                <w:rFonts w:asciiTheme="minorHAnsi" w:hAnsiTheme="minorHAnsi" w:cstheme="minorHAnsi"/>
                <w:sz w:val="24"/>
                <w:szCs w:val="24"/>
              </w:rPr>
              <w:t>Assess the role of Cynefin in supporting or potentially excluding diverse identities.</w:t>
            </w:r>
          </w:p>
          <w:p w14:paraId="485F2144" w14:textId="77777777" w:rsidR="000955AF" w:rsidRPr="00AB5435" w:rsidRDefault="000955AF" w:rsidP="000955AF">
            <w:pPr>
              <w:numPr>
                <w:ilvl w:val="0"/>
                <w:numId w:val="21"/>
              </w:numPr>
              <w:spacing w:after="160" w:line="278" w:lineRule="auto"/>
              <w:rPr>
                <w:rFonts w:asciiTheme="minorHAnsi" w:hAnsiTheme="minorHAnsi" w:cstheme="minorHAnsi"/>
                <w:sz w:val="24"/>
                <w:szCs w:val="24"/>
              </w:rPr>
            </w:pPr>
            <w:r w:rsidRPr="00AB5435">
              <w:rPr>
                <w:rFonts w:asciiTheme="minorHAnsi" w:hAnsiTheme="minorHAnsi" w:cstheme="minorHAnsi"/>
                <w:sz w:val="24"/>
                <w:szCs w:val="24"/>
              </w:rPr>
              <w:t xml:space="preserve">Provide recommendations for heritage education practice. </w:t>
            </w:r>
          </w:p>
          <w:p w14:paraId="0878AD99" w14:textId="77777777" w:rsidR="00660727" w:rsidRPr="00AB5435" w:rsidRDefault="00660727" w:rsidP="000955AF">
            <w:pPr>
              <w:autoSpaceDE w:val="0"/>
              <w:autoSpaceDN w:val="0"/>
              <w:adjustRightInd w:val="0"/>
              <w:contextualSpacing/>
              <w:rPr>
                <w:rFonts w:asciiTheme="minorHAnsi" w:hAnsiTheme="minorHAnsi" w:cstheme="minorHAnsi"/>
                <w:sz w:val="24"/>
                <w:szCs w:val="24"/>
              </w:rPr>
            </w:pPr>
          </w:p>
          <w:p w14:paraId="0B0CBE72" w14:textId="678999C1" w:rsidR="00743FB1" w:rsidRPr="00743FB1" w:rsidRDefault="00743FB1" w:rsidP="00743FB1">
            <w:pPr>
              <w:autoSpaceDE w:val="0"/>
              <w:autoSpaceDN w:val="0"/>
              <w:adjustRightInd w:val="0"/>
              <w:contextualSpacing/>
              <w:rPr>
                <w:rFonts w:asciiTheme="minorHAnsi" w:hAnsiTheme="minorHAnsi" w:cstheme="minorHAnsi"/>
                <w:sz w:val="24"/>
                <w:szCs w:val="24"/>
              </w:rPr>
            </w:pPr>
            <w:r w:rsidRPr="00743FB1">
              <w:rPr>
                <w:rFonts w:asciiTheme="minorHAnsi" w:hAnsiTheme="minorHAnsi" w:cstheme="minorHAnsi"/>
                <w:sz w:val="24"/>
                <w:szCs w:val="24"/>
              </w:rPr>
              <w:t xml:space="preserve">Together, these objectives will provide a comprehensive understanding of the relationship between heritage education and Welsh identity among young people in Wales. </w:t>
            </w:r>
            <w:r w:rsidR="00756402">
              <w:rPr>
                <w:rFonts w:asciiTheme="minorHAnsi" w:hAnsiTheme="minorHAnsi" w:cstheme="minorHAnsi"/>
                <w:sz w:val="24"/>
                <w:szCs w:val="24"/>
              </w:rPr>
              <w:t>This</w:t>
            </w:r>
            <w:r w:rsidRPr="00743FB1">
              <w:rPr>
                <w:rFonts w:asciiTheme="minorHAnsi" w:hAnsiTheme="minorHAnsi" w:cstheme="minorHAnsi"/>
                <w:sz w:val="24"/>
                <w:szCs w:val="24"/>
              </w:rPr>
              <w:t xml:space="preserve"> </w:t>
            </w:r>
            <w:r w:rsidR="00756402">
              <w:rPr>
                <w:rFonts w:asciiTheme="minorHAnsi" w:hAnsiTheme="minorHAnsi" w:cstheme="minorHAnsi"/>
                <w:sz w:val="24"/>
                <w:szCs w:val="24"/>
              </w:rPr>
              <w:t xml:space="preserve">is so that the </w:t>
            </w:r>
            <w:r w:rsidRPr="00743FB1">
              <w:rPr>
                <w:rFonts w:asciiTheme="minorHAnsi" w:hAnsiTheme="minorHAnsi" w:cstheme="minorHAnsi"/>
                <w:sz w:val="24"/>
                <w:szCs w:val="24"/>
              </w:rPr>
              <w:t xml:space="preserve">research </w:t>
            </w:r>
            <w:r w:rsidR="00756402">
              <w:rPr>
                <w:rFonts w:asciiTheme="minorHAnsi" w:hAnsiTheme="minorHAnsi" w:cstheme="minorHAnsi"/>
                <w:sz w:val="24"/>
                <w:szCs w:val="24"/>
              </w:rPr>
              <w:t xml:space="preserve">can </w:t>
            </w:r>
            <w:r w:rsidRPr="00743FB1">
              <w:rPr>
                <w:rFonts w:asciiTheme="minorHAnsi" w:hAnsiTheme="minorHAnsi" w:cstheme="minorHAnsi"/>
                <w:sz w:val="24"/>
                <w:szCs w:val="24"/>
              </w:rPr>
              <w:t xml:space="preserve">address </w:t>
            </w:r>
            <w:r w:rsidR="00756402">
              <w:rPr>
                <w:rFonts w:asciiTheme="minorHAnsi" w:hAnsiTheme="minorHAnsi" w:cstheme="minorHAnsi"/>
                <w:sz w:val="24"/>
                <w:szCs w:val="24"/>
              </w:rPr>
              <w:t>the</w:t>
            </w:r>
            <w:r w:rsidRPr="00743FB1">
              <w:rPr>
                <w:rFonts w:asciiTheme="minorHAnsi" w:hAnsiTheme="minorHAnsi" w:cstheme="minorHAnsi"/>
                <w:sz w:val="24"/>
                <w:szCs w:val="24"/>
              </w:rPr>
              <w:t xml:space="preserve"> gap in existing scholarship by examining how heritage learning environments influence perceptions of Welshness, belonging and identity formation. In doing so, it will contribute to academic debates surrounding heritage, education and national identity, while providing evidence that may support the development of more inclusive heritage learning practices across Wales.</w:t>
            </w:r>
          </w:p>
          <w:p w14:paraId="387B728D" w14:textId="351F63B5" w:rsidR="00AB5435" w:rsidRPr="000955AF" w:rsidRDefault="00AB5435" w:rsidP="000955AF">
            <w:pPr>
              <w:autoSpaceDE w:val="0"/>
              <w:autoSpaceDN w:val="0"/>
              <w:adjustRightInd w:val="0"/>
              <w:contextualSpacing/>
              <w:rPr>
                <w:rFonts w:cs="Arial"/>
                <w:sz w:val="22"/>
                <w:szCs w:val="22"/>
              </w:rPr>
            </w:pP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p w14:paraId="74ED2DBE" w14:textId="77777777" w:rsidR="00C74109" w:rsidRPr="00A830D5" w:rsidRDefault="00C74109" w:rsidP="00C74109">
            <w:pPr>
              <w:rPr>
                <w:rFonts w:cs="Arial"/>
                <w:i/>
                <w:sz w:val="22"/>
                <w:szCs w:val="22"/>
              </w:rPr>
            </w:pPr>
            <w:r w:rsidRPr="00A830D5">
              <w:rPr>
                <w:rFonts w:cs="Arial"/>
                <w:i/>
                <w:sz w:val="22"/>
                <w:szCs w:val="22"/>
              </w:rPr>
              <w:lastRenderedPageBreak/>
              <w:t>Proposed plan of work</w:t>
            </w:r>
          </w:p>
          <w:p w14:paraId="4A00C2B7" w14:textId="77777777" w:rsidR="00C74109" w:rsidRPr="00A830D5" w:rsidRDefault="00C74109" w:rsidP="00C74109">
            <w:pPr>
              <w:rPr>
                <w:rFonts w:cs="Arial"/>
                <w:sz w:val="22"/>
                <w:szCs w:val="22"/>
              </w:rPr>
            </w:pPr>
          </w:p>
          <w:p w14:paraId="1A3AC784" w14:textId="347785FC" w:rsidR="00C74109" w:rsidRPr="00A830D5" w:rsidRDefault="00C74109" w:rsidP="00C74109">
            <w:pPr>
              <w:rPr>
                <w:rFonts w:cs="Arial"/>
                <w:sz w:val="22"/>
                <w:szCs w:val="22"/>
              </w:rPr>
            </w:pPr>
            <w:r w:rsidRPr="00A830D5">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sidRPr="00A830D5">
              <w:rPr>
                <w:rFonts w:cs="Arial"/>
                <w:sz w:val="22"/>
                <w:szCs w:val="22"/>
              </w:rPr>
              <w:t>gantt</w:t>
            </w:r>
            <w:proofErr w:type="spellEnd"/>
            <w:r w:rsidRPr="00A830D5">
              <w:rPr>
                <w:rFonts w:cs="Arial"/>
                <w:sz w:val="22"/>
                <w:szCs w:val="22"/>
              </w:rPr>
              <w:t xml:space="preserve"> chart (for example)</w:t>
            </w:r>
          </w:p>
          <w:p w14:paraId="7CF22867" w14:textId="77777777" w:rsidR="00C74109" w:rsidRPr="00A830D5" w:rsidRDefault="00C74109" w:rsidP="00C74109">
            <w:pPr>
              <w:rPr>
                <w:rFonts w:cs="Arial"/>
                <w:sz w:val="22"/>
                <w:szCs w:val="22"/>
              </w:rPr>
            </w:pPr>
          </w:p>
          <w:p w14:paraId="7DC10DD9" w14:textId="2C8BF70A" w:rsidR="00D03BB7" w:rsidRDefault="00C74109" w:rsidP="00C74109">
            <w:pPr>
              <w:rPr>
                <w:rFonts w:cs="Arial"/>
                <w:sz w:val="22"/>
                <w:szCs w:val="22"/>
              </w:rPr>
            </w:pPr>
            <w:r w:rsidRPr="00A830D5">
              <w:rPr>
                <w:rFonts w:cs="Arial"/>
                <w:sz w:val="22"/>
                <w:szCs w:val="22"/>
              </w:rPr>
              <w:t xml:space="preserve">This plan should indicate that the research will be completed by the end of the </w:t>
            </w:r>
            <w:proofErr w:type="gramStart"/>
            <w:r w:rsidRPr="00A830D5">
              <w:rPr>
                <w:rFonts w:cs="Arial"/>
                <w:sz w:val="22"/>
                <w:szCs w:val="22"/>
              </w:rPr>
              <w:t>fee paying</w:t>
            </w:r>
            <w:proofErr w:type="gramEnd"/>
            <w:r w:rsidRPr="00A830D5">
              <w:rPr>
                <w:rFonts w:cs="Arial"/>
                <w:sz w:val="22"/>
                <w:szCs w:val="22"/>
              </w:rPr>
              <w:t xml:space="preserve"> period (the minimum period of candidature.</w:t>
            </w:r>
          </w:p>
          <w:p w14:paraId="41B59C7D" w14:textId="5FEB95BD" w:rsidR="00D03BB7" w:rsidRDefault="00D03BB7" w:rsidP="00C74109">
            <w:pPr>
              <w:rPr>
                <w:rFonts w:cs="Arial"/>
                <w:sz w:val="22"/>
                <w:szCs w:val="22"/>
              </w:rPr>
            </w:pPr>
          </w:p>
          <w:tbl>
            <w:tblPr>
              <w:tblStyle w:val="TableGrid"/>
              <w:tblW w:w="9555" w:type="dxa"/>
              <w:tblLook w:val="04A0" w:firstRow="1" w:lastRow="0" w:firstColumn="1" w:lastColumn="0" w:noHBand="0" w:noVBand="1"/>
            </w:tblPr>
            <w:tblGrid>
              <w:gridCol w:w="4777"/>
              <w:gridCol w:w="4778"/>
            </w:tblGrid>
            <w:tr w:rsidR="00E30FB4" w:rsidRPr="00E30FB4" w14:paraId="0020089C" w14:textId="77777777" w:rsidTr="00E30FB4">
              <w:tc>
                <w:tcPr>
                  <w:tcW w:w="4777" w:type="dxa"/>
                </w:tcPr>
                <w:p w14:paraId="1C1EAD3D" w14:textId="75AD2086" w:rsidR="00E30FB4" w:rsidRPr="00E30FB4" w:rsidRDefault="00E30FB4" w:rsidP="00C74109">
                  <w:pPr>
                    <w:rPr>
                      <w:rFonts w:asciiTheme="minorHAnsi" w:hAnsiTheme="minorHAnsi" w:cstheme="minorHAnsi"/>
                      <w:b/>
                      <w:bCs/>
                      <w:sz w:val="24"/>
                      <w:szCs w:val="24"/>
                    </w:rPr>
                  </w:pPr>
                  <w:r w:rsidRPr="00E30FB4">
                    <w:rPr>
                      <w:rFonts w:asciiTheme="minorHAnsi" w:hAnsiTheme="minorHAnsi" w:cstheme="minorHAnsi"/>
                      <w:b/>
                      <w:bCs/>
                      <w:sz w:val="24"/>
                      <w:szCs w:val="24"/>
                    </w:rPr>
                    <w:t>Planned Development (e.g. submission of form, completion of chapter, submission of thesis)</w:t>
                  </w:r>
                </w:p>
              </w:tc>
              <w:tc>
                <w:tcPr>
                  <w:tcW w:w="4778" w:type="dxa"/>
                </w:tcPr>
                <w:p w14:paraId="5FE8C6D0" w14:textId="6B4B2020" w:rsidR="00E30FB4" w:rsidRPr="00E30FB4" w:rsidRDefault="00E30FB4" w:rsidP="00C74109">
                  <w:pPr>
                    <w:rPr>
                      <w:rFonts w:asciiTheme="minorHAnsi" w:hAnsiTheme="minorHAnsi" w:cstheme="minorHAnsi"/>
                      <w:b/>
                      <w:bCs/>
                      <w:sz w:val="24"/>
                      <w:szCs w:val="24"/>
                    </w:rPr>
                  </w:pPr>
                  <w:r w:rsidRPr="00E30FB4">
                    <w:rPr>
                      <w:rFonts w:asciiTheme="minorHAnsi" w:hAnsiTheme="minorHAnsi" w:cstheme="minorHAnsi"/>
                      <w:b/>
                      <w:bCs/>
                      <w:sz w:val="24"/>
                      <w:szCs w:val="24"/>
                    </w:rPr>
                    <w:t>Target Date</w:t>
                  </w:r>
                </w:p>
              </w:tc>
            </w:tr>
            <w:tr w:rsidR="00E30FB4" w:rsidRPr="00E30FB4" w14:paraId="64372C61" w14:textId="77777777" w:rsidTr="00E30FB4">
              <w:tc>
                <w:tcPr>
                  <w:tcW w:w="4777" w:type="dxa"/>
                </w:tcPr>
                <w:p w14:paraId="67F7037D" w14:textId="4087500D" w:rsidR="00E30FB4" w:rsidRPr="00E30FB4" w:rsidRDefault="00E30FB4" w:rsidP="00C74109">
                  <w:pPr>
                    <w:rPr>
                      <w:rFonts w:asciiTheme="minorHAnsi" w:hAnsiTheme="minorHAnsi" w:cstheme="minorHAnsi"/>
                      <w:sz w:val="24"/>
                      <w:szCs w:val="24"/>
                    </w:rPr>
                  </w:pPr>
                  <w:r w:rsidRPr="00E30FB4">
                    <w:rPr>
                      <w:rFonts w:asciiTheme="minorHAnsi" w:hAnsiTheme="minorHAnsi" w:cstheme="minorHAnsi"/>
                      <w:sz w:val="24"/>
                      <w:szCs w:val="24"/>
                    </w:rPr>
                    <w:t>Submission of PG1</w:t>
                  </w:r>
                </w:p>
              </w:tc>
              <w:tc>
                <w:tcPr>
                  <w:tcW w:w="4778" w:type="dxa"/>
                </w:tcPr>
                <w:p w14:paraId="0A4DC2CF" w14:textId="01690A70" w:rsidR="00E30FB4" w:rsidRPr="00E30FB4" w:rsidRDefault="00E30FB4" w:rsidP="00C74109">
                  <w:pPr>
                    <w:rPr>
                      <w:rFonts w:asciiTheme="minorHAnsi" w:hAnsiTheme="minorHAnsi" w:cstheme="minorHAnsi"/>
                      <w:sz w:val="24"/>
                      <w:szCs w:val="24"/>
                    </w:rPr>
                  </w:pPr>
                  <w:r w:rsidRPr="00E30FB4">
                    <w:rPr>
                      <w:rFonts w:asciiTheme="minorHAnsi" w:hAnsiTheme="minorHAnsi" w:cstheme="minorHAnsi"/>
                      <w:sz w:val="24"/>
                      <w:szCs w:val="24"/>
                    </w:rPr>
                    <w:t>August 2026</w:t>
                  </w:r>
                </w:p>
              </w:tc>
            </w:tr>
            <w:tr w:rsidR="00E30FB4" w:rsidRPr="00E30FB4" w14:paraId="36650FF3" w14:textId="77777777" w:rsidTr="00E30FB4">
              <w:tc>
                <w:tcPr>
                  <w:tcW w:w="4777" w:type="dxa"/>
                </w:tcPr>
                <w:p w14:paraId="33AE7362" w14:textId="36286CFA"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Initial literature review and refinement of research questions</w:t>
                  </w:r>
                </w:p>
              </w:tc>
              <w:tc>
                <w:tcPr>
                  <w:tcW w:w="4778" w:type="dxa"/>
                  <w:vAlign w:val="center"/>
                </w:tcPr>
                <w:p w14:paraId="468D50E4" w14:textId="25CA5545"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September 2026 - March 2027</w:t>
                  </w:r>
                </w:p>
              </w:tc>
            </w:tr>
            <w:tr w:rsidR="00E30FB4" w:rsidRPr="00E30FB4" w14:paraId="1B757E2B" w14:textId="77777777" w:rsidTr="00E30FB4">
              <w:tc>
                <w:tcPr>
                  <w:tcW w:w="4777" w:type="dxa"/>
                </w:tcPr>
                <w:p w14:paraId="5E219DF0" w14:textId="7A795FE3"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Identification of theoretical framework and completion of detailed literature review</w:t>
                  </w:r>
                </w:p>
              </w:tc>
              <w:tc>
                <w:tcPr>
                  <w:tcW w:w="4778" w:type="dxa"/>
                </w:tcPr>
                <w:p w14:paraId="4AB4F706" w14:textId="26B935C4"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April - September 2027</w:t>
                  </w:r>
                </w:p>
              </w:tc>
            </w:tr>
            <w:tr w:rsidR="00E30FB4" w:rsidRPr="00E30FB4" w14:paraId="5338B337" w14:textId="77777777" w:rsidTr="00E30FB4">
              <w:tc>
                <w:tcPr>
                  <w:tcW w:w="4777" w:type="dxa"/>
                  <w:vAlign w:val="center"/>
                </w:tcPr>
                <w:p w14:paraId="0575FB0F" w14:textId="3EABC9E5"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Completion of Literature Review chapter (draft)</w:t>
                  </w:r>
                </w:p>
              </w:tc>
              <w:tc>
                <w:tcPr>
                  <w:tcW w:w="4778" w:type="dxa"/>
                </w:tcPr>
                <w:p w14:paraId="1A2D3436" w14:textId="266EFBD4"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September 2027</w:t>
                  </w:r>
                </w:p>
              </w:tc>
            </w:tr>
            <w:tr w:rsidR="00E30FB4" w:rsidRPr="00E30FB4" w14:paraId="6540A238" w14:textId="77777777" w:rsidTr="00E30FB4">
              <w:tc>
                <w:tcPr>
                  <w:tcW w:w="4777" w:type="dxa"/>
                  <w:vAlign w:val="center"/>
                </w:tcPr>
                <w:p w14:paraId="41401647" w14:textId="28C7BBA2"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Refinement of methodology and selection of case-study sites</w:t>
                  </w:r>
                </w:p>
              </w:tc>
              <w:tc>
                <w:tcPr>
                  <w:tcW w:w="4778" w:type="dxa"/>
                </w:tcPr>
                <w:p w14:paraId="52A37EB4" w14:textId="02AEFD44"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October 2027 - January 2028</w:t>
                  </w:r>
                </w:p>
              </w:tc>
            </w:tr>
            <w:tr w:rsidR="00E30FB4" w:rsidRPr="00E30FB4" w14:paraId="638CEA28" w14:textId="77777777" w:rsidTr="00E30FB4">
              <w:tc>
                <w:tcPr>
                  <w:tcW w:w="4777" w:type="dxa"/>
                </w:tcPr>
                <w:p w14:paraId="7B9C2E95" w14:textId="25A2489F"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Development of research instruments (interview schedules, questionnaires and observation frameworks)</w:t>
                  </w:r>
                </w:p>
              </w:tc>
              <w:tc>
                <w:tcPr>
                  <w:tcW w:w="4778" w:type="dxa"/>
                </w:tcPr>
                <w:p w14:paraId="31B40E14" w14:textId="097AB291"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January - March 2028</w:t>
                  </w:r>
                </w:p>
              </w:tc>
            </w:tr>
            <w:tr w:rsidR="00E30FB4" w:rsidRPr="00E30FB4" w14:paraId="39B3C519" w14:textId="77777777" w:rsidTr="00E30FB4">
              <w:tc>
                <w:tcPr>
                  <w:tcW w:w="4777" w:type="dxa"/>
                </w:tcPr>
                <w:p w14:paraId="0D673306" w14:textId="643EC1C8"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Ethics application and approval process</w:t>
                  </w:r>
                </w:p>
              </w:tc>
              <w:tc>
                <w:tcPr>
                  <w:tcW w:w="4778" w:type="dxa"/>
                </w:tcPr>
                <w:p w14:paraId="4B1D2F7E" w14:textId="38DA0ACE"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March - June 2028</w:t>
                  </w:r>
                </w:p>
              </w:tc>
            </w:tr>
            <w:tr w:rsidR="00E30FB4" w:rsidRPr="00E30FB4" w14:paraId="0C5FCD79" w14:textId="77777777" w:rsidTr="00E30FB4">
              <w:tc>
                <w:tcPr>
                  <w:tcW w:w="4777" w:type="dxa"/>
                </w:tcPr>
                <w:p w14:paraId="17226FC0" w14:textId="493A4E96"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Pilot study and refinement of methods</w:t>
                  </w:r>
                </w:p>
              </w:tc>
              <w:tc>
                <w:tcPr>
                  <w:tcW w:w="4778" w:type="dxa"/>
                </w:tcPr>
                <w:p w14:paraId="1F25E8C7" w14:textId="3C64AD9F"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June - July 2028</w:t>
                  </w:r>
                </w:p>
              </w:tc>
            </w:tr>
            <w:tr w:rsidR="00E30FB4" w:rsidRPr="00E30FB4" w14:paraId="6C7714C1" w14:textId="77777777" w:rsidTr="00E30FB4">
              <w:tc>
                <w:tcPr>
                  <w:tcW w:w="4777" w:type="dxa"/>
                </w:tcPr>
                <w:p w14:paraId="34FBE7A3" w14:textId="5C53783C"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Primary data collection (interviews, focus groups, questionnaires, observations and documentary analysis)</w:t>
                  </w:r>
                </w:p>
              </w:tc>
              <w:tc>
                <w:tcPr>
                  <w:tcW w:w="4778" w:type="dxa"/>
                </w:tcPr>
                <w:p w14:paraId="3EF2320E" w14:textId="61F1F2DD"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September 2028 - August 2029</w:t>
                  </w:r>
                </w:p>
              </w:tc>
            </w:tr>
            <w:tr w:rsidR="00E30FB4" w:rsidRPr="00E30FB4" w14:paraId="6C9EE000" w14:textId="77777777" w:rsidTr="00E30FB4">
              <w:tc>
                <w:tcPr>
                  <w:tcW w:w="4777" w:type="dxa"/>
                  <w:vAlign w:val="center"/>
                </w:tcPr>
                <w:p w14:paraId="0648B7F3" w14:textId="3404958E"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Completion of data collection</w:t>
                  </w:r>
                </w:p>
              </w:tc>
              <w:tc>
                <w:tcPr>
                  <w:tcW w:w="4778" w:type="dxa"/>
                </w:tcPr>
                <w:p w14:paraId="2EC592D6" w14:textId="3B21D7CE"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August 2029</w:t>
                  </w:r>
                </w:p>
              </w:tc>
            </w:tr>
            <w:tr w:rsidR="00E30FB4" w:rsidRPr="00E30FB4" w14:paraId="7CB2174B" w14:textId="46D621F2" w:rsidTr="00E30FB4">
              <w:tc>
                <w:tcPr>
                  <w:tcW w:w="4777" w:type="dxa"/>
                  <w:vAlign w:val="center"/>
                </w:tcPr>
                <w:p w14:paraId="551EF4DB" w14:textId="52C26A00"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Data transcription, coding and analysis</w:t>
                  </w:r>
                </w:p>
              </w:tc>
              <w:tc>
                <w:tcPr>
                  <w:tcW w:w="4778" w:type="dxa"/>
                </w:tcPr>
                <w:p w14:paraId="1FA449DB" w14:textId="031B5669"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September - December 2029</w:t>
                  </w:r>
                </w:p>
              </w:tc>
            </w:tr>
            <w:tr w:rsidR="00E30FB4" w:rsidRPr="00E30FB4" w14:paraId="103B6BD4" w14:textId="77777777" w:rsidTr="00E30FB4">
              <w:tc>
                <w:tcPr>
                  <w:tcW w:w="4777" w:type="dxa"/>
                  <w:vAlign w:val="center"/>
                </w:tcPr>
                <w:p w14:paraId="2E05684E" w14:textId="0D122680"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Completion of Methodology chapter</w:t>
                  </w:r>
                </w:p>
              </w:tc>
              <w:tc>
                <w:tcPr>
                  <w:tcW w:w="4778" w:type="dxa"/>
                </w:tcPr>
                <w:p w14:paraId="207F46CA" w14:textId="72A7B91D"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October 2029</w:t>
                  </w:r>
                </w:p>
              </w:tc>
            </w:tr>
            <w:tr w:rsidR="00E30FB4" w:rsidRPr="00E30FB4" w14:paraId="2A1918DE" w14:textId="77777777" w:rsidTr="00E30FB4">
              <w:tc>
                <w:tcPr>
                  <w:tcW w:w="4777" w:type="dxa"/>
                </w:tcPr>
                <w:p w14:paraId="3906F767" w14:textId="626EF5A8"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Draft Findings chapter(s)</w:t>
                  </w:r>
                </w:p>
              </w:tc>
              <w:tc>
                <w:tcPr>
                  <w:tcW w:w="4778" w:type="dxa"/>
                </w:tcPr>
                <w:p w14:paraId="5B4E06E1" w14:textId="49A74AEF"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January - March 2030</w:t>
                  </w:r>
                </w:p>
              </w:tc>
            </w:tr>
            <w:tr w:rsidR="00E30FB4" w:rsidRPr="00E30FB4" w14:paraId="0F208D8C" w14:textId="77777777" w:rsidTr="00E30FB4">
              <w:tc>
                <w:tcPr>
                  <w:tcW w:w="4777" w:type="dxa"/>
                </w:tcPr>
                <w:p w14:paraId="1C075819" w14:textId="40468BF5"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Draft Discussion chapter</w:t>
                  </w:r>
                </w:p>
              </w:tc>
              <w:tc>
                <w:tcPr>
                  <w:tcW w:w="4778" w:type="dxa"/>
                </w:tcPr>
                <w:p w14:paraId="60CB8920" w14:textId="2EC8050D"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April 2030</w:t>
                  </w:r>
                </w:p>
              </w:tc>
            </w:tr>
            <w:tr w:rsidR="00E30FB4" w:rsidRPr="00E30FB4" w14:paraId="369DC821" w14:textId="77777777" w:rsidTr="00E30FB4">
              <w:tc>
                <w:tcPr>
                  <w:tcW w:w="4777" w:type="dxa"/>
                </w:tcPr>
                <w:p w14:paraId="6AE948DD" w14:textId="5F74E9AE"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Draft Conclusion and Recommendations chapter</w:t>
                  </w:r>
                </w:p>
              </w:tc>
              <w:tc>
                <w:tcPr>
                  <w:tcW w:w="4778" w:type="dxa"/>
                </w:tcPr>
                <w:p w14:paraId="129D3482" w14:textId="6B7420B2"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May 2030</w:t>
                  </w:r>
                </w:p>
              </w:tc>
            </w:tr>
            <w:tr w:rsidR="00E30FB4" w:rsidRPr="00E30FB4" w14:paraId="5B302B69" w14:textId="77777777" w:rsidTr="00E30FB4">
              <w:tc>
                <w:tcPr>
                  <w:tcW w:w="4777" w:type="dxa"/>
                  <w:vAlign w:val="center"/>
                </w:tcPr>
                <w:p w14:paraId="6657984A" w14:textId="5256B902"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Complete full thesis draft submitted to supervisors</w:t>
                  </w:r>
                </w:p>
              </w:tc>
              <w:tc>
                <w:tcPr>
                  <w:tcW w:w="4778" w:type="dxa"/>
                </w:tcPr>
                <w:p w14:paraId="497A2B45" w14:textId="078E9876"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May 2030</w:t>
                  </w:r>
                </w:p>
              </w:tc>
            </w:tr>
            <w:tr w:rsidR="00E30FB4" w:rsidRPr="00E30FB4" w14:paraId="54374787" w14:textId="77777777" w:rsidTr="00E30FB4">
              <w:tc>
                <w:tcPr>
                  <w:tcW w:w="4777" w:type="dxa"/>
                </w:tcPr>
                <w:p w14:paraId="0A0227D8" w14:textId="01B7BF2C"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Revisions following supervisory feedback</w:t>
                  </w:r>
                </w:p>
              </w:tc>
              <w:tc>
                <w:tcPr>
                  <w:tcW w:w="4778" w:type="dxa"/>
                </w:tcPr>
                <w:p w14:paraId="0FBF4A36" w14:textId="0D63076A"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June 2030</w:t>
                  </w:r>
                </w:p>
              </w:tc>
            </w:tr>
            <w:tr w:rsidR="00E30FB4" w:rsidRPr="00E30FB4" w14:paraId="6B8D26FC" w14:textId="77777777" w:rsidTr="00E30FB4">
              <w:tc>
                <w:tcPr>
                  <w:tcW w:w="4777" w:type="dxa"/>
                  <w:vAlign w:val="center"/>
                </w:tcPr>
                <w:p w14:paraId="32177738" w14:textId="25244C36"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Final proofreading, formatting and preparation for submission</w:t>
                  </w:r>
                </w:p>
              </w:tc>
              <w:tc>
                <w:tcPr>
                  <w:tcW w:w="4778" w:type="dxa"/>
                </w:tcPr>
                <w:p w14:paraId="49456AA5" w14:textId="5B2ECA3C"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June - July 2030</w:t>
                  </w:r>
                </w:p>
              </w:tc>
            </w:tr>
            <w:tr w:rsidR="00E30FB4" w:rsidRPr="00E30FB4" w14:paraId="35F1156D" w14:textId="77777777" w:rsidTr="00E30FB4">
              <w:tc>
                <w:tcPr>
                  <w:tcW w:w="4777" w:type="dxa"/>
                  <w:vAlign w:val="center"/>
                </w:tcPr>
                <w:p w14:paraId="53AB13C6" w14:textId="7DBBF719"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Thesis submission</w:t>
                  </w:r>
                </w:p>
              </w:tc>
              <w:tc>
                <w:tcPr>
                  <w:tcW w:w="4778" w:type="dxa"/>
                </w:tcPr>
                <w:p w14:paraId="65226C2B" w14:textId="018AD11A" w:rsidR="00E30FB4" w:rsidRPr="00E30FB4" w:rsidRDefault="00E30FB4" w:rsidP="00E30FB4">
                  <w:pPr>
                    <w:rPr>
                      <w:rFonts w:asciiTheme="minorHAnsi" w:hAnsiTheme="minorHAnsi" w:cstheme="minorHAnsi"/>
                      <w:sz w:val="24"/>
                      <w:szCs w:val="24"/>
                    </w:rPr>
                  </w:pPr>
                  <w:r w:rsidRPr="00E30FB4">
                    <w:rPr>
                      <w:rFonts w:asciiTheme="minorHAnsi" w:hAnsiTheme="minorHAnsi" w:cstheme="minorHAnsi"/>
                      <w:sz w:val="24"/>
                      <w:szCs w:val="24"/>
                    </w:rPr>
                    <w:t>July 2030</w:t>
                  </w:r>
                </w:p>
              </w:tc>
            </w:tr>
          </w:tbl>
          <w:p w14:paraId="1660C1B3" w14:textId="7F30ED16" w:rsidR="00D03BB7" w:rsidRDefault="00D03BB7" w:rsidP="00C74109">
            <w:pPr>
              <w:rPr>
                <w:rFonts w:cs="Arial"/>
                <w:sz w:val="22"/>
                <w:szCs w:val="22"/>
              </w:rPr>
            </w:pPr>
          </w:p>
          <w:p w14:paraId="24FE5048" w14:textId="77777777" w:rsidR="00C74109" w:rsidRPr="00A830D5" w:rsidRDefault="00C74109" w:rsidP="00C74109">
            <w:pPr>
              <w:rPr>
                <w:rFonts w:cs="Arial"/>
                <w:sz w:val="22"/>
                <w:szCs w:val="22"/>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t>Proposed methodology (approx. 500 words):</w:t>
            </w:r>
          </w:p>
        </w:tc>
      </w:tr>
      <w:tr w:rsidR="00C74109" w:rsidRPr="00A830D5" w14:paraId="307117B5" w14:textId="77777777" w:rsidTr="00AC4DCF">
        <w:trPr>
          <w:trHeight w:val="397"/>
        </w:trPr>
        <w:tc>
          <w:tcPr>
            <w:tcW w:w="9781" w:type="dxa"/>
            <w:vAlign w:val="center"/>
          </w:tcPr>
          <w:p w14:paraId="00A39788" w14:textId="77777777" w:rsidR="003105FB" w:rsidRPr="00912BBC" w:rsidRDefault="003105FB" w:rsidP="00957D86">
            <w:pPr>
              <w:rPr>
                <w:rFonts w:asciiTheme="minorHAnsi" w:hAnsiTheme="minorHAnsi" w:cstheme="minorHAnsi"/>
                <w:sz w:val="24"/>
                <w:szCs w:val="24"/>
              </w:rPr>
            </w:pPr>
          </w:p>
          <w:p w14:paraId="4B4AB7B8" w14:textId="77777777" w:rsidR="00957D86" w:rsidRPr="00912BBC" w:rsidRDefault="00957D86" w:rsidP="00957D86">
            <w:pPr>
              <w:rPr>
                <w:rFonts w:asciiTheme="minorHAnsi" w:hAnsiTheme="minorHAnsi" w:cstheme="minorHAnsi"/>
                <w:sz w:val="24"/>
                <w:szCs w:val="24"/>
              </w:rPr>
            </w:pPr>
            <w:r w:rsidRPr="00912BBC">
              <w:rPr>
                <w:rFonts w:asciiTheme="minorHAnsi" w:hAnsiTheme="minorHAnsi" w:cstheme="minorHAnsi"/>
                <w:sz w:val="24"/>
                <w:szCs w:val="24"/>
              </w:rPr>
              <w:lastRenderedPageBreak/>
              <w:t xml:space="preserve">To achieve the </w:t>
            </w:r>
            <w:proofErr w:type="gramStart"/>
            <w:r w:rsidRPr="00912BBC">
              <w:rPr>
                <w:rFonts w:asciiTheme="minorHAnsi" w:hAnsiTheme="minorHAnsi" w:cstheme="minorHAnsi"/>
                <w:sz w:val="24"/>
                <w:szCs w:val="24"/>
              </w:rPr>
              <w:t>research</w:t>
            </w:r>
            <w:proofErr w:type="gramEnd"/>
            <w:r w:rsidRPr="00912BBC">
              <w:rPr>
                <w:rFonts w:asciiTheme="minorHAnsi" w:hAnsiTheme="minorHAnsi" w:cstheme="minorHAnsi"/>
                <w:sz w:val="24"/>
                <w:szCs w:val="24"/>
              </w:rPr>
              <w:t xml:space="preserve"> aim and objectives, the study will combine qualitative and quantitative methods alongside documentary analysis. This mixed methods design will enable both the collection of rich personal experiences and the identification of broader patterns relating to identity, belonging and engagement with heritage. The use of multiple methods will also facilitate triangulation, strengthening the validity and depth of the findings.</w:t>
            </w:r>
          </w:p>
          <w:p w14:paraId="71647D16" w14:textId="77777777" w:rsidR="00972158" w:rsidRPr="00912BBC" w:rsidRDefault="00972158" w:rsidP="00957D86">
            <w:pPr>
              <w:rPr>
                <w:rFonts w:asciiTheme="minorHAnsi" w:hAnsiTheme="minorHAnsi" w:cstheme="minorHAnsi"/>
                <w:sz w:val="24"/>
                <w:szCs w:val="24"/>
              </w:rPr>
            </w:pPr>
          </w:p>
          <w:p w14:paraId="0C76FE2A" w14:textId="77777777" w:rsidR="00957D86" w:rsidRPr="00912BBC" w:rsidRDefault="00957D86" w:rsidP="00957D86">
            <w:pPr>
              <w:rPr>
                <w:rFonts w:asciiTheme="minorHAnsi" w:hAnsiTheme="minorHAnsi" w:cstheme="minorHAnsi"/>
                <w:sz w:val="24"/>
                <w:szCs w:val="24"/>
              </w:rPr>
            </w:pPr>
            <w:r w:rsidRPr="00912BBC">
              <w:rPr>
                <w:rFonts w:asciiTheme="minorHAnsi" w:hAnsiTheme="minorHAnsi" w:cstheme="minorHAnsi"/>
                <w:sz w:val="24"/>
                <w:szCs w:val="24"/>
              </w:rPr>
              <w:t>The research will be conducted across a small number of carefully selected heritage organisations in Wales. Sites will be chosen on the basis that they actively engage with young people, have established education programmes and represent a range of heritage narratives, including industrial, cultural, social and historical perspectives. A case-study approach will allow for comparison between different heritage settings and educational practices while maintaining a manageable scope for doctoral research.</w:t>
            </w:r>
          </w:p>
          <w:p w14:paraId="53A2B180" w14:textId="77777777" w:rsidR="00972158" w:rsidRPr="00912BBC" w:rsidRDefault="00972158" w:rsidP="00957D86">
            <w:pPr>
              <w:rPr>
                <w:rFonts w:asciiTheme="minorHAnsi" w:hAnsiTheme="minorHAnsi" w:cstheme="minorHAnsi"/>
                <w:sz w:val="24"/>
                <w:szCs w:val="24"/>
              </w:rPr>
            </w:pPr>
          </w:p>
          <w:p w14:paraId="4C014F73" w14:textId="77777777" w:rsidR="00957D86" w:rsidRPr="00912BBC" w:rsidRDefault="00957D86" w:rsidP="00957D86">
            <w:pPr>
              <w:rPr>
                <w:rFonts w:asciiTheme="minorHAnsi" w:hAnsiTheme="minorHAnsi" w:cstheme="minorHAnsi"/>
                <w:sz w:val="24"/>
                <w:szCs w:val="24"/>
              </w:rPr>
            </w:pPr>
            <w:r w:rsidRPr="00912BBC">
              <w:rPr>
                <w:rFonts w:asciiTheme="minorHAnsi" w:hAnsiTheme="minorHAnsi" w:cstheme="minorHAnsi"/>
                <w:sz w:val="24"/>
                <w:szCs w:val="24"/>
              </w:rPr>
              <w:t>The primary participants will be young people aged approximately 11 to 18 who are taking part in heritage learning activities or visiting museums and heritage sites in Wales. Additional participants will include teachers and heritage learning practitioners involved in the planning and delivery of educational programmes. Semi-structured interviews will be undertaken with these groups to explore perceptions of Welsh identity, experiences of heritage learning and views on the relationship between heritage and belonging. The flexibility of semi-structured interviews will allow participants to discuss their experiences in their own terms whilst ensuring that key themes relevant to the research objectives are explored.</w:t>
            </w:r>
          </w:p>
          <w:p w14:paraId="11985BEC" w14:textId="77777777" w:rsidR="005D3308" w:rsidRPr="00912BBC" w:rsidRDefault="005D3308" w:rsidP="00957D86">
            <w:pPr>
              <w:rPr>
                <w:rFonts w:asciiTheme="minorHAnsi" w:hAnsiTheme="minorHAnsi" w:cstheme="minorHAnsi"/>
                <w:sz w:val="24"/>
                <w:szCs w:val="24"/>
              </w:rPr>
            </w:pPr>
          </w:p>
          <w:p w14:paraId="6951BF79" w14:textId="77777777" w:rsidR="00957D86" w:rsidRPr="00912BBC" w:rsidRDefault="00957D86" w:rsidP="00957D86">
            <w:pPr>
              <w:rPr>
                <w:rFonts w:asciiTheme="minorHAnsi" w:hAnsiTheme="minorHAnsi" w:cstheme="minorHAnsi"/>
                <w:sz w:val="24"/>
                <w:szCs w:val="24"/>
              </w:rPr>
            </w:pPr>
            <w:r w:rsidRPr="00912BBC">
              <w:rPr>
                <w:rFonts w:asciiTheme="minorHAnsi" w:hAnsiTheme="minorHAnsi" w:cstheme="minorHAnsi"/>
                <w:sz w:val="24"/>
                <w:szCs w:val="24"/>
              </w:rPr>
              <w:t>Focus groups with young people will provide opportunities to investigate how understandings of Welshness are discussed collectively. As identity is frequently shaped through social interaction, focus groups may reveal how young people negotiate, challenge or reinforce ideas of Welsh identity in discussion with their peers.</w:t>
            </w:r>
          </w:p>
          <w:p w14:paraId="002B76DA" w14:textId="77777777" w:rsidR="00957D86" w:rsidRPr="00912BBC" w:rsidRDefault="00957D86" w:rsidP="00957D86">
            <w:pPr>
              <w:rPr>
                <w:rFonts w:asciiTheme="minorHAnsi" w:hAnsiTheme="minorHAnsi" w:cstheme="minorHAnsi"/>
                <w:sz w:val="24"/>
                <w:szCs w:val="24"/>
              </w:rPr>
            </w:pPr>
            <w:r w:rsidRPr="00912BBC">
              <w:rPr>
                <w:rFonts w:asciiTheme="minorHAnsi" w:hAnsiTheme="minorHAnsi" w:cstheme="minorHAnsi"/>
                <w:sz w:val="24"/>
                <w:szCs w:val="24"/>
              </w:rPr>
              <w:t>Participant observation will form an important component of the study. Observation of heritage learning sessions will allow examination of how narratives of Welshness and belonging are communicated within educational activities. In addition, in-gallery observations will explore how young people interact with museum and heritage spaces more generally, including the exhibits, stories or objects that attract their attention, the routes they take through exhibitions and the ways they engage with interpretive content. These observations may provide valuable insight into which aspects of heritage resonate most strongly with young people and whether these interactions appear connected to expressions of identity or belonging.</w:t>
            </w:r>
          </w:p>
          <w:p w14:paraId="30F4C65B" w14:textId="77777777" w:rsidR="00A3020C" w:rsidRPr="00912BBC" w:rsidRDefault="00A3020C" w:rsidP="00957D86">
            <w:pPr>
              <w:rPr>
                <w:rFonts w:asciiTheme="minorHAnsi" w:hAnsiTheme="minorHAnsi" w:cstheme="minorHAnsi"/>
                <w:sz w:val="24"/>
                <w:szCs w:val="24"/>
              </w:rPr>
            </w:pPr>
          </w:p>
          <w:p w14:paraId="1E7B4045" w14:textId="77777777" w:rsidR="00957D86" w:rsidRPr="00912BBC" w:rsidRDefault="00957D86" w:rsidP="00957D86">
            <w:pPr>
              <w:rPr>
                <w:rFonts w:asciiTheme="minorHAnsi" w:hAnsiTheme="minorHAnsi" w:cstheme="minorHAnsi"/>
                <w:sz w:val="24"/>
                <w:szCs w:val="24"/>
              </w:rPr>
            </w:pPr>
            <w:r w:rsidRPr="00912BBC">
              <w:rPr>
                <w:rFonts w:asciiTheme="minorHAnsi" w:hAnsiTheme="minorHAnsi" w:cstheme="minorHAnsi"/>
                <w:sz w:val="24"/>
                <w:szCs w:val="24"/>
              </w:rPr>
              <w:t>Documentary analysis will complement these methods through the examination of learning materials, interpretation panels, education resources and organisational learning policies. This analysis will investigate how Welsh identity, heritage and concepts of belonging are represented within formal heritage education content and whether these narratives align with the experiences and perspectives reported by participants.</w:t>
            </w:r>
          </w:p>
          <w:p w14:paraId="41B9550E" w14:textId="77777777" w:rsidR="00A3020C" w:rsidRPr="00912BBC" w:rsidRDefault="00A3020C" w:rsidP="00957D86">
            <w:pPr>
              <w:rPr>
                <w:rFonts w:asciiTheme="minorHAnsi" w:hAnsiTheme="minorHAnsi" w:cstheme="minorHAnsi"/>
                <w:sz w:val="24"/>
                <w:szCs w:val="24"/>
              </w:rPr>
            </w:pPr>
          </w:p>
          <w:p w14:paraId="795D5DF2" w14:textId="77777777" w:rsidR="00957D86" w:rsidRPr="00912BBC" w:rsidRDefault="00957D86" w:rsidP="00957D86">
            <w:pPr>
              <w:rPr>
                <w:rFonts w:asciiTheme="minorHAnsi" w:hAnsiTheme="minorHAnsi" w:cstheme="minorHAnsi"/>
                <w:sz w:val="24"/>
                <w:szCs w:val="24"/>
              </w:rPr>
            </w:pPr>
            <w:r w:rsidRPr="00912BBC">
              <w:rPr>
                <w:rFonts w:asciiTheme="minorHAnsi" w:hAnsiTheme="minorHAnsi" w:cstheme="minorHAnsi"/>
                <w:sz w:val="24"/>
                <w:szCs w:val="24"/>
              </w:rPr>
              <w:t>To support the qualitative findings, questionnaires will be distributed to young participants to gather demographic information and identify broader trends relating to identity, heritage engagement and perceptions of Welshness. This quantitative element will provide contextual data that can be compared with interview, focus group and observational findings.</w:t>
            </w:r>
          </w:p>
          <w:p w14:paraId="530AE375" w14:textId="77777777" w:rsidR="00912BBC" w:rsidRPr="00912BBC" w:rsidRDefault="00912BBC" w:rsidP="00957D86">
            <w:pPr>
              <w:rPr>
                <w:rFonts w:asciiTheme="minorHAnsi" w:hAnsiTheme="minorHAnsi" w:cstheme="minorHAnsi"/>
                <w:sz w:val="24"/>
                <w:szCs w:val="24"/>
              </w:rPr>
            </w:pPr>
          </w:p>
          <w:p w14:paraId="0DEA1510" w14:textId="77777777" w:rsidR="00957D86" w:rsidRPr="00912BBC" w:rsidRDefault="00957D86" w:rsidP="00957D86">
            <w:pPr>
              <w:rPr>
                <w:rFonts w:asciiTheme="minorHAnsi" w:hAnsiTheme="minorHAnsi" w:cstheme="minorHAnsi"/>
                <w:sz w:val="24"/>
                <w:szCs w:val="24"/>
              </w:rPr>
            </w:pPr>
            <w:r w:rsidRPr="00912BBC">
              <w:rPr>
                <w:rFonts w:asciiTheme="minorHAnsi" w:hAnsiTheme="minorHAnsi" w:cstheme="minorHAnsi"/>
                <w:sz w:val="24"/>
                <w:szCs w:val="24"/>
              </w:rPr>
              <w:lastRenderedPageBreak/>
              <w:t>The project is considered feasible due to access to existing heritage education programmes, established museum and heritage-sector networks, and professional contacts developed through the researcher's current role. Data collection will utilise a manageable sample size and a combination of site visits and online interviews where appropriate. Ethical considerations will include university ethical approval, informed consent procedures, parental consent for younger participants where required, and measures to ensure anonymity and confidentiality. Potential challenges relating to participant access, school timetables and organisational permissions will be mitigated through early engagement with partner organisations and careful planning of fieldwork activities.</w:t>
            </w:r>
          </w:p>
          <w:p w14:paraId="0DE8A0E5" w14:textId="52695716" w:rsidR="00C74109" w:rsidRPr="00912BBC" w:rsidRDefault="00C74109" w:rsidP="00957D86">
            <w:pPr>
              <w:rPr>
                <w:rFonts w:asciiTheme="minorHAnsi" w:hAnsiTheme="minorHAnsi" w:cstheme="minorHAnsi"/>
                <w:sz w:val="24"/>
                <w:szCs w:val="24"/>
              </w:rPr>
            </w:pP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AC4DCF">
              <w:rPr>
                <w:rFonts w:cs="Arial"/>
                <w:sz w:val="22"/>
                <w:szCs w:val="22"/>
              </w:rPr>
              <w:lastRenderedPageBreak/>
              <w:t>Introductory bibliography:</w:t>
            </w:r>
          </w:p>
        </w:tc>
      </w:tr>
      <w:tr w:rsidR="00C74109" w:rsidRPr="00A830D5" w14:paraId="2AA28078" w14:textId="77777777" w:rsidTr="00AC4DCF">
        <w:trPr>
          <w:trHeight w:val="397"/>
        </w:trPr>
        <w:tc>
          <w:tcPr>
            <w:tcW w:w="9781" w:type="dxa"/>
            <w:vAlign w:val="center"/>
          </w:tcPr>
          <w:p w14:paraId="0DB06C05"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Adamson, D., </w:t>
            </w:r>
            <w:r w:rsidRPr="00AC7C3B">
              <w:rPr>
                <w:rFonts w:asciiTheme="minorHAnsi" w:hAnsiTheme="minorHAnsi" w:cstheme="minorHAnsi"/>
                <w:i/>
                <w:iCs/>
                <w:sz w:val="24"/>
                <w:szCs w:val="24"/>
              </w:rPr>
              <w:t>Class, Ideology and the Nation: A Theory of Welsh Nationalism</w:t>
            </w:r>
            <w:r w:rsidRPr="00AC7C3B">
              <w:rPr>
                <w:rFonts w:asciiTheme="minorHAnsi" w:hAnsiTheme="minorHAnsi" w:cstheme="minorHAnsi"/>
                <w:sz w:val="24"/>
                <w:szCs w:val="24"/>
              </w:rPr>
              <w:t xml:space="preserve"> (Cardiff: University of Wales Press), 1991.</w:t>
            </w:r>
          </w:p>
          <w:p w14:paraId="442CA540"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Anderson, Benedict, </w:t>
            </w:r>
            <w:r w:rsidRPr="00AC7C3B">
              <w:rPr>
                <w:rFonts w:asciiTheme="minorHAnsi" w:hAnsiTheme="minorHAnsi" w:cstheme="minorHAnsi"/>
                <w:i/>
                <w:iCs/>
                <w:sz w:val="24"/>
                <w:szCs w:val="24"/>
              </w:rPr>
              <w:t>Imagined Communities: Reflections on the Origin and Spread of Nationalism</w:t>
            </w:r>
            <w:r w:rsidRPr="00AC7C3B">
              <w:rPr>
                <w:rFonts w:asciiTheme="minorHAnsi" w:hAnsiTheme="minorHAnsi" w:cstheme="minorHAnsi"/>
                <w:sz w:val="24"/>
                <w:szCs w:val="24"/>
              </w:rPr>
              <w:t xml:space="preserve"> (London: Verso, 2006). </w:t>
            </w:r>
          </w:p>
          <w:p w14:paraId="7FCC733E"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Ashworth, Gregory J., Brian Graham and John E. Tunbridge, </w:t>
            </w:r>
            <w:r w:rsidRPr="00AC7C3B">
              <w:rPr>
                <w:rFonts w:asciiTheme="minorHAnsi" w:hAnsiTheme="minorHAnsi" w:cstheme="minorHAnsi"/>
                <w:i/>
                <w:iCs/>
                <w:sz w:val="24"/>
                <w:szCs w:val="24"/>
              </w:rPr>
              <w:t>A Geography of Heritage: Power, Culture and Economy</w:t>
            </w:r>
            <w:r w:rsidRPr="00AC7C3B">
              <w:rPr>
                <w:rFonts w:asciiTheme="minorHAnsi" w:hAnsiTheme="minorHAnsi" w:cstheme="minorHAnsi"/>
                <w:sz w:val="24"/>
                <w:szCs w:val="24"/>
              </w:rPr>
              <w:t xml:space="preserve"> (London: Arnold, 2000).</w:t>
            </w:r>
          </w:p>
          <w:p w14:paraId="616E2069"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Balsom, D., Madgwick, P., van Mechelen, D., ‘The Political Consequences of </w:t>
            </w:r>
            <w:proofErr w:type="spellStart"/>
            <w:r w:rsidRPr="00AC7C3B">
              <w:rPr>
                <w:rFonts w:asciiTheme="minorHAnsi" w:hAnsiTheme="minorHAnsi" w:cstheme="minorHAnsi"/>
                <w:sz w:val="24"/>
                <w:szCs w:val="24"/>
              </w:rPr>
              <w:t>WelshIdentity</w:t>
            </w:r>
            <w:proofErr w:type="spellEnd"/>
            <w:r w:rsidRPr="00AC7C3B">
              <w:rPr>
                <w:rFonts w:asciiTheme="minorHAnsi" w:hAnsiTheme="minorHAnsi" w:cstheme="minorHAnsi"/>
                <w:sz w:val="24"/>
                <w:szCs w:val="24"/>
              </w:rPr>
              <w:t xml:space="preserve">.’ </w:t>
            </w:r>
            <w:r w:rsidRPr="00AC7C3B">
              <w:rPr>
                <w:rFonts w:asciiTheme="minorHAnsi" w:hAnsiTheme="minorHAnsi" w:cstheme="minorHAnsi"/>
                <w:i/>
                <w:iCs/>
                <w:sz w:val="24"/>
                <w:szCs w:val="24"/>
              </w:rPr>
              <w:t>Ethnic and Racial Studies</w:t>
            </w:r>
            <w:r w:rsidRPr="00AC7C3B">
              <w:rPr>
                <w:rFonts w:asciiTheme="minorHAnsi" w:hAnsiTheme="minorHAnsi" w:cstheme="minorHAnsi"/>
                <w:sz w:val="24"/>
                <w:szCs w:val="24"/>
              </w:rPr>
              <w:t>, 7, 1984, pp. 160-81.</w:t>
            </w:r>
          </w:p>
          <w:p w14:paraId="58DE44F8"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Black, Graham, </w:t>
            </w:r>
            <w:r w:rsidRPr="00AC7C3B">
              <w:rPr>
                <w:rFonts w:asciiTheme="minorHAnsi" w:hAnsiTheme="minorHAnsi" w:cstheme="minorHAnsi"/>
                <w:i/>
                <w:iCs/>
                <w:sz w:val="24"/>
                <w:szCs w:val="24"/>
              </w:rPr>
              <w:t>The Engaging Museum: Developing Museums for Visitor Involvement</w:t>
            </w:r>
            <w:r w:rsidRPr="00AC7C3B">
              <w:rPr>
                <w:rFonts w:asciiTheme="minorHAnsi" w:hAnsiTheme="minorHAnsi" w:cstheme="minorHAnsi"/>
                <w:sz w:val="24"/>
                <w:szCs w:val="24"/>
              </w:rPr>
              <w:t xml:space="preserve"> (London: Routledge, 2005). </w:t>
            </w:r>
          </w:p>
          <w:p w14:paraId="6208BC5A"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Day, Graham, </w:t>
            </w:r>
            <w:r w:rsidRPr="00AC7C3B">
              <w:rPr>
                <w:rFonts w:asciiTheme="minorHAnsi" w:hAnsiTheme="minorHAnsi" w:cstheme="minorHAnsi"/>
                <w:i/>
                <w:iCs/>
                <w:sz w:val="24"/>
                <w:szCs w:val="24"/>
              </w:rPr>
              <w:t>Making Sense of Wales: A Sociological Perspective</w:t>
            </w:r>
            <w:r w:rsidRPr="00AC7C3B">
              <w:rPr>
                <w:rFonts w:asciiTheme="minorHAnsi" w:hAnsiTheme="minorHAnsi" w:cstheme="minorHAnsi"/>
                <w:sz w:val="24"/>
                <w:szCs w:val="24"/>
              </w:rPr>
              <w:t xml:space="preserve"> (Cardiff: University of Wales Press, 2002).</w:t>
            </w:r>
          </w:p>
          <w:p w14:paraId="042EB5DF"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Edwards, R., ‘</w:t>
            </w:r>
            <w:proofErr w:type="spellStart"/>
            <w:r w:rsidRPr="00AC7C3B">
              <w:rPr>
                <w:rFonts w:asciiTheme="minorHAnsi" w:hAnsiTheme="minorHAnsi" w:cstheme="minorHAnsi"/>
                <w:sz w:val="24"/>
                <w:szCs w:val="24"/>
              </w:rPr>
              <w:t>Everyday</w:t>
            </w:r>
            <w:proofErr w:type="spellEnd"/>
            <w:r w:rsidRPr="00AC7C3B">
              <w:rPr>
                <w:rFonts w:asciiTheme="minorHAnsi" w:hAnsiTheme="minorHAnsi" w:cstheme="minorHAnsi"/>
                <w:sz w:val="24"/>
                <w:szCs w:val="24"/>
              </w:rPr>
              <w:t xml:space="preserve">, When I Wake Up, I Thank the Lord I'm Welsh': Reading the Markers of Welsh Identity in 1990s Pop Music’, </w:t>
            </w:r>
            <w:r w:rsidRPr="00AC7C3B">
              <w:rPr>
                <w:rFonts w:asciiTheme="minorHAnsi" w:hAnsiTheme="minorHAnsi" w:cstheme="minorHAnsi"/>
                <w:i/>
                <w:iCs/>
                <w:sz w:val="24"/>
                <w:szCs w:val="24"/>
              </w:rPr>
              <w:t>Contemporary Wales</w:t>
            </w:r>
            <w:r w:rsidRPr="00AC7C3B">
              <w:rPr>
                <w:rFonts w:asciiTheme="minorHAnsi" w:hAnsiTheme="minorHAnsi" w:cstheme="minorHAnsi"/>
                <w:sz w:val="24"/>
                <w:szCs w:val="24"/>
              </w:rPr>
              <w:t>, 19 (1), 2007, pp. 142-160.</w:t>
            </w:r>
          </w:p>
          <w:p w14:paraId="0F03D214"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Edwards, Tesni Jones, ‘The Complexities of Welsh Identity’, </w:t>
            </w:r>
            <w:r w:rsidRPr="00AC7C3B">
              <w:rPr>
                <w:rFonts w:asciiTheme="minorHAnsi" w:hAnsiTheme="minorHAnsi" w:cstheme="minorHAnsi"/>
                <w:i/>
                <w:iCs/>
                <w:sz w:val="24"/>
                <w:szCs w:val="24"/>
              </w:rPr>
              <w:t>Arts and Culture</w:t>
            </w:r>
            <w:r w:rsidRPr="00AC7C3B">
              <w:rPr>
                <w:rFonts w:asciiTheme="minorHAnsi" w:hAnsiTheme="minorHAnsi" w:cstheme="minorHAnsi"/>
                <w:sz w:val="24"/>
                <w:szCs w:val="24"/>
              </w:rPr>
              <w:t xml:space="preserve">, 01/03/2023, Accessed online: </w:t>
            </w:r>
            <w:hyperlink r:id="rId12" w:history="1">
              <w:r w:rsidRPr="00AC7C3B">
                <w:rPr>
                  <w:rStyle w:val="Hyperlink"/>
                  <w:rFonts w:asciiTheme="minorHAnsi" w:hAnsiTheme="minorHAnsi" w:cstheme="minorHAnsi"/>
                  <w:color w:val="auto"/>
                  <w:sz w:val="24"/>
                  <w:szCs w:val="24"/>
                </w:rPr>
                <w:t>https://bylines.cymru/arts-and-culture/who-decides-the-complexities-of-welsh-identity/</w:t>
              </w:r>
            </w:hyperlink>
            <w:r w:rsidRPr="00AC7C3B">
              <w:rPr>
                <w:rFonts w:asciiTheme="minorHAnsi" w:hAnsiTheme="minorHAnsi" w:cstheme="minorHAnsi"/>
                <w:sz w:val="24"/>
                <w:szCs w:val="24"/>
              </w:rPr>
              <w:t xml:space="preserve"> [ Accessed 28/03/2025].</w:t>
            </w:r>
          </w:p>
          <w:p w14:paraId="209F073C"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Evans, Daniel ‘Welshness in British Wales: Negotiating national identity at the margins’, </w:t>
            </w:r>
            <w:r w:rsidRPr="00AC7C3B">
              <w:rPr>
                <w:rFonts w:asciiTheme="minorHAnsi" w:hAnsiTheme="minorHAnsi" w:cstheme="minorHAnsi"/>
                <w:i/>
                <w:iCs/>
                <w:sz w:val="24"/>
                <w:szCs w:val="24"/>
              </w:rPr>
              <w:t>Nations and Nationalism</w:t>
            </w:r>
            <w:r w:rsidRPr="00AC7C3B">
              <w:rPr>
                <w:rFonts w:asciiTheme="minorHAnsi" w:hAnsiTheme="minorHAnsi" w:cstheme="minorHAnsi"/>
                <w:sz w:val="24"/>
                <w:szCs w:val="24"/>
              </w:rPr>
              <w:t xml:space="preserve">, 25 (1), 2019, pp. 167-190. </w:t>
            </w:r>
          </w:p>
          <w:p w14:paraId="0FE54498"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Falk, John H. and Lynn D. Dierking</w:t>
            </w:r>
            <w:r w:rsidRPr="00AC7C3B">
              <w:rPr>
                <w:rFonts w:asciiTheme="minorHAnsi" w:hAnsiTheme="minorHAnsi" w:cstheme="minorHAnsi"/>
                <w:i/>
                <w:iCs/>
                <w:sz w:val="24"/>
                <w:szCs w:val="24"/>
              </w:rPr>
              <w:t>, Learning from Museums : Visitor Experiences and the Making of Meaning</w:t>
            </w:r>
            <w:r w:rsidRPr="00AC7C3B">
              <w:rPr>
                <w:rFonts w:asciiTheme="minorHAnsi" w:hAnsiTheme="minorHAnsi" w:cstheme="minorHAnsi"/>
                <w:sz w:val="24"/>
                <w:szCs w:val="24"/>
              </w:rPr>
              <w:t xml:space="preserve"> (Plymouth: Rowman and Littlefield Publishers INC), 2000.</w:t>
            </w:r>
          </w:p>
          <w:p w14:paraId="69852CBF"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Falk, John H., </w:t>
            </w:r>
            <w:r w:rsidRPr="00AC7C3B">
              <w:rPr>
                <w:rFonts w:asciiTheme="minorHAnsi" w:hAnsiTheme="minorHAnsi" w:cstheme="minorHAnsi"/>
                <w:i/>
                <w:iCs/>
                <w:sz w:val="24"/>
                <w:szCs w:val="24"/>
              </w:rPr>
              <w:t>Identity and the Museum Visitor Experience</w:t>
            </w:r>
            <w:r w:rsidRPr="00AC7C3B">
              <w:rPr>
                <w:rFonts w:asciiTheme="minorHAnsi" w:hAnsiTheme="minorHAnsi" w:cstheme="minorHAnsi"/>
                <w:sz w:val="24"/>
                <w:szCs w:val="24"/>
              </w:rPr>
              <w:t xml:space="preserve"> (Walnut Creek, CA: Left Coast Press, 2009).</w:t>
            </w:r>
          </w:p>
          <w:p w14:paraId="351277B3"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Fenton, S., ‘Indifference towards national identity: what young adults think about being English and British’, </w:t>
            </w:r>
            <w:r w:rsidRPr="00AC7C3B">
              <w:rPr>
                <w:rFonts w:asciiTheme="minorHAnsi" w:hAnsiTheme="minorHAnsi" w:cstheme="minorHAnsi"/>
                <w:i/>
                <w:iCs/>
                <w:sz w:val="24"/>
                <w:szCs w:val="24"/>
              </w:rPr>
              <w:t>Nations and Nationalism</w:t>
            </w:r>
            <w:r w:rsidRPr="00AC7C3B">
              <w:rPr>
                <w:rFonts w:asciiTheme="minorHAnsi" w:hAnsiTheme="minorHAnsi" w:cstheme="minorHAnsi"/>
                <w:sz w:val="24"/>
                <w:szCs w:val="24"/>
              </w:rPr>
              <w:t>, 2, 2007, pp. 321-339.</w:t>
            </w:r>
          </w:p>
          <w:p w14:paraId="2086DF7A"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Fevre, Ralph and Andrew Thompson (eds), </w:t>
            </w:r>
            <w:r w:rsidRPr="00AC7C3B">
              <w:rPr>
                <w:rFonts w:asciiTheme="minorHAnsi" w:hAnsiTheme="minorHAnsi" w:cstheme="minorHAnsi"/>
                <w:i/>
                <w:iCs/>
                <w:sz w:val="24"/>
                <w:szCs w:val="24"/>
              </w:rPr>
              <w:t>Nation, Identity and Social Theory: Perspectives from Wales</w:t>
            </w:r>
            <w:r w:rsidRPr="00AC7C3B">
              <w:rPr>
                <w:rFonts w:asciiTheme="minorHAnsi" w:hAnsiTheme="minorHAnsi" w:cstheme="minorHAnsi"/>
                <w:sz w:val="24"/>
                <w:szCs w:val="24"/>
              </w:rPr>
              <w:t xml:space="preserve"> (Cardiff: University of Wales Press, 1999).</w:t>
            </w:r>
          </w:p>
          <w:p w14:paraId="71380FCD"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Giddens, Anthony, </w:t>
            </w:r>
            <w:r w:rsidRPr="00AC7C3B">
              <w:rPr>
                <w:rFonts w:asciiTheme="minorHAnsi" w:hAnsiTheme="minorHAnsi" w:cstheme="minorHAnsi"/>
                <w:i/>
                <w:iCs/>
                <w:sz w:val="24"/>
                <w:szCs w:val="24"/>
              </w:rPr>
              <w:t>Modernity and Self-Identity</w:t>
            </w:r>
            <w:r w:rsidRPr="00AC7C3B">
              <w:rPr>
                <w:rFonts w:asciiTheme="minorHAnsi" w:hAnsiTheme="minorHAnsi" w:cstheme="minorHAnsi"/>
                <w:sz w:val="24"/>
                <w:szCs w:val="24"/>
              </w:rPr>
              <w:t xml:space="preserve"> (Cambridge: Polity Press, 1991).</w:t>
            </w:r>
          </w:p>
          <w:p w14:paraId="0EC32C6D"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proofErr w:type="spellStart"/>
            <w:r w:rsidRPr="00AC7C3B">
              <w:rPr>
                <w:rFonts w:asciiTheme="minorHAnsi" w:hAnsiTheme="minorHAnsi" w:cstheme="minorHAnsi"/>
                <w:sz w:val="24"/>
                <w:szCs w:val="24"/>
              </w:rPr>
              <w:t>Haesly</w:t>
            </w:r>
            <w:proofErr w:type="spellEnd"/>
            <w:r w:rsidRPr="00AC7C3B">
              <w:rPr>
                <w:rFonts w:asciiTheme="minorHAnsi" w:hAnsiTheme="minorHAnsi" w:cstheme="minorHAnsi"/>
                <w:sz w:val="24"/>
                <w:szCs w:val="24"/>
              </w:rPr>
              <w:t xml:space="preserve">, R., ‘Identifying Scotland and Wales: types of Scottish and Welsh national identities’, </w:t>
            </w:r>
            <w:r w:rsidRPr="00AC7C3B">
              <w:rPr>
                <w:rFonts w:asciiTheme="minorHAnsi" w:hAnsiTheme="minorHAnsi" w:cstheme="minorHAnsi"/>
                <w:i/>
                <w:iCs/>
                <w:sz w:val="24"/>
                <w:szCs w:val="24"/>
              </w:rPr>
              <w:t>Nations and Nationalism</w:t>
            </w:r>
            <w:r w:rsidRPr="00AC7C3B">
              <w:rPr>
                <w:rFonts w:asciiTheme="minorHAnsi" w:hAnsiTheme="minorHAnsi" w:cstheme="minorHAnsi"/>
                <w:sz w:val="24"/>
                <w:szCs w:val="24"/>
              </w:rPr>
              <w:t>, 11, 2005, pp. 243–263.</w:t>
            </w:r>
          </w:p>
          <w:p w14:paraId="708C1C4C"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lastRenderedPageBreak/>
              <w:t xml:space="preserve">Hall, Stuart, 'Cultural Identity and Diaspora', in </w:t>
            </w:r>
            <w:r w:rsidRPr="00AC7C3B">
              <w:rPr>
                <w:rFonts w:asciiTheme="minorHAnsi" w:hAnsiTheme="minorHAnsi" w:cstheme="minorHAnsi"/>
                <w:i/>
                <w:iCs/>
                <w:sz w:val="24"/>
                <w:szCs w:val="24"/>
              </w:rPr>
              <w:t>Identity: Community, Culture, Difference</w:t>
            </w:r>
            <w:r w:rsidRPr="00AC7C3B">
              <w:rPr>
                <w:rFonts w:asciiTheme="minorHAnsi" w:hAnsiTheme="minorHAnsi" w:cstheme="minorHAnsi"/>
                <w:sz w:val="24"/>
                <w:szCs w:val="24"/>
              </w:rPr>
              <w:t xml:space="preserve">, ed. by Jonathan Rutherford (London: Lawrence &amp; Wishart, 1990), pp. 222-37. </w:t>
            </w:r>
          </w:p>
          <w:p w14:paraId="4A26937C"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Harrison, Rodney, </w:t>
            </w:r>
            <w:r w:rsidRPr="00AC7C3B">
              <w:rPr>
                <w:rFonts w:asciiTheme="minorHAnsi" w:hAnsiTheme="minorHAnsi" w:cstheme="minorHAnsi"/>
                <w:i/>
                <w:iCs/>
                <w:sz w:val="24"/>
                <w:szCs w:val="24"/>
              </w:rPr>
              <w:t>Heritage: Critical Approaches</w:t>
            </w:r>
            <w:r w:rsidRPr="00AC7C3B">
              <w:rPr>
                <w:rFonts w:asciiTheme="minorHAnsi" w:hAnsiTheme="minorHAnsi" w:cstheme="minorHAnsi"/>
                <w:sz w:val="24"/>
                <w:szCs w:val="24"/>
              </w:rPr>
              <w:t xml:space="preserve"> (Abingdon: Routledge, 2013).</w:t>
            </w:r>
          </w:p>
          <w:p w14:paraId="44F4C9E6"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Hein, George E., </w:t>
            </w:r>
            <w:r w:rsidRPr="00AC7C3B">
              <w:rPr>
                <w:rFonts w:asciiTheme="minorHAnsi" w:hAnsiTheme="minorHAnsi" w:cstheme="minorHAnsi"/>
                <w:i/>
                <w:iCs/>
                <w:sz w:val="24"/>
                <w:szCs w:val="24"/>
              </w:rPr>
              <w:t>Learning in the Museum</w:t>
            </w:r>
            <w:r w:rsidRPr="00AC7C3B">
              <w:rPr>
                <w:rFonts w:asciiTheme="minorHAnsi" w:hAnsiTheme="minorHAnsi" w:cstheme="minorHAnsi"/>
                <w:sz w:val="24"/>
                <w:szCs w:val="24"/>
              </w:rPr>
              <w:t xml:space="preserve"> (London: Routledge, 1998). </w:t>
            </w:r>
          </w:p>
          <w:p w14:paraId="7DF24BD3"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Hooper-Greenhill, Eilean, </w:t>
            </w:r>
            <w:r w:rsidRPr="00AC7C3B">
              <w:rPr>
                <w:rFonts w:asciiTheme="minorHAnsi" w:hAnsiTheme="minorHAnsi" w:cstheme="minorHAnsi"/>
                <w:i/>
                <w:iCs/>
                <w:sz w:val="24"/>
                <w:szCs w:val="24"/>
              </w:rPr>
              <w:t>Museums and Education: Purpose, Pedagogy, Performance</w:t>
            </w:r>
            <w:r w:rsidRPr="00AC7C3B">
              <w:rPr>
                <w:rFonts w:asciiTheme="minorHAnsi" w:hAnsiTheme="minorHAnsi" w:cstheme="minorHAnsi"/>
                <w:sz w:val="24"/>
                <w:szCs w:val="24"/>
              </w:rPr>
              <w:t xml:space="preserve"> (Abingdon: Routledge, 2007). </w:t>
            </w:r>
          </w:p>
          <w:p w14:paraId="5353E499"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Hooper-Greenhill, Eilean, </w:t>
            </w:r>
            <w:r w:rsidRPr="00AC7C3B">
              <w:rPr>
                <w:rFonts w:asciiTheme="minorHAnsi" w:hAnsiTheme="minorHAnsi" w:cstheme="minorHAnsi"/>
                <w:i/>
                <w:iCs/>
                <w:sz w:val="24"/>
                <w:szCs w:val="24"/>
              </w:rPr>
              <w:t>The Educational Role of the Museum</w:t>
            </w:r>
            <w:r w:rsidRPr="00AC7C3B">
              <w:rPr>
                <w:rFonts w:asciiTheme="minorHAnsi" w:hAnsiTheme="minorHAnsi" w:cstheme="minorHAnsi"/>
                <w:sz w:val="24"/>
                <w:szCs w:val="24"/>
              </w:rPr>
              <w:t xml:space="preserve"> (London: Routledge, 1999). </w:t>
            </w:r>
          </w:p>
          <w:p w14:paraId="5475A0AA"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Jenkins, Richard, </w:t>
            </w:r>
            <w:r w:rsidRPr="00AC7C3B">
              <w:rPr>
                <w:rFonts w:asciiTheme="minorHAnsi" w:hAnsiTheme="minorHAnsi" w:cstheme="minorHAnsi"/>
                <w:i/>
                <w:iCs/>
                <w:sz w:val="24"/>
                <w:szCs w:val="24"/>
              </w:rPr>
              <w:t>Social Identity</w:t>
            </w:r>
            <w:r w:rsidRPr="00AC7C3B">
              <w:rPr>
                <w:rFonts w:asciiTheme="minorHAnsi" w:hAnsiTheme="minorHAnsi" w:cstheme="minorHAnsi"/>
                <w:sz w:val="24"/>
                <w:szCs w:val="24"/>
              </w:rPr>
              <w:t xml:space="preserve"> (London: Routledge, 2014). </w:t>
            </w:r>
          </w:p>
          <w:p w14:paraId="3FA186DB"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Jenkins, Sion, ‘Populist parties are on the rise in Europe, but how will this impact on the 2026 Senedd Elections?’, ITV Wales, March 2025, Available online: </w:t>
            </w:r>
            <w:hyperlink r:id="rId13" w:tgtFrame="_blank" w:history="1">
              <w:r w:rsidRPr="00AC7C3B">
                <w:rPr>
                  <w:rStyle w:val="Hyperlink"/>
                  <w:rFonts w:asciiTheme="minorHAnsi" w:hAnsiTheme="minorHAnsi" w:cstheme="minorHAnsi"/>
                  <w:color w:val="auto"/>
                  <w:sz w:val="24"/>
                  <w:szCs w:val="24"/>
                </w:rPr>
                <w:t>Populist parties are on the rise in Europe, but how will this impact on the 2026 Senedd Elections? | ITV News Wales</w:t>
              </w:r>
            </w:hyperlink>
            <w:r w:rsidRPr="00AC7C3B">
              <w:rPr>
                <w:rFonts w:asciiTheme="minorHAnsi" w:hAnsiTheme="minorHAnsi" w:cstheme="minorHAnsi"/>
                <w:sz w:val="24"/>
                <w:szCs w:val="24"/>
              </w:rPr>
              <w:t xml:space="preserve"> [Accessed 18/03/2025]. </w:t>
            </w:r>
          </w:p>
          <w:p w14:paraId="32BF4505"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Jones, Merfyn, </w:t>
            </w:r>
            <w:r w:rsidRPr="00AC7C3B">
              <w:rPr>
                <w:rFonts w:asciiTheme="minorHAnsi" w:hAnsiTheme="minorHAnsi" w:cstheme="minorHAnsi"/>
                <w:i/>
                <w:iCs/>
                <w:sz w:val="24"/>
                <w:szCs w:val="24"/>
              </w:rPr>
              <w:t>The North Wales Quarrymen 1874-1922</w:t>
            </w:r>
            <w:r w:rsidRPr="00AC7C3B">
              <w:rPr>
                <w:rFonts w:asciiTheme="minorHAnsi" w:hAnsiTheme="minorHAnsi" w:cstheme="minorHAnsi"/>
                <w:sz w:val="24"/>
                <w:szCs w:val="24"/>
              </w:rPr>
              <w:t xml:space="preserve"> (Cardiff: University of Wales Press, 1981) (useful for heritage and industrial identity).</w:t>
            </w:r>
          </w:p>
          <w:p w14:paraId="6EC792E7"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proofErr w:type="spellStart"/>
            <w:r w:rsidRPr="00AC7C3B">
              <w:rPr>
                <w:rFonts w:asciiTheme="minorHAnsi" w:hAnsiTheme="minorHAnsi" w:cstheme="minorHAnsi"/>
                <w:sz w:val="24"/>
                <w:szCs w:val="24"/>
              </w:rPr>
              <w:t>Kemeza</w:t>
            </w:r>
            <w:proofErr w:type="spellEnd"/>
            <w:r w:rsidRPr="00AC7C3B">
              <w:rPr>
                <w:rFonts w:asciiTheme="minorHAnsi" w:hAnsiTheme="minorHAnsi" w:cstheme="minorHAnsi"/>
                <w:sz w:val="24"/>
                <w:szCs w:val="24"/>
              </w:rPr>
              <w:t xml:space="preserve">, Amy Briggs, ‘Embracing Individualism and Encouraging Personal Style in Gallery Teaching’, </w:t>
            </w:r>
            <w:r w:rsidRPr="00AC7C3B">
              <w:rPr>
                <w:rFonts w:asciiTheme="minorHAnsi" w:hAnsiTheme="minorHAnsi" w:cstheme="minorHAnsi"/>
                <w:i/>
                <w:iCs/>
                <w:sz w:val="24"/>
                <w:szCs w:val="24"/>
              </w:rPr>
              <w:t>Journal of Museums Education</w:t>
            </w:r>
            <w:r w:rsidRPr="00AC7C3B">
              <w:rPr>
                <w:rFonts w:asciiTheme="minorHAnsi" w:hAnsiTheme="minorHAnsi" w:cstheme="minorHAnsi"/>
                <w:sz w:val="24"/>
                <w:szCs w:val="24"/>
              </w:rPr>
              <w:t>, 44 (2), pp. 147-154.</w:t>
            </w:r>
          </w:p>
          <w:p w14:paraId="795B89B2"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Macdonald, Sharon, </w:t>
            </w:r>
            <w:proofErr w:type="spellStart"/>
            <w:r w:rsidRPr="00AC7C3B">
              <w:rPr>
                <w:rFonts w:asciiTheme="minorHAnsi" w:hAnsiTheme="minorHAnsi" w:cstheme="minorHAnsi"/>
                <w:i/>
                <w:iCs/>
                <w:sz w:val="24"/>
                <w:szCs w:val="24"/>
              </w:rPr>
              <w:t>Memorylands</w:t>
            </w:r>
            <w:proofErr w:type="spellEnd"/>
            <w:r w:rsidRPr="00AC7C3B">
              <w:rPr>
                <w:rFonts w:asciiTheme="minorHAnsi" w:hAnsiTheme="minorHAnsi" w:cstheme="minorHAnsi"/>
                <w:i/>
                <w:iCs/>
                <w:sz w:val="24"/>
                <w:szCs w:val="24"/>
              </w:rPr>
              <w:t>: Heritage and Identity in Europe Today</w:t>
            </w:r>
            <w:r w:rsidRPr="00AC7C3B">
              <w:rPr>
                <w:rFonts w:asciiTheme="minorHAnsi" w:hAnsiTheme="minorHAnsi" w:cstheme="minorHAnsi"/>
                <w:sz w:val="24"/>
                <w:szCs w:val="24"/>
              </w:rPr>
              <w:t xml:space="preserve"> (Abingdon: Routledge, 2013).</w:t>
            </w:r>
          </w:p>
          <w:p w14:paraId="47BE7384"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Matthews, Bob and Liz Ross, Research Methods: A Practical Guide for the Social Sciences (Essex: Pearson Education Limited), 2010.</w:t>
            </w:r>
          </w:p>
          <w:p w14:paraId="7062608C"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Roberts, B., ‘Welsh Identity in a Former Mining Valley: Social Images and Imagined Communities’. In Fevre, R &amp; Thompson, A (eds). </w:t>
            </w:r>
            <w:r w:rsidRPr="00AC7C3B">
              <w:rPr>
                <w:rFonts w:asciiTheme="minorHAnsi" w:hAnsiTheme="minorHAnsi" w:cstheme="minorHAnsi"/>
                <w:i/>
                <w:iCs/>
                <w:sz w:val="24"/>
                <w:szCs w:val="24"/>
              </w:rPr>
              <w:t>Nation, Identity and &amp; Social Theory: Perspectives from Wales</w:t>
            </w:r>
            <w:r w:rsidRPr="00AC7C3B">
              <w:rPr>
                <w:rFonts w:asciiTheme="minorHAnsi" w:hAnsiTheme="minorHAnsi" w:cstheme="minorHAnsi"/>
                <w:sz w:val="24"/>
                <w:szCs w:val="24"/>
              </w:rPr>
              <w:t xml:space="preserve"> (Cardiff: University of Wales Press), 1999.</w:t>
            </w:r>
          </w:p>
          <w:p w14:paraId="091ED3A6"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Schlemmer, Ross H., B. Stephen Carpenter II &amp; Erika Hitchcock, ‘Socially Engaged Art Education: Practices, Processes, and Possibilities’, </w:t>
            </w:r>
            <w:r w:rsidRPr="00AC7C3B">
              <w:rPr>
                <w:rFonts w:asciiTheme="minorHAnsi" w:hAnsiTheme="minorHAnsi" w:cstheme="minorHAnsi"/>
                <w:i/>
                <w:iCs/>
                <w:sz w:val="24"/>
                <w:szCs w:val="24"/>
              </w:rPr>
              <w:t>Art Education</w:t>
            </w:r>
            <w:r w:rsidRPr="00AC7C3B">
              <w:rPr>
                <w:rFonts w:asciiTheme="minorHAnsi" w:hAnsiTheme="minorHAnsi" w:cstheme="minorHAnsi"/>
                <w:sz w:val="24"/>
                <w:szCs w:val="24"/>
              </w:rPr>
              <w:t>, 70:4, 2017, pp. 56-59.</w:t>
            </w:r>
          </w:p>
          <w:p w14:paraId="7EAA3349"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Schofield, Emma, ‘Denial and Demise?’, </w:t>
            </w:r>
            <w:r w:rsidRPr="00AC7C3B">
              <w:rPr>
                <w:rFonts w:asciiTheme="minorHAnsi" w:hAnsiTheme="minorHAnsi" w:cstheme="minorHAnsi"/>
                <w:i/>
                <w:iCs/>
                <w:sz w:val="24"/>
                <w:szCs w:val="24"/>
              </w:rPr>
              <w:t>Third Text</w:t>
            </w:r>
            <w:r w:rsidRPr="00AC7C3B">
              <w:rPr>
                <w:rFonts w:asciiTheme="minorHAnsi" w:hAnsiTheme="minorHAnsi" w:cstheme="minorHAnsi"/>
                <w:sz w:val="24"/>
                <w:szCs w:val="24"/>
              </w:rPr>
              <w:t>, 32:5-6, 2018, pp. 739-746.</w:t>
            </w:r>
          </w:p>
          <w:p w14:paraId="627E6942"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Simon, Nina, </w:t>
            </w:r>
            <w:r w:rsidRPr="00AC7C3B">
              <w:rPr>
                <w:rFonts w:asciiTheme="minorHAnsi" w:hAnsiTheme="minorHAnsi" w:cstheme="minorHAnsi"/>
                <w:i/>
                <w:iCs/>
                <w:sz w:val="24"/>
                <w:szCs w:val="24"/>
              </w:rPr>
              <w:t>The Participatory Museum</w:t>
            </w:r>
            <w:r w:rsidRPr="00AC7C3B">
              <w:rPr>
                <w:rFonts w:asciiTheme="minorHAnsi" w:hAnsiTheme="minorHAnsi" w:cstheme="minorHAnsi"/>
                <w:sz w:val="24"/>
                <w:szCs w:val="24"/>
              </w:rPr>
              <w:t xml:space="preserve"> (Santa Cruz, CA: Museum 2.0, 2010). </w:t>
            </w:r>
          </w:p>
          <w:p w14:paraId="2698FEFE"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Smith, Anthony D., </w:t>
            </w:r>
            <w:r w:rsidRPr="00AC7C3B">
              <w:rPr>
                <w:rFonts w:asciiTheme="minorHAnsi" w:hAnsiTheme="minorHAnsi" w:cstheme="minorHAnsi"/>
                <w:i/>
                <w:iCs/>
                <w:sz w:val="24"/>
                <w:szCs w:val="24"/>
              </w:rPr>
              <w:t>National Identity</w:t>
            </w:r>
            <w:r w:rsidRPr="00AC7C3B">
              <w:rPr>
                <w:rFonts w:asciiTheme="minorHAnsi" w:hAnsiTheme="minorHAnsi" w:cstheme="minorHAnsi"/>
                <w:sz w:val="24"/>
                <w:szCs w:val="24"/>
              </w:rPr>
              <w:t xml:space="preserve"> (London: Penguin, 1991). </w:t>
            </w:r>
          </w:p>
          <w:p w14:paraId="567B0CF8"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Smith, </w:t>
            </w:r>
            <w:proofErr w:type="spellStart"/>
            <w:r w:rsidRPr="00AC7C3B">
              <w:rPr>
                <w:rFonts w:asciiTheme="minorHAnsi" w:hAnsiTheme="minorHAnsi" w:cstheme="minorHAnsi"/>
                <w:sz w:val="24"/>
                <w:szCs w:val="24"/>
              </w:rPr>
              <w:t>Laurajane</w:t>
            </w:r>
            <w:proofErr w:type="spellEnd"/>
            <w:r w:rsidRPr="00AC7C3B">
              <w:rPr>
                <w:rFonts w:asciiTheme="minorHAnsi" w:hAnsiTheme="minorHAnsi" w:cstheme="minorHAnsi"/>
                <w:sz w:val="24"/>
                <w:szCs w:val="24"/>
              </w:rPr>
              <w:t xml:space="preserve">, </w:t>
            </w:r>
            <w:r w:rsidRPr="00AC7C3B">
              <w:rPr>
                <w:rFonts w:asciiTheme="minorHAnsi" w:hAnsiTheme="minorHAnsi" w:cstheme="minorHAnsi"/>
                <w:i/>
                <w:iCs/>
                <w:sz w:val="24"/>
                <w:szCs w:val="24"/>
              </w:rPr>
              <w:t>Uses of Heritage</w:t>
            </w:r>
            <w:r w:rsidRPr="00AC7C3B">
              <w:rPr>
                <w:rFonts w:asciiTheme="minorHAnsi" w:hAnsiTheme="minorHAnsi" w:cstheme="minorHAnsi"/>
                <w:sz w:val="24"/>
                <w:szCs w:val="24"/>
              </w:rPr>
              <w:t xml:space="preserve"> (London: Routledge, 2006).</w:t>
            </w:r>
          </w:p>
          <w:p w14:paraId="49AD76DC"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Thompson, A. &amp; Day, </w:t>
            </w:r>
            <w:proofErr w:type="spellStart"/>
            <w:r w:rsidRPr="00AC7C3B">
              <w:rPr>
                <w:rFonts w:asciiTheme="minorHAnsi" w:hAnsiTheme="minorHAnsi" w:cstheme="minorHAnsi"/>
                <w:sz w:val="24"/>
                <w:szCs w:val="24"/>
              </w:rPr>
              <w:t>G.,‘Situating</w:t>
            </w:r>
            <w:proofErr w:type="spellEnd"/>
            <w:r w:rsidRPr="00AC7C3B">
              <w:rPr>
                <w:rFonts w:asciiTheme="minorHAnsi" w:hAnsiTheme="minorHAnsi" w:cstheme="minorHAnsi"/>
                <w:sz w:val="24"/>
                <w:szCs w:val="24"/>
              </w:rPr>
              <w:t xml:space="preserve"> Welshness: ’Local’ Experience and National Identity’. In Fevre, R &amp; Thompson, A (eds). </w:t>
            </w:r>
            <w:r w:rsidRPr="00AC7C3B">
              <w:rPr>
                <w:rFonts w:asciiTheme="minorHAnsi" w:hAnsiTheme="minorHAnsi" w:cstheme="minorHAnsi"/>
                <w:i/>
                <w:iCs/>
                <w:sz w:val="24"/>
                <w:szCs w:val="24"/>
              </w:rPr>
              <w:t>Nation, Identity and &amp; Social Theory: Perspectives from Wales</w:t>
            </w:r>
            <w:r w:rsidRPr="00AC7C3B">
              <w:rPr>
                <w:rFonts w:asciiTheme="minorHAnsi" w:hAnsiTheme="minorHAnsi" w:cstheme="minorHAnsi"/>
                <w:sz w:val="24"/>
                <w:szCs w:val="24"/>
              </w:rPr>
              <w:t xml:space="preserve"> (Cardiff: University of Wales Press), 1999.</w:t>
            </w:r>
          </w:p>
          <w:p w14:paraId="1EB5BDED"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Toszek, Bartłomiej H., ‘Political Dimension of Welsh Identity after Devolution: Fact or Fiction?’, Polish Political Science Yearbook, vol. 45, 2016, pp. 353-366.</w:t>
            </w:r>
          </w:p>
          <w:p w14:paraId="3D43E512"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Williams, Chris, </w:t>
            </w:r>
            <w:r w:rsidRPr="00AC7C3B">
              <w:rPr>
                <w:rFonts w:asciiTheme="minorHAnsi" w:hAnsiTheme="minorHAnsi" w:cstheme="minorHAnsi"/>
                <w:i/>
                <w:iCs/>
                <w:sz w:val="24"/>
                <w:szCs w:val="24"/>
              </w:rPr>
              <w:t>Democratic Rhondda: Politics and Society 1885-1951</w:t>
            </w:r>
            <w:r w:rsidRPr="00AC7C3B">
              <w:rPr>
                <w:rFonts w:asciiTheme="minorHAnsi" w:hAnsiTheme="minorHAnsi" w:cstheme="minorHAnsi"/>
                <w:sz w:val="24"/>
                <w:szCs w:val="24"/>
              </w:rPr>
              <w:t xml:space="preserve"> (Cardiff: University of Wales Press, 1998).</w:t>
            </w:r>
          </w:p>
          <w:p w14:paraId="70B7B150" w14:textId="77777777" w:rsidR="00393C57" w:rsidRPr="00AC7C3B" w:rsidRDefault="00393C57" w:rsidP="00393C57">
            <w:pPr>
              <w:pStyle w:val="ListParagraph"/>
              <w:numPr>
                <w:ilvl w:val="0"/>
                <w:numId w:val="32"/>
              </w:numPr>
              <w:spacing w:after="160" w:line="259" w:lineRule="auto"/>
              <w:contextualSpacing/>
              <w:rPr>
                <w:rFonts w:asciiTheme="minorHAnsi" w:hAnsiTheme="minorHAnsi" w:cstheme="minorHAnsi"/>
                <w:sz w:val="24"/>
                <w:szCs w:val="24"/>
              </w:rPr>
            </w:pPr>
            <w:r w:rsidRPr="00AC7C3B">
              <w:rPr>
                <w:rFonts w:asciiTheme="minorHAnsi" w:hAnsiTheme="minorHAnsi" w:cstheme="minorHAnsi"/>
                <w:sz w:val="24"/>
                <w:szCs w:val="24"/>
              </w:rPr>
              <w:t xml:space="preserve">Williams, Gwyn A., </w:t>
            </w:r>
            <w:r w:rsidRPr="00AC7C3B">
              <w:rPr>
                <w:rFonts w:asciiTheme="minorHAnsi" w:hAnsiTheme="minorHAnsi" w:cstheme="minorHAnsi"/>
                <w:i/>
                <w:iCs/>
                <w:sz w:val="24"/>
                <w:szCs w:val="24"/>
              </w:rPr>
              <w:t>When Was Wales?</w:t>
            </w:r>
            <w:r w:rsidRPr="00AC7C3B">
              <w:rPr>
                <w:rFonts w:asciiTheme="minorHAnsi" w:hAnsiTheme="minorHAnsi" w:cstheme="minorHAnsi"/>
                <w:sz w:val="24"/>
                <w:szCs w:val="24"/>
              </w:rPr>
              <w:t xml:space="preserve"> (London: Penguin, 1991).</w:t>
            </w:r>
          </w:p>
          <w:p w14:paraId="2F6757DD" w14:textId="6064E9E5" w:rsidR="00D03BB7" w:rsidRPr="007A60B8" w:rsidRDefault="00D03BB7" w:rsidP="00C74109">
            <w:pPr>
              <w:rPr>
                <w:rFonts w:asciiTheme="minorHAnsi" w:hAnsiTheme="minorHAnsi" w:cstheme="minorHAnsi"/>
                <w:sz w:val="24"/>
                <w:szCs w:val="24"/>
              </w:rPr>
            </w:pPr>
          </w:p>
        </w:tc>
      </w:tr>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77777777" w:rsidR="00C74109" w:rsidRPr="00AC4DCF" w:rsidRDefault="00C74109" w:rsidP="00C74109">
            <w:pPr>
              <w:rPr>
                <w:rFonts w:cs="Arial"/>
                <w:sz w:val="22"/>
                <w:szCs w:val="22"/>
              </w:rPr>
            </w:pPr>
            <w:r w:rsidRPr="00AC4DCF">
              <w:rPr>
                <w:rFonts w:cs="Arial"/>
                <w:sz w:val="22"/>
                <w:szCs w:val="22"/>
              </w:rPr>
              <w:lastRenderedPageBreak/>
              <w:t>Facilities and resources available for the investigation: please indicate if you expect to need any special resources</w:t>
            </w:r>
          </w:p>
        </w:tc>
      </w:tr>
      <w:tr w:rsidR="00C74109" w:rsidRPr="00A830D5" w14:paraId="6E3575CB" w14:textId="77777777" w:rsidTr="00AC4DCF">
        <w:trPr>
          <w:trHeight w:val="397"/>
        </w:trPr>
        <w:tc>
          <w:tcPr>
            <w:tcW w:w="9781" w:type="dxa"/>
            <w:vAlign w:val="center"/>
          </w:tcPr>
          <w:p w14:paraId="3C7118BD" w14:textId="77777777" w:rsidR="00C74109" w:rsidRPr="00624098" w:rsidRDefault="00C74109" w:rsidP="00C74109">
            <w:pPr>
              <w:rPr>
                <w:rFonts w:asciiTheme="minorHAnsi" w:hAnsiTheme="minorHAnsi" w:cstheme="minorHAnsi"/>
                <w:sz w:val="24"/>
                <w:szCs w:val="24"/>
              </w:rPr>
            </w:pPr>
          </w:p>
          <w:p w14:paraId="17AE6EDB" w14:textId="77777777" w:rsidR="00624098" w:rsidRDefault="00624098" w:rsidP="00624098">
            <w:pPr>
              <w:pStyle w:val="ListParagraph"/>
              <w:numPr>
                <w:ilvl w:val="0"/>
                <w:numId w:val="30"/>
              </w:numPr>
              <w:rPr>
                <w:rFonts w:asciiTheme="minorHAnsi" w:hAnsiTheme="minorHAnsi" w:cstheme="minorHAnsi"/>
                <w:sz w:val="24"/>
                <w:szCs w:val="24"/>
              </w:rPr>
            </w:pPr>
            <w:r w:rsidRPr="00624098">
              <w:rPr>
                <w:rFonts w:asciiTheme="minorHAnsi" w:hAnsiTheme="minorHAnsi" w:cstheme="minorHAnsi"/>
                <w:sz w:val="24"/>
                <w:szCs w:val="24"/>
              </w:rPr>
              <w:t>Access to the University library, electronic journals, databases and digital archives relating to heritage studies, museum education, identity studies and Welsh studies.</w:t>
            </w:r>
          </w:p>
          <w:p w14:paraId="7A7AE167" w14:textId="77777777" w:rsidR="00624098" w:rsidRDefault="00624098" w:rsidP="00624098">
            <w:pPr>
              <w:pStyle w:val="ListParagraph"/>
              <w:numPr>
                <w:ilvl w:val="0"/>
                <w:numId w:val="30"/>
              </w:numPr>
              <w:rPr>
                <w:rFonts w:asciiTheme="minorHAnsi" w:hAnsiTheme="minorHAnsi" w:cstheme="minorHAnsi"/>
                <w:sz w:val="24"/>
                <w:szCs w:val="24"/>
              </w:rPr>
            </w:pPr>
            <w:r w:rsidRPr="00624098">
              <w:rPr>
                <w:rFonts w:asciiTheme="minorHAnsi" w:hAnsiTheme="minorHAnsi" w:cstheme="minorHAnsi"/>
                <w:sz w:val="24"/>
                <w:szCs w:val="24"/>
              </w:rPr>
              <w:lastRenderedPageBreak/>
              <w:t>Access to participating museums, galleries and heritage organisations across Wales that deliver educational programmes for young people.</w:t>
            </w:r>
          </w:p>
          <w:p w14:paraId="0FF0C869" w14:textId="77777777" w:rsidR="00624098" w:rsidRDefault="00624098" w:rsidP="00624098">
            <w:pPr>
              <w:pStyle w:val="ListParagraph"/>
              <w:numPr>
                <w:ilvl w:val="0"/>
                <w:numId w:val="30"/>
              </w:numPr>
              <w:rPr>
                <w:rFonts w:asciiTheme="minorHAnsi" w:hAnsiTheme="minorHAnsi" w:cstheme="minorHAnsi"/>
                <w:sz w:val="24"/>
                <w:szCs w:val="24"/>
              </w:rPr>
            </w:pPr>
            <w:r w:rsidRPr="00624098">
              <w:rPr>
                <w:rFonts w:asciiTheme="minorHAnsi" w:hAnsiTheme="minorHAnsi" w:cstheme="minorHAnsi"/>
                <w:sz w:val="24"/>
                <w:szCs w:val="24"/>
              </w:rPr>
              <w:t>Use of existing professional networks and contacts within the heritage sector to facilitate communication with potential case-study sites and participants.</w:t>
            </w:r>
          </w:p>
          <w:p w14:paraId="7E6558EF" w14:textId="456D5F60" w:rsidR="00624098" w:rsidRPr="00624098" w:rsidRDefault="00624098" w:rsidP="00624098">
            <w:pPr>
              <w:pStyle w:val="ListParagraph"/>
              <w:numPr>
                <w:ilvl w:val="0"/>
                <w:numId w:val="30"/>
              </w:numPr>
              <w:rPr>
                <w:rFonts w:asciiTheme="minorHAnsi" w:hAnsiTheme="minorHAnsi" w:cstheme="minorHAnsi"/>
                <w:sz w:val="24"/>
                <w:szCs w:val="24"/>
              </w:rPr>
            </w:pPr>
            <w:r w:rsidRPr="00624098">
              <w:rPr>
                <w:rFonts w:asciiTheme="minorHAnsi" w:hAnsiTheme="minorHAnsi" w:cstheme="minorHAnsi"/>
                <w:sz w:val="24"/>
                <w:szCs w:val="24"/>
              </w:rPr>
              <w:t>Travel to selected heritage sites across Wales to undertake interviews, focus groups, participant observations and documentary analysis.</w:t>
            </w:r>
          </w:p>
          <w:p w14:paraId="1111B7B9" w14:textId="77777777" w:rsidR="00624098" w:rsidRPr="00624098" w:rsidRDefault="00624098" w:rsidP="00624098">
            <w:pPr>
              <w:numPr>
                <w:ilvl w:val="1"/>
                <w:numId w:val="26"/>
              </w:numPr>
              <w:rPr>
                <w:rFonts w:asciiTheme="minorHAnsi" w:hAnsiTheme="minorHAnsi" w:cstheme="minorHAnsi"/>
                <w:sz w:val="24"/>
                <w:szCs w:val="24"/>
              </w:rPr>
            </w:pPr>
            <w:r w:rsidRPr="00624098">
              <w:rPr>
                <w:rFonts w:asciiTheme="minorHAnsi" w:hAnsiTheme="minorHAnsi" w:cstheme="minorHAnsi"/>
                <w:sz w:val="24"/>
                <w:szCs w:val="24"/>
              </w:rPr>
              <w:t>Travel requirements will vary depending on the location of participating organisations.</w:t>
            </w:r>
          </w:p>
          <w:p w14:paraId="6FC1E116" w14:textId="77777777" w:rsidR="00624098" w:rsidRPr="00624098" w:rsidRDefault="00624098" w:rsidP="00624098">
            <w:pPr>
              <w:numPr>
                <w:ilvl w:val="1"/>
                <w:numId w:val="26"/>
              </w:numPr>
              <w:rPr>
                <w:rFonts w:asciiTheme="minorHAnsi" w:hAnsiTheme="minorHAnsi" w:cstheme="minorHAnsi"/>
                <w:sz w:val="24"/>
                <w:szCs w:val="24"/>
              </w:rPr>
            </w:pPr>
            <w:r w:rsidRPr="00624098">
              <w:rPr>
                <w:rFonts w:asciiTheme="minorHAnsi" w:hAnsiTheme="minorHAnsi" w:cstheme="minorHAnsi"/>
                <w:sz w:val="24"/>
                <w:szCs w:val="24"/>
              </w:rPr>
              <w:t>Costs will be met through personal funding and/or university research support where available.</w:t>
            </w:r>
          </w:p>
          <w:p w14:paraId="7BE501A0" w14:textId="081AD0B3" w:rsidR="00624098" w:rsidRPr="00624098" w:rsidRDefault="00624098" w:rsidP="00624098">
            <w:pPr>
              <w:pStyle w:val="ListParagraph"/>
              <w:numPr>
                <w:ilvl w:val="0"/>
                <w:numId w:val="26"/>
              </w:numPr>
              <w:rPr>
                <w:rFonts w:asciiTheme="minorHAnsi" w:hAnsiTheme="minorHAnsi" w:cstheme="minorHAnsi"/>
                <w:sz w:val="24"/>
                <w:szCs w:val="24"/>
              </w:rPr>
            </w:pPr>
            <w:r w:rsidRPr="00624098">
              <w:rPr>
                <w:rFonts w:asciiTheme="minorHAnsi" w:hAnsiTheme="minorHAnsi" w:cstheme="minorHAnsi"/>
                <w:sz w:val="24"/>
                <w:szCs w:val="24"/>
              </w:rPr>
              <w:t>Access to learning materials, interpretation panels, education resources and organisational learning policies for documentary analysis.</w:t>
            </w:r>
          </w:p>
          <w:p w14:paraId="1B7C420D" w14:textId="335FD345" w:rsidR="00624098" w:rsidRPr="00624098" w:rsidRDefault="00624098" w:rsidP="00624098">
            <w:pPr>
              <w:pStyle w:val="ListParagraph"/>
              <w:numPr>
                <w:ilvl w:val="0"/>
                <w:numId w:val="26"/>
              </w:numPr>
              <w:rPr>
                <w:rFonts w:asciiTheme="minorHAnsi" w:hAnsiTheme="minorHAnsi" w:cstheme="minorHAnsi"/>
                <w:sz w:val="24"/>
                <w:szCs w:val="24"/>
              </w:rPr>
            </w:pPr>
            <w:r w:rsidRPr="00624098">
              <w:rPr>
                <w:rFonts w:asciiTheme="minorHAnsi" w:hAnsiTheme="minorHAnsi" w:cstheme="minorHAnsi"/>
                <w:sz w:val="24"/>
                <w:szCs w:val="24"/>
              </w:rPr>
              <w:t>Use of recording equipment (digital audio recorder or secure online recording platforms) for interviews and focus groups.</w:t>
            </w:r>
          </w:p>
          <w:p w14:paraId="08FEA7FF" w14:textId="1BB3109C" w:rsidR="00624098" w:rsidRPr="00624098" w:rsidRDefault="00624098" w:rsidP="00624098">
            <w:pPr>
              <w:pStyle w:val="ListParagraph"/>
              <w:numPr>
                <w:ilvl w:val="0"/>
                <w:numId w:val="26"/>
              </w:numPr>
              <w:rPr>
                <w:rFonts w:asciiTheme="minorHAnsi" w:hAnsiTheme="minorHAnsi" w:cstheme="minorHAnsi"/>
                <w:sz w:val="24"/>
                <w:szCs w:val="24"/>
              </w:rPr>
            </w:pPr>
            <w:r w:rsidRPr="00624098">
              <w:rPr>
                <w:rFonts w:asciiTheme="minorHAnsi" w:hAnsiTheme="minorHAnsi" w:cstheme="minorHAnsi"/>
                <w:sz w:val="24"/>
                <w:szCs w:val="24"/>
              </w:rPr>
              <w:t>Access to secure University data storage systems for the storage, management and protection of research data in accordance with GDPR and University policies.</w:t>
            </w:r>
          </w:p>
          <w:p w14:paraId="2C7F88C0" w14:textId="6AAB4C45" w:rsidR="00624098" w:rsidRPr="00624098" w:rsidRDefault="00624098" w:rsidP="00624098">
            <w:pPr>
              <w:pStyle w:val="ListParagraph"/>
              <w:numPr>
                <w:ilvl w:val="0"/>
                <w:numId w:val="26"/>
              </w:numPr>
              <w:rPr>
                <w:rFonts w:asciiTheme="minorHAnsi" w:hAnsiTheme="minorHAnsi" w:cstheme="minorHAnsi"/>
                <w:sz w:val="24"/>
                <w:szCs w:val="24"/>
              </w:rPr>
            </w:pPr>
            <w:r w:rsidRPr="00624098">
              <w:rPr>
                <w:rFonts w:asciiTheme="minorHAnsi" w:hAnsiTheme="minorHAnsi" w:cstheme="minorHAnsi"/>
                <w:sz w:val="24"/>
                <w:szCs w:val="24"/>
              </w:rPr>
              <w:t>Qualitative data analysis software, such as NVivo, to support the coding and thematic analysis of interviews, focus groups, observation notes and documentary evidence.</w:t>
            </w:r>
          </w:p>
          <w:p w14:paraId="33AE008C" w14:textId="23451227" w:rsidR="00624098" w:rsidRPr="00624098" w:rsidRDefault="00624098" w:rsidP="00624098">
            <w:pPr>
              <w:pStyle w:val="ListParagraph"/>
              <w:numPr>
                <w:ilvl w:val="0"/>
                <w:numId w:val="26"/>
              </w:numPr>
              <w:rPr>
                <w:rFonts w:asciiTheme="minorHAnsi" w:hAnsiTheme="minorHAnsi" w:cstheme="minorHAnsi"/>
                <w:sz w:val="24"/>
                <w:szCs w:val="24"/>
              </w:rPr>
            </w:pPr>
            <w:r w:rsidRPr="00624098">
              <w:rPr>
                <w:rFonts w:asciiTheme="minorHAnsi" w:hAnsiTheme="minorHAnsi" w:cstheme="minorHAnsi"/>
                <w:sz w:val="24"/>
                <w:szCs w:val="24"/>
              </w:rPr>
              <w:t>Quantitative data analysis software, such as Microsoft Excel, to support analysis of questionnaire and survey data.</w:t>
            </w:r>
          </w:p>
          <w:p w14:paraId="3557C9AF" w14:textId="3F3DE140" w:rsidR="00624098" w:rsidRPr="00624098" w:rsidRDefault="00624098" w:rsidP="00624098">
            <w:pPr>
              <w:pStyle w:val="ListParagraph"/>
              <w:numPr>
                <w:ilvl w:val="0"/>
                <w:numId w:val="26"/>
              </w:numPr>
              <w:rPr>
                <w:rFonts w:asciiTheme="minorHAnsi" w:hAnsiTheme="minorHAnsi" w:cstheme="minorHAnsi"/>
                <w:sz w:val="24"/>
                <w:szCs w:val="24"/>
              </w:rPr>
            </w:pPr>
            <w:r w:rsidRPr="00624098">
              <w:rPr>
                <w:rFonts w:asciiTheme="minorHAnsi" w:hAnsiTheme="minorHAnsi" w:cstheme="minorHAnsi"/>
                <w:sz w:val="24"/>
                <w:szCs w:val="24"/>
              </w:rPr>
              <w:t>Access to online meeting platforms (e.g. Microsoft Teams or Zoom) where interviews with teachers or heritage practitioners are conducted remotely.</w:t>
            </w:r>
          </w:p>
          <w:p w14:paraId="03E11BB7" w14:textId="553024DC" w:rsidR="00624098" w:rsidRPr="00624098" w:rsidRDefault="00624098" w:rsidP="00624098">
            <w:pPr>
              <w:pStyle w:val="ListParagraph"/>
              <w:numPr>
                <w:ilvl w:val="0"/>
                <w:numId w:val="27"/>
              </w:numPr>
              <w:rPr>
                <w:rFonts w:asciiTheme="minorHAnsi" w:hAnsiTheme="minorHAnsi" w:cstheme="minorHAnsi"/>
                <w:sz w:val="24"/>
                <w:szCs w:val="24"/>
              </w:rPr>
            </w:pPr>
            <w:r w:rsidRPr="00624098">
              <w:rPr>
                <w:rFonts w:asciiTheme="minorHAnsi" w:hAnsiTheme="minorHAnsi" w:cstheme="minorHAnsi"/>
                <w:sz w:val="24"/>
                <w:szCs w:val="24"/>
              </w:rPr>
              <w:t>The project will involve fieldwork within museums and heritage organisations and will require:</w:t>
            </w:r>
          </w:p>
          <w:p w14:paraId="6DF0E67D" w14:textId="764DA9E8" w:rsidR="00624098" w:rsidRPr="00624098" w:rsidRDefault="00624098" w:rsidP="00624098">
            <w:pPr>
              <w:numPr>
                <w:ilvl w:val="1"/>
                <w:numId w:val="27"/>
              </w:numPr>
              <w:rPr>
                <w:rFonts w:asciiTheme="minorHAnsi" w:hAnsiTheme="minorHAnsi" w:cstheme="minorHAnsi"/>
                <w:sz w:val="24"/>
                <w:szCs w:val="24"/>
              </w:rPr>
            </w:pPr>
            <w:r w:rsidRPr="00624098">
              <w:rPr>
                <w:rFonts w:asciiTheme="minorHAnsi" w:hAnsiTheme="minorHAnsi" w:cstheme="minorHAnsi"/>
                <w:sz w:val="24"/>
                <w:szCs w:val="24"/>
              </w:rPr>
              <w:t xml:space="preserve">University ethical approval </w:t>
            </w:r>
            <w:r>
              <w:rPr>
                <w:rFonts w:asciiTheme="minorHAnsi" w:hAnsiTheme="minorHAnsi" w:cstheme="minorHAnsi"/>
                <w:sz w:val="24"/>
                <w:szCs w:val="24"/>
              </w:rPr>
              <w:t>before</w:t>
            </w:r>
            <w:r w:rsidRPr="00624098">
              <w:rPr>
                <w:rFonts w:asciiTheme="minorHAnsi" w:hAnsiTheme="minorHAnsi" w:cstheme="minorHAnsi"/>
                <w:sz w:val="24"/>
                <w:szCs w:val="24"/>
              </w:rPr>
              <w:t xml:space="preserve"> data collection.</w:t>
            </w:r>
          </w:p>
          <w:p w14:paraId="4DC72D4A" w14:textId="77777777" w:rsidR="00624098" w:rsidRPr="00624098" w:rsidRDefault="00624098" w:rsidP="00624098">
            <w:pPr>
              <w:numPr>
                <w:ilvl w:val="1"/>
                <w:numId w:val="27"/>
              </w:numPr>
              <w:rPr>
                <w:rFonts w:asciiTheme="minorHAnsi" w:hAnsiTheme="minorHAnsi" w:cstheme="minorHAnsi"/>
                <w:sz w:val="24"/>
                <w:szCs w:val="24"/>
              </w:rPr>
            </w:pPr>
            <w:r w:rsidRPr="00624098">
              <w:rPr>
                <w:rFonts w:asciiTheme="minorHAnsi" w:hAnsiTheme="minorHAnsi" w:cstheme="minorHAnsi"/>
                <w:sz w:val="24"/>
                <w:szCs w:val="24"/>
              </w:rPr>
              <w:t>Informed consent from all participants.</w:t>
            </w:r>
          </w:p>
          <w:p w14:paraId="6D214EAA" w14:textId="77777777" w:rsidR="00624098" w:rsidRPr="00624098" w:rsidRDefault="00624098" w:rsidP="00624098">
            <w:pPr>
              <w:numPr>
                <w:ilvl w:val="1"/>
                <w:numId w:val="27"/>
              </w:numPr>
              <w:rPr>
                <w:rFonts w:asciiTheme="minorHAnsi" w:hAnsiTheme="minorHAnsi" w:cstheme="minorHAnsi"/>
                <w:sz w:val="24"/>
                <w:szCs w:val="24"/>
              </w:rPr>
            </w:pPr>
            <w:r w:rsidRPr="00624098">
              <w:rPr>
                <w:rFonts w:asciiTheme="minorHAnsi" w:hAnsiTheme="minorHAnsi" w:cstheme="minorHAnsi"/>
                <w:sz w:val="24"/>
                <w:szCs w:val="24"/>
              </w:rPr>
              <w:t>Parental/guardian consent for participants under 18 where required.</w:t>
            </w:r>
          </w:p>
          <w:p w14:paraId="31D3C758" w14:textId="77777777" w:rsidR="00624098" w:rsidRPr="00624098" w:rsidRDefault="00624098" w:rsidP="00624098">
            <w:pPr>
              <w:numPr>
                <w:ilvl w:val="1"/>
                <w:numId w:val="27"/>
              </w:numPr>
              <w:rPr>
                <w:rFonts w:asciiTheme="minorHAnsi" w:hAnsiTheme="minorHAnsi" w:cstheme="minorHAnsi"/>
                <w:sz w:val="24"/>
                <w:szCs w:val="24"/>
              </w:rPr>
            </w:pPr>
            <w:r w:rsidRPr="00624098">
              <w:rPr>
                <w:rFonts w:asciiTheme="minorHAnsi" w:hAnsiTheme="minorHAnsi" w:cstheme="minorHAnsi"/>
                <w:sz w:val="24"/>
                <w:szCs w:val="24"/>
              </w:rPr>
              <w:t>Permission from participating organisations and relevant gatekeepers (e.g. schools, teachers and heritage learning staff).</w:t>
            </w:r>
          </w:p>
          <w:p w14:paraId="249350EA" w14:textId="1E872F99" w:rsidR="00624098" w:rsidRPr="00624098" w:rsidRDefault="00624098" w:rsidP="00624098">
            <w:pPr>
              <w:pStyle w:val="ListParagraph"/>
              <w:numPr>
                <w:ilvl w:val="0"/>
                <w:numId w:val="27"/>
              </w:numPr>
              <w:rPr>
                <w:rFonts w:asciiTheme="minorHAnsi" w:hAnsiTheme="minorHAnsi" w:cstheme="minorHAnsi"/>
                <w:sz w:val="24"/>
                <w:szCs w:val="24"/>
              </w:rPr>
            </w:pPr>
            <w:r w:rsidRPr="00624098">
              <w:rPr>
                <w:rFonts w:asciiTheme="minorHAnsi" w:hAnsiTheme="minorHAnsi" w:cstheme="minorHAnsi"/>
                <w:sz w:val="24"/>
                <w:szCs w:val="24"/>
              </w:rPr>
              <w:t>At present, no highly specialised facilities or equipment are anticipated beyond standard university resources, software licences and access to participating heritage organisations.</w:t>
            </w:r>
          </w:p>
          <w:p w14:paraId="59CED104" w14:textId="77777777" w:rsidR="00C74109" w:rsidRPr="00624098" w:rsidRDefault="00C74109" w:rsidP="00C74109">
            <w:pPr>
              <w:rPr>
                <w:rFonts w:asciiTheme="minorHAnsi" w:hAnsiTheme="minorHAnsi" w:cstheme="minorHAnsi"/>
                <w:sz w:val="24"/>
                <w:szCs w:val="24"/>
              </w:rPr>
            </w:pPr>
          </w:p>
        </w:tc>
      </w:tr>
    </w:tbl>
    <w:p w14:paraId="13F4E9CE" w14:textId="77777777" w:rsidR="009368DD" w:rsidRPr="00A830D5" w:rsidRDefault="009368DD" w:rsidP="00643766">
      <w:pPr>
        <w:rPr>
          <w:rFonts w:cs="Arial"/>
          <w:sz w:val="22"/>
          <w:szCs w:val="22"/>
        </w:rPr>
      </w:pPr>
    </w:p>
    <w:p w14:paraId="4EB76D8A" w14:textId="77777777" w:rsidR="00E8752A" w:rsidRDefault="00E8752A" w:rsidP="000D166A">
      <w:pPr>
        <w:rPr>
          <w:rFonts w:cs="Arial"/>
          <w:b/>
          <w:sz w:val="22"/>
          <w:szCs w:val="22"/>
        </w:rPr>
      </w:pPr>
    </w:p>
    <w:p w14:paraId="7E43927A" w14:textId="77777777" w:rsidR="00E8752A" w:rsidRDefault="00E8752A" w:rsidP="000D166A">
      <w:pPr>
        <w:rPr>
          <w:rFonts w:cs="Arial"/>
          <w:b/>
          <w:sz w:val="22"/>
          <w:szCs w:val="22"/>
        </w:rPr>
      </w:pPr>
    </w:p>
    <w:p w14:paraId="767D7BC1" w14:textId="6DF22A09"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 xml:space="preserve">It is anticipated that Intellectual Property (IP) will be produced </w:t>
      </w:r>
      <w:proofErr w:type="gramStart"/>
      <w:r w:rsidRPr="00A830D5">
        <w:rPr>
          <w:sz w:val="22"/>
        </w:rPr>
        <w:t>as a result of</w:t>
      </w:r>
      <w:proofErr w:type="gramEnd"/>
      <w:r w:rsidRPr="00A830D5">
        <w:rPr>
          <w:sz w:val="22"/>
        </w:rPr>
        <w:t xml:space="preserve">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 xml:space="preserve">Is the IP already subject to a separate agreement with a third party (e.g. employer, sponsor or external funder)? If </w:t>
            </w:r>
            <w:proofErr w:type="gramStart"/>
            <w:r w:rsidRPr="00A830D5">
              <w:rPr>
                <w:sz w:val="22"/>
              </w:rPr>
              <w:t>so</w:t>
            </w:r>
            <w:proofErr w:type="gramEnd"/>
            <w:r w:rsidRPr="00A830D5">
              <w:rPr>
                <w:sz w:val="22"/>
              </w:rPr>
              <w:t xml:space="preserve">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tcPr>
              <w:p w14:paraId="1D95D041"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sdtContent>
            <w:tc>
              <w:tcPr>
                <w:tcW w:w="1417" w:type="dxa"/>
                <w:tcBorders>
                  <w:top w:val="single" w:sz="4" w:space="0" w:color="auto"/>
                </w:tcBorders>
              </w:tcPr>
              <w:p w14:paraId="1763176C" w14:textId="7288620B" w:rsidR="000D166A" w:rsidRPr="00A830D5" w:rsidRDefault="00756402" w:rsidP="003D2502">
                <w:pPr>
                  <w:jc w:val="center"/>
                  <w:rPr>
                    <w:rFonts w:cs="Arial"/>
                    <w:sz w:val="22"/>
                    <w:szCs w:val="22"/>
                  </w:rPr>
                </w:pPr>
                <w:r>
                  <w:rPr>
                    <w:rFonts w:ascii="MS Gothic" w:eastAsia="MS Gothic" w:hAnsi="MS Gothic" w:cs="Arial" w:hint="eastAsia"/>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0"/>
                <w14:checkedState w14:val="2612" w14:font="MS Gothic"/>
                <w14:uncheckedState w14:val="2610" w14:font="MS Gothic"/>
              </w14:checkbox>
            </w:sdtPr>
            <w:sdtEndPr/>
            <w:sdtContent>
              <w:p w14:paraId="14827D3C" w14:textId="77777777" w:rsidR="00154D0F"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c>
          <w:tcPr>
            <w:tcW w:w="1417" w:type="dxa"/>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14:paraId="6203B2AC" w14:textId="77777777"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14:paraId="1D56B173" w14:textId="77777777" w:rsidTr="00F9606E">
        <w:trPr>
          <w:trHeight w:val="572"/>
        </w:trPr>
        <w:tc>
          <w:tcPr>
            <w:tcW w:w="9781" w:type="dxa"/>
            <w:gridSpan w:val="3"/>
          </w:tcPr>
          <w:p w14:paraId="33A4C7A2" w14:textId="77777777" w:rsidR="00154D0F" w:rsidRPr="00A830D5" w:rsidRDefault="00154D0F" w:rsidP="00154D0F">
            <w:pPr>
              <w:rPr>
                <w:i/>
                <w:sz w:val="18"/>
                <w:szCs w:val="18"/>
              </w:rPr>
            </w:pPr>
            <w:r w:rsidRPr="00A830D5">
              <w:rPr>
                <w:i/>
                <w:sz w:val="18"/>
                <w:szCs w:val="18"/>
              </w:rPr>
              <w:t>Text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tcPr>
          <w:p w14:paraId="03F12474" w14:textId="77777777" w:rsidR="00154D0F" w:rsidRPr="00A830D5" w:rsidRDefault="00154D0F" w:rsidP="003D2502">
            <w:pPr>
              <w:jc w:val="right"/>
              <w:rPr>
                <w:rFonts w:cs="Arial"/>
                <w:b/>
              </w:rPr>
            </w:pPr>
            <w:r w:rsidRPr="00A830D5">
              <w:rPr>
                <w:rFonts w:cs="Arial"/>
                <w:b/>
              </w:rPr>
              <w:lastRenderedPageBreak/>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EndPr/>
          <w:sdtContent>
            <w:tc>
              <w:tcPr>
                <w:tcW w:w="1418" w:type="dxa"/>
              </w:tcPr>
              <w:p w14:paraId="31F201FD" w14:textId="708AB0B3" w:rsidR="00154D0F" w:rsidRPr="00A830D5" w:rsidRDefault="00756402" w:rsidP="003D2502">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EndPr/>
          <w:sdtContent>
            <w:tc>
              <w:tcPr>
                <w:tcW w:w="1417" w:type="dxa"/>
              </w:tcPr>
              <w:p w14:paraId="2C431F1A"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02BD5F99" w:rsidR="00154D0F" w:rsidRPr="008422EE" w:rsidRDefault="00154D0F" w:rsidP="003D2502">
            <w:pPr>
              <w:rPr>
                <w:sz w:val="22"/>
              </w:rPr>
            </w:pPr>
            <w:r w:rsidRPr="00A830D5">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4" w:history="1">
              <w:r w:rsidR="00AD4651" w:rsidRPr="00EA5A7B">
                <w:rPr>
                  <w:rStyle w:val="Hyperlink"/>
                </w:rPr>
                <w:t>https://www.uwtsd.ac.uk/iiced/protecting-innovation-and-creativity---intellectual-property/</w:t>
              </w:r>
            </w:hyperlink>
          </w:p>
          <w:p w14:paraId="5AC3FAE3" w14:textId="5F588184" w:rsidR="00F8710D" w:rsidRPr="00F8710D" w:rsidRDefault="00F8710D" w:rsidP="003D2502">
            <w:pPr>
              <w:rPr>
                <w:rFonts w:ascii="Calibri" w:hAnsi="Calibri"/>
              </w:rPr>
            </w:pPr>
          </w:p>
        </w:tc>
        <w:tc>
          <w:tcPr>
            <w:tcW w:w="1418" w:type="dxa"/>
          </w:tcPr>
          <w:p w14:paraId="2B7CC955" w14:textId="4F17BBDD" w:rsidR="00154D0F" w:rsidRPr="00A830D5" w:rsidRDefault="00C474EC" w:rsidP="003D2502">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EndPr/>
              <w:sdtContent>
                <w:r w:rsidR="00756402">
                  <w:rPr>
                    <w:rFonts w:ascii="MS Gothic" w:eastAsia="MS Gothic" w:hAnsi="MS Gothic" w:cs="Arial" w:hint="eastAsia"/>
                    <w:sz w:val="22"/>
                    <w:szCs w:val="22"/>
                  </w:rPr>
                  <w:t>☒</w:t>
                </w:r>
              </w:sdtContent>
            </w:sdt>
          </w:p>
        </w:tc>
        <w:tc>
          <w:tcPr>
            <w:tcW w:w="1417" w:type="dxa"/>
          </w:tcPr>
          <w:p w14:paraId="6D4486CF" w14:textId="77777777" w:rsidR="00154D0F" w:rsidRPr="00A830D5" w:rsidRDefault="00C474EC" w:rsidP="003D2502">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sdtContent>
                <w:r w:rsidR="00154D0F" w:rsidRPr="00A830D5">
                  <w:rPr>
                    <w:rFonts w:ascii="MS Gothic" w:eastAsia="MS Gothic" w:hAnsi="MS Gothic" w:cs="Arial"/>
                    <w:sz w:val="22"/>
                    <w:szCs w:val="22"/>
                  </w:rPr>
                  <w:t>☐</w:t>
                </w:r>
              </w:sdtContent>
            </w:sdt>
          </w:p>
        </w:tc>
      </w:tr>
    </w:tbl>
    <w:p w14:paraId="5F3440EC" w14:textId="77777777" w:rsidR="002F3407" w:rsidRPr="00A830D5"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TableGrid"/>
              <w:tblW w:w="0" w:type="auto"/>
              <w:tblLook w:val="04A0" w:firstRow="1" w:lastRow="0" w:firstColumn="1" w:lastColumn="0" w:noHBand="0" w:noVBand="1"/>
            </w:tblPr>
            <w:tblGrid>
              <w:gridCol w:w="2048"/>
              <w:gridCol w:w="6061"/>
              <w:gridCol w:w="1412"/>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66A92A5A" w14:textId="40A07DD0" w:rsidR="00154D0F" w:rsidRPr="00A830D5" w:rsidRDefault="00624098" w:rsidP="003D2502">
                  <w:pPr>
                    <w:rPr>
                      <w:rFonts w:cs="Arial"/>
                      <w:sz w:val="22"/>
                      <w:szCs w:val="22"/>
                    </w:rPr>
                  </w:pPr>
                  <w:r>
                    <w:rPr>
                      <w:rFonts w:cs="Arial"/>
                      <w:noProof/>
                      <w:sz w:val="22"/>
                      <w:szCs w:val="22"/>
                    </w:rPr>
                    <w:drawing>
                      <wp:inline distT="0" distB="0" distL="0" distR="0" wp14:anchorId="68075C7E" wp14:editId="53342F70">
                        <wp:extent cx="1200150" cy="450748"/>
                        <wp:effectExtent l="0" t="0" r="0" b="6985"/>
                        <wp:docPr id="604226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226445" name="Picture 60422644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24200" cy="459781"/>
                                </a:xfrm>
                                <a:prstGeom prst="rect">
                                  <a:avLst/>
                                </a:prstGeom>
                              </pic:spPr>
                            </pic:pic>
                          </a:graphicData>
                        </a:graphic>
                      </wp:inline>
                    </w:drawing>
                  </w:r>
                </w:p>
              </w:tc>
              <w:tc>
                <w:tcPr>
                  <w:tcW w:w="1417" w:type="dxa"/>
                </w:tcPr>
                <w:p w14:paraId="77D3A91A" w14:textId="77777777" w:rsidR="00154D0F" w:rsidRDefault="00154D0F" w:rsidP="003D2502">
                  <w:pPr>
                    <w:rPr>
                      <w:rFonts w:cs="Arial"/>
                      <w:sz w:val="22"/>
                      <w:szCs w:val="22"/>
                    </w:rPr>
                  </w:pPr>
                  <w:r w:rsidRPr="00A830D5">
                    <w:rPr>
                      <w:rFonts w:cs="Arial"/>
                      <w:sz w:val="22"/>
                      <w:szCs w:val="22"/>
                    </w:rPr>
                    <w:t>Date:</w:t>
                  </w:r>
                </w:p>
                <w:p w14:paraId="63C84234" w14:textId="77777777" w:rsidR="00624098" w:rsidRDefault="00624098" w:rsidP="003D2502">
                  <w:pPr>
                    <w:rPr>
                      <w:rFonts w:cs="Arial"/>
                      <w:sz w:val="22"/>
                      <w:szCs w:val="22"/>
                    </w:rPr>
                  </w:pPr>
                </w:p>
                <w:p w14:paraId="02CAAC52" w14:textId="0437B6A5" w:rsidR="00624098" w:rsidRPr="00A830D5" w:rsidRDefault="00624098" w:rsidP="003D2502">
                  <w:pPr>
                    <w:rPr>
                      <w:rFonts w:cs="Arial"/>
                      <w:sz w:val="22"/>
                      <w:szCs w:val="22"/>
                    </w:rPr>
                  </w:pPr>
                  <w:r>
                    <w:rPr>
                      <w:rFonts w:cs="Arial"/>
                      <w:sz w:val="22"/>
                      <w:szCs w:val="22"/>
                    </w:rPr>
                    <w:t>05/08/2026</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6318C4B3" w14:textId="77777777" w:rsidR="00D83BB1" w:rsidRPr="00A830D5" w:rsidRDefault="00474F13" w:rsidP="00F377CD">
      <w:pPr>
        <w:ind w:left="-142" w:firstLine="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77777777"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A830D5">
                  <w:rPr>
                    <w:rFonts w:ascii="MS Gothic" w:eastAsia="MS Gothic" w:hAnsi="MS Gothic" w:cs="MS Gothic"/>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836B2B">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6FD2FDED" w:rsidR="00595F5B" w:rsidRDefault="00595F5B" w:rsidP="008944DE">
      <w:pPr>
        <w:rPr>
          <w:rFonts w:cs="Arial"/>
          <w:sz w:val="22"/>
          <w:szCs w:val="22"/>
        </w:rPr>
      </w:pPr>
    </w:p>
    <w:p w14:paraId="0C645853" w14:textId="6061A822" w:rsidR="00EE49AE" w:rsidRPr="00A830D5" w:rsidRDefault="00EE49AE" w:rsidP="00EE49AE">
      <w:pPr>
        <w:jc w:val="center"/>
        <w:rPr>
          <w:rFonts w:cs="Arial"/>
          <w:sz w:val="22"/>
          <w:szCs w:val="22"/>
        </w:rPr>
      </w:pPr>
      <w:r w:rsidRPr="00D14D35">
        <w:rPr>
          <w:rFonts w:cs="Arial"/>
          <w:b/>
          <w:sz w:val="22"/>
          <w:szCs w:val="22"/>
        </w:rPr>
        <w:t xml:space="preserve">Once complete, submit this form via the </w:t>
      </w:r>
      <w:proofErr w:type="spellStart"/>
      <w:r w:rsidRPr="00D14D35">
        <w:rPr>
          <w:rFonts w:cs="Arial"/>
          <w:b/>
          <w:sz w:val="22"/>
          <w:szCs w:val="22"/>
          <w:u w:val="single"/>
        </w:rPr>
        <w:t>MyTSD</w:t>
      </w:r>
      <w:proofErr w:type="spellEnd"/>
      <w:r w:rsidRPr="00D14D35">
        <w:rPr>
          <w:rFonts w:cs="Arial"/>
          <w:b/>
          <w:sz w:val="22"/>
          <w:szCs w:val="22"/>
          <w:u w:val="single"/>
        </w:rPr>
        <w:t xml:space="preserve"> </w:t>
      </w:r>
      <w:r w:rsidR="00F340BA" w:rsidRPr="00F340BA">
        <w:rPr>
          <w:rFonts w:cs="Arial"/>
          <w:b/>
          <w:sz w:val="22"/>
          <w:szCs w:val="22"/>
          <w:u w:val="single"/>
        </w:rPr>
        <w:t>Doctoral College</w:t>
      </w:r>
      <w:r w:rsidR="00F340BA">
        <w:rPr>
          <w:rFonts w:cs="Arial"/>
          <w:b/>
          <w:sz w:val="22"/>
          <w:szCs w:val="22"/>
          <w:u w:val="single"/>
        </w:rPr>
        <w:t xml:space="preserve"> </w:t>
      </w:r>
      <w:r w:rsidRPr="00D14D35">
        <w:rPr>
          <w:rFonts w:cs="Arial"/>
          <w:b/>
          <w:sz w:val="22"/>
          <w:szCs w:val="22"/>
          <w:u w:val="single"/>
        </w:rPr>
        <w:t>Portal</w:t>
      </w:r>
      <w:r w:rsidRPr="00D14D35">
        <w:rPr>
          <w:rFonts w:cs="Arial"/>
          <w:b/>
          <w:sz w:val="22"/>
          <w:szCs w:val="22"/>
        </w:rPr>
        <w:t xml:space="preserve"> at (</w:t>
      </w:r>
      <w:hyperlink r:id="rId16" w:history="1">
        <w:r w:rsidRPr="004B21E4">
          <w:rPr>
            <w:rStyle w:val="Hyperlink"/>
            <w:rFonts w:cs="Arial"/>
            <w:b/>
            <w:sz w:val="22"/>
            <w:szCs w:val="22"/>
          </w:rPr>
          <w:t>https://mytsd.uwtsd.ac.uk</w:t>
        </w:r>
      </w:hyperlink>
      <w:r w:rsidRPr="00D14D35">
        <w:rPr>
          <w:rFonts w:cs="Arial"/>
          <w:b/>
          <w:sz w:val="22"/>
          <w:szCs w:val="22"/>
        </w:rPr>
        <w:t>).</w:t>
      </w:r>
    </w:p>
    <w:sectPr w:rsidR="00EE49AE" w:rsidRPr="00A830D5" w:rsidSect="00516A38">
      <w:headerReference w:type="even" r:id="rId17"/>
      <w:headerReference w:type="default" r:id="rId18"/>
      <w:footerReference w:type="even" r:id="rId19"/>
      <w:footerReference w:type="default" r:id="rId20"/>
      <w:headerReference w:type="first" r:id="rId21"/>
      <w:footerReference w:type="first" r:id="rId22"/>
      <w:pgSz w:w="11906" w:h="16838" w:code="9"/>
      <w:pgMar w:top="1701"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67D0BB" w14:textId="77777777" w:rsidR="00C474EC" w:rsidRDefault="00C474EC">
      <w:r>
        <w:separator/>
      </w:r>
    </w:p>
  </w:endnote>
  <w:endnote w:type="continuationSeparator" w:id="0">
    <w:p w14:paraId="50161D46" w14:textId="77777777" w:rsidR="00C474EC" w:rsidRDefault="00C474EC">
      <w:r>
        <w:continuationSeparator/>
      </w:r>
    </w:p>
  </w:endnote>
  <w:endnote w:type="continuationNotice" w:id="1">
    <w:p w14:paraId="44386699" w14:textId="77777777" w:rsidR="00C474EC" w:rsidRDefault="00C474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C0DC27" w14:textId="77777777" w:rsidR="00455BEF" w:rsidRDefault="00455B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2A879" w14:textId="7F7D7493" w:rsidR="00930CC7" w:rsidRPr="00370831" w:rsidRDefault="008D129A" w:rsidP="00176160">
    <w:pPr>
      <w:pStyle w:val="Footer"/>
    </w:pPr>
    <w:r>
      <w:t>April 2022</w:t>
    </w:r>
    <w:r w:rsidR="00176160">
      <w:ptab w:relativeTo="margin" w:alignment="center" w:leader="none"/>
    </w:r>
    <w:sdt>
      <w:sdtPr>
        <w:id w:val="1691110303"/>
        <w:docPartObj>
          <w:docPartGallery w:val="Page Numbers (Bottom of Page)"/>
          <w:docPartUnique/>
        </w:docPartObj>
      </w:sdtPr>
      <w:sdtEndPr>
        <w:rPr>
          <w:noProof/>
        </w:rPr>
      </w:sdtEndPr>
      <w:sdtContent>
        <w:r w:rsidR="00291900">
          <w:fldChar w:fldCharType="begin"/>
        </w:r>
        <w:r w:rsidR="00291900">
          <w:instrText xml:space="preserve"> PAGE   \* MERGEFORMAT </w:instrText>
        </w:r>
        <w:r w:rsidR="00291900">
          <w:fldChar w:fldCharType="separate"/>
        </w:r>
        <w:r w:rsidR="007E550E">
          <w:rPr>
            <w:noProof/>
          </w:rPr>
          <w:t>1</w:t>
        </w:r>
        <w:r w:rsidR="00291900">
          <w:rPr>
            <w:noProof/>
          </w:rPr>
          <w:fldChar w:fldCharType="end"/>
        </w:r>
      </w:sdtContent>
    </w:sdt>
    <w:r w:rsidR="00176160">
      <w:ptab w:relativeTo="margin" w:alignment="right" w:leader="none"/>
    </w:r>
    <w:r w:rsidR="00291900">
      <w:t>PG</w:t>
    </w:r>
    <w:r w:rsidR="00556BFF">
      <w:t>1 Full Research Proposal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5A889" w14:textId="77777777" w:rsidR="00455BEF" w:rsidRDefault="00455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01E77" w14:textId="77777777" w:rsidR="00C474EC" w:rsidRDefault="00C474EC">
      <w:r>
        <w:separator/>
      </w:r>
    </w:p>
  </w:footnote>
  <w:footnote w:type="continuationSeparator" w:id="0">
    <w:p w14:paraId="46A47BD4" w14:textId="77777777" w:rsidR="00C474EC" w:rsidRDefault="00C474EC">
      <w:r>
        <w:continuationSeparator/>
      </w:r>
    </w:p>
  </w:footnote>
  <w:footnote w:type="continuationNotice" w:id="1">
    <w:p w14:paraId="429175D6" w14:textId="77777777" w:rsidR="00C474EC" w:rsidRDefault="00C474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65350" w14:textId="77777777" w:rsidR="00455BEF" w:rsidRDefault="00455B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00B38C" w14:textId="77777777" w:rsidR="00516A38" w:rsidRDefault="00516A38" w:rsidP="00ED34D1">
    <w:pPr>
      <w:pStyle w:val="Header"/>
    </w:pPr>
  </w:p>
  <w:p w14:paraId="00BD4CFE" w14:textId="4DB2F033" w:rsidR="00370831" w:rsidRDefault="00516A38" w:rsidP="00516A38">
    <w:pPr>
      <w:pStyle w:val="Header"/>
      <w:jc w:val="right"/>
    </w:pPr>
    <w:r>
      <w:rPr>
        <w:noProof/>
      </w:rPr>
      <w:drawing>
        <wp:anchor distT="0" distB="0" distL="114300" distR="114300" simplePos="0" relativeHeight="251658240" behindDoc="0" locked="0" layoutInCell="1" allowOverlap="1" wp14:anchorId="29949417" wp14:editId="4401F5BF">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00ED34D1">
      <w:tab/>
    </w:r>
    <w:r w:rsidR="00ED34D1">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278159" w14:textId="77777777" w:rsidR="00455BEF" w:rsidRDefault="00455B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1F3461"/>
    <w:multiLevelType w:val="multilevel"/>
    <w:tmpl w:val="3CE44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CF0091"/>
    <w:multiLevelType w:val="multilevel"/>
    <w:tmpl w:val="C9F2C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6"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9" w15:restartNumberingAfterBreak="0">
    <w:nsid w:val="1E280ED4"/>
    <w:multiLevelType w:val="hybridMultilevel"/>
    <w:tmpl w:val="5080AE1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2"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3E58DF"/>
    <w:multiLevelType w:val="multilevel"/>
    <w:tmpl w:val="3CE44A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7" w15:restartNumberingAfterBreak="0">
    <w:nsid w:val="45EA5B27"/>
    <w:multiLevelType w:val="hybridMultilevel"/>
    <w:tmpl w:val="72C69D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9" w15:restartNumberingAfterBreak="0">
    <w:nsid w:val="4AF43FC8"/>
    <w:multiLevelType w:val="multilevel"/>
    <w:tmpl w:val="14C06C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23" w15:restartNumberingAfterBreak="0">
    <w:nsid w:val="62897ACE"/>
    <w:multiLevelType w:val="multilevel"/>
    <w:tmpl w:val="14C06C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F033C1"/>
    <w:multiLevelType w:val="multilevel"/>
    <w:tmpl w:val="728E3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4B312D"/>
    <w:multiLevelType w:val="hybridMultilevel"/>
    <w:tmpl w:val="7682E5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1"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114132594">
    <w:abstractNumId w:val="22"/>
  </w:num>
  <w:num w:numId="2" w16cid:durableId="565339376">
    <w:abstractNumId w:val="18"/>
  </w:num>
  <w:num w:numId="3" w16cid:durableId="504592722">
    <w:abstractNumId w:val="11"/>
  </w:num>
  <w:num w:numId="4" w16cid:durableId="1461342004">
    <w:abstractNumId w:val="8"/>
  </w:num>
  <w:num w:numId="5" w16cid:durableId="942343589">
    <w:abstractNumId w:val="5"/>
  </w:num>
  <w:num w:numId="6" w16cid:durableId="379404645">
    <w:abstractNumId w:val="0"/>
  </w:num>
  <w:num w:numId="7" w16cid:durableId="283344781">
    <w:abstractNumId w:val="27"/>
  </w:num>
  <w:num w:numId="8" w16cid:durableId="195974134">
    <w:abstractNumId w:val="21"/>
  </w:num>
  <w:num w:numId="9" w16cid:durableId="1353914713">
    <w:abstractNumId w:val="4"/>
  </w:num>
  <w:num w:numId="10" w16cid:durableId="1332564220">
    <w:abstractNumId w:val="26"/>
  </w:num>
  <w:num w:numId="11" w16cid:durableId="1315720709">
    <w:abstractNumId w:val="31"/>
  </w:num>
  <w:num w:numId="12" w16cid:durableId="783571865">
    <w:abstractNumId w:val="30"/>
  </w:num>
  <w:num w:numId="13" w16cid:durableId="758140927">
    <w:abstractNumId w:val="16"/>
  </w:num>
  <w:num w:numId="14" w16cid:durableId="1649700610">
    <w:abstractNumId w:val="10"/>
  </w:num>
  <w:num w:numId="15" w16cid:durableId="443576856">
    <w:abstractNumId w:val="7"/>
  </w:num>
  <w:num w:numId="16" w16cid:durableId="1570967738">
    <w:abstractNumId w:val="6"/>
  </w:num>
  <w:num w:numId="17" w16cid:durableId="1724868618">
    <w:abstractNumId w:val="12"/>
  </w:num>
  <w:num w:numId="18" w16cid:durableId="1332640835">
    <w:abstractNumId w:val="20"/>
  </w:num>
  <w:num w:numId="19" w16cid:durableId="1070690918">
    <w:abstractNumId w:val="14"/>
  </w:num>
  <w:num w:numId="20" w16cid:durableId="1398016176">
    <w:abstractNumId w:val="3"/>
  </w:num>
  <w:num w:numId="21" w16cid:durableId="1061831632">
    <w:abstractNumId w:val="15"/>
  </w:num>
  <w:num w:numId="22" w16cid:durableId="164898981">
    <w:abstractNumId w:val="29"/>
  </w:num>
  <w:num w:numId="23" w16cid:durableId="163325906">
    <w:abstractNumId w:val="25"/>
  </w:num>
  <w:num w:numId="24" w16cid:durableId="1639408719">
    <w:abstractNumId w:val="24"/>
  </w:num>
  <w:num w:numId="25" w16cid:durableId="596328347">
    <w:abstractNumId w:val="2"/>
  </w:num>
  <w:num w:numId="26" w16cid:durableId="1398629451">
    <w:abstractNumId w:val="13"/>
  </w:num>
  <w:num w:numId="27" w16cid:durableId="2111314790">
    <w:abstractNumId w:val="23"/>
  </w:num>
  <w:num w:numId="28" w16cid:durableId="770515409">
    <w:abstractNumId w:val="1"/>
  </w:num>
  <w:num w:numId="29" w16cid:durableId="132527108">
    <w:abstractNumId w:val="17"/>
  </w:num>
  <w:num w:numId="30" w16cid:durableId="1133136535">
    <w:abstractNumId w:val="19"/>
  </w:num>
  <w:num w:numId="31" w16cid:durableId="108208653">
    <w:abstractNumId w:val="28"/>
  </w:num>
  <w:num w:numId="32" w16cid:durableId="5500012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955AF"/>
    <w:rsid w:val="00095F33"/>
    <w:rsid w:val="000B43A7"/>
    <w:rsid w:val="000C1D53"/>
    <w:rsid w:val="000C4198"/>
    <w:rsid w:val="000C4DE0"/>
    <w:rsid w:val="000C6D22"/>
    <w:rsid w:val="000D166A"/>
    <w:rsid w:val="000D3D72"/>
    <w:rsid w:val="000F5B56"/>
    <w:rsid w:val="0010084E"/>
    <w:rsid w:val="001217FD"/>
    <w:rsid w:val="00121AC3"/>
    <w:rsid w:val="001400B5"/>
    <w:rsid w:val="00141DF3"/>
    <w:rsid w:val="0015311B"/>
    <w:rsid w:val="00154D0F"/>
    <w:rsid w:val="00157905"/>
    <w:rsid w:val="00165D23"/>
    <w:rsid w:val="00166B83"/>
    <w:rsid w:val="00172F4C"/>
    <w:rsid w:val="00173CC3"/>
    <w:rsid w:val="00176160"/>
    <w:rsid w:val="00182D79"/>
    <w:rsid w:val="00185554"/>
    <w:rsid w:val="00194399"/>
    <w:rsid w:val="001B1EEF"/>
    <w:rsid w:val="001C367F"/>
    <w:rsid w:val="001C6B27"/>
    <w:rsid w:val="001D074C"/>
    <w:rsid w:val="001D78B2"/>
    <w:rsid w:val="001F47B0"/>
    <w:rsid w:val="001F5E3E"/>
    <w:rsid w:val="002114E6"/>
    <w:rsid w:val="0022098F"/>
    <w:rsid w:val="00221A9E"/>
    <w:rsid w:val="00222D05"/>
    <w:rsid w:val="0022643E"/>
    <w:rsid w:val="002370BA"/>
    <w:rsid w:val="0024548B"/>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05FB"/>
    <w:rsid w:val="0031458B"/>
    <w:rsid w:val="003155A9"/>
    <w:rsid w:val="00325CBE"/>
    <w:rsid w:val="003275B0"/>
    <w:rsid w:val="003317EE"/>
    <w:rsid w:val="00332B43"/>
    <w:rsid w:val="00335D74"/>
    <w:rsid w:val="0034191A"/>
    <w:rsid w:val="00353C75"/>
    <w:rsid w:val="00363F74"/>
    <w:rsid w:val="00370831"/>
    <w:rsid w:val="00376A02"/>
    <w:rsid w:val="00391D2C"/>
    <w:rsid w:val="00393C57"/>
    <w:rsid w:val="003A11E9"/>
    <w:rsid w:val="003A748D"/>
    <w:rsid w:val="003B4AF0"/>
    <w:rsid w:val="003C062E"/>
    <w:rsid w:val="003C5892"/>
    <w:rsid w:val="003C7969"/>
    <w:rsid w:val="003D62AF"/>
    <w:rsid w:val="003D7CD9"/>
    <w:rsid w:val="003E5663"/>
    <w:rsid w:val="003E7D6B"/>
    <w:rsid w:val="003F4C86"/>
    <w:rsid w:val="003F7948"/>
    <w:rsid w:val="003F7D77"/>
    <w:rsid w:val="00404C72"/>
    <w:rsid w:val="004262CD"/>
    <w:rsid w:val="00430E87"/>
    <w:rsid w:val="004310AE"/>
    <w:rsid w:val="004375FD"/>
    <w:rsid w:val="004448A0"/>
    <w:rsid w:val="00446759"/>
    <w:rsid w:val="0045240A"/>
    <w:rsid w:val="00452942"/>
    <w:rsid w:val="00455BEF"/>
    <w:rsid w:val="00474F13"/>
    <w:rsid w:val="00475B50"/>
    <w:rsid w:val="00476944"/>
    <w:rsid w:val="00476E74"/>
    <w:rsid w:val="004874CA"/>
    <w:rsid w:val="004971D4"/>
    <w:rsid w:val="004B251B"/>
    <w:rsid w:val="004B2A69"/>
    <w:rsid w:val="004E363A"/>
    <w:rsid w:val="004F22A4"/>
    <w:rsid w:val="004F5A06"/>
    <w:rsid w:val="00512288"/>
    <w:rsid w:val="005140FB"/>
    <w:rsid w:val="00516A38"/>
    <w:rsid w:val="005302A6"/>
    <w:rsid w:val="00531E63"/>
    <w:rsid w:val="005363FE"/>
    <w:rsid w:val="005419D3"/>
    <w:rsid w:val="00541CFE"/>
    <w:rsid w:val="005513E3"/>
    <w:rsid w:val="0055230D"/>
    <w:rsid w:val="00556BFF"/>
    <w:rsid w:val="00557BD7"/>
    <w:rsid w:val="005608A4"/>
    <w:rsid w:val="005758DC"/>
    <w:rsid w:val="00583A91"/>
    <w:rsid w:val="00595F5B"/>
    <w:rsid w:val="00595FC4"/>
    <w:rsid w:val="005A6F56"/>
    <w:rsid w:val="005B0886"/>
    <w:rsid w:val="005C0918"/>
    <w:rsid w:val="005C59F8"/>
    <w:rsid w:val="005D3308"/>
    <w:rsid w:val="005D3C0C"/>
    <w:rsid w:val="005E0345"/>
    <w:rsid w:val="005E3CF6"/>
    <w:rsid w:val="005E60A7"/>
    <w:rsid w:val="005E73D5"/>
    <w:rsid w:val="00605A69"/>
    <w:rsid w:val="006151C5"/>
    <w:rsid w:val="00616987"/>
    <w:rsid w:val="00623825"/>
    <w:rsid w:val="00624098"/>
    <w:rsid w:val="0063119B"/>
    <w:rsid w:val="0063456A"/>
    <w:rsid w:val="00635A88"/>
    <w:rsid w:val="00643766"/>
    <w:rsid w:val="0064556F"/>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4C27"/>
    <w:rsid w:val="006D503F"/>
    <w:rsid w:val="006D7C2A"/>
    <w:rsid w:val="006F1BDC"/>
    <w:rsid w:val="006F4865"/>
    <w:rsid w:val="00702A7E"/>
    <w:rsid w:val="00703A24"/>
    <w:rsid w:val="0071332A"/>
    <w:rsid w:val="00717DFA"/>
    <w:rsid w:val="00743FB1"/>
    <w:rsid w:val="00753EDE"/>
    <w:rsid w:val="00756402"/>
    <w:rsid w:val="00763457"/>
    <w:rsid w:val="00795C79"/>
    <w:rsid w:val="007A0692"/>
    <w:rsid w:val="007A3641"/>
    <w:rsid w:val="007A60B8"/>
    <w:rsid w:val="007C2A63"/>
    <w:rsid w:val="007C512A"/>
    <w:rsid w:val="007C755A"/>
    <w:rsid w:val="007E550E"/>
    <w:rsid w:val="007F6FC1"/>
    <w:rsid w:val="00802E0D"/>
    <w:rsid w:val="00816ED8"/>
    <w:rsid w:val="00820E04"/>
    <w:rsid w:val="00825E70"/>
    <w:rsid w:val="0083144B"/>
    <w:rsid w:val="00831EF8"/>
    <w:rsid w:val="00832FEA"/>
    <w:rsid w:val="00836FA9"/>
    <w:rsid w:val="008422EE"/>
    <w:rsid w:val="00855925"/>
    <w:rsid w:val="008571F8"/>
    <w:rsid w:val="00877A6B"/>
    <w:rsid w:val="008812C3"/>
    <w:rsid w:val="008859B3"/>
    <w:rsid w:val="0088683F"/>
    <w:rsid w:val="008876C0"/>
    <w:rsid w:val="008944DE"/>
    <w:rsid w:val="00896244"/>
    <w:rsid w:val="008A397A"/>
    <w:rsid w:val="008C0ACE"/>
    <w:rsid w:val="008C1EE6"/>
    <w:rsid w:val="008D129A"/>
    <w:rsid w:val="008D2E5D"/>
    <w:rsid w:val="008D505E"/>
    <w:rsid w:val="008E7086"/>
    <w:rsid w:val="008F0225"/>
    <w:rsid w:val="008F150A"/>
    <w:rsid w:val="008F3C22"/>
    <w:rsid w:val="008F5522"/>
    <w:rsid w:val="0090452C"/>
    <w:rsid w:val="00910A1E"/>
    <w:rsid w:val="00912BBC"/>
    <w:rsid w:val="0091552C"/>
    <w:rsid w:val="00915EFA"/>
    <w:rsid w:val="009178C4"/>
    <w:rsid w:val="00930CC7"/>
    <w:rsid w:val="0093374F"/>
    <w:rsid w:val="009353AC"/>
    <w:rsid w:val="009363F3"/>
    <w:rsid w:val="009368DD"/>
    <w:rsid w:val="009435B2"/>
    <w:rsid w:val="00950A56"/>
    <w:rsid w:val="00957D86"/>
    <w:rsid w:val="00961E02"/>
    <w:rsid w:val="00962D90"/>
    <w:rsid w:val="00972158"/>
    <w:rsid w:val="009803A2"/>
    <w:rsid w:val="009905BC"/>
    <w:rsid w:val="00994CF9"/>
    <w:rsid w:val="009A0D4E"/>
    <w:rsid w:val="009A2302"/>
    <w:rsid w:val="009A654D"/>
    <w:rsid w:val="009A7385"/>
    <w:rsid w:val="009C7898"/>
    <w:rsid w:val="009E1467"/>
    <w:rsid w:val="009F3BE4"/>
    <w:rsid w:val="00A048DE"/>
    <w:rsid w:val="00A13514"/>
    <w:rsid w:val="00A15A7C"/>
    <w:rsid w:val="00A17E0A"/>
    <w:rsid w:val="00A26705"/>
    <w:rsid w:val="00A27F4D"/>
    <w:rsid w:val="00A3020C"/>
    <w:rsid w:val="00A4205A"/>
    <w:rsid w:val="00A45333"/>
    <w:rsid w:val="00A47731"/>
    <w:rsid w:val="00A62C1D"/>
    <w:rsid w:val="00A67160"/>
    <w:rsid w:val="00A80816"/>
    <w:rsid w:val="00A830D5"/>
    <w:rsid w:val="00AB0FB7"/>
    <w:rsid w:val="00AB5435"/>
    <w:rsid w:val="00AC147B"/>
    <w:rsid w:val="00AC4DCF"/>
    <w:rsid w:val="00AC6903"/>
    <w:rsid w:val="00AD4651"/>
    <w:rsid w:val="00AD516F"/>
    <w:rsid w:val="00AD5A94"/>
    <w:rsid w:val="00AF2941"/>
    <w:rsid w:val="00AF2AA3"/>
    <w:rsid w:val="00AF7BA9"/>
    <w:rsid w:val="00B079A2"/>
    <w:rsid w:val="00B12AB0"/>
    <w:rsid w:val="00B273A5"/>
    <w:rsid w:val="00B3408B"/>
    <w:rsid w:val="00B65D5E"/>
    <w:rsid w:val="00B70B7E"/>
    <w:rsid w:val="00B718D3"/>
    <w:rsid w:val="00B84A54"/>
    <w:rsid w:val="00B95514"/>
    <w:rsid w:val="00BA3707"/>
    <w:rsid w:val="00BB2F10"/>
    <w:rsid w:val="00BD2727"/>
    <w:rsid w:val="00BD589F"/>
    <w:rsid w:val="00BD7EF3"/>
    <w:rsid w:val="00BE24D4"/>
    <w:rsid w:val="00BF0916"/>
    <w:rsid w:val="00C037ED"/>
    <w:rsid w:val="00C056C2"/>
    <w:rsid w:val="00C14717"/>
    <w:rsid w:val="00C31ED6"/>
    <w:rsid w:val="00C37F58"/>
    <w:rsid w:val="00C45CE3"/>
    <w:rsid w:val="00C474EC"/>
    <w:rsid w:val="00C477B6"/>
    <w:rsid w:val="00C525D4"/>
    <w:rsid w:val="00C66E9A"/>
    <w:rsid w:val="00C74109"/>
    <w:rsid w:val="00C75F44"/>
    <w:rsid w:val="00C75F7C"/>
    <w:rsid w:val="00C856A1"/>
    <w:rsid w:val="00C943DE"/>
    <w:rsid w:val="00CA1E71"/>
    <w:rsid w:val="00CA4FBE"/>
    <w:rsid w:val="00CA65FC"/>
    <w:rsid w:val="00CA796D"/>
    <w:rsid w:val="00CB3E7A"/>
    <w:rsid w:val="00CB652D"/>
    <w:rsid w:val="00CC4AC2"/>
    <w:rsid w:val="00CC5FEA"/>
    <w:rsid w:val="00CD0196"/>
    <w:rsid w:val="00CD2785"/>
    <w:rsid w:val="00CD5B6B"/>
    <w:rsid w:val="00D01434"/>
    <w:rsid w:val="00D03BB7"/>
    <w:rsid w:val="00D122D0"/>
    <w:rsid w:val="00D215F0"/>
    <w:rsid w:val="00D25A52"/>
    <w:rsid w:val="00D46D22"/>
    <w:rsid w:val="00D56242"/>
    <w:rsid w:val="00D60565"/>
    <w:rsid w:val="00D63189"/>
    <w:rsid w:val="00D70714"/>
    <w:rsid w:val="00D732FC"/>
    <w:rsid w:val="00D81082"/>
    <w:rsid w:val="00D83BB1"/>
    <w:rsid w:val="00DB03EA"/>
    <w:rsid w:val="00DC2AE7"/>
    <w:rsid w:val="00DD1E66"/>
    <w:rsid w:val="00DE3885"/>
    <w:rsid w:val="00DE54F9"/>
    <w:rsid w:val="00DF2827"/>
    <w:rsid w:val="00DF3FF2"/>
    <w:rsid w:val="00DF7459"/>
    <w:rsid w:val="00E03A7C"/>
    <w:rsid w:val="00E17B09"/>
    <w:rsid w:val="00E26E40"/>
    <w:rsid w:val="00E30FB4"/>
    <w:rsid w:val="00E60894"/>
    <w:rsid w:val="00E800B4"/>
    <w:rsid w:val="00E8752A"/>
    <w:rsid w:val="00E90E39"/>
    <w:rsid w:val="00E90FFB"/>
    <w:rsid w:val="00EA4DDB"/>
    <w:rsid w:val="00EB29E8"/>
    <w:rsid w:val="00EC2239"/>
    <w:rsid w:val="00ED34D1"/>
    <w:rsid w:val="00EE3F65"/>
    <w:rsid w:val="00EE49AE"/>
    <w:rsid w:val="00EE4E91"/>
    <w:rsid w:val="00F02051"/>
    <w:rsid w:val="00F15764"/>
    <w:rsid w:val="00F20553"/>
    <w:rsid w:val="00F26723"/>
    <w:rsid w:val="00F274DA"/>
    <w:rsid w:val="00F340BA"/>
    <w:rsid w:val="00F343C8"/>
    <w:rsid w:val="00F377CD"/>
    <w:rsid w:val="00F41F11"/>
    <w:rsid w:val="00F50670"/>
    <w:rsid w:val="00F6356A"/>
    <w:rsid w:val="00F65BA4"/>
    <w:rsid w:val="00F65ECA"/>
    <w:rsid w:val="00F678E5"/>
    <w:rsid w:val="00F7569E"/>
    <w:rsid w:val="00F77B80"/>
    <w:rsid w:val="00F8710D"/>
    <w:rsid w:val="00F90183"/>
    <w:rsid w:val="00F901BB"/>
    <w:rsid w:val="00F9606E"/>
    <w:rsid w:val="00FD094B"/>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3">
    <w:name w:val="heading 3"/>
    <w:basedOn w:val="Normal"/>
    <w:next w:val="Normal"/>
    <w:link w:val="Heading3Char"/>
    <w:uiPriority w:val="9"/>
    <w:semiHidden/>
    <w:unhideWhenUsed/>
    <w:qFormat/>
    <w:rsid w:val="00194399"/>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6">
    <w:name w:val="heading 6"/>
    <w:basedOn w:val="Normal"/>
    <w:next w:val="Normal"/>
    <w:link w:val="Heading6Char"/>
    <w:uiPriority w:val="9"/>
    <w:semiHidden/>
    <w:unhideWhenUsed/>
    <w:qFormat/>
    <w:rsid w:val="00743FB1"/>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 w:type="character" w:styleId="UnresolvedMention">
    <w:name w:val="Unresolved Mention"/>
    <w:basedOn w:val="DefaultParagraphFont"/>
    <w:uiPriority w:val="99"/>
    <w:semiHidden/>
    <w:unhideWhenUsed/>
    <w:rsid w:val="0064556F"/>
    <w:rPr>
      <w:color w:val="605E5C"/>
      <w:shd w:val="clear" w:color="auto" w:fill="E1DFDD"/>
    </w:rPr>
  </w:style>
  <w:style w:type="character" w:customStyle="1" w:styleId="Heading3Char">
    <w:name w:val="Heading 3 Char"/>
    <w:basedOn w:val="DefaultParagraphFont"/>
    <w:link w:val="Heading3"/>
    <w:uiPriority w:val="9"/>
    <w:semiHidden/>
    <w:rsid w:val="00194399"/>
    <w:rPr>
      <w:rFonts w:asciiTheme="majorHAnsi" w:eastAsiaTheme="majorEastAsia" w:hAnsiTheme="majorHAnsi" w:cstheme="majorBidi"/>
      <w:color w:val="243F60" w:themeColor="accent1" w:themeShade="7F"/>
      <w:sz w:val="24"/>
      <w:szCs w:val="24"/>
    </w:rPr>
  </w:style>
  <w:style w:type="character" w:customStyle="1" w:styleId="Heading6Char">
    <w:name w:val="Heading 6 Char"/>
    <w:basedOn w:val="DefaultParagraphFont"/>
    <w:link w:val="Heading6"/>
    <w:uiPriority w:val="9"/>
    <w:semiHidden/>
    <w:rsid w:val="00743FB1"/>
    <w:rPr>
      <w:rFonts w:asciiTheme="majorHAnsi" w:eastAsiaTheme="majorEastAsia" w:hAnsiTheme="majorHAnsi" w:cstheme="majorBidi"/>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tv.com/news/wales/2025-03-10/what-does-the-rise-of-populist-european-parties-mean-for-2026-senedd-elections"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bylines.cymru/arts-and-culture/who-decides-the-complexities-of-welsh-identity/"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iiced/protecting-innovation-and-creativity---intellectual-property/" TargetMode="Externa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5" ma:contentTypeDescription="Create a new document." ma:contentTypeScope="" ma:versionID="bd0258b6d63df46e5159b31152002c43">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4a268c5e39fb5ea259bdfced0dd0d772"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CD31BAA-8904-4385-942C-C33E7C006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F53AFB-84C6-420E-9016-FA1170B99F4A}">
  <ds:schemaRefs>
    <ds:schemaRef ds:uri="http://schemas.openxmlformats.org/officeDocument/2006/bibliography"/>
  </ds:schemaRefs>
</ds:datastoreItem>
</file>

<file path=customXml/itemProps3.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2655603-7A5C-43BD-94BB-3D3F3BC556F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9</Pages>
  <Words>3409</Words>
  <Characters>19432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22796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Esta Lewis</cp:lastModifiedBy>
  <cp:revision>26</cp:revision>
  <cp:lastPrinted>2016-11-02T14:01:00Z</cp:lastPrinted>
  <dcterms:created xsi:type="dcterms:W3CDTF">2026-08-05T10:11:00Z</dcterms:created>
  <dcterms:modified xsi:type="dcterms:W3CDTF">2026-08-05T11:34:00Z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y fmtid="{D5CDD505-2E9C-101B-9397-08002B2CF9AE}" pid="7" name="GrammarlyDocumentId">
    <vt:lpwstr>6ee3dd6b-abbd-4758-ac86-f55888c061b3</vt:lpwstr>
  </property>
</Properties>
</file>