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8"/>
      </w:tblGrid>
      <w:tr w:rsidR="00F927A1" w:rsidRPr="005D3F07" w14:paraId="68CAA39D" w14:textId="77777777" w:rsidTr="00B4476F">
        <w:tc>
          <w:tcPr>
            <w:tcW w:w="10768" w:type="dxa"/>
          </w:tcPr>
          <w:p w14:paraId="02F8EE88" w14:textId="7486BB06"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4476F" w:rsidRPr="00B4476F">
              <w:rPr>
                <w:rFonts w:ascii="Times New Roman" w:hAnsi="Times New Roman" w:cs="Times New Roman"/>
                <w:b/>
                <w:color w:val="auto"/>
                <w:sz w:val="48"/>
              </w:rPr>
              <w:t>Shannon Ward</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77783BD8"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4476F">
              <w:rPr>
                <w:rFonts w:ascii="Times New Roman" w:hAnsi="Times New Roman" w:cs="Times New Roman"/>
                <w:b/>
                <w:color w:val="auto"/>
                <w:sz w:val="48"/>
              </w:rPr>
              <w:t xml:space="preserve"> Shannonward26@outlook.com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341C2ED"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4476F">
              <w:rPr>
                <w:rFonts w:ascii="Times New Roman" w:hAnsi="Times New Roman" w:cs="Times New Roman"/>
                <w:b/>
                <w:color w:val="auto"/>
                <w:sz w:val="48"/>
              </w:rPr>
              <w:t>2417698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13135AC3" w14:textId="77777777" w:rsidR="00CC2D38" w:rsidRPr="00B01896" w:rsidRDefault="00CC2D38" w:rsidP="00CC2D38">
            <w:pPr>
              <w:rPr>
                <w:sz w:val="24"/>
                <w:szCs w:val="24"/>
              </w:rPr>
            </w:pPr>
            <w:r w:rsidRPr="00B01896">
              <w:rPr>
                <w:sz w:val="24"/>
                <w:szCs w:val="24"/>
              </w:rPr>
              <w:t>There are many different pieces of legislation that state how a practitioner needs to practice, to manage safeguarding effectively. There are national legislations and local legislations that local authorities will use to inform their practice. Within Wales, safeguarding is outlined in Part 7 of the Social Services and Wellbeing (Wales) Act 2014 (SSWB(W)A 2014). Part 7 places a statutory duty on practitioners to report safeguarding concerns, reinforcing the principle that safeguarding is a shared responsibility (SSWB(W)A 2014).</w:t>
            </w:r>
          </w:p>
          <w:p w14:paraId="688DAF79" w14:textId="77777777" w:rsidR="00CC2D38" w:rsidRPr="00B01896" w:rsidRDefault="00CC2D38" w:rsidP="00CC2D38">
            <w:pPr>
              <w:rPr>
                <w:sz w:val="24"/>
                <w:szCs w:val="24"/>
              </w:rPr>
            </w:pPr>
          </w:p>
          <w:p w14:paraId="1E919D7C" w14:textId="77777777" w:rsidR="00CC2D38" w:rsidRPr="00B01896" w:rsidRDefault="00CC2D38" w:rsidP="00CC2D38">
            <w:pPr>
              <w:rPr>
                <w:sz w:val="24"/>
                <w:szCs w:val="24"/>
              </w:rPr>
            </w:pPr>
            <w:r w:rsidRPr="00B01896">
              <w:rPr>
                <w:sz w:val="24"/>
                <w:szCs w:val="24"/>
              </w:rPr>
              <w:t xml:space="preserve">Within Section 126 under Part 7, it states local authorities are required to investigate potential abuse or neglect of an adult who is deemed to be at risk. An adult at risk is a person who is deemed to have care and support needs and is unable to protect themselves from harm. Without these factors, an adult is not deemed to be at risk (SSWB(W)A 2014). If a local authority receives a report sharing adult safeguarding concerns, the local authority have a duty, under Section 126 to make an inquiry into the safeguarding </w:t>
            </w:r>
            <w:r>
              <w:rPr>
                <w:sz w:val="24"/>
                <w:szCs w:val="24"/>
              </w:rPr>
              <w:t xml:space="preserve">concerns. </w:t>
            </w:r>
            <w:r w:rsidRPr="00B01896">
              <w:rPr>
                <w:sz w:val="24"/>
                <w:szCs w:val="24"/>
              </w:rPr>
              <w:t>The social worker has seven working days to complete their enquiries (SSWB(W)A 2014).</w:t>
            </w:r>
          </w:p>
          <w:p w14:paraId="5353606F" w14:textId="77777777" w:rsidR="00CC2D38" w:rsidRPr="00B01896" w:rsidRDefault="00CC2D38" w:rsidP="00CC2D38">
            <w:pPr>
              <w:rPr>
                <w:sz w:val="24"/>
                <w:szCs w:val="24"/>
              </w:rPr>
            </w:pPr>
          </w:p>
          <w:p w14:paraId="40A7599E" w14:textId="77777777" w:rsidR="00CC2D38" w:rsidRPr="00B01896" w:rsidRDefault="00CC2D38" w:rsidP="00CC2D38">
            <w:pPr>
              <w:rPr>
                <w:sz w:val="24"/>
                <w:szCs w:val="24"/>
              </w:rPr>
            </w:pPr>
            <w:r w:rsidRPr="00B01896">
              <w:rPr>
                <w:sz w:val="24"/>
                <w:szCs w:val="24"/>
              </w:rPr>
              <w:t xml:space="preserve">In addition to legislation, Wales has developed the Wales Safeguarding Procedures, which provide practical guidance for professionals across all sectors. These procedures support the implementation of the SSWB(W)A 2014 and ensure consistency in safeguarding practice throughout the country. They also provide easy read versions of legislation and have an app that you can access via your mobile phone making it easier for people to access. </w:t>
            </w:r>
          </w:p>
          <w:p w14:paraId="6F25CD53" w14:textId="77777777" w:rsidR="00CC2D38" w:rsidRPr="00B01896" w:rsidRDefault="00CC2D38" w:rsidP="00CC2D38">
            <w:pPr>
              <w:rPr>
                <w:sz w:val="24"/>
                <w:szCs w:val="24"/>
              </w:rPr>
            </w:pPr>
          </w:p>
          <w:p w14:paraId="1842DB92" w14:textId="77777777" w:rsidR="00CC2D38" w:rsidRPr="00B01896" w:rsidRDefault="00CC2D38" w:rsidP="00CC2D38">
            <w:pPr>
              <w:rPr>
                <w:sz w:val="24"/>
                <w:szCs w:val="24"/>
              </w:rPr>
            </w:pPr>
            <w:r w:rsidRPr="00B01896">
              <w:rPr>
                <w:sz w:val="24"/>
                <w:szCs w:val="24"/>
              </w:rPr>
              <w:t>Nationally, there is legislation that safeguards adults. The Human Rights Act 1998 contains Articles which state what rights a human has. The Articles all relate to adult safeguarding but the most relevant are Article 2, 3, 5 and 8. These Article show professionals what rights all humans have in life, even if they lack capacity.</w:t>
            </w:r>
          </w:p>
          <w:p w14:paraId="57EE319A" w14:textId="77777777" w:rsidR="00CC2D38" w:rsidRPr="00B01896" w:rsidRDefault="00CC2D38" w:rsidP="00CC2D38">
            <w:pPr>
              <w:rPr>
                <w:sz w:val="24"/>
                <w:szCs w:val="24"/>
              </w:rPr>
            </w:pPr>
          </w:p>
          <w:p w14:paraId="67F1B84F" w14:textId="77777777" w:rsidR="00CC2D38" w:rsidRPr="00B01896" w:rsidRDefault="00CC2D38" w:rsidP="00CC2D38">
            <w:pPr>
              <w:rPr>
                <w:sz w:val="24"/>
                <w:szCs w:val="24"/>
              </w:rPr>
            </w:pPr>
            <w:r w:rsidRPr="00B01896">
              <w:rPr>
                <w:sz w:val="24"/>
                <w:szCs w:val="24"/>
              </w:rPr>
              <w:t xml:space="preserve">The Mental Capacity Act 2005 (MCA) is also legislation that safeguards adults in England and Wales. The MCA supports adults who lack capacity. This act introduced the Deprivation of Liberty Safeguards (DoLS). DoLS is something that supports vulnerable adults in care </w:t>
            </w:r>
            <w:r w:rsidRPr="00B01896">
              <w:rPr>
                <w:sz w:val="24"/>
                <w:szCs w:val="24"/>
              </w:rPr>
              <w:lastRenderedPageBreak/>
              <w:t>homes or hospitals that may have their liberty limited. DoLS was introduced to ensure that these limitations were put in place in the best interest of the person. A DoLS will be applied for if a person lacks capacity, is under continuous supervision and is unable to leave the facilities due to concerns for their wellbeing (Social Care Institute of Excellence 2022).</w:t>
            </w:r>
          </w:p>
          <w:p w14:paraId="3F38A6F6" w14:textId="77777777" w:rsidR="00CC2D38" w:rsidRPr="00B01896" w:rsidRDefault="00CC2D38" w:rsidP="00CC2D38">
            <w:pPr>
              <w:rPr>
                <w:sz w:val="24"/>
                <w:szCs w:val="24"/>
              </w:rPr>
            </w:pPr>
          </w:p>
          <w:p w14:paraId="7B69F34C" w14:textId="77777777" w:rsidR="00CC2D38" w:rsidRPr="00B01896" w:rsidRDefault="00CC2D38" w:rsidP="00CC2D38">
            <w:pPr>
              <w:rPr>
                <w:sz w:val="24"/>
                <w:szCs w:val="24"/>
              </w:rPr>
            </w:pPr>
            <w:r w:rsidRPr="00B01896">
              <w:rPr>
                <w:sz w:val="24"/>
                <w:szCs w:val="24"/>
                <w:lang w:val="en-US"/>
              </w:rPr>
              <w:t>The Local Authority I work within, is part of a safeguarding board. This safeguarding board contributes to the Local Authority’s protection and prevention plans as well as raising awareness to safeguarding by completing our Adult Practice Reviews and providing learning from this (XXXX 2025).</w:t>
            </w:r>
          </w:p>
          <w:p w14:paraId="2AA792D6" w14:textId="77777777" w:rsidR="00CC2D38" w:rsidRPr="00B01896" w:rsidRDefault="00CC2D38" w:rsidP="00CC2D38">
            <w:pPr>
              <w:jc w:val="both"/>
              <w:rPr>
                <w:sz w:val="24"/>
                <w:szCs w:val="24"/>
                <w:lang w:val="en-US"/>
              </w:rPr>
            </w:pPr>
          </w:p>
          <w:p w14:paraId="79B8E8B1" w14:textId="77777777" w:rsidR="00CC2D38" w:rsidRPr="00B01896" w:rsidRDefault="00CC2D38" w:rsidP="00CC2D38">
            <w:pPr>
              <w:jc w:val="both"/>
              <w:rPr>
                <w:sz w:val="24"/>
                <w:szCs w:val="24"/>
                <w:lang w:val="en-US"/>
              </w:rPr>
            </w:pPr>
            <w:r w:rsidRPr="00B01896">
              <w:rPr>
                <w:sz w:val="24"/>
                <w:szCs w:val="24"/>
                <w:lang w:val="en-US"/>
              </w:rPr>
              <w:t xml:space="preserve">The local authority I work within has a Policy Development Officer. The role of this person is to ensure that local authority’s policies and procedures are up to date and are in line with local and national policies and procedures. All workers have access to Sharepoint where they can access up to date policies and procedures they need to follow in relation to safeguarding adults. </w:t>
            </w:r>
          </w:p>
          <w:p w14:paraId="45C3BD0B" w14:textId="77777777" w:rsidR="00CC2D38" w:rsidRDefault="00CC2D38" w:rsidP="00CC2D38">
            <w:pPr>
              <w:jc w:val="both"/>
              <w:rPr>
                <w:sz w:val="24"/>
                <w:szCs w:val="24"/>
                <w:lang w:val="en-US"/>
              </w:rPr>
            </w:pPr>
          </w:p>
          <w:p w14:paraId="74FB983C" w14:textId="77777777" w:rsidR="00CC2D38" w:rsidRPr="00B01896" w:rsidRDefault="00CC2D38" w:rsidP="00CC2D38">
            <w:pPr>
              <w:jc w:val="both"/>
              <w:rPr>
                <w:sz w:val="24"/>
                <w:szCs w:val="24"/>
                <w:lang w:val="en-US"/>
              </w:rPr>
            </w:pPr>
          </w:p>
          <w:p w14:paraId="01383AD2" w14:textId="36FC6470" w:rsidR="00CC2D38" w:rsidRPr="00B01896" w:rsidRDefault="00CC2D38" w:rsidP="00CC2D38">
            <w:pPr>
              <w:jc w:val="both"/>
              <w:rPr>
                <w:sz w:val="24"/>
                <w:szCs w:val="24"/>
                <w:lang w:val="en-US"/>
              </w:rPr>
            </w:pPr>
            <w:r>
              <w:rPr>
                <w:sz w:val="24"/>
                <w:szCs w:val="24"/>
                <w:lang w:val="en-US"/>
              </w:rPr>
              <w:t xml:space="preserve">(Word count: </w:t>
            </w:r>
            <w:r w:rsidRPr="00B01896">
              <w:rPr>
                <w:sz w:val="24"/>
                <w:szCs w:val="24"/>
                <w:lang w:val="en-US"/>
              </w:rPr>
              <w:t>516</w:t>
            </w:r>
            <w:r>
              <w:rPr>
                <w:sz w:val="24"/>
                <w:szCs w:val="24"/>
                <w:lang w:val="en-US"/>
              </w:rPr>
              <w:t>)</w:t>
            </w: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F3CBAA5" w14:textId="77777777" w:rsidR="004511A0" w:rsidRDefault="004511A0" w:rsidP="004511A0">
            <w:pPr>
              <w:jc w:val="both"/>
              <w:rPr>
                <w:sz w:val="24"/>
                <w:szCs w:val="24"/>
              </w:rPr>
            </w:pPr>
            <w:r>
              <w:rPr>
                <w:sz w:val="24"/>
                <w:szCs w:val="24"/>
              </w:rPr>
              <w:t xml:space="preserve">Adult’s and children’s safeguarding differs in a few different ways. There are different pieces of legislation that apply to children’s and adult safeguarding. Although the Social Services and Wellbeing (Wales) Act 2014 (SSW(W)A 2014) has provided a more holistic approach to safeguarding, there are different sections within it that apply to the different area of safeguarding, showing how safeguarding works differently in adult’s and children’s safeguarding. </w:t>
            </w:r>
          </w:p>
          <w:p w14:paraId="57D15A3B" w14:textId="77777777" w:rsidR="004511A0" w:rsidRDefault="004511A0" w:rsidP="004511A0">
            <w:pPr>
              <w:jc w:val="both"/>
              <w:rPr>
                <w:sz w:val="24"/>
                <w:szCs w:val="24"/>
              </w:rPr>
            </w:pPr>
          </w:p>
          <w:p w14:paraId="52B44A3D" w14:textId="083DA1FA" w:rsidR="004511A0" w:rsidRDefault="004511A0" w:rsidP="00CC2D38">
            <w:pPr>
              <w:jc w:val="both"/>
              <w:rPr>
                <w:sz w:val="24"/>
                <w:szCs w:val="24"/>
              </w:rPr>
            </w:pPr>
            <w:r>
              <w:rPr>
                <w:sz w:val="24"/>
                <w:szCs w:val="24"/>
              </w:rPr>
              <w:t>Within adult safeguarding, a person is deemed to be at risk if they have care and support needs and are unable to protect themselves from harm</w:t>
            </w:r>
            <w:r w:rsidRPr="00776BB2">
              <w:rPr>
                <w:sz w:val="24"/>
                <w:szCs w:val="24"/>
              </w:rPr>
              <w:t>. One of the main causes for a person being deemed unable to protect themselves is due to capacity. The Mental Capacity Act 2005</w:t>
            </w:r>
            <w:r>
              <w:rPr>
                <w:sz w:val="24"/>
                <w:szCs w:val="24"/>
              </w:rPr>
              <w:t xml:space="preserve"> (MCA 2005)</w:t>
            </w:r>
            <w:r w:rsidRPr="00776BB2">
              <w:rPr>
                <w:sz w:val="24"/>
                <w:szCs w:val="24"/>
              </w:rPr>
              <w:t xml:space="preserve"> defines a person as lacking capacity if they are unable to mak</w:t>
            </w:r>
            <w:r>
              <w:rPr>
                <w:sz w:val="24"/>
                <w:szCs w:val="24"/>
              </w:rPr>
              <w:t xml:space="preserve">e a specific </w:t>
            </w:r>
            <w:r w:rsidRPr="00776BB2">
              <w:rPr>
                <w:sz w:val="24"/>
                <w:szCs w:val="24"/>
              </w:rPr>
              <w:t>decision for themselves, at the time it needs to be made. This could be due to the mind or brain being affected by dementia, learning disabilities, a brain injury, mental health conditions or even substance misuse (M</w:t>
            </w:r>
            <w:r>
              <w:rPr>
                <w:sz w:val="24"/>
                <w:szCs w:val="24"/>
              </w:rPr>
              <w:t xml:space="preserve">CA </w:t>
            </w:r>
            <w:r w:rsidRPr="00776BB2">
              <w:rPr>
                <w:sz w:val="24"/>
                <w:szCs w:val="24"/>
              </w:rPr>
              <w:t>2005).A person has the right to make unwise decisions. One of the key principles within the Mental Capacity Act 2005 states that a person should not be assessed as lacking capacity simply because they make an unwise decision. </w:t>
            </w:r>
          </w:p>
          <w:p w14:paraId="6990F055" w14:textId="77777777" w:rsidR="004511A0" w:rsidRDefault="004511A0" w:rsidP="004511A0">
            <w:pPr>
              <w:rPr>
                <w:sz w:val="24"/>
                <w:szCs w:val="24"/>
              </w:rPr>
            </w:pPr>
          </w:p>
          <w:p w14:paraId="7860D57A" w14:textId="77777777" w:rsidR="004511A0" w:rsidRDefault="004511A0" w:rsidP="004511A0">
            <w:pPr>
              <w:rPr>
                <w:sz w:val="24"/>
                <w:szCs w:val="24"/>
              </w:rPr>
            </w:pPr>
            <w:r>
              <w:rPr>
                <w:sz w:val="24"/>
                <w:szCs w:val="24"/>
              </w:rPr>
              <w:t xml:space="preserve">From the age of 16, the MCA 2005 will likely be used when considering a young person’s capacity. If a child is younger than 16, a child will be assessed using the Gillick competence test. This assessment will ensure that a child is able to make informed decisions about </w:t>
            </w:r>
            <w:r>
              <w:rPr>
                <w:sz w:val="24"/>
                <w:szCs w:val="24"/>
              </w:rPr>
              <w:lastRenderedPageBreak/>
              <w:t>something and</w:t>
            </w:r>
            <w:r w:rsidRPr="009A1ADF">
              <w:rPr>
                <w:sz w:val="24"/>
                <w:szCs w:val="24"/>
              </w:rPr>
              <w:t xml:space="preserve"> </w:t>
            </w:r>
            <w:r>
              <w:rPr>
                <w:sz w:val="24"/>
                <w:szCs w:val="24"/>
              </w:rPr>
              <w:t xml:space="preserve">can </w:t>
            </w:r>
            <w:r w:rsidRPr="009A1ADF">
              <w:rPr>
                <w:sz w:val="24"/>
                <w:szCs w:val="24"/>
              </w:rPr>
              <w:t>understand the implications those decisions</w:t>
            </w:r>
            <w:r>
              <w:rPr>
                <w:sz w:val="24"/>
                <w:szCs w:val="24"/>
              </w:rPr>
              <w:t xml:space="preserve"> may have. The Fraser guidelines will also be used for young people wishing to access sexual health advice and contraception (NSPCC Learning 2022)</w:t>
            </w:r>
            <w:r w:rsidRPr="009A1ADF">
              <w:rPr>
                <w:sz w:val="24"/>
                <w:szCs w:val="24"/>
              </w:rPr>
              <w:t>.</w:t>
            </w:r>
          </w:p>
          <w:p w14:paraId="35EA990A" w14:textId="77777777" w:rsidR="004511A0" w:rsidRPr="00776BB2" w:rsidRDefault="004511A0" w:rsidP="004511A0">
            <w:pPr>
              <w:rPr>
                <w:sz w:val="24"/>
                <w:szCs w:val="24"/>
              </w:rPr>
            </w:pPr>
          </w:p>
          <w:p w14:paraId="03FDE7E2" w14:textId="77777777" w:rsidR="004511A0" w:rsidRDefault="004511A0" w:rsidP="004511A0">
            <w:pPr>
              <w:jc w:val="both"/>
              <w:rPr>
                <w:sz w:val="24"/>
                <w:szCs w:val="24"/>
              </w:rPr>
            </w:pPr>
            <w:r>
              <w:rPr>
                <w:sz w:val="24"/>
                <w:szCs w:val="24"/>
              </w:rPr>
              <w:t>In children’s safeguarding, children are considered to be vulnerable due to their age and their dependency on the adults around them. For children’s safeguarding, you do not need consent from parents to agree for a Child Protection Investigation to take place if the child is deemed to be at risk of significant harm (SSW(W)A 2014). In children’s safeguarding, decisions are if both the child and their carer are deemed to not be able to keep them self. This includes them both, or just the parents making unwise decisions which puts the child at risk of harm.</w:t>
            </w:r>
          </w:p>
          <w:p w14:paraId="3EB57503" w14:textId="77777777" w:rsidR="004511A0" w:rsidRDefault="004511A0" w:rsidP="004511A0">
            <w:pPr>
              <w:jc w:val="both"/>
              <w:rPr>
                <w:sz w:val="24"/>
                <w:szCs w:val="24"/>
              </w:rPr>
            </w:pPr>
          </w:p>
          <w:p w14:paraId="5256B880" w14:textId="77777777" w:rsidR="004511A0" w:rsidRDefault="004511A0" w:rsidP="004511A0">
            <w:pPr>
              <w:jc w:val="both"/>
              <w:rPr>
                <w:sz w:val="24"/>
                <w:szCs w:val="24"/>
              </w:rPr>
            </w:pPr>
            <w:r>
              <w:rPr>
                <w:sz w:val="24"/>
                <w:szCs w:val="24"/>
              </w:rPr>
              <w:t xml:space="preserve">Both children at risk and adult’s at risk of harm depend on others around them to help keep them safe. Often, children rely on their parents to care for them and keep them safe, whereas adults will often rely on care providers or settings to safeguard them from harm. </w:t>
            </w:r>
          </w:p>
          <w:p w14:paraId="63F0DA1E" w14:textId="77777777" w:rsidR="004511A0" w:rsidRDefault="004511A0" w:rsidP="004511A0">
            <w:pPr>
              <w:jc w:val="both"/>
              <w:rPr>
                <w:sz w:val="24"/>
                <w:szCs w:val="24"/>
              </w:rPr>
            </w:pPr>
          </w:p>
          <w:p w14:paraId="76A99741" w14:textId="77777777" w:rsidR="004511A0" w:rsidRDefault="004511A0" w:rsidP="004511A0">
            <w:pPr>
              <w:jc w:val="both"/>
              <w:rPr>
                <w:sz w:val="24"/>
                <w:szCs w:val="24"/>
              </w:rPr>
            </w:pPr>
          </w:p>
          <w:p w14:paraId="631C9478" w14:textId="77777777" w:rsidR="004511A0" w:rsidRDefault="004511A0" w:rsidP="004511A0">
            <w:pPr>
              <w:jc w:val="both"/>
              <w:rPr>
                <w:sz w:val="24"/>
                <w:szCs w:val="24"/>
              </w:rPr>
            </w:pPr>
            <w:r>
              <w:rPr>
                <w:sz w:val="24"/>
                <w:szCs w:val="24"/>
              </w:rPr>
              <w:t>(Word count: 432)</w:t>
            </w:r>
          </w:p>
          <w:p w14:paraId="3666680B" w14:textId="77777777" w:rsidR="004511A0" w:rsidRPr="006108C9" w:rsidRDefault="004511A0" w:rsidP="004511A0">
            <w:pPr>
              <w:jc w:val="both"/>
              <w:rPr>
                <w:sz w:val="24"/>
                <w:szCs w:val="24"/>
              </w:rPr>
            </w:pPr>
          </w:p>
          <w:p w14:paraId="6118B82F" w14:textId="77777777" w:rsidR="004511A0" w:rsidRDefault="004511A0" w:rsidP="004511A0">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08760B3D" w14:textId="77777777" w:rsidR="00FC0334" w:rsidRPr="006108C9" w:rsidRDefault="00FC0334" w:rsidP="004511A0">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450B1E" w14:textId="77777777" w:rsidR="009A43E1" w:rsidRDefault="009A43E1">
      <w:r>
        <w:separator/>
      </w:r>
    </w:p>
  </w:endnote>
  <w:endnote w:type="continuationSeparator" w:id="0">
    <w:p w14:paraId="34D19D44" w14:textId="77777777" w:rsidR="009A43E1" w:rsidRDefault="009A4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56542E" w14:textId="77777777" w:rsidR="009A43E1" w:rsidRDefault="009A43E1">
      <w:r>
        <w:separator/>
      </w:r>
    </w:p>
  </w:footnote>
  <w:footnote w:type="continuationSeparator" w:id="0">
    <w:p w14:paraId="5CC95BD2" w14:textId="77777777" w:rsidR="009A43E1" w:rsidRDefault="009A43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20A09"/>
    <w:multiLevelType w:val="multilevel"/>
    <w:tmpl w:val="37621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3"/>
  </w:num>
  <w:num w:numId="3" w16cid:durableId="1938977855">
    <w:abstractNumId w:val="46"/>
  </w:num>
  <w:num w:numId="4" w16cid:durableId="1850633156">
    <w:abstractNumId w:val="48"/>
  </w:num>
  <w:num w:numId="5" w16cid:durableId="2042589495">
    <w:abstractNumId w:val="35"/>
  </w:num>
  <w:num w:numId="6" w16cid:durableId="933980368">
    <w:abstractNumId w:val="33"/>
  </w:num>
  <w:num w:numId="7" w16cid:durableId="1060399973">
    <w:abstractNumId w:val="30"/>
  </w:num>
  <w:num w:numId="8" w16cid:durableId="1237400777">
    <w:abstractNumId w:val="31"/>
  </w:num>
  <w:num w:numId="9" w16cid:durableId="1914463563">
    <w:abstractNumId w:val="11"/>
  </w:num>
  <w:num w:numId="10" w16cid:durableId="693307142">
    <w:abstractNumId w:val="34"/>
  </w:num>
  <w:num w:numId="11" w16cid:durableId="141846751">
    <w:abstractNumId w:val="18"/>
  </w:num>
  <w:num w:numId="12" w16cid:durableId="1310867263">
    <w:abstractNumId w:val="17"/>
  </w:num>
  <w:num w:numId="13" w16cid:durableId="65736213">
    <w:abstractNumId w:val="28"/>
  </w:num>
  <w:num w:numId="14" w16cid:durableId="825441142">
    <w:abstractNumId w:val="9"/>
  </w:num>
  <w:num w:numId="15" w16cid:durableId="1016493186">
    <w:abstractNumId w:val="27"/>
  </w:num>
  <w:num w:numId="16" w16cid:durableId="1273785188">
    <w:abstractNumId w:val="16"/>
  </w:num>
  <w:num w:numId="17" w16cid:durableId="431317323">
    <w:abstractNumId w:val="14"/>
  </w:num>
  <w:num w:numId="18" w16cid:durableId="102062286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4"/>
  </w:num>
  <w:num w:numId="20" w16cid:durableId="413284070">
    <w:abstractNumId w:val="19"/>
  </w:num>
  <w:num w:numId="21" w16cid:durableId="798959287">
    <w:abstractNumId w:val="15"/>
  </w:num>
  <w:num w:numId="22" w16cid:durableId="352731724">
    <w:abstractNumId w:val="12"/>
  </w:num>
  <w:num w:numId="23" w16cid:durableId="456266206">
    <w:abstractNumId w:val="29"/>
  </w:num>
  <w:num w:numId="24" w16cid:durableId="317615789">
    <w:abstractNumId w:val="20"/>
  </w:num>
  <w:num w:numId="25" w16cid:durableId="856430468">
    <w:abstractNumId w:val="42"/>
  </w:num>
  <w:num w:numId="26" w16cid:durableId="1104690971">
    <w:abstractNumId w:val="36"/>
  </w:num>
  <w:num w:numId="27" w16cid:durableId="1201670287">
    <w:abstractNumId w:val="41"/>
  </w:num>
  <w:num w:numId="28" w16cid:durableId="598562144">
    <w:abstractNumId w:val="21"/>
  </w:num>
  <w:num w:numId="29" w16cid:durableId="871068292">
    <w:abstractNumId w:val="44"/>
  </w:num>
  <w:num w:numId="30" w16cid:durableId="482159744">
    <w:abstractNumId w:val="32"/>
  </w:num>
  <w:num w:numId="31" w16cid:durableId="1565527110">
    <w:abstractNumId w:val="13"/>
  </w:num>
  <w:num w:numId="32" w16cid:durableId="1175995731">
    <w:abstractNumId w:val="45"/>
  </w:num>
  <w:num w:numId="33" w16cid:durableId="694232600">
    <w:abstractNumId w:val="40"/>
  </w:num>
  <w:num w:numId="34" w16cid:durableId="1062095063">
    <w:abstractNumId w:val="6"/>
  </w:num>
  <w:num w:numId="35" w16cid:durableId="2051881075">
    <w:abstractNumId w:val="47"/>
  </w:num>
  <w:num w:numId="36" w16cid:durableId="2107188112">
    <w:abstractNumId w:val="43"/>
  </w:num>
  <w:num w:numId="37" w16cid:durableId="1313413796">
    <w:abstractNumId w:val="37"/>
  </w:num>
  <w:num w:numId="38" w16cid:durableId="1682197957">
    <w:abstractNumId w:val="38"/>
  </w:num>
  <w:num w:numId="39" w16cid:durableId="340203735">
    <w:abstractNumId w:val="5"/>
  </w:num>
  <w:num w:numId="40" w16cid:durableId="1266502755">
    <w:abstractNumId w:val="7"/>
  </w:num>
  <w:num w:numId="41" w16cid:durableId="2138642120">
    <w:abstractNumId w:val="26"/>
  </w:num>
  <w:num w:numId="42" w16cid:durableId="2082366208">
    <w:abstractNumId w:val="8"/>
  </w:num>
  <w:num w:numId="43" w16cid:durableId="488403910">
    <w:abstractNumId w:val="4"/>
  </w:num>
  <w:num w:numId="44" w16cid:durableId="210268195">
    <w:abstractNumId w:val="39"/>
  </w:num>
  <w:num w:numId="45" w16cid:durableId="891695978">
    <w:abstractNumId w:val="0"/>
  </w:num>
  <w:num w:numId="46" w16cid:durableId="827289017">
    <w:abstractNumId w:val="15"/>
  </w:num>
  <w:num w:numId="47" w16cid:durableId="167212813">
    <w:abstractNumId w:val="49"/>
  </w:num>
  <w:num w:numId="48" w16cid:durableId="12101473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2"/>
  </w:num>
  <w:num w:numId="50" w16cid:durableId="1163856707">
    <w:abstractNumId w:val="29"/>
  </w:num>
  <w:num w:numId="51" w16cid:durableId="536360681">
    <w:abstractNumId w:val="25"/>
  </w:num>
  <w:num w:numId="52" w16cid:durableId="1666274935">
    <w:abstractNumId w:val="22"/>
  </w:num>
  <w:num w:numId="53" w16cid:durableId="435172075">
    <w:abstractNumId w:val="2"/>
  </w:num>
  <w:num w:numId="54" w16cid:durableId="1671713241">
    <w:abstractNumId w:val="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86E"/>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0F09"/>
    <w:rsid w:val="00074461"/>
    <w:rsid w:val="000766EC"/>
    <w:rsid w:val="00080E58"/>
    <w:rsid w:val="00083D99"/>
    <w:rsid w:val="00084DA6"/>
    <w:rsid w:val="00085699"/>
    <w:rsid w:val="00090160"/>
    <w:rsid w:val="0009089D"/>
    <w:rsid w:val="00091F52"/>
    <w:rsid w:val="00092970"/>
    <w:rsid w:val="00093720"/>
    <w:rsid w:val="000938E6"/>
    <w:rsid w:val="00093B3C"/>
    <w:rsid w:val="0009488C"/>
    <w:rsid w:val="00095C1B"/>
    <w:rsid w:val="00096DEA"/>
    <w:rsid w:val="00097DF9"/>
    <w:rsid w:val="000A4240"/>
    <w:rsid w:val="000A469A"/>
    <w:rsid w:val="000A584A"/>
    <w:rsid w:val="000A6458"/>
    <w:rsid w:val="000C378F"/>
    <w:rsid w:val="000C6892"/>
    <w:rsid w:val="000C6F29"/>
    <w:rsid w:val="000C6FFE"/>
    <w:rsid w:val="000D0BB6"/>
    <w:rsid w:val="000D2ED2"/>
    <w:rsid w:val="000D6653"/>
    <w:rsid w:val="000E07A0"/>
    <w:rsid w:val="000E0D51"/>
    <w:rsid w:val="000E26B0"/>
    <w:rsid w:val="000E37C2"/>
    <w:rsid w:val="000E38C3"/>
    <w:rsid w:val="000F1599"/>
    <w:rsid w:val="000F1769"/>
    <w:rsid w:val="000F1A97"/>
    <w:rsid w:val="000F42AE"/>
    <w:rsid w:val="000F6196"/>
    <w:rsid w:val="000F6BC3"/>
    <w:rsid w:val="000F6CAD"/>
    <w:rsid w:val="0010312C"/>
    <w:rsid w:val="00105026"/>
    <w:rsid w:val="0010662B"/>
    <w:rsid w:val="00106DC7"/>
    <w:rsid w:val="00112391"/>
    <w:rsid w:val="00114F52"/>
    <w:rsid w:val="001242AC"/>
    <w:rsid w:val="00130119"/>
    <w:rsid w:val="00132812"/>
    <w:rsid w:val="001347F8"/>
    <w:rsid w:val="001359EE"/>
    <w:rsid w:val="00137BB5"/>
    <w:rsid w:val="00137E05"/>
    <w:rsid w:val="001447F6"/>
    <w:rsid w:val="00147DE3"/>
    <w:rsid w:val="00150794"/>
    <w:rsid w:val="00151DA6"/>
    <w:rsid w:val="001608C4"/>
    <w:rsid w:val="00164254"/>
    <w:rsid w:val="00164832"/>
    <w:rsid w:val="00171418"/>
    <w:rsid w:val="0017702C"/>
    <w:rsid w:val="001772BF"/>
    <w:rsid w:val="001772DE"/>
    <w:rsid w:val="0019496C"/>
    <w:rsid w:val="001961CF"/>
    <w:rsid w:val="001A59BB"/>
    <w:rsid w:val="001A607E"/>
    <w:rsid w:val="001A6A51"/>
    <w:rsid w:val="001A79C4"/>
    <w:rsid w:val="001B331A"/>
    <w:rsid w:val="001B7C61"/>
    <w:rsid w:val="001C0237"/>
    <w:rsid w:val="001C0B97"/>
    <w:rsid w:val="001C0E74"/>
    <w:rsid w:val="001C4DB8"/>
    <w:rsid w:val="001C50B8"/>
    <w:rsid w:val="001D229F"/>
    <w:rsid w:val="001E2EB6"/>
    <w:rsid w:val="001E3C10"/>
    <w:rsid w:val="001F4552"/>
    <w:rsid w:val="002019EB"/>
    <w:rsid w:val="002039A4"/>
    <w:rsid w:val="00204B58"/>
    <w:rsid w:val="00205051"/>
    <w:rsid w:val="00211F65"/>
    <w:rsid w:val="00214047"/>
    <w:rsid w:val="00216563"/>
    <w:rsid w:val="0021792F"/>
    <w:rsid w:val="00220D06"/>
    <w:rsid w:val="002246A0"/>
    <w:rsid w:val="00230439"/>
    <w:rsid w:val="00232A09"/>
    <w:rsid w:val="00235176"/>
    <w:rsid w:val="0023534B"/>
    <w:rsid w:val="00236061"/>
    <w:rsid w:val="0023769D"/>
    <w:rsid w:val="0024100E"/>
    <w:rsid w:val="00241C1B"/>
    <w:rsid w:val="0024288B"/>
    <w:rsid w:val="00243DB0"/>
    <w:rsid w:val="00246426"/>
    <w:rsid w:val="00247265"/>
    <w:rsid w:val="00257546"/>
    <w:rsid w:val="00260663"/>
    <w:rsid w:val="002657E9"/>
    <w:rsid w:val="0026665E"/>
    <w:rsid w:val="0027147E"/>
    <w:rsid w:val="002761F4"/>
    <w:rsid w:val="002775E1"/>
    <w:rsid w:val="00277979"/>
    <w:rsid w:val="00277B21"/>
    <w:rsid w:val="00291ADD"/>
    <w:rsid w:val="002920DF"/>
    <w:rsid w:val="00292F3D"/>
    <w:rsid w:val="00293284"/>
    <w:rsid w:val="00295CA1"/>
    <w:rsid w:val="002A0E51"/>
    <w:rsid w:val="002A1A44"/>
    <w:rsid w:val="002A27B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648"/>
    <w:rsid w:val="002D6B31"/>
    <w:rsid w:val="002E6D17"/>
    <w:rsid w:val="002E7017"/>
    <w:rsid w:val="002E7F2C"/>
    <w:rsid w:val="002F1FC7"/>
    <w:rsid w:val="002F2185"/>
    <w:rsid w:val="002F2A3A"/>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4585F"/>
    <w:rsid w:val="00352745"/>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040E"/>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20B6"/>
    <w:rsid w:val="004348AE"/>
    <w:rsid w:val="004376C0"/>
    <w:rsid w:val="00441D3B"/>
    <w:rsid w:val="0044223A"/>
    <w:rsid w:val="00450B67"/>
    <w:rsid w:val="004511A0"/>
    <w:rsid w:val="00451851"/>
    <w:rsid w:val="0045189A"/>
    <w:rsid w:val="00453343"/>
    <w:rsid w:val="004538C3"/>
    <w:rsid w:val="004608B9"/>
    <w:rsid w:val="00463B55"/>
    <w:rsid w:val="0046462B"/>
    <w:rsid w:val="00465947"/>
    <w:rsid w:val="004667B1"/>
    <w:rsid w:val="00467F66"/>
    <w:rsid w:val="00470461"/>
    <w:rsid w:val="00470BB1"/>
    <w:rsid w:val="00473153"/>
    <w:rsid w:val="0047350F"/>
    <w:rsid w:val="004743AF"/>
    <w:rsid w:val="00481569"/>
    <w:rsid w:val="00482C17"/>
    <w:rsid w:val="00484CE3"/>
    <w:rsid w:val="004911B4"/>
    <w:rsid w:val="0049186E"/>
    <w:rsid w:val="0049196A"/>
    <w:rsid w:val="00491C74"/>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E5A"/>
    <w:rsid w:val="004D0F4E"/>
    <w:rsid w:val="004D3278"/>
    <w:rsid w:val="004D35A4"/>
    <w:rsid w:val="004D445F"/>
    <w:rsid w:val="004E087B"/>
    <w:rsid w:val="004E44A4"/>
    <w:rsid w:val="004E7B8B"/>
    <w:rsid w:val="004E7BDD"/>
    <w:rsid w:val="004F1966"/>
    <w:rsid w:val="004F1E21"/>
    <w:rsid w:val="004F2542"/>
    <w:rsid w:val="004F3792"/>
    <w:rsid w:val="004F4E33"/>
    <w:rsid w:val="004F740D"/>
    <w:rsid w:val="004F7B8F"/>
    <w:rsid w:val="00500548"/>
    <w:rsid w:val="00500748"/>
    <w:rsid w:val="005011D6"/>
    <w:rsid w:val="00502A14"/>
    <w:rsid w:val="005042F1"/>
    <w:rsid w:val="0050481B"/>
    <w:rsid w:val="00506F56"/>
    <w:rsid w:val="005113D4"/>
    <w:rsid w:val="0051287D"/>
    <w:rsid w:val="00513C7D"/>
    <w:rsid w:val="005146C0"/>
    <w:rsid w:val="00521123"/>
    <w:rsid w:val="00521221"/>
    <w:rsid w:val="0052250B"/>
    <w:rsid w:val="005305C6"/>
    <w:rsid w:val="00537116"/>
    <w:rsid w:val="00540EEC"/>
    <w:rsid w:val="005414F4"/>
    <w:rsid w:val="00546187"/>
    <w:rsid w:val="00547B11"/>
    <w:rsid w:val="0055046B"/>
    <w:rsid w:val="00557D77"/>
    <w:rsid w:val="00562EAA"/>
    <w:rsid w:val="00563B58"/>
    <w:rsid w:val="005640C4"/>
    <w:rsid w:val="0056684C"/>
    <w:rsid w:val="00572863"/>
    <w:rsid w:val="005749E0"/>
    <w:rsid w:val="00574A0C"/>
    <w:rsid w:val="0057780F"/>
    <w:rsid w:val="00581E0A"/>
    <w:rsid w:val="00586D89"/>
    <w:rsid w:val="005877C8"/>
    <w:rsid w:val="00587923"/>
    <w:rsid w:val="00591504"/>
    <w:rsid w:val="00594F9F"/>
    <w:rsid w:val="005951C3"/>
    <w:rsid w:val="005A1B4C"/>
    <w:rsid w:val="005A545C"/>
    <w:rsid w:val="005B00DF"/>
    <w:rsid w:val="005B271A"/>
    <w:rsid w:val="005B2E9D"/>
    <w:rsid w:val="005B3A2D"/>
    <w:rsid w:val="005C1567"/>
    <w:rsid w:val="005C28D3"/>
    <w:rsid w:val="005C6CE5"/>
    <w:rsid w:val="005D02E1"/>
    <w:rsid w:val="005D1B0A"/>
    <w:rsid w:val="005D3C6A"/>
    <w:rsid w:val="005D3F07"/>
    <w:rsid w:val="005D4A1E"/>
    <w:rsid w:val="005D4F72"/>
    <w:rsid w:val="005E13EA"/>
    <w:rsid w:val="005E17F1"/>
    <w:rsid w:val="005F64AA"/>
    <w:rsid w:val="005F7851"/>
    <w:rsid w:val="00606E27"/>
    <w:rsid w:val="006108C9"/>
    <w:rsid w:val="00614DF7"/>
    <w:rsid w:val="006179BB"/>
    <w:rsid w:val="0062114F"/>
    <w:rsid w:val="0062158D"/>
    <w:rsid w:val="006223FD"/>
    <w:rsid w:val="006326D1"/>
    <w:rsid w:val="00632E0A"/>
    <w:rsid w:val="00633165"/>
    <w:rsid w:val="006447DE"/>
    <w:rsid w:val="00644889"/>
    <w:rsid w:val="00646579"/>
    <w:rsid w:val="0065276E"/>
    <w:rsid w:val="00653D1F"/>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2112"/>
    <w:rsid w:val="0069625A"/>
    <w:rsid w:val="00696A88"/>
    <w:rsid w:val="00696F65"/>
    <w:rsid w:val="00697572"/>
    <w:rsid w:val="006A5DB6"/>
    <w:rsid w:val="006B4496"/>
    <w:rsid w:val="006B5584"/>
    <w:rsid w:val="006B5E67"/>
    <w:rsid w:val="006B6612"/>
    <w:rsid w:val="006B72F1"/>
    <w:rsid w:val="006C2EB5"/>
    <w:rsid w:val="006D068E"/>
    <w:rsid w:val="006D18A3"/>
    <w:rsid w:val="006D5970"/>
    <w:rsid w:val="006E481E"/>
    <w:rsid w:val="006E795F"/>
    <w:rsid w:val="006E7EE1"/>
    <w:rsid w:val="006F0862"/>
    <w:rsid w:val="006F1438"/>
    <w:rsid w:val="006F2A9E"/>
    <w:rsid w:val="006F5CB2"/>
    <w:rsid w:val="006F5ED3"/>
    <w:rsid w:val="00700249"/>
    <w:rsid w:val="00702A6D"/>
    <w:rsid w:val="007069CD"/>
    <w:rsid w:val="00706BB5"/>
    <w:rsid w:val="0071231A"/>
    <w:rsid w:val="00712E90"/>
    <w:rsid w:val="00713B7E"/>
    <w:rsid w:val="00720BB6"/>
    <w:rsid w:val="00725EAA"/>
    <w:rsid w:val="0072678F"/>
    <w:rsid w:val="007276E5"/>
    <w:rsid w:val="00727C4C"/>
    <w:rsid w:val="00727D64"/>
    <w:rsid w:val="00734809"/>
    <w:rsid w:val="00736441"/>
    <w:rsid w:val="0073714E"/>
    <w:rsid w:val="007374EF"/>
    <w:rsid w:val="00737D3B"/>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734D6"/>
    <w:rsid w:val="00776BB2"/>
    <w:rsid w:val="0078112D"/>
    <w:rsid w:val="007872F2"/>
    <w:rsid w:val="007873F9"/>
    <w:rsid w:val="007908E0"/>
    <w:rsid w:val="007913C3"/>
    <w:rsid w:val="00793EB3"/>
    <w:rsid w:val="00794205"/>
    <w:rsid w:val="0079422A"/>
    <w:rsid w:val="007A1F6A"/>
    <w:rsid w:val="007A628F"/>
    <w:rsid w:val="007B0DE3"/>
    <w:rsid w:val="007B175D"/>
    <w:rsid w:val="007B1BFD"/>
    <w:rsid w:val="007B7191"/>
    <w:rsid w:val="007C1D94"/>
    <w:rsid w:val="007C556F"/>
    <w:rsid w:val="007C5ABE"/>
    <w:rsid w:val="007C6A87"/>
    <w:rsid w:val="007D0A07"/>
    <w:rsid w:val="007D0F11"/>
    <w:rsid w:val="007D133D"/>
    <w:rsid w:val="007D3EB4"/>
    <w:rsid w:val="007D3F16"/>
    <w:rsid w:val="007F10BD"/>
    <w:rsid w:val="007F312E"/>
    <w:rsid w:val="007F3E27"/>
    <w:rsid w:val="007F3F7E"/>
    <w:rsid w:val="007F4BA4"/>
    <w:rsid w:val="00805847"/>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56F9"/>
    <w:rsid w:val="00836FEC"/>
    <w:rsid w:val="00841F9D"/>
    <w:rsid w:val="008420E1"/>
    <w:rsid w:val="0084440D"/>
    <w:rsid w:val="00844D98"/>
    <w:rsid w:val="00846D84"/>
    <w:rsid w:val="00850233"/>
    <w:rsid w:val="0085230E"/>
    <w:rsid w:val="008550A1"/>
    <w:rsid w:val="00856DE5"/>
    <w:rsid w:val="00861038"/>
    <w:rsid w:val="00865B58"/>
    <w:rsid w:val="00866B50"/>
    <w:rsid w:val="00867A63"/>
    <w:rsid w:val="008701D9"/>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B7F"/>
    <w:rsid w:val="008C2FFB"/>
    <w:rsid w:val="008C633F"/>
    <w:rsid w:val="008C6EEA"/>
    <w:rsid w:val="008C7770"/>
    <w:rsid w:val="008C79C7"/>
    <w:rsid w:val="008D03B0"/>
    <w:rsid w:val="008D1AD7"/>
    <w:rsid w:val="008D2150"/>
    <w:rsid w:val="008D5813"/>
    <w:rsid w:val="008D5999"/>
    <w:rsid w:val="008D634E"/>
    <w:rsid w:val="008D778A"/>
    <w:rsid w:val="008D78C9"/>
    <w:rsid w:val="008E3195"/>
    <w:rsid w:val="008E3D47"/>
    <w:rsid w:val="008E5A35"/>
    <w:rsid w:val="008F127E"/>
    <w:rsid w:val="008F32D9"/>
    <w:rsid w:val="00902A65"/>
    <w:rsid w:val="00903932"/>
    <w:rsid w:val="009079BD"/>
    <w:rsid w:val="00912BD9"/>
    <w:rsid w:val="00916FB2"/>
    <w:rsid w:val="00920E5B"/>
    <w:rsid w:val="00926436"/>
    <w:rsid w:val="00926C53"/>
    <w:rsid w:val="0093018C"/>
    <w:rsid w:val="00942B2D"/>
    <w:rsid w:val="0094495F"/>
    <w:rsid w:val="0094596D"/>
    <w:rsid w:val="009544C0"/>
    <w:rsid w:val="00954FA4"/>
    <w:rsid w:val="00956AE9"/>
    <w:rsid w:val="00964CC6"/>
    <w:rsid w:val="00967BFA"/>
    <w:rsid w:val="0098262C"/>
    <w:rsid w:val="0098427C"/>
    <w:rsid w:val="00986B43"/>
    <w:rsid w:val="00986C0B"/>
    <w:rsid w:val="00986D46"/>
    <w:rsid w:val="00991FDA"/>
    <w:rsid w:val="00992ACA"/>
    <w:rsid w:val="009965FD"/>
    <w:rsid w:val="009A1ADF"/>
    <w:rsid w:val="009A43E1"/>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2DE8"/>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6A2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2E56"/>
    <w:rsid w:val="00A85039"/>
    <w:rsid w:val="00A906AA"/>
    <w:rsid w:val="00A94C5E"/>
    <w:rsid w:val="00AA252C"/>
    <w:rsid w:val="00AA550D"/>
    <w:rsid w:val="00AA666E"/>
    <w:rsid w:val="00AA7960"/>
    <w:rsid w:val="00AB15CD"/>
    <w:rsid w:val="00AB5518"/>
    <w:rsid w:val="00AC3A0E"/>
    <w:rsid w:val="00AC4A04"/>
    <w:rsid w:val="00AC5679"/>
    <w:rsid w:val="00AD336F"/>
    <w:rsid w:val="00AD4607"/>
    <w:rsid w:val="00AE134C"/>
    <w:rsid w:val="00AE1868"/>
    <w:rsid w:val="00AE2564"/>
    <w:rsid w:val="00AE301F"/>
    <w:rsid w:val="00AE3302"/>
    <w:rsid w:val="00AE5BA6"/>
    <w:rsid w:val="00AE5C2A"/>
    <w:rsid w:val="00AE6231"/>
    <w:rsid w:val="00AE7077"/>
    <w:rsid w:val="00AF11E1"/>
    <w:rsid w:val="00AF61C2"/>
    <w:rsid w:val="00AF6CC6"/>
    <w:rsid w:val="00B0189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476F"/>
    <w:rsid w:val="00B46211"/>
    <w:rsid w:val="00B47734"/>
    <w:rsid w:val="00B50FBA"/>
    <w:rsid w:val="00B558EB"/>
    <w:rsid w:val="00B577D3"/>
    <w:rsid w:val="00B60466"/>
    <w:rsid w:val="00B6548F"/>
    <w:rsid w:val="00B70185"/>
    <w:rsid w:val="00B71A32"/>
    <w:rsid w:val="00B7502A"/>
    <w:rsid w:val="00B77305"/>
    <w:rsid w:val="00B774BD"/>
    <w:rsid w:val="00B82CC2"/>
    <w:rsid w:val="00B84A89"/>
    <w:rsid w:val="00B9256C"/>
    <w:rsid w:val="00B92BEF"/>
    <w:rsid w:val="00B94443"/>
    <w:rsid w:val="00B9689A"/>
    <w:rsid w:val="00B97056"/>
    <w:rsid w:val="00BA4643"/>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0FD2"/>
    <w:rsid w:val="00BD30B1"/>
    <w:rsid w:val="00BE0F7B"/>
    <w:rsid w:val="00BE10C2"/>
    <w:rsid w:val="00BF0729"/>
    <w:rsid w:val="00BF0D6C"/>
    <w:rsid w:val="00C01D14"/>
    <w:rsid w:val="00C01D97"/>
    <w:rsid w:val="00C025B4"/>
    <w:rsid w:val="00C029EC"/>
    <w:rsid w:val="00C0691F"/>
    <w:rsid w:val="00C161FD"/>
    <w:rsid w:val="00C17C9F"/>
    <w:rsid w:val="00C23449"/>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1EBE"/>
    <w:rsid w:val="00CA3593"/>
    <w:rsid w:val="00CA5726"/>
    <w:rsid w:val="00CA5ABD"/>
    <w:rsid w:val="00CA7C4C"/>
    <w:rsid w:val="00CA7E6A"/>
    <w:rsid w:val="00CB258E"/>
    <w:rsid w:val="00CB3C8F"/>
    <w:rsid w:val="00CC02F1"/>
    <w:rsid w:val="00CC1122"/>
    <w:rsid w:val="00CC11A6"/>
    <w:rsid w:val="00CC135E"/>
    <w:rsid w:val="00CC2D38"/>
    <w:rsid w:val="00CC4BF7"/>
    <w:rsid w:val="00CC7226"/>
    <w:rsid w:val="00CD0735"/>
    <w:rsid w:val="00CD45E3"/>
    <w:rsid w:val="00CD4771"/>
    <w:rsid w:val="00CD5089"/>
    <w:rsid w:val="00CD50D0"/>
    <w:rsid w:val="00CD5D3F"/>
    <w:rsid w:val="00CD7E1F"/>
    <w:rsid w:val="00CE4BC4"/>
    <w:rsid w:val="00CE71F9"/>
    <w:rsid w:val="00CE7DA2"/>
    <w:rsid w:val="00CF2F8A"/>
    <w:rsid w:val="00CF3DB3"/>
    <w:rsid w:val="00D0274B"/>
    <w:rsid w:val="00D0503D"/>
    <w:rsid w:val="00D052BC"/>
    <w:rsid w:val="00D07026"/>
    <w:rsid w:val="00D146AE"/>
    <w:rsid w:val="00D22C8F"/>
    <w:rsid w:val="00D26831"/>
    <w:rsid w:val="00D3203C"/>
    <w:rsid w:val="00D33491"/>
    <w:rsid w:val="00D3442D"/>
    <w:rsid w:val="00D36F00"/>
    <w:rsid w:val="00D44B67"/>
    <w:rsid w:val="00D44F8E"/>
    <w:rsid w:val="00D51789"/>
    <w:rsid w:val="00D51FD5"/>
    <w:rsid w:val="00D55DE0"/>
    <w:rsid w:val="00D607EF"/>
    <w:rsid w:val="00D60F88"/>
    <w:rsid w:val="00D646BD"/>
    <w:rsid w:val="00D65558"/>
    <w:rsid w:val="00D71201"/>
    <w:rsid w:val="00D720C7"/>
    <w:rsid w:val="00D735D6"/>
    <w:rsid w:val="00D84841"/>
    <w:rsid w:val="00D85C30"/>
    <w:rsid w:val="00D876E6"/>
    <w:rsid w:val="00D90958"/>
    <w:rsid w:val="00DA1025"/>
    <w:rsid w:val="00DA22EC"/>
    <w:rsid w:val="00DA2872"/>
    <w:rsid w:val="00DA5682"/>
    <w:rsid w:val="00DA5860"/>
    <w:rsid w:val="00DA5C0C"/>
    <w:rsid w:val="00DB2767"/>
    <w:rsid w:val="00DB5306"/>
    <w:rsid w:val="00DC1B10"/>
    <w:rsid w:val="00DC2924"/>
    <w:rsid w:val="00DC4729"/>
    <w:rsid w:val="00DC48D9"/>
    <w:rsid w:val="00DD31C5"/>
    <w:rsid w:val="00DD5020"/>
    <w:rsid w:val="00DD63BE"/>
    <w:rsid w:val="00DE4296"/>
    <w:rsid w:val="00DF1708"/>
    <w:rsid w:val="00DF1858"/>
    <w:rsid w:val="00DF2469"/>
    <w:rsid w:val="00DF7899"/>
    <w:rsid w:val="00E0524C"/>
    <w:rsid w:val="00E15751"/>
    <w:rsid w:val="00E17160"/>
    <w:rsid w:val="00E17D41"/>
    <w:rsid w:val="00E231D1"/>
    <w:rsid w:val="00E3288D"/>
    <w:rsid w:val="00E35112"/>
    <w:rsid w:val="00E35BEC"/>
    <w:rsid w:val="00E41A6A"/>
    <w:rsid w:val="00E430D4"/>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02C4"/>
    <w:rsid w:val="00EA4D48"/>
    <w:rsid w:val="00EA6584"/>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EF7EE6"/>
    <w:rsid w:val="00F01F92"/>
    <w:rsid w:val="00F030D4"/>
    <w:rsid w:val="00F04053"/>
    <w:rsid w:val="00F06573"/>
    <w:rsid w:val="00F0703A"/>
    <w:rsid w:val="00F10A08"/>
    <w:rsid w:val="00F129DD"/>
    <w:rsid w:val="00F15354"/>
    <w:rsid w:val="00F22AC5"/>
    <w:rsid w:val="00F247EA"/>
    <w:rsid w:val="00F254D1"/>
    <w:rsid w:val="00F32B82"/>
    <w:rsid w:val="00F34C86"/>
    <w:rsid w:val="00F4043E"/>
    <w:rsid w:val="00F41795"/>
    <w:rsid w:val="00F41BBC"/>
    <w:rsid w:val="00F444F0"/>
    <w:rsid w:val="00F446FF"/>
    <w:rsid w:val="00F45521"/>
    <w:rsid w:val="00F46A6F"/>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2C8E"/>
    <w:rsid w:val="00FD3D7C"/>
    <w:rsid w:val="00FD4F8F"/>
    <w:rsid w:val="00FE0C16"/>
    <w:rsid w:val="00FE14B1"/>
    <w:rsid w:val="00FE22AD"/>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Pages>
  <Words>1156</Words>
  <Characters>6025</Characters>
  <Application>Microsoft Office Word</Application>
  <DocSecurity>0</DocSecurity>
  <Lines>143</Lines>
  <Paragraphs>41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Shannon Ward</cp:lastModifiedBy>
  <cp:revision>110</cp:revision>
  <cp:lastPrinted>2020-02-11T19:20:00Z</cp:lastPrinted>
  <dcterms:created xsi:type="dcterms:W3CDTF">2025-09-08T13:04:00Z</dcterms:created>
  <dcterms:modified xsi:type="dcterms:W3CDTF">2025-10-01T13:26:00Z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