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163A" w:rsidRDefault="00FC163A" w:rsidP="00FE02D4">
      <w:pPr>
        <w:spacing w:before="1200" w:line="360" w:lineRule="auto"/>
        <w:jc w:val="center"/>
        <w:rPr>
          <w:rFonts w:ascii="Arial" w:eastAsia="Calibri" w:hAnsi="Arial" w:cs="Arial"/>
          <w:b/>
          <w:bCs/>
          <w:color w:val="8B0000"/>
          <w:sz w:val="24"/>
          <w:szCs w:val="24"/>
        </w:rPr>
      </w:pPr>
      <w:r>
        <w:rPr>
          <w:noProof/>
        </w:rPr>
        <w:drawing>
          <wp:anchor distT="0" distB="0" distL="114300" distR="114300" simplePos="0" relativeHeight="251666432" behindDoc="0" locked="0" layoutInCell="1" hidden="0" allowOverlap="1" wp14:anchorId="30373F3D" wp14:editId="5281E6EB">
            <wp:simplePos x="0" y="0"/>
            <wp:positionH relativeFrom="margin">
              <wp:align>center</wp:align>
            </wp:positionH>
            <wp:positionV relativeFrom="paragraph">
              <wp:posOffset>76</wp:posOffset>
            </wp:positionV>
            <wp:extent cx="1864995" cy="643255"/>
            <wp:effectExtent l="0" t="0" r="1905" b="4445"/>
            <wp:wrapThrough wrapText="bothSides">
              <wp:wrapPolygon edited="0">
                <wp:start x="0" y="0"/>
                <wp:lineTo x="0" y="19830"/>
                <wp:lineTo x="8605" y="21110"/>
                <wp:lineTo x="9487" y="21110"/>
                <wp:lineTo x="21401" y="19830"/>
                <wp:lineTo x="21401" y="11514"/>
                <wp:lineTo x="20078" y="11514"/>
                <wp:lineTo x="20519" y="3198"/>
                <wp:lineTo x="19416" y="1279"/>
                <wp:lineTo x="15224" y="0"/>
                <wp:lineTo x="0" y="0"/>
              </wp:wrapPolygon>
            </wp:wrapThrough>
            <wp:docPr id="11" name="image6.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6.png" descr="Discover University of Wales Trinity Saint David"/>
                    <pic:cNvPicPr preferRelativeResize="0"/>
                  </pic:nvPicPr>
                  <pic:blipFill>
                    <a:blip r:embed="rId8"/>
                    <a:srcRect/>
                    <a:stretch>
                      <a:fillRect/>
                    </a:stretch>
                  </pic:blipFill>
                  <pic:spPr>
                    <a:xfrm>
                      <a:off x="0" y="0"/>
                      <a:ext cx="1864995" cy="643255"/>
                    </a:xfrm>
                    <a:prstGeom prst="rect">
                      <a:avLst/>
                    </a:prstGeom>
                    <a:ln/>
                  </pic:spPr>
                </pic:pic>
              </a:graphicData>
            </a:graphic>
            <wp14:sizeRelH relativeFrom="margin">
              <wp14:pctWidth>0</wp14:pctWidth>
            </wp14:sizeRelH>
            <wp14:sizeRelV relativeFrom="margin">
              <wp14:pctHeight>0</wp14:pctHeight>
            </wp14:sizeRelV>
          </wp:anchor>
        </w:drawing>
      </w:r>
    </w:p>
    <w:p w:rsidR="004B0A67" w:rsidRPr="003D1FC6" w:rsidRDefault="003349D0" w:rsidP="00FC163A">
      <w:pPr>
        <w:spacing w:line="360" w:lineRule="auto"/>
        <w:jc w:val="center"/>
        <w:rPr>
          <w:rFonts w:ascii="Arial" w:hAnsi="Arial" w:cs="Arial"/>
          <w:color w:val="4472C4" w:themeColor="accent5"/>
          <w:sz w:val="24"/>
          <w:szCs w:val="24"/>
        </w:rPr>
      </w:pPr>
      <w:r>
        <w:rPr>
          <w:rFonts w:ascii="Arial" w:eastAsia="Calibri" w:hAnsi="Arial" w:cs="Arial"/>
          <w:b/>
          <w:bCs/>
          <w:color w:val="4472C4" w:themeColor="accent5"/>
          <w:sz w:val="24"/>
          <w:szCs w:val="24"/>
        </w:rPr>
        <w:t>Brand Development Portfolio</w:t>
      </w:r>
    </w:p>
    <w:p w:rsidR="004B0A67" w:rsidRPr="003D1FC6" w:rsidRDefault="003349D0" w:rsidP="00FE02D4">
      <w:pPr>
        <w:spacing w:before="200" w:after="200" w:line="360" w:lineRule="auto"/>
        <w:jc w:val="center"/>
        <w:rPr>
          <w:rFonts w:ascii="Arial" w:hAnsi="Arial" w:cs="Arial"/>
          <w:color w:val="4472C4" w:themeColor="accent5"/>
          <w:sz w:val="24"/>
          <w:szCs w:val="24"/>
        </w:rPr>
      </w:pPr>
      <w:r>
        <w:rPr>
          <w:rFonts w:ascii="Arial" w:eastAsia="Calibri" w:hAnsi="Arial" w:cs="Arial"/>
          <w:b/>
          <w:bCs/>
          <w:color w:val="4472C4" w:themeColor="accent5"/>
          <w:sz w:val="24"/>
          <w:szCs w:val="24"/>
        </w:rPr>
        <w:t>A Sustainable Brand Extension Strategy for the Coca-Cola Company:</w:t>
      </w:r>
    </w:p>
    <w:p w:rsidR="004B0A67" w:rsidRPr="00FE02D4" w:rsidRDefault="00FC163A" w:rsidP="003D1FC6">
      <w:pPr>
        <w:spacing w:line="360" w:lineRule="auto"/>
        <w:jc w:val="center"/>
        <w:rPr>
          <w:rFonts w:ascii="Arial" w:hAnsi="Arial" w:cs="Arial"/>
          <w:sz w:val="24"/>
          <w:szCs w:val="24"/>
        </w:rPr>
      </w:pPr>
      <w:r>
        <w:rPr>
          <w:rFonts w:ascii="Arial" w:eastAsia="Calibri" w:hAnsi="Arial" w:cs="Arial"/>
          <w:b/>
          <w:bCs/>
          <w:i/>
          <w:iCs/>
          <w:sz w:val="24"/>
          <w:szCs w:val="24"/>
        </w:rPr>
        <w:t>"Coca-Cola Herbal</w:t>
      </w:r>
      <w:bookmarkStart w:id="0" w:name="_GoBack"/>
      <w:bookmarkEnd w:id="0"/>
      <w:r>
        <w:rPr>
          <w:rFonts w:ascii="Arial" w:eastAsia="Calibri" w:hAnsi="Arial" w:cs="Arial"/>
          <w:b/>
          <w:bCs/>
          <w:i/>
          <w:iCs/>
          <w:sz w:val="24"/>
          <w:szCs w:val="24"/>
        </w:rPr>
        <w:t>+": Plant-Based Functional Beverages</w:t>
      </w:r>
    </w:p>
    <w:p w:rsidR="00FC163A" w:rsidRDefault="003349D0" w:rsidP="003D1FC6">
      <w:pPr>
        <w:spacing w:before="240" w:after="200" w:line="360" w:lineRule="auto"/>
        <w:jc w:val="center"/>
        <w:rPr>
          <w:rFonts w:ascii="Arial" w:hAnsi="Arial" w:cs="Arial"/>
          <w:sz w:val="24"/>
          <w:szCs w:val="24"/>
        </w:rPr>
      </w:pPr>
      <w:r>
        <w:rPr>
          <w:rFonts w:ascii="Arial" w:eastAsia="Calibri" w:hAnsi="Arial" w:cs="Arial"/>
          <w:sz w:val="24"/>
          <w:szCs w:val="24"/>
        </w:rPr>
        <w:t>Marketing Consultant's Report</w:t>
      </w:r>
    </w:p>
    <w:tbl>
      <w:tblPr>
        <w:tblpPr w:leftFromText="180" w:rightFromText="180" w:vertAnchor="text" w:horzAnchor="margin" w:tblpY="120"/>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43"/>
        <w:gridCol w:w="6137"/>
      </w:tblGrid>
      <w:tr w:rsidR="003D1FC6" w:rsidRPr="00E32486" w:rsidTr="003D1FC6">
        <w:trPr>
          <w:trHeight w:val="598"/>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Module</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sz w:val="24"/>
                <w:szCs w:val="24"/>
              </w:rPr>
              <w:t>Marketing Management - MBA International Business</w:t>
            </w:r>
          </w:p>
        </w:tc>
      </w:tr>
      <w:tr w:rsidR="003D1FC6" w:rsidRPr="00E32486" w:rsidTr="003D1FC6">
        <w:trPr>
          <w:trHeight w:val="1263"/>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Assignment Title</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sz w:val="24"/>
                <w:szCs w:val="24"/>
              </w:rPr>
              <w:t>Brand Development Portfolio: A Sustainable Brand Extension Strategy</w:t>
            </w:r>
          </w:p>
        </w:tc>
      </w:tr>
      <w:tr w:rsidR="003D1FC6" w:rsidRPr="00E32486" w:rsidTr="003D1FC6">
        <w:trPr>
          <w:trHeight w:val="598"/>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Company Analysed</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color w:val="C00000"/>
                <w:sz w:val="24"/>
                <w:szCs w:val="24"/>
              </w:rPr>
              <w:t>The Coca-Cola Company</w:t>
            </w:r>
          </w:p>
        </w:tc>
      </w:tr>
      <w:tr w:rsidR="003D1FC6" w:rsidRPr="00E32486" w:rsidTr="003D1FC6">
        <w:trPr>
          <w:trHeight w:val="598"/>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Student Name</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sz w:val="24"/>
                <w:szCs w:val="24"/>
              </w:rPr>
              <w:t>Zarna Patel</w:t>
            </w:r>
          </w:p>
        </w:tc>
      </w:tr>
      <w:tr w:rsidR="003D1FC6" w:rsidRPr="00E32486" w:rsidTr="003D1FC6">
        <w:trPr>
          <w:trHeight w:val="598"/>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Student ID</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sz w:val="24"/>
                <w:szCs w:val="24"/>
              </w:rPr>
              <w:t>2536013</w:t>
            </w:r>
          </w:p>
        </w:tc>
      </w:tr>
      <w:tr w:rsidR="003D1FC6" w:rsidRPr="00E32486" w:rsidTr="003D1FC6">
        <w:trPr>
          <w:trHeight w:val="630"/>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Lecturer</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sz w:val="24"/>
                <w:szCs w:val="24"/>
              </w:rPr>
              <w:t xml:space="preserve">Taonga Kaonga Sobere-Snithers </w:t>
            </w:r>
          </w:p>
        </w:tc>
      </w:tr>
      <w:tr w:rsidR="003D1FC6" w:rsidRPr="00E32486" w:rsidTr="003D1FC6">
        <w:trPr>
          <w:trHeight w:val="598"/>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Word Count</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sz w:val="24"/>
                <w:szCs w:val="24"/>
              </w:rPr>
              <w:t>Approx 2600 words</w:t>
            </w:r>
          </w:p>
        </w:tc>
      </w:tr>
      <w:tr w:rsidR="003D1FC6" w:rsidRPr="00E32486" w:rsidTr="003D1FC6">
        <w:trPr>
          <w:trHeight w:val="598"/>
        </w:trPr>
        <w:tc>
          <w:tcPr>
            <w:tcW w:w="3043"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3D1FC6" w:rsidRPr="00E32486" w:rsidRDefault="003D1FC6" w:rsidP="003D1FC6">
            <w:pPr>
              <w:spacing w:line="360" w:lineRule="auto"/>
              <w:jc w:val="center"/>
              <w:rPr>
                <w:sz w:val="24"/>
                <w:szCs w:val="24"/>
              </w:rPr>
            </w:pPr>
            <w:r>
              <w:rPr>
                <w:b/>
                <w:bCs/>
                <w:color w:val="FFFFFF"/>
                <w:sz w:val="24"/>
                <w:szCs w:val="24"/>
              </w:rPr>
              <w:t>Submission Date</w:t>
            </w:r>
          </w:p>
        </w:tc>
        <w:tc>
          <w:tcPr>
            <w:tcW w:w="6137"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3D1FC6" w:rsidRPr="00E32486" w:rsidRDefault="003D1FC6" w:rsidP="003D1FC6">
            <w:pPr>
              <w:spacing w:line="360" w:lineRule="auto"/>
              <w:rPr>
                <w:sz w:val="24"/>
                <w:szCs w:val="24"/>
              </w:rPr>
            </w:pPr>
            <w:r>
              <w:rPr>
                <w:sz w:val="24"/>
                <w:szCs w:val="24"/>
              </w:rPr>
              <w:t>31st July 2026</w:t>
            </w:r>
          </w:p>
        </w:tc>
      </w:tr>
    </w:tbl>
    <w:p w:rsidR="004B0A67" w:rsidRPr="00FE02D4" w:rsidRDefault="003349D0" w:rsidP="003D1FC6">
      <w:pPr>
        <w:spacing w:after="1000" w:line="360" w:lineRule="auto"/>
        <w:rPr>
          <w:rFonts w:ascii="Arial" w:hAnsi="Arial" w:cs="Arial"/>
          <w:sz w:val="24"/>
          <w:szCs w:val="24"/>
        </w:rPr>
      </w:pPr>
      <w:r>
        <w:rPr>
          <w:rFonts w:ascii="Arial" w:hAnsi="Arial" w:cs="Arial"/>
          <w:sz w:val="24"/>
          <w:szCs w:val="24"/>
        </w:rPr>
        <w:br w:type="page"/>
      </w:r>
    </w:p>
    <w:p w:rsidR="004B0A67" w:rsidRPr="00FE02D4" w:rsidRDefault="004B0A67" w:rsidP="00FE02D4">
      <w:pPr>
        <w:spacing w:line="360" w:lineRule="auto"/>
        <w:rPr>
          <w:rFonts w:ascii="Arial" w:hAnsi="Arial" w:cs="Arial"/>
          <w:sz w:val="24"/>
          <w:szCs w:val="24"/>
        </w:rPr>
        <w:sectPr w:rsidR="004B0A67" w:rsidRPr="00FE02D4" w:rsidSect="00533CAF">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8A21C8" w:rsidRPr="00FE02D4" w:rsidRDefault="008A21C8" w:rsidP="008A21C8">
      <w:pPr>
        <w:pStyle w:val="Heading1"/>
        <w:pBdr>
          <w:bottom w:val="single" w:sz="6" w:space="0" w:color="1F3864"/>
        </w:pBdr>
        <w:spacing w:after="240" w:line="360" w:lineRule="auto"/>
        <w:rPr>
          <w:rFonts w:ascii="Arial" w:hAnsi="Arial" w:cs="Arial"/>
          <w:color w:val="4472C4" w:themeColor="accent5"/>
          <w:sz w:val="28"/>
          <w:szCs w:val="24"/>
        </w:rPr>
      </w:pPr>
      <w:bookmarkStart w:id="1" w:name="_Toc235135647"/>
      <w:r>
        <w:rPr>
          <w:rFonts w:ascii="Arial" w:eastAsia="Calibri" w:hAnsi="Arial" w:cs="Arial"/>
          <w:b/>
          <w:bCs/>
          <w:color w:val="4472C4" w:themeColor="accent5"/>
          <w:sz w:val="28"/>
          <w:szCs w:val="24"/>
        </w:rPr>
        <w:lastRenderedPageBreak/>
        <w:t>Table of Content</w:t>
      </w:r>
      <w:bookmarkEnd w:id="1"/>
    </w:p>
    <w:sdt>
      <w:sdtPr>
        <w:rPr>
          <w:rFonts w:ascii="Times New Roman" w:eastAsia="Times New Roman" w:hAnsi="Times New Roman" w:cs="Times New Roman"/>
          <w:color w:val="auto"/>
          <w:sz w:val="20"/>
          <w:szCs w:val="20"/>
          <w:lang w:val="en-IN" w:eastAsia="en-IN"/>
        </w:rPr>
        <w:id w:val="966314030"/>
        <w:docPartObj>
          <w:docPartGallery w:val="Table of Contents"/>
          <w:docPartUnique/>
        </w:docPartObj>
      </w:sdtPr>
      <w:sdtEndPr>
        <w:rPr>
          <w:b/>
          <w:bCs/>
          <w:noProof/>
        </w:rPr>
      </w:sdtEndPr>
      <w:sdtContent>
        <w:p w:rsidR="008A21C8" w:rsidRPr="00FC163A" w:rsidRDefault="008A21C8" w:rsidP="00FC163A">
          <w:pPr>
            <w:pStyle w:val="TOCHeading"/>
            <w:rPr>
              <w:rFonts w:ascii="Arial" w:hAnsi="Arial" w:cs="Arial"/>
              <w:sz w:val="24"/>
              <w:szCs w:val="24"/>
            </w:rPr>
          </w:pPr>
          <w:r>
            <w:rPr>
              <w:rFonts w:ascii="Arial" w:hAnsi="Arial" w:cs="Arial"/>
              <w:b/>
              <w:bCs/>
              <w:noProof/>
              <w:sz w:val="24"/>
              <w:szCs w:val="24"/>
            </w:rPr>
            <w:fldChar w:fldCharType="begin"/>
          </w:r>
          <w:r>
            <w:rPr>
              <w:rFonts w:ascii="Arial" w:hAnsi="Arial" w:cs="Arial"/>
              <w:b/>
              <w:bCs/>
              <w:noProof/>
              <w:sz w:val="24"/>
              <w:szCs w:val="24"/>
            </w:rPr>
            <w:instrText xml:space="preserve"> TOC \o "1-3" \h \z \u </w:instrText>
          </w:r>
          <w:r>
            <w:rPr>
              <w:rFonts w:ascii="Arial" w:hAnsi="Arial" w:cs="Arial"/>
              <w:b/>
              <w:bCs/>
              <w:noProof/>
              <w:sz w:val="24"/>
              <w:szCs w:val="24"/>
            </w:rPr>
            <w:fldChar w:fldCharType="separate"/>
          </w:r>
          <w:hyperlink w:anchor="_Toc235135647" w:history="1"/>
        </w:p>
        <w:p w:rsidR="008A21C8" w:rsidRPr="00FC163A" w:rsidRDefault="00F22480" w:rsidP="008A21C8">
          <w:pPr>
            <w:pStyle w:val="TOC1"/>
            <w:tabs>
              <w:tab w:val="right" w:leader="dot" w:pos="9016"/>
            </w:tabs>
            <w:rPr>
              <w:rStyle w:val="Hyperlink"/>
              <w:rFonts w:ascii="Arial" w:hAnsi="Arial" w:cs="Arial"/>
              <w:noProof/>
              <w:sz w:val="24"/>
              <w:szCs w:val="24"/>
            </w:rPr>
          </w:pPr>
          <w:hyperlink w:anchor="_Toc235135648" w:history="1">
            <w:r w:rsidR="002F2CFA">
              <w:rPr>
                <w:rStyle w:val="Hyperlink"/>
                <w:rFonts w:ascii="Arial" w:eastAsia="Calibri" w:hAnsi="Arial" w:cs="Arial"/>
                <w:b/>
                <w:bCs/>
                <w:noProof/>
                <w:sz w:val="24"/>
                <w:szCs w:val="24"/>
              </w:rPr>
              <w:t>Element 1: Sustainable Brand Extension Poster Presentation</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_Toc235135648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3</w:t>
            </w:r>
            <w:r w:rsidR="002F2CFA">
              <w:rPr>
                <w:rFonts w:ascii="Arial" w:hAnsi="Arial" w:cs="Arial"/>
                <w:noProof/>
                <w:webHidden/>
                <w:sz w:val="24"/>
                <w:szCs w:val="24"/>
              </w:rPr>
              <w:fldChar w:fldCharType="end"/>
            </w:r>
          </w:hyperlink>
        </w:p>
        <w:p w:rsidR="008A21C8" w:rsidRPr="00FC163A" w:rsidRDefault="00F22480" w:rsidP="008A21C8">
          <w:pPr>
            <w:pStyle w:val="TOC1"/>
            <w:tabs>
              <w:tab w:val="right" w:leader="dot" w:pos="9016"/>
            </w:tabs>
            <w:rPr>
              <w:rFonts w:ascii="Arial" w:hAnsi="Arial" w:cs="Arial"/>
              <w:noProof/>
              <w:sz w:val="24"/>
              <w:szCs w:val="24"/>
            </w:rPr>
          </w:pPr>
          <w:hyperlink w:anchor="_Toc235135650" w:history="1">
            <w:r w:rsidR="002F2CFA">
              <w:rPr>
                <w:rStyle w:val="Hyperlink"/>
                <w:rFonts w:ascii="Arial" w:eastAsia="Calibri" w:hAnsi="Arial" w:cs="Arial"/>
                <w:b/>
                <w:bCs/>
                <w:noProof/>
                <w:sz w:val="24"/>
                <w:szCs w:val="24"/>
              </w:rPr>
              <w:t>Element 2: STDP Analysis</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_Toc235135650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3</w:t>
            </w:r>
            <w:r w:rsidR="002F2CFA">
              <w:rPr>
                <w:rFonts w:ascii="Arial" w:hAnsi="Arial" w:cs="Arial"/>
                <w:noProof/>
                <w:webHidden/>
                <w:sz w:val="24"/>
                <w:szCs w:val="24"/>
              </w:rPr>
              <w:fldChar w:fldCharType="end"/>
            </w:r>
          </w:hyperlink>
        </w:p>
        <w:p w:rsidR="008A21C8" w:rsidRPr="00FC163A" w:rsidRDefault="00F22480" w:rsidP="00FC163A">
          <w:pPr>
            <w:pStyle w:val="TOC1"/>
            <w:tabs>
              <w:tab w:val="right" w:leader="dot" w:pos="9016"/>
            </w:tabs>
            <w:ind w:left="720"/>
            <w:rPr>
              <w:rFonts w:ascii="Arial" w:hAnsi="Arial" w:cs="Arial"/>
              <w:noProof/>
              <w:sz w:val="24"/>
              <w:szCs w:val="24"/>
            </w:rPr>
          </w:pPr>
          <w:hyperlink w:anchor="_Toc235135651" w:history="1">
            <w:r w:rsidR="002F2CFA">
              <w:rPr>
                <w:rStyle w:val="Hyperlink"/>
                <w:rFonts w:ascii="Arial" w:eastAsia="Calibri" w:hAnsi="Arial" w:cs="Arial"/>
                <w:noProof/>
                <w:sz w:val="24"/>
                <w:szCs w:val="24"/>
              </w:rPr>
              <w:t>category.</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_Toc235135651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3</w:t>
            </w:r>
            <w:r w:rsidR="002F2CFA">
              <w:rPr>
                <w:rFonts w:ascii="Arial" w:hAnsi="Arial" w:cs="Arial"/>
                <w:noProof/>
                <w:webHidden/>
                <w:sz w:val="24"/>
                <w:szCs w:val="24"/>
              </w:rPr>
              <w:fldChar w:fldCharType="end"/>
            </w:r>
          </w:hyperlink>
        </w:p>
        <w:p w:rsidR="008A21C8" w:rsidRPr="00FC163A" w:rsidRDefault="00F22480" w:rsidP="008A21C8">
          <w:pPr>
            <w:pStyle w:val="TOC2"/>
            <w:rPr>
              <w:rFonts w:ascii="Arial" w:hAnsi="Arial" w:cs="Arial"/>
              <w:noProof/>
              <w:sz w:val="24"/>
              <w:szCs w:val="24"/>
            </w:rPr>
          </w:pPr>
          <w:hyperlink w:anchor="_Toc235135652" w:history="1">
            <w:r w:rsidR="002F2CFA">
              <w:rPr>
                <w:rStyle w:val="Hyperlink"/>
                <w:rFonts w:ascii="Arial" w:eastAsia="Calibri" w:hAnsi="Arial" w:cs="Arial"/>
                <w:b/>
                <w:bCs/>
                <w:noProof/>
                <w:sz w:val="24"/>
                <w:szCs w:val="24"/>
              </w:rPr>
              <w:t>Segmentation</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_Toc235135652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3</w:t>
            </w:r>
            <w:r w:rsidR="002F2CFA">
              <w:rPr>
                <w:rFonts w:ascii="Arial" w:hAnsi="Arial" w:cs="Arial"/>
                <w:noProof/>
                <w:webHidden/>
                <w:sz w:val="24"/>
                <w:szCs w:val="24"/>
              </w:rPr>
              <w:fldChar w:fldCharType="end"/>
            </w:r>
          </w:hyperlink>
        </w:p>
        <w:p w:rsidR="008A21C8" w:rsidRPr="00FC163A" w:rsidRDefault="00F22480" w:rsidP="008A21C8">
          <w:pPr>
            <w:pStyle w:val="TOC2"/>
            <w:rPr>
              <w:rFonts w:ascii="Arial" w:hAnsi="Arial" w:cs="Arial"/>
              <w:noProof/>
              <w:sz w:val="24"/>
              <w:szCs w:val="24"/>
            </w:rPr>
          </w:pPr>
          <w:hyperlink w:anchor="_Toc235135653" w:history="1">
            <w:r w:rsidR="002F2CFA">
              <w:rPr>
                <w:rStyle w:val="Hyperlink"/>
                <w:rFonts w:ascii="Arial" w:eastAsia="Calibri" w:hAnsi="Arial" w:cs="Arial"/>
                <w:b/>
                <w:bCs/>
                <w:noProof/>
                <w:sz w:val="24"/>
                <w:szCs w:val="24"/>
              </w:rPr>
              <w:t>Targeting</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_Toc235135653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5</w:t>
            </w:r>
            <w:r w:rsidR="002F2CFA">
              <w:rPr>
                <w:rFonts w:ascii="Arial" w:hAnsi="Arial" w:cs="Arial"/>
                <w:noProof/>
                <w:webHidden/>
                <w:sz w:val="24"/>
                <w:szCs w:val="24"/>
              </w:rPr>
              <w:fldChar w:fldCharType="end"/>
            </w:r>
          </w:hyperlink>
        </w:p>
        <w:p w:rsidR="008A21C8" w:rsidRPr="00FC163A" w:rsidRDefault="00F22480" w:rsidP="008A21C8">
          <w:pPr>
            <w:pStyle w:val="TOC2"/>
            <w:rPr>
              <w:rFonts w:ascii="Arial" w:hAnsi="Arial" w:cs="Arial"/>
              <w:noProof/>
              <w:sz w:val="24"/>
              <w:szCs w:val="24"/>
            </w:rPr>
          </w:pPr>
          <w:hyperlink w:anchor="_Toc235135654" w:history="1">
            <w:r w:rsidR="002F2CFA">
              <w:rPr>
                <w:rStyle w:val="Hyperlink"/>
                <w:rFonts w:ascii="Arial" w:eastAsia="Calibri" w:hAnsi="Arial" w:cs="Arial"/>
                <w:b/>
                <w:bCs/>
                <w:noProof/>
                <w:sz w:val="24"/>
                <w:szCs w:val="24"/>
              </w:rPr>
              <w:t>Differentiation</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_Toc235135654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6</w:t>
            </w:r>
            <w:r w:rsidR="002F2CFA">
              <w:rPr>
                <w:rFonts w:ascii="Arial" w:hAnsi="Arial" w:cs="Arial"/>
                <w:noProof/>
                <w:webHidden/>
                <w:sz w:val="24"/>
                <w:szCs w:val="24"/>
              </w:rPr>
              <w:fldChar w:fldCharType="end"/>
            </w:r>
          </w:hyperlink>
        </w:p>
        <w:p w:rsidR="008A21C8" w:rsidRPr="00FC163A" w:rsidRDefault="00F22480" w:rsidP="008A21C8">
          <w:pPr>
            <w:pStyle w:val="TOC2"/>
            <w:rPr>
              <w:rFonts w:ascii="Arial" w:hAnsi="Arial" w:cs="Arial"/>
              <w:noProof/>
              <w:sz w:val="24"/>
              <w:szCs w:val="24"/>
            </w:rPr>
          </w:pPr>
          <w:hyperlink w:anchor="_Toc235135655" w:history="1">
            <w:r w:rsidR="002F2CFA">
              <w:rPr>
                <w:rStyle w:val="Hyperlink"/>
                <w:rFonts w:ascii="Arial" w:eastAsia="Calibri" w:hAnsi="Arial" w:cs="Arial"/>
                <w:b/>
                <w:bCs/>
                <w:noProof/>
                <w:sz w:val="24"/>
                <w:szCs w:val="24"/>
              </w:rPr>
              <w:t>Positioning</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_Toc235135655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6</w:t>
            </w:r>
            <w:r w:rsidR="002F2CFA">
              <w:rPr>
                <w:rFonts w:ascii="Arial" w:hAnsi="Arial" w:cs="Arial"/>
                <w:noProof/>
                <w:webHidden/>
                <w:sz w:val="24"/>
                <w:szCs w:val="24"/>
              </w:rPr>
              <w:fldChar w:fldCharType="end"/>
            </w:r>
          </w:hyperlink>
        </w:p>
        <w:p w:rsidR="008A21C8" w:rsidRPr="00FC163A" w:rsidRDefault="00F22480">
          <w:pPr>
            <w:pStyle w:val="TOC1"/>
            <w:tabs>
              <w:tab w:val="right" w:leader="dot" w:pos="9016"/>
            </w:tabs>
            <w:rPr>
              <w:rFonts w:ascii="Arial" w:hAnsi="Arial" w:cs="Arial"/>
              <w:noProof/>
              <w:sz w:val="24"/>
              <w:szCs w:val="24"/>
            </w:rPr>
          </w:pPr>
          <w:hyperlink w:anchor="_Toc235135656" w:history="1">
            <w:r w:rsidR="002F2CFA">
              <w:rPr>
                <w:rStyle w:val="Hyperlink"/>
                <w:rFonts w:ascii="Arial" w:eastAsia="Calibri" w:hAnsi="Arial" w:cs="Arial"/>
                <w:b/>
                <w:bCs/>
                <w:noProof/>
                <w:sz w:val="24"/>
                <w:szCs w:val="24"/>
              </w:rPr>
              <w:t>Element 3: Marketing Mix (7Ps)</w:t>
            </w:r>
            <w:r w:rsidR="002F2CFA">
              <w:rPr>
                <w:rFonts w:ascii="Arial" w:hAnsi="Arial" w:cs="Arial"/>
                <w:noProof/>
                <w:webHidden/>
                <w:sz w:val="24"/>
                <w:szCs w:val="24"/>
              </w:rPr>
              <w:tab/>
            </w:r>
            <w:r w:rsidR="00052BD7">
              <w:rPr>
                <w:rFonts w:ascii="Arial" w:hAnsi="Arial" w:cs="Arial"/>
                <w:noProof/>
                <w:webHidden/>
                <w:sz w:val="24"/>
                <w:szCs w:val="24"/>
              </w:rPr>
              <w:t>8</w:t>
            </w:r>
          </w:hyperlink>
        </w:p>
        <w:p w:rsidR="008A21C8" w:rsidRPr="00FC163A" w:rsidRDefault="00F22480" w:rsidP="008A21C8">
          <w:pPr>
            <w:pStyle w:val="TOC2"/>
            <w:rPr>
              <w:rFonts w:ascii="Arial" w:hAnsi="Arial" w:cs="Arial"/>
              <w:noProof/>
              <w:sz w:val="24"/>
              <w:szCs w:val="24"/>
            </w:rPr>
          </w:pPr>
          <w:hyperlink w:anchor="_Toc235135657" w:history="1">
            <w:r w:rsidR="002F2CFA">
              <w:rPr>
                <w:rStyle w:val="Hyperlink"/>
                <w:rFonts w:ascii="Arial" w:eastAsia="Calibri" w:hAnsi="Arial" w:cs="Arial"/>
                <w:b/>
                <w:bCs/>
                <w:noProof/>
                <w:sz w:val="24"/>
                <w:szCs w:val="24"/>
              </w:rPr>
              <w:t>Product</w:t>
            </w:r>
            <w:r w:rsidR="002F2CFA">
              <w:rPr>
                <w:rFonts w:ascii="Arial" w:hAnsi="Arial" w:cs="Arial"/>
                <w:noProof/>
                <w:webHidden/>
                <w:sz w:val="24"/>
                <w:szCs w:val="24"/>
              </w:rPr>
              <w:tab/>
            </w:r>
            <w:r w:rsidR="00052BD7">
              <w:rPr>
                <w:rFonts w:ascii="Arial" w:hAnsi="Arial" w:cs="Arial"/>
                <w:noProof/>
                <w:webHidden/>
                <w:sz w:val="24"/>
                <w:szCs w:val="24"/>
              </w:rPr>
              <w:t>9</w:t>
            </w:r>
          </w:hyperlink>
        </w:p>
        <w:p w:rsidR="008A21C8" w:rsidRPr="00FC163A" w:rsidRDefault="00F22480" w:rsidP="008A21C8">
          <w:pPr>
            <w:pStyle w:val="TOC2"/>
            <w:rPr>
              <w:rFonts w:ascii="Arial" w:hAnsi="Arial" w:cs="Arial"/>
              <w:noProof/>
              <w:sz w:val="24"/>
              <w:szCs w:val="24"/>
            </w:rPr>
          </w:pPr>
          <w:hyperlink w:anchor="_Toc235135658" w:history="1">
            <w:r w:rsidR="002F2CFA">
              <w:rPr>
                <w:rStyle w:val="Hyperlink"/>
                <w:rFonts w:ascii="Arial" w:eastAsia="Calibri" w:hAnsi="Arial" w:cs="Arial"/>
                <w:b/>
                <w:bCs/>
                <w:noProof/>
                <w:sz w:val="24"/>
                <w:szCs w:val="24"/>
              </w:rPr>
              <w:t>Price</w:t>
            </w:r>
            <w:r w:rsidR="002F2CFA">
              <w:rPr>
                <w:rFonts w:ascii="Arial" w:hAnsi="Arial" w:cs="Arial"/>
                <w:noProof/>
                <w:webHidden/>
                <w:sz w:val="24"/>
                <w:szCs w:val="24"/>
              </w:rPr>
              <w:tab/>
            </w:r>
            <w:r w:rsidR="00052BD7">
              <w:rPr>
                <w:rFonts w:ascii="Arial" w:hAnsi="Arial" w:cs="Arial"/>
                <w:noProof/>
                <w:webHidden/>
                <w:sz w:val="24"/>
                <w:szCs w:val="24"/>
              </w:rPr>
              <w:t>9</w:t>
            </w:r>
          </w:hyperlink>
        </w:p>
        <w:p w:rsidR="008A21C8" w:rsidRPr="00FC163A" w:rsidRDefault="00F22480" w:rsidP="008A21C8">
          <w:pPr>
            <w:pStyle w:val="TOC2"/>
            <w:rPr>
              <w:rFonts w:ascii="Arial" w:hAnsi="Arial" w:cs="Arial"/>
              <w:noProof/>
              <w:sz w:val="24"/>
              <w:szCs w:val="24"/>
            </w:rPr>
          </w:pPr>
          <w:hyperlink w:anchor="_Toc235135659" w:history="1">
            <w:r w:rsidR="002F2CFA">
              <w:rPr>
                <w:rStyle w:val="Hyperlink"/>
                <w:rFonts w:ascii="Arial" w:eastAsia="Calibri" w:hAnsi="Arial" w:cs="Arial"/>
                <w:b/>
                <w:bCs/>
                <w:noProof/>
                <w:sz w:val="24"/>
                <w:szCs w:val="24"/>
              </w:rPr>
              <w:t>Place</w:t>
            </w:r>
            <w:r w:rsidR="002F2CFA">
              <w:rPr>
                <w:rFonts w:ascii="Arial" w:hAnsi="Arial" w:cs="Arial"/>
                <w:noProof/>
                <w:webHidden/>
                <w:sz w:val="24"/>
                <w:szCs w:val="24"/>
              </w:rPr>
              <w:tab/>
            </w:r>
            <w:r w:rsidR="00052BD7">
              <w:rPr>
                <w:rFonts w:ascii="Arial" w:hAnsi="Arial" w:cs="Arial"/>
                <w:noProof/>
                <w:webHidden/>
                <w:sz w:val="24"/>
                <w:szCs w:val="24"/>
              </w:rPr>
              <w:t>11</w:t>
            </w:r>
          </w:hyperlink>
        </w:p>
        <w:p w:rsidR="008A21C8" w:rsidRPr="00FC163A" w:rsidRDefault="00F22480" w:rsidP="008A21C8">
          <w:pPr>
            <w:pStyle w:val="TOC2"/>
            <w:rPr>
              <w:rFonts w:ascii="Arial" w:hAnsi="Arial" w:cs="Arial"/>
              <w:noProof/>
              <w:sz w:val="24"/>
              <w:szCs w:val="24"/>
            </w:rPr>
          </w:pPr>
          <w:hyperlink w:anchor="_Toc235135660" w:history="1">
            <w:r w:rsidR="002F2CFA">
              <w:rPr>
                <w:rStyle w:val="Hyperlink"/>
                <w:rFonts w:ascii="Arial" w:eastAsia="Calibri" w:hAnsi="Arial" w:cs="Arial"/>
                <w:b/>
                <w:bCs/>
                <w:noProof/>
                <w:sz w:val="24"/>
                <w:szCs w:val="24"/>
              </w:rPr>
              <w:t>Promotion</w:t>
            </w:r>
            <w:r w:rsidR="002F2CFA">
              <w:rPr>
                <w:rFonts w:ascii="Arial" w:hAnsi="Arial" w:cs="Arial"/>
                <w:noProof/>
                <w:webHidden/>
                <w:sz w:val="24"/>
                <w:szCs w:val="24"/>
              </w:rPr>
              <w:tab/>
            </w:r>
            <w:r w:rsidR="00052BD7">
              <w:rPr>
                <w:rFonts w:ascii="Arial" w:hAnsi="Arial" w:cs="Arial"/>
                <w:noProof/>
                <w:webHidden/>
                <w:sz w:val="24"/>
                <w:szCs w:val="24"/>
              </w:rPr>
              <w:t>11</w:t>
            </w:r>
          </w:hyperlink>
        </w:p>
        <w:p w:rsidR="008A21C8" w:rsidRPr="00FC163A" w:rsidRDefault="00F22480" w:rsidP="008A21C8">
          <w:pPr>
            <w:pStyle w:val="TOC2"/>
            <w:rPr>
              <w:rFonts w:ascii="Arial" w:hAnsi="Arial" w:cs="Arial"/>
              <w:noProof/>
              <w:sz w:val="24"/>
              <w:szCs w:val="24"/>
            </w:rPr>
          </w:pPr>
          <w:hyperlink w:anchor="_Toc235135661" w:history="1">
            <w:r w:rsidR="002F2CFA">
              <w:rPr>
                <w:rStyle w:val="Hyperlink"/>
                <w:rFonts w:ascii="Arial" w:eastAsia="Calibri" w:hAnsi="Arial" w:cs="Arial"/>
                <w:b/>
                <w:bCs/>
                <w:noProof/>
                <w:sz w:val="24"/>
                <w:szCs w:val="24"/>
              </w:rPr>
              <w:t>People</w:t>
            </w:r>
            <w:r w:rsidR="002F2CFA">
              <w:rPr>
                <w:rFonts w:ascii="Arial" w:hAnsi="Arial" w:cs="Arial"/>
                <w:noProof/>
                <w:webHidden/>
                <w:sz w:val="24"/>
                <w:szCs w:val="24"/>
              </w:rPr>
              <w:tab/>
            </w:r>
            <w:r w:rsidR="00052BD7">
              <w:rPr>
                <w:rFonts w:ascii="Arial" w:hAnsi="Arial" w:cs="Arial"/>
                <w:noProof/>
                <w:webHidden/>
                <w:sz w:val="24"/>
                <w:szCs w:val="24"/>
              </w:rPr>
              <w:t>11</w:t>
            </w:r>
          </w:hyperlink>
        </w:p>
        <w:p w:rsidR="008A21C8" w:rsidRPr="00FC163A" w:rsidRDefault="00F22480" w:rsidP="008A21C8">
          <w:pPr>
            <w:pStyle w:val="TOC2"/>
            <w:rPr>
              <w:rFonts w:ascii="Arial" w:hAnsi="Arial" w:cs="Arial"/>
              <w:noProof/>
              <w:sz w:val="24"/>
              <w:szCs w:val="24"/>
            </w:rPr>
          </w:pPr>
          <w:hyperlink w:anchor="_Toc235135662" w:history="1">
            <w:r w:rsidR="002F2CFA">
              <w:rPr>
                <w:rStyle w:val="Hyperlink"/>
                <w:rFonts w:ascii="Arial" w:eastAsia="Calibri" w:hAnsi="Arial" w:cs="Arial"/>
                <w:b/>
                <w:bCs/>
                <w:noProof/>
                <w:sz w:val="24"/>
                <w:szCs w:val="24"/>
              </w:rPr>
              <w:t>Process</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_Toc235135662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1</w:t>
            </w:r>
            <w:r w:rsidR="00052BD7">
              <w:rPr>
                <w:rFonts w:ascii="Arial" w:hAnsi="Arial" w:cs="Arial"/>
                <w:noProof/>
                <w:webHidden/>
                <w:sz w:val="24"/>
                <w:szCs w:val="24"/>
              </w:rPr>
              <w:t>2</w:t>
            </w:r>
            <w:r w:rsidR="002F2CFA">
              <w:rPr>
                <w:rFonts w:ascii="Arial" w:hAnsi="Arial" w:cs="Arial"/>
                <w:noProof/>
                <w:webHidden/>
                <w:sz w:val="24"/>
                <w:szCs w:val="24"/>
              </w:rPr>
              <w:fldChar w:fldCharType="end"/>
            </w:r>
          </w:hyperlink>
        </w:p>
        <w:p w:rsidR="008A21C8" w:rsidRPr="00FC163A" w:rsidRDefault="00F22480" w:rsidP="008A21C8">
          <w:pPr>
            <w:pStyle w:val="TOC2"/>
            <w:rPr>
              <w:rFonts w:ascii="Arial" w:hAnsi="Arial" w:cs="Arial"/>
              <w:noProof/>
              <w:sz w:val="24"/>
              <w:szCs w:val="24"/>
            </w:rPr>
          </w:pPr>
          <w:hyperlink w:anchor="_Toc235135663" w:history="1">
            <w:r w:rsidR="002F2CFA">
              <w:rPr>
                <w:rStyle w:val="Hyperlink"/>
                <w:rFonts w:ascii="Arial" w:eastAsia="Calibri" w:hAnsi="Arial" w:cs="Arial"/>
                <w:b/>
                <w:bCs/>
                <w:noProof/>
                <w:sz w:val="24"/>
                <w:szCs w:val="24"/>
              </w:rPr>
              <w:t>Physical Evidence</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_Toc235135663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1</w:t>
            </w:r>
            <w:r w:rsidR="00052BD7">
              <w:rPr>
                <w:rFonts w:ascii="Arial" w:hAnsi="Arial" w:cs="Arial"/>
                <w:noProof/>
                <w:webHidden/>
                <w:sz w:val="24"/>
                <w:szCs w:val="24"/>
              </w:rPr>
              <w:t>2</w:t>
            </w:r>
            <w:r w:rsidR="002F2CFA">
              <w:rPr>
                <w:rFonts w:ascii="Arial" w:hAnsi="Arial" w:cs="Arial"/>
                <w:noProof/>
                <w:webHidden/>
                <w:sz w:val="24"/>
                <w:szCs w:val="24"/>
              </w:rPr>
              <w:fldChar w:fldCharType="end"/>
            </w:r>
          </w:hyperlink>
        </w:p>
        <w:p w:rsidR="008A21C8" w:rsidRPr="00FC163A" w:rsidRDefault="00F22480">
          <w:pPr>
            <w:pStyle w:val="TOC1"/>
            <w:tabs>
              <w:tab w:val="right" w:leader="dot" w:pos="9016"/>
            </w:tabs>
            <w:rPr>
              <w:rFonts w:ascii="Arial" w:hAnsi="Arial" w:cs="Arial"/>
              <w:noProof/>
              <w:sz w:val="24"/>
              <w:szCs w:val="24"/>
            </w:rPr>
          </w:pPr>
          <w:hyperlink w:anchor="_Toc235135664" w:history="1">
            <w:r w:rsidR="002F2CFA">
              <w:rPr>
                <w:rStyle w:val="Hyperlink"/>
                <w:rFonts w:ascii="Arial" w:eastAsia="Calibri" w:hAnsi="Arial" w:cs="Arial"/>
                <w:b/>
                <w:bCs/>
                <w:noProof/>
                <w:sz w:val="24"/>
                <w:szCs w:val="24"/>
              </w:rPr>
              <w:t>Element 4: Reflection</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_Toc235135664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1</w:t>
            </w:r>
            <w:r w:rsidR="00052BD7">
              <w:rPr>
                <w:rFonts w:ascii="Arial" w:hAnsi="Arial" w:cs="Arial"/>
                <w:noProof/>
                <w:webHidden/>
                <w:sz w:val="24"/>
                <w:szCs w:val="24"/>
              </w:rPr>
              <w:t>4</w:t>
            </w:r>
            <w:r w:rsidR="002F2CFA">
              <w:rPr>
                <w:rFonts w:ascii="Arial" w:hAnsi="Arial" w:cs="Arial"/>
                <w:noProof/>
                <w:webHidden/>
                <w:sz w:val="24"/>
                <w:szCs w:val="24"/>
              </w:rPr>
              <w:fldChar w:fldCharType="end"/>
            </w:r>
          </w:hyperlink>
        </w:p>
        <w:p w:rsidR="008A21C8" w:rsidRPr="00FC163A" w:rsidRDefault="00F22480">
          <w:pPr>
            <w:pStyle w:val="TOC1"/>
            <w:tabs>
              <w:tab w:val="right" w:leader="dot" w:pos="9016"/>
            </w:tabs>
            <w:rPr>
              <w:rFonts w:ascii="Arial" w:hAnsi="Arial" w:cs="Arial"/>
              <w:noProof/>
              <w:sz w:val="24"/>
              <w:szCs w:val="24"/>
            </w:rPr>
          </w:pPr>
          <w:hyperlink w:anchor="_Toc235135665" w:history="1">
            <w:r w:rsidR="002F2CFA">
              <w:rPr>
                <w:rStyle w:val="Hyperlink"/>
                <w:rFonts w:ascii="Arial" w:eastAsia="Calibri" w:hAnsi="Arial" w:cs="Arial"/>
                <w:b/>
                <w:bCs/>
                <w:noProof/>
                <w:sz w:val="24"/>
                <w:szCs w:val="24"/>
              </w:rPr>
              <w:t>References</w:t>
            </w:r>
            <w:r w:rsidR="002F2CFA">
              <w:rPr>
                <w:rFonts w:ascii="Arial" w:hAnsi="Arial" w:cs="Arial"/>
                <w:noProof/>
                <w:webHidden/>
                <w:sz w:val="24"/>
                <w:szCs w:val="24"/>
              </w:rPr>
              <w:tab/>
            </w:r>
            <w:r w:rsidR="002F2CFA">
              <w:rPr>
                <w:rFonts w:ascii="Arial" w:hAnsi="Arial" w:cs="Arial"/>
                <w:noProof/>
                <w:webHidden/>
                <w:sz w:val="24"/>
                <w:szCs w:val="24"/>
              </w:rPr>
              <w:fldChar w:fldCharType="begin"/>
            </w:r>
            <w:r w:rsidR="002F2CFA">
              <w:rPr>
                <w:rFonts w:ascii="Arial" w:hAnsi="Arial" w:cs="Arial"/>
                <w:noProof/>
                <w:webHidden/>
                <w:sz w:val="24"/>
                <w:szCs w:val="24"/>
              </w:rPr>
              <w:instrText xml:space="preserve"> PAGEREF _Toc235135665 \h </w:instrText>
            </w:r>
            <w:r w:rsidR="002F2CFA">
              <w:rPr>
                <w:rFonts w:ascii="Arial" w:hAnsi="Arial" w:cs="Arial"/>
                <w:noProof/>
                <w:webHidden/>
                <w:sz w:val="24"/>
                <w:szCs w:val="24"/>
              </w:rPr>
            </w:r>
            <w:r w:rsidR="002F2CFA">
              <w:rPr>
                <w:rFonts w:ascii="Arial" w:hAnsi="Arial" w:cs="Arial"/>
                <w:noProof/>
                <w:webHidden/>
                <w:sz w:val="24"/>
                <w:szCs w:val="24"/>
              </w:rPr>
              <w:fldChar w:fldCharType="separate"/>
            </w:r>
            <w:r w:rsidR="002F2CFA">
              <w:rPr>
                <w:rFonts w:ascii="Arial" w:hAnsi="Arial" w:cs="Arial"/>
                <w:noProof/>
                <w:webHidden/>
                <w:sz w:val="24"/>
                <w:szCs w:val="24"/>
              </w:rPr>
              <w:t>1</w:t>
            </w:r>
            <w:r w:rsidR="00052BD7">
              <w:rPr>
                <w:rFonts w:ascii="Arial" w:hAnsi="Arial" w:cs="Arial"/>
                <w:noProof/>
                <w:webHidden/>
                <w:sz w:val="24"/>
                <w:szCs w:val="24"/>
              </w:rPr>
              <w:t>6</w:t>
            </w:r>
            <w:r w:rsidR="002F2CFA">
              <w:rPr>
                <w:rFonts w:ascii="Arial" w:hAnsi="Arial" w:cs="Arial"/>
                <w:noProof/>
                <w:webHidden/>
                <w:sz w:val="24"/>
                <w:szCs w:val="24"/>
              </w:rPr>
              <w:fldChar w:fldCharType="end"/>
            </w:r>
          </w:hyperlink>
        </w:p>
        <w:p w:rsidR="008A21C8" w:rsidRDefault="008A21C8">
          <w:r>
            <w:rPr>
              <w:rFonts w:ascii="Arial" w:hAnsi="Arial" w:cs="Arial"/>
              <w:b/>
              <w:bCs/>
              <w:noProof/>
              <w:sz w:val="24"/>
              <w:szCs w:val="24"/>
            </w:rPr>
            <w:fldChar w:fldCharType="end"/>
          </w:r>
        </w:p>
      </w:sdtContent>
    </w:sdt>
    <w:p w:rsidR="004B0A67" w:rsidRPr="008A21C8" w:rsidRDefault="004B0A67" w:rsidP="008A21C8">
      <w:pPr>
        <w:pStyle w:val="Heading1"/>
        <w:spacing w:before="360" w:after="200" w:line="360" w:lineRule="auto"/>
        <w:rPr>
          <w:rFonts w:ascii="Arial" w:hAnsi="Arial" w:cs="Arial"/>
          <w:sz w:val="24"/>
          <w:szCs w:val="24"/>
        </w:rPr>
      </w:pPr>
    </w:p>
    <w:p w:rsidR="004B0A67" w:rsidRPr="008A21C8" w:rsidRDefault="003349D0" w:rsidP="008A21C8">
      <w:pPr>
        <w:spacing w:line="360" w:lineRule="auto"/>
        <w:rPr>
          <w:rFonts w:ascii="Arial" w:hAnsi="Arial" w:cs="Arial"/>
          <w:sz w:val="24"/>
          <w:szCs w:val="24"/>
        </w:rPr>
      </w:pPr>
      <w:r>
        <w:rPr>
          <w:rFonts w:ascii="Arial" w:hAnsi="Arial" w:cs="Arial"/>
          <w:sz w:val="24"/>
          <w:szCs w:val="24"/>
        </w:rPr>
        <w:br w:type="page"/>
      </w:r>
    </w:p>
    <w:p w:rsidR="004B0A67" w:rsidRPr="008A21C8" w:rsidRDefault="004B0A67" w:rsidP="008A21C8">
      <w:pPr>
        <w:spacing w:line="360" w:lineRule="auto"/>
        <w:rPr>
          <w:rFonts w:ascii="Arial" w:hAnsi="Arial" w:cs="Arial"/>
          <w:sz w:val="24"/>
          <w:szCs w:val="24"/>
        </w:rPr>
        <w:sectPr w:rsidR="004B0A67" w:rsidRPr="008A21C8" w:rsidSect="00533CAF">
          <w:headerReference w:type="default"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292097" w:rsidRPr="00613079" w:rsidRDefault="00292097" w:rsidP="00FC163A">
      <w:pPr>
        <w:pStyle w:val="Heading1"/>
        <w:spacing w:before="240"/>
        <w:rPr>
          <w:rFonts w:ascii="Arial" w:hAnsi="Arial" w:cs="Arial"/>
          <w:color w:val="4472C4" w:themeColor="accent5"/>
          <w:sz w:val="28"/>
          <w:szCs w:val="24"/>
        </w:rPr>
      </w:pPr>
      <w:bookmarkStart w:id="2" w:name="_Toc235135648"/>
      <w:r w:rsidRPr="00613079">
        <w:rPr>
          <w:rFonts w:ascii="Arial" w:eastAsia="Calibri" w:hAnsi="Arial" w:cs="Arial"/>
          <w:b/>
          <w:bCs/>
          <w:color w:val="4472C4" w:themeColor="accent5"/>
          <w:sz w:val="28"/>
          <w:szCs w:val="24"/>
        </w:rPr>
        <w:lastRenderedPageBreak/>
        <w:t>Element 1: Sustainable Brand Extension Poster Presentation</w:t>
      </w:r>
      <w:bookmarkEnd w:id="2"/>
    </w:p>
    <w:p w:rsidR="00533CAF" w:rsidRPr="00613079" w:rsidRDefault="00533CAF" w:rsidP="00FE02D4">
      <w:pPr>
        <w:pStyle w:val="Heading1"/>
        <w:spacing w:before="240" w:after="120" w:line="360" w:lineRule="auto"/>
        <w:jc w:val="both"/>
        <w:rPr>
          <w:rFonts w:ascii="Arial" w:eastAsia="Calibri" w:hAnsi="Arial" w:cs="Arial"/>
          <w:color w:val="000000" w:themeColor="text1"/>
          <w:sz w:val="24"/>
          <w:szCs w:val="24"/>
        </w:rPr>
      </w:pPr>
      <w:bookmarkStart w:id="3" w:name="_Toc235135649"/>
      <w:r w:rsidRPr="00613079">
        <w:rPr>
          <w:rFonts w:ascii="Arial" w:hAnsi="Arial" w:cs="Arial"/>
          <w:noProof/>
          <w:color w:val="000000" w:themeColor="text1"/>
          <w:sz w:val="24"/>
          <w:szCs w:val="24"/>
        </w:rPr>
        <w:drawing>
          <wp:anchor distT="0" distB="0" distL="114300" distR="114300" simplePos="0" relativeHeight="251658240" behindDoc="0" locked="0" layoutInCell="1" allowOverlap="1">
            <wp:simplePos x="0" y="0"/>
            <wp:positionH relativeFrom="margin">
              <wp:align>center</wp:align>
            </wp:positionH>
            <wp:positionV relativeFrom="paragraph">
              <wp:posOffset>923290</wp:posOffset>
            </wp:positionV>
            <wp:extent cx="5930265" cy="3688080"/>
            <wp:effectExtent l="0" t="0" r="0" b="7620"/>
            <wp:wrapThrough wrapText="bothSides">
              <wp:wrapPolygon edited="0">
                <wp:start x="0" y="0"/>
                <wp:lineTo x="0" y="21533"/>
                <wp:lineTo x="21510" y="21533"/>
                <wp:lineTo x="2151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rketing Insight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30265" cy="3688080"/>
                    </a:xfrm>
                    <a:prstGeom prst="rect">
                      <a:avLst/>
                    </a:prstGeom>
                  </pic:spPr>
                </pic:pic>
              </a:graphicData>
            </a:graphic>
            <wp14:sizeRelH relativeFrom="margin">
              <wp14:pctWidth>0</wp14:pctWidth>
            </wp14:sizeRelH>
            <wp14:sizeRelV relativeFrom="margin">
              <wp14:pctHeight>0</wp14:pctHeight>
            </wp14:sizeRelV>
          </wp:anchor>
        </w:drawing>
      </w:r>
      <w:r w:rsidRPr="00613079">
        <w:rPr>
          <w:rFonts w:ascii="Arial" w:eastAsia="Calibri" w:hAnsi="Arial" w:cs="Arial"/>
          <w:color w:val="000000" w:themeColor="text1"/>
          <w:sz w:val="24"/>
          <w:szCs w:val="24"/>
        </w:rPr>
        <w:t>The poster below (Figure 1) introduces the chosen company, The Coca-Cola Company. It presents the proposed sustainable brand extension, Coca-Cola Herbal+, a range of plant-based, low/zero-sugar functional sparkling beverages.</w:t>
      </w:r>
      <w:bookmarkEnd w:id="3"/>
      <w:r w:rsidRPr="00613079">
        <w:rPr>
          <w:rFonts w:ascii="Arial" w:eastAsia="Calibri" w:hAnsi="Arial" w:cs="Arial"/>
          <w:color w:val="000000" w:themeColor="text1"/>
          <w:sz w:val="24"/>
          <w:szCs w:val="24"/>
        </w:rPr>
        <w:t xml:space="preserve"> </w:t>
      </w:r>
    </w:p>
    <w:p w:rsidR="00292097" w:rsidRPr="00613079" w:rsidRDefault="003349D0" w:rsidP="00FE02D4">
      <w:pPr>
        <w:spacing w:after="200" w:line="360" w:lineRule="auto"/>
        <w:jc w:val="center"/>
        <w:rPr>
          <w:rFonts w:ascii="Arial" w:hAnsi="Arial" w:cs="Arial"/>
          <w:sz w:val="16"/>
          <w:szCs w:val="24"/>
        </w:rPr>
      </w:pPr>
      <w:r w:rsidRPr="00613079">
        <w:rPr>
          <w:rFonts w:ascii="Arial" w:eastAsia="Calibri" w:hAnsi="Arial" w:cs="Arial"/>
          <w:i/>
          <w:iCs/>
          <w:sz w:val="16"/>
          <w:szCs w:val="24"/>
        </w:rPr>
        <w:t>Figure 1: Coca-Cola Herbal+ Sustainable Brand Extension Poster (Author's own design, created in Canva, 2026)</w:t>
      </w:r>
    </w:p>
    <w:p w:rsidR="00292097" w:rsidRPr="00613079" w:rsidRDefault="00292097" w:rsidP="008A21C8">
      <w:pPr>
        <w:pStyle w:val="Heading1"/>
        <w:rPr>
          <w:rFonts w:ascii="Arial" w:hAnsi="Arial" w:cs="Arial"/>
          <w:color w:val="4472C4" w:themeColor="accent5"/>
          <w:sz w:val="28"/>
          <w:szCs w:val="24"/>
        </w:rPr>
      </w:pPr>
      <w:bookmarkStart w:id="4" w:name="_Toc235135650"/>
      <w:r w:rsidRPr="00613079">
        <w:rPr>
          <w:rFonts w:ascii="Arial" w:eastAsia="Calibri" w:hAnsi="Arial" w:cs="Arial"/>
          <w:b/>
          <w:bCs/>
          <w:color w:val="4472C4" w:themeColor="accent5"/>
          <w:sz w:val="28"/>
          <w:szCs w:val="24"/>
        </w:rPr>
        <w:t>Element 2: Segmentation, Targeting, Differentiation and Positioning (STDP) Analysis</w:t>
      </w:r>
      <w:bookmarkEnd w:id="4"/>
    </w:p>
    <w:p w:rsidR="00292097" w:rsidRPr="00613079" w:rsidRDefault="00292097" w:rsidP="00FE02D4">
      <w:pPr>
        <w:pStyle w:val="Heading1"/>
        <w:spacing w:line="360" w:lineRule="auto"/>
        <w:rPr>
          <w:rFonts w:ascii="Arial" w:eastAsia="Calibri" w:hAnsi="Arial" w:cs="Arial"/>
          <w:b/>
          <w:bCs/>
          <w:color w:val="4472C4" w:themeColor="accent5"/>
          <w:sz w:val="24"/>
          <w:szCs w:val="24"/>
        </w:rPr>
      </w:pPr>
    </w:p>
    <w:p w:rsidR="004B0A67" w:rsidRPr="00613079" w:rsidRDefault="003349D0" w:rsidP="00FE02D4">
      <w:pPr>
        <w:pStyle w:val="Heading1"/>
        <w:spacing w:line="360" w:lineRule="auto"/>
        <w:jc w:val="both"/>
        <w:rPr>
          <w:rFonts w:ascii="Arial" w:hAnsi="Arial" w:cs="Arial"/>
          <w:color w:val="000000" w:themeColor="text1"/>
          <w:sz w:val="24"/>
          <w:szCs w:val="24"/>
        </w:rPr>
      </w:pPr>
      <w:bookmarkStart w:id="5" w:name="_Toc235135651"/>
      <w:r w:rsidRPr="00613079">
        <w:rPr>
          <w:rFonts w:ascii="Arial" w:eastAsia="Calibri" w:hAnsi="Arial" w:cs="Arial"/>
          <w:color w:val="000000" w:themeColor="text1"/>
          <w:sz w:val="24"/>
          <w:szCs w:val="24"/>
        </w:rPr>
        <w:t>Segmentation, targeting, differentiation and positioning (STDP) provide the strategic foundation for launching Coca-Cola Herbal+, building on Smith's (1956) foundational concept of market segmentation (Kotler, Armstrong and Opresnik, 2024). This section identifies the relevant segments, justifies the target market, and explains how the brand will differentiate and position.</w:t>
      </w:r>
      <w:bookmarkEnd w:id="5"/>
    </w:p>
    <w:p w:rsidR="004B0A67" w:rsidRPr="00613079" w:rsidRDefault="003349D0" w:rsidP="00FE02D4">
      <w:pPr>
        <w:pStyle w:val="Heading2"/>
        <w:spacing w:before="280" w:after="160" w:line="360" w:lineRule="auto"/>
        <w:rPr>
          <w:rFonts w:ascii="Arial" w:hAnsi="Arial" w:cs="Arial"/>
          <w:sz w:val="24"/>
          <w:szCs w:val="24"/>
        </w:rPr>
      </w:pPr>
      <w:bookmarkStart w:id="6" w:name="_Toc235135652"/>
      <w:r w:rsidRPr="00613079">
        <w:rPr>
          <w:rFonts w:ascii="Arial" w:eastAsia="Calibri" w:hAnsi="Arial" w:cs="Arial"/>
          <w:b/>
          <w:bCs/>
          <w:color w:val="1F4E1F"/>
          <w:sz w:val="24"/>
          <w:szCs w:val="24"/>
        </w:rPr>
        <w:t>Segmentation</w:t>
      </w:r>
      <w:bookmarkEnd w:id="6"/>
    </w:p>
    <w:p w:rsidR="00667EDB" w:rsidRPr="00613079" w:rsidRDefault="00667EDB" w:rsidP="00667EDB">
      <w:pPr>
        <w:pStyle w:val="Heading2"/>
        <w:spacing w:before="280" w:after="160" w:line="360" w:lineRule="auto"/>
        <w:jc w:val="both"/>
        <w:rPr>
          <w:rFonts w:ascii="Arial" w:eastAsia="Calibri" w:hAnsi="Arial" w:cs="Arial"/>
          <w:iCs/>
          <w:color w:val="auto"/>
          <w:sz w:val="24"/>
          <w:szCs w:val="24"/>
        </w:rPr>
      </w:pPr>
      <w:r w:rsidRPr="00613079">
        <w:rPr>
          <w:rFonts w:ascii="Arial" w:eastAsia="Calibri" w:hAnsi="Arial" w:cs="Arial"/>
          <w:iCs/>
          <w:color w:val="auto"/>
          <w:sz w:val="24"/>
          <w:szCs w:val="24"/>
        </w:rPr>
        <w:t xml:space="preserve">Kotler, Armstrong and </w:t>
      </w:r>
      <w:proofErr w:type="spellStart"/>
      <w:r w:rsidRPr="00613079">
        <w:rPr>
          <w:rFonts w:ascii="Arial" w:eastAsia="Calibri" w:hAnsi="Arial" w:cs="Arial"/>
          <w:iCs/>
          <w:color w:val="auto"/>
          <w:sz w:val="24"/>
          <w:szCs w:val="24"/>
        </w:rPr>
        <w:t>Opresnik</w:t>
      </w:r>
      <w:proofErr w:type="spellEnd"/>
      <w:r w:rsidRPr="00613079">
        <w:rPr>
          <w:rFonts w:ascii="Arial" w:eastAsia="Calibri" w:hAnsi="Arial" w:cs="Arial"/>
          <w:iCs/>
          <w:color w:val="auto"/>
          <w:sz w:val="24"/>
          <w:szCs w:val="24"/>
        </w:rPr>
        <w:t xml:space="preserve"> (2024) identify four principal segmentation bases: geographic, demographic, psychographic and behavioural; all of which apply directly to the UK launch of Herbal+.</w:t>
      </w:r>
    </w:p>
    <w:p w:rsidR="00667EDB" w:rsidRPr="00613079" w:rsidRDefault="00667EDB" w:rsidP="00667EDB">
      <w:pPr>
        <w:pStyle w:val="Heading2"/>
        <w:spacing w:before="280" w:after="160" w:line="360" w:lineRule="auto"/>
        <w:jc w:val="both"/>
        <w:rPr>
          <w:rFonts w:ascii="Arial" w:eastAsia="Calibri" w:hAnsi="Arial" w:cs="Arial"/>
          <w:iCs/>
          <w:color w:val="auto"/>
          <w:sz w:val="24"/>
          <w:szCs w:val="24"/>
        </w:rPr>
      </w:pPr>
      <w:r w:rsidRPr="00613079">
        <w:rPr>
          <w:rFonts w:ascii="Arial" w:eastAsia="Calibri" w:hAnsi="Arial" w:cs="Arial"/>
          <w:iCs/>
          <w:color w:val="auto"/>
          <w:sz w:val="24"/>
          <w:szCs w:val="24"/>
        </w:rPr>
        <w:lastRenderedPageBreak/>
        <w:t xml:space="preserve">Geographically, the launch will prioritise major UK urban centres such as London, Birmingham, Manchester and Glasgow, where functional beverage adoption, recycling infrastructure and premium retail formats (e.g., Tesco Extra, Sainsbury’s Local, Boots, Holland &amp; Barrett) are most developed (Mintel UK, 2025). A second phase will extend into wider Europe once UK brand equity is established. This sequencing is strategically important: launching in markets with weaker recycling infrastructure before </w:t>
      </w:r>
      <w:proofErr w:type="spellStart"/>
      <w:r w:rsidRPr="00613079">
        <w:rPr>
          <w:rFonts w:ascii="Arial" w:eastAsia="Calibri" w:hAnsi="Arial" w:cs="Arial"/>
          <w:iCs/>
          <w:color w:val="auto"/>
          <w:sz w:val="24"/>
          <w:szCs w:val="24"/>
        </w:rPr>
        <w:t>Herbal+’s</w:t>
      </w:r>
      <w:proofErr w:type="spellEnd"/>
      <w:r w:rsidRPr="00613079">
        <w:rPr>
          <w:rFonts w:ascii="Arial" w:eastAsia="Calibri" w:hAnsi="Arial" w:cs="Arial"/>
          <w:iCs/>
          <w:color w:val="auto"/>
          <w:sz w:val="24"/>
          <w:szCs w:val="24"/>
        </w:rPr>
        <w:t xml:space="preserve"> sustainability credentials are established risks accusations of greenwashing, making the UK an ideal credibility-building first market.</w:t>
      </w:r>
    </w:p>
    <w:p w:rsidR="00667EDB" w:rsidRPr="00613079" w:rsidRDefault="00667EDB" w:rsidP="00667EDB">
      <w:pPr>
        <w:pStyle w:val="Heading2"/>
        <w:spacing w:before="280" w:after="160" w:line="360" w:lineRule="auto"/>
        <w:jc w:val="both"/>
        <w:rPr>
          <w:rFonts w:ascii="Arial" w:eastAsia="Calibri" w:hAnsi="Arial" w:cs="Arial"/>
          <w:iCs/>
          <w:color w:val="auto"/>
          <w:sz w:val="24"/>
          <w:szCs w:val="24"/>
        </w:rPr>
      </w:pPr>
      <w:r w:rsidRPr="00613079">
        <w:rPr>
          <w:rFonts w:ascii="Arial" w:eastAsia="Calibri" w:hAnsi="Arial" w:cs="Arial"/>
          <w:iCs/>
          <w:color w:val="auto"/>
          <w:sz w:val="24"/>
          <w:szCs w:val="24"/>
        </w:rPr>
        <w:t>Demographically, the primary segment comprises UK adults aged 22-45, including working professionals, postgraduate students and young parents with above-average disposable income. This group aligns with the UK’s fastest-growing functional beverage consumers, particularly those focused on gut health, stress reduction and natural energy (The Grocer, 2025).</w:t>
      </w:r>
    </w:p>
    <w:p w:rsidR="00667EDB" w:rsidRPr="00613079" w:rsidRDefault="00667EDB" w:rsidP="00667EDB">
      <w:pPr>
        <w:pStyle w:val="Heading2"/>
        <w:spacing w:before="280" w:after="160" w:line="360" w:lineRule="auto"/>
        <w:jc w:val="both"/>
        <w:rPr>
          <w:rFonts w:ascii="Arial" w:eastAsia="Calibri" w:hAnsi="Arial" w:cs="Arial"/>
          <w:iCs/>
          <w:color w:val="auto"/>
          <w:sz w:val="24"/>
          <w:szCs w:val="24"/>
        </w:rPr>
      </w:pPr>
      <w:r w:rsidRPr="00613079">
        <w:rPr>
          <w:rFonts w:ascii="Arial" w:eastAsia="Calibri" w:hAnsi="Arial" w:cs="Arial"/>
          <w:iCs/>
          <w:color w:val="auto"/>
          <w:sz w:val="24"/>
          <w:szCs w:val="24"/>
        </w:rPr>
        <w:t>Psychographic, the target segment includes consumers who prioritise wellness, authenticity and environmental responsibility. Mintel UK (2025) reports that 34% of UK Gen Z and Millennials actively seek brands with transparent sustainability credentials, while Clear Channel UK (2025) finds that UK consumers increasingly distrust vague environmental claims. These consumers form a lifestyle segment best described as conscious wellness seekers. This profile maps onto the “Innovator” and “Thinker” categories in the UK</w:t>
      </w:r>
      <w:r w:rsidRPr="00613079">
        <w:rPr>
          <w:rFonts w:ascii="Cambria Math" w:eastAsia="Calibri" w:hAnsi="Cambria Math" w:cs="Cambria Math"/>
          <w:iCs/>
          <w:color w:val="auto"/>
          <w:sz w:val="24"/>
          <w:szCs w:val="24"/>
        </w:rPr>
        <w:t>‑</w:t>
      </w:r>
      <w:r w:rsidRPr="00613079">
        <w:rPr>
          <w:rFonts w:ascii="Arial" w:eastAsia="Calibri" w:hAnsi="Arial" w:cs="Arial"/>
          <w:iCs/>
          <w:color w:val="auto"/>
          <w:sz w:val="24"/>
          <w:szCs w:val="24"/>
        </w:rPr>
        <w:t>applied VALS framework (Strategic Business Insights, 2024), reinforcing the case for a premium, values-led proposition.</w:t>
      </w:r>
    </w:p>
    <w:p w:rsidR="00667EDB" w:rsidRPr="00613079" w:rsidRDefault="00667EDB" w:rsidP="00667EDB">
      <w:pPr>
        <w:pStyle w:val="Heading2"/>
        <w:spacing w:before="280" w:after="160" w:line="360" w:lineRule="auto"/>
        <w:jc w:val="both"/>
        <w:rPr>
          <w:rFonts w:ascii="Arial" w:eastAsia="Calibri" w:hAnsi="Arial" w:cs="Arial"/>
          <w:iCs/>
          <w:color w:val="auto"/>
          <w:sz w:val="24"/>
          <w:szCs w:val="24"/>
        </w:rPr>
      </w:pPr>
      <w:r w:rsidRPr="00613079">
        <w:rPr>
          <w:rFonts w:ascii="Arial" w:eastAsia="Calibri" w:hAnsi="Arial" w:cs="Arial"/>
          <w:iCs/>
          <w:color w:val="auto"/>
          <w:sz w:val="24"/>
          <w:szCs w:val="24"/>
        </w:rPr>
        <w:t xml:space="preserve">Behaviourally, segmentation is built around benefit sought (energy, immunity, stress relief, hydration), usage occasion (commuting, gym sessions, work breaks, social occasions), and sustainability engagement. This avoids treating UK “health-conscious consumers” as a single block and allows </w:t>
      </w:r>
      <w:proofErr w:type="spellStart"/>
      <w:r w:rsidRPr="00613079">
        <w:rPr>
          <w:rFonts w:ascii="Arial" w:eastAsia="Calibri" w:hAnsi="Arial" w:cs="Arial"/>
          <w:iCs/>
          <w:color w:val="auto"/>
          <w:sz w:val="24"/>
          <w:szCs w:val="24"/>
        </w:rPr>
        <w:t>Herbal+’s</w:t>
      </w:r>
      <w:proofErr w:type="spellEnd"/>
      <w:r w:rsidRPr="00613079">
        <w:rPr>
          <w:rFonts w:ascii="Arial" w:eastAsia="Calibri" w:hAnsi="Arial" w:cs="Arial"/>
          <w:iCs/>
          <w:color w:val="auto"/>
          <w:sz w:val="24"/>
          <w:szCs w:val="24"/>
        </w:rPr>
        <w:t xml:space="preserve"> five SKUs to target distinct occasions within the same overarching group.</w:t>
      </w:r>
    </w:p>
    <w:p w:rsidR="00667EDB" w:rsidRPr="00613079" w:rsidRDefault="00667EDB" w:rsidP="00667EDB">
      <w:pPr>
        <w:spacing w:after="300" w:line="360" w:lineRule="auto"/>
        <w:jc w:val="center"/>
        <w:rPr>
          <w:rFonts w:ascii="Arial" w:eastAsia="Calibri" w:hAnsi="Arial" w:cs="Arial"/>
          <w:i/>
          <w:iCs/>
          <w:sz w:val="16"/>
          <w:szCs w:val="24"/>
        </w:rPr>
      </w:pPr>
    </w:p>
    <w:p w:rsidR="00667EDB" w:rsidRPr="00613079" w:rsidRDefault="00667EDB" w:rsidP="00667EDB">
      <w:pPr>
        <w:spacing w:after="300" w:line="360" w:lineRule="auto"/>
        <w:jc w:val="center"/>
        <w:rPr>
          <w:rFonts w:ascii="Arial" w:eastAsia="Calibri" w:hAnsi="Arial" w:cs="Arial"/>
          <w:i/>
          <w:iCs/>
          <w:sz w:val="16"/>
          <w:szCs w:val="24"/>
        </w:rPr>
      </w:pPr>
    </w:p>
    <w:p w:rsidR="00667EDB" w:rsidRPr="00613079" w:rsidRDefault="00667EDB" w:rsidP="00667EDB">
      <w:pPr>
        <w:spacing w:after="300" w:line="360" w:lineRule="auto"/>
        <w:jc w:val="center"/>
        <w:rPr>
          <w:rFonts w:ascii="Arial" w:eastAsia="Calibri" w:hAnsi="Arial" w:cs="Arial"/>
          <w:i/>
          <w:iCs/>
          <w:sz w:val="16"/>
          <w:szCs w:val="24"/>
        </w:rPr>
      </w:pPr>
    </w:p>
    <w:p w:rsidR="004B0A67" w:rsidRPr="00613079" w:rsidRDefault="00667EDB" w:rsidP="00667EDB">
      <w:pPr>
        <w:spacing w:after="300" w:line="360" w:lineRule="auto"/>
        <w:jc w:val="center"/>
        <w:rPr>
          <w:rFonts w:ascii="Arial" w:eastAsia="Calibri" w:hAnsi="Arial" w:cs="Arial"/>
          <w:i/>
          <w:iCs/>
          <w:sz w:val="16"/>
          <w:szCs w:val="24"/>
        </w:rPr>
      </w:pPr>
      <w:r w:rsidRPr="00613079">
        <w:rPr>
          <w:rFonts w:ascii="Arial" w:hAnsi="Arial" w:cs="Arial"/>
          <w:noProof/>
          <w:sz w:val="12"/>
          <w:szCs w:val="24"/>
        </w:rPr>
        <w:lastRenderedPageBreak/>
        <w:drawing>
          <wp:anchor distT="0" distB="0" distL="114300" distR="114300" simplePos="0" relativeHeight="251668480" behindDoc="1" locked="0" layoutInCell="1" allowOverlap="1" wp14:anchorId="329EC8AB" wp14:editId="10850737">
            <wp:simplePos x="0" y="0"/>
            <wp:positionH relativeFrom="margin">
              <wp:align>center</wp:align>
            </wp:positionH>
            <wp:positionV relativeFrom="paragraph">
              <wp:posOffset>314</wp:posOffset>
            </wp:positionV>
            <wp:extent cx="4342765" cy="3146425"/>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42765" cy="3146425"/>
                    </a:xfrm>
                    <a:prstGeom prst="rect">
                      <a:avLst/>
                    </a:prstGeom>
                  </pic:spPr>
                </pic:pic>
              </a:graphicData>
            </a:graphic>
            <wp14:sizeRelH relativeFrom="margin">
              <wp14:pctWidth>0</wp14:pctWidth>
            </wp14:sizeRelH>
            <wp14:sizeRelV relativeFrom="margin">
              <wp14:pctHeight>0</wp14:pctHeight>
            </wp14:sizeRelV>
          </wp:anchor>
        </w:drawing>
      </w:r>
      <w:r w:rsidR="00F57CA8" w:rsidRPr="00613079">
        <w:rPr>
          <w:rFonts w:ascii="Arial" w:eastAsia="Calibri" w:hAnsi="Arial" w:cs="Arial"/>
          <w:i/>
          <w:iCs/>
          <w:sz w:val="16"/>
          <w:szCs w:val="24"/>
        </w:rPr>
        <w:t>Figure 2: Illustrative target segment mix for Coca-Cola Herbal+, indicative weighting based on wellness and sustainability segmentation profiles (author's estimate, informed by Mintel, 2024 and NielsenIQ, 2024).</w:t>
      </w:r>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Figure 2 translates the segmentation bases above into an indicative weighting of the addressable market. Conscious wellness seekers form the largest group, combining ability to pay with genuine behavioural loyalty (Mintel, 2024). Gen Z ethical consumers are smaller today but strategically important, as NielsenIQ (2024) identifies this cohort as the fastest-growing influence on category standards.</w:t>
      </w:r>
    </w:p>
    <w:p w:rsidR="009A2125" w:rsidRPr="00613079" w:rsidRDefault="003349D0" w:rsidP="00A53922">
      <w:pPr>
        <w:pStyle w:val="Heading2"/>
        <w:spacing w:before="280" w:line="360" w:lineRule="auto"/>
        <w:jc w:val="both"/>
        <w:rPr>
          <w:rFonts w:ascii="Arial" w:hAnsi="Arial" w:cs="Arial"/>
          <w:sz w:val="24"/>
          <w:szCs w:val="24"/>
        </w:rPr>
      </w:pPr>
      <w:bookmarkStart w:id="7" w:name="_Toc235135653"/>
      <w:r w:rsidRPr="00613079">
        <w:rPr>
          <w:rFonts w:ascii="Arial" w:eastAsia="Calibri" w:hAnsi="Arial" w:cs="Arial"/>
          <w:b/>
          <w:bCs/>
          <w:color w:val="1F4E1F"/>
          <w:sz w:val="24"/>
          <w:szCs w:val="24"/>
        </w:rPr>
        <w:t>Targeting</w:t>
      </w:r>
      <w:bookmarkEnd w:id="7"/>
    </w:p>
    <w:p w:rsidR="009A2125" w:rsidRPr="00613079" w:rsidRDefault="009A2125" w:rsidP="009A2125">
      <w:pPr>
        <w:rPr>
          <w:rFonts w:ascii="Arial" w:hAnsi="Arial" w:cs="Arial"/>
        </w:rPr>
      </w:pPr>
    </w:p>
    <w:p w:rsidR="009A2125" w:rsidRPr="00613079" w:rsidRDefault="009A2125" w:rsidP="009A2125">
      <w:pPr>
        <w:spacing w:before="240" w:line="360" w:lineRule="auto"/>
        <w:jc w:val="both"/>
        <w:rPr>
          <w:rFonts w:ascii="Arial" w:hAnsi="Arial" w:cs="Arial"/>
          <w:sz w:val="24"/>
          <w:szCs w:val="24"/>
        </w:rPr>
      </w:pPr>
      <w:r w:rsidRPr="00613079">
        <w:rPr>
          <w:rFonts w:ascii="Arial" w:hAnsi="Arial" w:cs="Arial"/>
          <w:sz w:val="24"/>
          <w:szCs w:val="24"/>
        </w:rPr>
        <w:t xml:space="preserve">Herbal+ adopts a differentiated (multi-segment) targeting strategy, offering tailored variants to sub-segments within the UK wellness-seeking consumer base (Kotler, Armstrong and </w:t>
      </w:r>
      <w:proofErr w:type="spellStart"/>
      <w:r w:rsidRPr="00613079">
        <w:rPr>
          <w:rFonts w:ascii="Arial" w:hAnsi="Arial" w:cs="Arial"/>
          <w:sz w:val="24"/>
          <w:szCs w:val="24"/>
        </w:rPr>
        <w:t>Opresnik</w:t>
      </w:r>
      <w:proofErr w:type="spellEnd"/>
      <w:r w:rsidRPr="00613079">
        <w:rPr>
          <w:rFonts w:ascii="Arial" w:hAnsi="Arial" w:cs="Arial"/>
          <w:sz w:val="24"/>
          <w:szCs w:val="24"/>
        </w:rPr>
        <w:t xml:space="preserve">, 2024). The UK functional beverage market is expanding rapidly, driven by demand for natural ingredients and low-sugar alternatives (Grand View Research UK </w:t>
      </w:r>
      <w:proofErr w:type="spellStart"/>
      <w:r w:rsidRPr="00613079">
        <w:rPr>
          <w:rFonts w:ascii="Arial" w:hAnsi="Arial" w:cs="Arial"/>
          <w:sz w:val="24"/>
          <w:szCs w:val="24"/>
        </w:rPr>
        <w:t>Databook</w:t>
      </w:r>
      <w:proofErr w:type="spellEnd"/>
      <w:r w:rsidRPr="00613079">
        <w:rPr>
          <w:rFonts w:ascii="Arial" w:hAnsi="Arial" w:cs="Arial"/>
          <w:sz w:val="24"/>
          <w:szCs w:val="24"/>
        </w:rPr>
        <w:t>, 2026). Structural attractiveness is high due to premium margins and strong retailer support for functional drinks.</w:t>
      </w:r>
    </w:p>
    <w:p w:rsidR="009A2125" w:rsidRPr="00613079" w:rsidRDefault="009A2125" w:rsidP="009A2125">
      <w:pPr>
        <w:spacing w:before="240" w:line="360" w:lineRule="auto"/>
        <w:jc w:val="both"/>
        <w:rPr>
          <w:rFonts w:ascii="Arial" w:hAnsi="Arial" w:cs="Arial"/>
          <w:sz w:val="24"/>
          <w:szCs w:val="24"/>
        </w:rPr>
      </w:pPr>
      <w:r w:rsidRPr="00613079">
        <w:rPr>
          <w:rFonts w:ascii="Arial" w:hAnsi="Arial" w:cs="Arial"/>
          <w:b/>
          <w:sz w:val="24"/>
          <w:szCs w:val="24"/>
        </w:rPr>
        <w:t>The primary target</w:t>
      </w:r>
      <w:r w:rsidRPr="00613079">
        <w:rPr>
          <w:rFonts w:ascii="Arial" w:hAnsi="Arial" w:cs="Arial"/>
          <w:sz w:val="24"/>
          <w:szCs w:val="24"/>
        </w:rPr>
        <w:t xml:space="preserve"> is the UK “conscious wellness seeker” aged 22-45.</w:t>
      </w:r>
    </w:p>
    <w:p w:rsidR="004B0A67" w:rsidRPr="00613079" w:rsidRDefault="009A2125" w:rsidP="009A2125">
      <w:pPr>
        <w:spacing w:before="240" w:line="360" w:lineRule="auto"/>
        <w:jc w:val="both"/>
        <w:rPr>
          <w:rFonts w:ascii="Arial" w:hAnsi="Arial" w:cs="Arial"/>
          <w:sz w:val="24"/>
          <w:szCs w:val="24"/>
        </w:rPr>
      </w:pPr>
      <w:r w:rsidRPr="00613079">
        <w:rPr>
          <w:rFonts w:ascii="Arial" w:hAnsi="Arial" w:cs="Arial"/>
          <w:b/>
          <w:sz w:val="24"/>
          <w:szCs w:val="24"/>
        </w:rPr>
        <w:t>The secondary target</w:t>
      </w:r>
      <w:r w:rsidRPr="00613079">
        <w:rPr>
          <w:rFonts w:ascii="Arial" w:hAnsi="Arial" w:cs="Arial"/>
          <w:sz w:val="24"/>
          <w:szCs w:val="24"/>
        </w:rPr>
        <w:t xml:space="preserve"> is UK Gen Z (18-24), who demonstrate strong sustainability preferences and high responsiveness to influencer-led marketing (Retail Gazette, 2025).</w:t>
      </w:r>
    </w:p>
    <w:p w:rsidR="004B0A67" w:rsidRPr="00613079" w:rsidRDefault="00775E29" w:rsidP="00775E29">
      <w:pPr>
        <w:spacing w:after="300" w:line="360" w:lineRule="auto"/>
        <w:jc w:val="center"/>
        <w:rPr>
          <w:rFonts w:ascii="Arial" w:eastAsia="Calibri" w:hAnsi="Arial" w:cs="Arial"/>
          <w:i/>
          <w:iCs/>
          <w:sz w:val="16"/>
          <w:szCs w:val="24"/>
        </w:rPr>
      </w:pPr>
      <w:r w:rsidRPr="00613079">
        <w:rPr>
          <w:rFonts w:ascii="Arial" w:hAnsi="Arial" w:cs="Arial"/>
          <w:noProof/>
          <w:sz w:val="24"/>
          <w:szCs w:val="24"/>
        </w:rPr>
        <w:lastRenderedPageBreak/>
        <w:drawing>
          <wp:anchor distT="0" distB="0" distL="114300" distR="114300" simplePos="0" relativeHeight="251670528" behindDoc="0" locked="0" layoutInCell="1" allowOverlap="1" wp14:anchorId="0B736A9A" wp14:editId="65CD4838">
            <wp:simplePos x="0" y="0"/>
            <wp:positionH relativeFrom="margin">
              <wp:align>right</wp:align>
            </wp:positionH>
            <wp:positionV relativeFrom="paragraph">
              <wp:posOffset>0</wp:posOffset>
            </wp:positionV>
            <wp:extent cx="5728970" cy="3152775"/>
            <wp:effectExtent l="0" t="0" r="508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3152775"/>
                    </a:xfrm>
                    <a:prstGeom prst="rect">
                      <a:avLst/>
                    </a:prstGeom>
                  </pic:spPr>
                </pic:pic>
              </a:graphicData>
            </a:graphic>
            <wp14:sizeRelH relativeFrom="margin">
              <wp14:pctWidth>0</wp14:pctWidth>
            </wp14:sizeRelH>
            <wp14:sizeRelV relativeFrom="margin">
              <wp14:pctHeight>0</wp14:pctHeight>
            </wp14:sizeRelV>
          </wp:anchor>
        </w:drawing>
      </w:r>
      <w:r w:rsidR="00533CAF" w:rsidRPr="00613079">
        <w:rPr>
          <w:rFonts w:ascii="Arial" w:eastAsia="Calibri" w:hAnsi="Arial" w:cs="Arial"/>
          <w:i/>
          <w:iCs/>
          <w:sz w:val="16"/>
          <w:szCs w:val="24"/>
        </w:rPr>
        <w:t>Figure 3: Global functional drinks market forecast, 2025-2033, calculated from Grand View Research's (2026) reported base value and 8.5% CAGR.</w:t>
      </w:r>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Figure 3 illustrates why growth alone justifies a differentiated targeting strategy: at a sustained 8.5% CAGR, the addressable market is projected to roughly double in value between 2025 and 2033 (Grand View Research, 2026), supporting premium pricing before competitor intensity compresses margins.</w:t>
      </w:r>
    </w:p>
    <w:p w:rsidR="004B0A67" w:rsidRPr="00613079" w:rsidRDefault="003349D0" w:rsidP="00FE02D4">
      <w:pPr>
        <w:pStyle w:val="Heading2"/>
        <w:spacing w:before="280" w:after="160" w:line="360" w:lineRule="auto"/>
        <w:rPr>
          <w:rFonts w:ascii="Arial" w:hAnsi="Arial" w:cs="Arial"/>
          <w:sz w:val="24"/>
          <w:szCs w:val="24"/>
        </w:rPr>
      </w:pPr>
      <w:bookmarkStart w:id="8" w:name="_Toc235135654"/>
      <w:r w:rsidRPr="00613079">
        <w:rPr>
          <w:rFonts w:ascii="Arial" w:eastAsia="Calibri" w:hAnsi="Arial" w:cs="Arial"/>
          <w:b/>
          <w:bCs/>
          <w:color w:val="1F4E1F"/>
          <w:sz w:val="24"/>
          <w:szCs w:val="24"/>
        </w:rPr>
        <w:t>Differentiation</w:t>
      </w:r>
      <w:bookmarkEnd w:id="8"/>
    </w:p>
    <w:p w:rsidR="009A2125" w:rsidRPr="00613079" w:rsidRDefault="009A2125" w:rsidP="009A2125">
      <w:pPr>
        <w:spacing w:after="200" w:line="360" w:lineRule="auto"/>
        <w:jc w:val="both"/>
        <w:rPr>
          <w:rFonts w:ascii="Arial" w:eastAsia="Calibri" w:hAnsi="Arial" w:cs="Arial"/>
          <w:sz w:val="24"/>
          <w:szCs w:val="24"/>
        </w:rPr>
      </w:pPr>
      <w:r w:rsidRPr="00613079">
        <w:rPr>
          <w:rFonts w:ascii="Arial" w:eastAsia="Calibri" w:hAnsi="Arial" w:cs="Arial"/>
          <w:sz w:val="24"/>
          <w:szCs w:val="24"/>
        </w:rPr>
        <w:t xml:space="preserve">Herbal+ differentiates itself through Keller’s (2013) points-of-parity and points-of-difference framework. Points-of-parity with UK competitors such as </w:t>
      </w:r>
      <w:proofErr w:type="spellStart"/>
      <w:r w:rsidRPr="00613079">
        <w:rPr>
          <w:rFonts w:ascii="Arial" w:eastAsia="Calibri" w:hAnsi="Arial" w:cs="Arial"/>
          <w:sz w:val="24"/>
          <w:szCs w:val="24"/>
        </w:rPr>
        <w:t>Poppi</w:t>
      </w:r>
      <w:proofErr w:type="spellEnd"/>
      <w:r w:rsidRPr="00613079">
        <w:rPr>
          <w:rFonts w:ascii="Arial" w:eastAsia="Calibri" w:hAnsi="Arial" w:cs="Arial"/>
          <w:sz w:val="24"/>
          <w:szCs w:val="24"/>
        </w:rPr>
        <w:t>, Celsius and TRIP include low/zero sugar formulation, functional ingredients and clean-label positioning.</w:t>
      </w:r>
    </w:p>
    <w:p w:rsidR="009A2125" w:rsidRPr="00613079" w:rsidRDefault="009A2125" w:rsidP="009A2125">
      <w:pPr>
        <w:spacing w:after="200" w:line="360" w:lineRule="auto"/>
        <w:jc w:val="both"/>
        <w:rPr>
          <w:rFonts w:ascii="Arial" w:eastAsia="Calibri" w:hAnsi="Arial" w:cs="Arial"/>
          <w:sz w:val="24"/>
          <w:szCs w:val="24"/>
        </w:rPr>
      </w:pPr>
      <w:r w:rsidRPr="00613079">
        <w:rPr>
          <w:rFonts w:ascii="Arial" w:eastAsia="Calibri" w:hAnsi="Arial" w:cs="Arial"/>
          <w:b/>
          <w:sz w:val="24"/>
          <w:szCs w:val="24"/>
        </w:rPr>
        <w:t>Points-of-difference</w:t>
      </w:r>
      <w:r w:rsidRPr="00613079">
        <w:rPr>
          <w:rFonts w:ascii="Arial" w:eastAsia="Calibri" w:hAnsi="Arial" w:cs="Arial"/>
          <w:sz w:val="24"/>
          <w:szCs w:val="24"/>
        </w:rPr>
        <w:t xml:space="preserve"> rest on two assets none of these rivals fully match:</w:t>
      </w:r>
    </w:p>
    <w:p w:rsidR="009A2125" w:rsidRPr="00613079" w:rsidRDefault="009A2125" w:rsidP="009A2125">
      <w:pPr>
        <w:pStyle w:val="ListParagraph"/>
        <w:numPr>
          <w:ilvl w:val="0"/>
          <w:numId w:val="4"/>
        </w:numPr>
        <w:spacing w:after="200" w:line="360" w:lineRule="auto"/>
        <w:jc w:val="both"/>
        <w:rPr>
          <w:rFonts w:ascii="Arial" w:eastAsia="Calibri" w:hAnsi="Arial" w:cs="Arial"/>
          <w:sz w:val="24"/>
          <w:szCs w:val="24"/>
        </w:rPr>
      </w:pPr>
      <w:r w:rsidRPr="00613079">
        <w:rPr>
          <w:rFonts w:ascii="Arial" w:eastAsia="Calibri" w:hAnsi="Arial" w:cs="Arial"/>
          <w:b/>
          <w:sz w:val="24"/>
          <w:szCs w:val="24"/>
        </w:rPr>
        <w:t>Coca-Cola’s UK distribution scale and brand trust</w:t>
      </w:r>
      <w:r w:rsidRPr="00613079">
        <w:rPr>
          <w:rFonts w:ascii="Arial" w:eastAsia="Calibri" w:hAnsi="Arial" w:cs="Arial"/>
          <w:sz w:val="24"/>
          <w:szCs w:val="24"/>
        </w:rPr>
        <w:t>, which significantly reduces trial barriers (Aaker and Keller, 1990).</w:t>
      </w:r>
    </w:p>
    <w:p w:rsidR="009A2125" w:rsidRPr="00613079" w:rsidRDefault="009A2125" w:rsidP="009A2125">
      <w:pPr>
        <w:pStyle w:val="ListParagraph"/>
        <w:numPr>
          <w:ilvl w:val="0"/>
          <w:numId w:val="4"/>
        </w:numPr>
        <w:spacing w:after="200" w:line="360" w:lineRule="auto"/>
        <w:jc w:val="both"/>
        <w:rPr>
          <w:rFonts w:ascii="Arial" w:eastAsia="Calibri" w:hAnsi="Arial" w:cs="Arial"/>
          <w:sz w:val="24"/>
          <w:szCs w:val="24"/>
        </w:rPr>
      </w:pPr>
      <w:r w:rsidRPr="00613079">
        <w:rPr>
          <w:rFonts w:ascii="Arial" w:eastAsia="Calibri" w:hAnsi="Arial" w:cs="Arial"/>
          <w:b/>
          <w:sz w:val="24"/>
          <w:szCs w:val="24"/>
        </w:rPr>
        <w:t>A fully integrated sustainability story</w:t>
      </w:r>
      <w:r w:rsidRPr="00613079">
        <w:rPr>
          <w:rFonts w:ascii="Arial" w:eastAsia="Calibri" w:hAnsi="Arial" w:cs="Arial"/>
          <w:sz w:val="24"/>
          <w:szCs w:val="24"/>
        </w:rPr>
        <w:t>, including UK Soft Drinks Industry Levy (SDIL)-compliant low-sugar formulation, aluminium packaging with an 82% UK recycling rate (</w:t>
      </w:r>
      <w:proofErr w:type="spellStart"/>
      <w:r w:rsidRPr="00613079">
        <w:rPr>
          <w:rFonts w:ascii="Arial" w:eastAsia="Calibri" w:hAnsi="Arial" w:cs="Arial"/>
          <w:sz w:val="24"/>
          <w:szCs w:val="24"/>
        </w:rPr>
        <w:t>Alupro</w:t>
      </w:r>
      <w:proofErr w:type="spellEnd"/>
      <w:r w:rsidRPr="00613079">
        <w:rPr>
          <w:rFonts w:ascii="Arial" w:eastAsia="Calibri" w:hAnsi="Arial" w:cs="Arial"/>
          <w:sz w:val="24"/>
          <w:szCs w:val="24"/>
        </w:rPr>
        <w:t>, 2025), and transparent ingredient sourcing.</w:t>
      </w:r>
    </w:p>
    <w:p w:rsidR="009A2125" w:rsidRPr="00613079" w:rsidRDefault="009A2125" w:rsidP="009A2125">
      <w:pPr>
        <w:spacing w:after="200" w:line="360" w:lineRule="auto"/>
        <w:jc w:val="both"/>
        <w:rPr>
          <w:rFonts w:ascii="Arial" w:eastAsia="Calibri" w:hAnsi="Arial" w:cs="Arial"/>
          <w:sz w:val="24"/>
          <w:szCs w:val="24"/>
        </w:rPr>
      </w:pPr>
    </w:p>
    <w:p w:rsidR="009A2125" w:rsidRPr="00613079" w:rsidRDefault="009A2125" w:rsidP="009A2125">
      <w:pPr>
        <w:spacing w:after="200" w:line="360" w:lineRule="auto"/>
        <w:jc w:val="both"/>
        <w:rPr>
          <w:rFonts w:ascii="Arial" w:eastAsia="Calibri" w:hAnsi="Arial" w:cs="Arial"/>
          <w:sz w:val="24"/>
          <w:szCs w:val="24"/>
        </w:rPr>
      </w:pPr>
      <w:r w:rsidRPr="00613079">
        <w:rPr>
          <w:rFonts w:ascii="Arial" w:eastAsia="Calibri" w:hAnsi="Arial" w:cs="Arial"/>
          <w:sz w:val="24"/>
          <w:szCs w:val="24"/>
        </w:rPr>
        <w:lastRenderedPageBreak/>
        <w:t>Independent UK wellness brands such as TRIP struggle with distribution reach, while Coca-Cola’s core UK portfolio lacks herbal credibility. Herbal+ occupies the strategic intersection between mainstream accessibility and niche-brand authenticity.</w:t>
      </w:r>
    </w:p>
    <w:p w:rsidR="004B0A67" w:rsidRPr="00613079" w:rsidRDefault="003349D0" w:rsidP="009A2125">
      <w:pPr>
        <w:spacing w:after="200" w:line="360" w:lineRule="auto"/>
        <w:jc w:val="both"/>
        <w:rPr>
          <w:rFonts w:ascii="Arial" w:hAnsi="Arial" w:cs="Arial"/>
          <w:sz w:val="24"/>
          <w:szCs w:val="24"/>
        </w:rPr>
      </w:pPr>
      <w:r w:rsidRPr="00613079">
        <w:rPr>
          <w:rFonts w:ascii="Arial" w:eastAsia="Calibri" w:hAnsi="Arial" w:cs="Arial"/>
          <w:sz w:val="24"/>
          <w:szCs w:val="24"/>
        </w:rPr>
        <w:t>As Table 1 shows, Herbal+ can undercut Celsius and Bloom on price while outspending Poppi on distribution reach.</w:t>
      </w:r>
    </w:p>
    <w:p w:rsidR="009A2125" w:rsidRPr="00613079" w:rsidRDefault="009A2125" w:rsidP="00FE02D4">
      <w:pPr>
        <w:pStyle w:val="Heading2"/>
        <w:spacing w:before="280" w:after="160" w:line="360" w:lineRule="auto"/>
        <w:rPr>
          <w:rFonts w:ascii="Arial" w:hAnsi="Arial" w:cs="Arial"/>
          <w:sz w:val="24"/>
        </w:rPr>
      </w:pPr>
      <w:bookmarkStart w:id="9" w:name="_Toc235135655"/>
      <w:r w:rsidRPr="00613079">
        <w:rPr>
          <w:rFonts w:ascii="Arial" w:hAnsi="Arial" w:cs="Arial"/>
          <w:sz w:val="24"/>
        </w:rPr>
        <w:t>Table 1. UK Competitor Benchmarking (2026)</w:t>
      </w:r>
    </w:p>
    <w:tbl>
      <w:tblPr>
        <w:tblW w:w="9072" w:type="dxa"/>
        <w:tblLook w:val="04A0" w:firstRow="1" w:lastRow="0" w:firstColumn="1" w:lastColumn="0" w:noHBand="0" w:noVBand="1"/>
      </w:tblPr>
      <w:tblGrid>
        <w:gridCol w:w="1547"/>
        <w:gridCol w:w="1620"/>
        <w:gridCol w:w="3437"/>
        <w:gridCol w:w="2468"/>
      </w:tblGrid>
      <w:tr w:rsidR="00613079" w:rsidRPr="009A2125" w:rsidTr="00A14BC3">
        <w:trPr>
          <w:trHeight w:val="1355"/>
        </w:trPr>
        <w:tc>
          <w:tcPr>
            <w:tcW w:w="1547" w:type="dxa"/>
            <w:tcBorders>
              <w:top w:val="single" w:sz="4" w:space="0" w:color="auto"/>
              <w:left w:val="single" w:sz="4" w:space="0" w:color="auto"/>
              <w:bottom w:val="single" w:sz="4" w:space="0" w:color="auto"/>
              <w:right w:val="single" w:sz="4" w:space="0" w:color="auto"/>
            </w:tcBorders>
            <w:shd w:val="clear" w:color="000000" w:fill="E2EFDA"/>
            <w:vAlign w:val="center"/>
            <w:hideMark/>
          </w:tcPr>
          <w:p w:rsidR="009A2125" w:rsidRPr="009A2125" w:rsidRDefault="009A2125" w:rsidP="009A2125">
            <w:pPr>
              <w:jc w:val="center"/>
              <w:rPr>
                <w:rFonts w:ascii="Arial" w:hAnsi="Arial" w:cs="Arial"/>
                <w:b/>
                <w:bCs/>
                <w:color w:val="000000"/>
                <w:sz w:val="22"/>
                <w:szCs w:val="22"/>
              </w:rPr>
            </w:pPr>
            <w:r w:rsidRPr="009A2125">
              <w:rPr>
                <w:rFonts w:ascii="Arial" w:hAnsi="Arial" w:cs="Arial"/>
                <w:b/>
                <w:bCs/>
                <w:color w:val="000000"/>
                <w:sz w:val="22"/>
                <w:szCs w:val="22"/>
              </w:rPr>
              <w:t>Brand</w:t>
            </w:r>
          </w:p>
        </w:tc>
        <w:tc>
          <w:tcPr>
            <w:tcW w:w="1620" w:type="dxa"/>
            <w:tcBorders>
              <w:top w:val="single" w:sz="4" w:space="0" w:color="auto"/>
              <w:left w:val="nil"/>
              <w:bottom w:val="single" w:sz="4" w:space="0" w:color="auto"/>
              <w:right w:val="single" w:sz="4" w:space="0" w:color="auto"/>
            </w:tcBorders>
            <w:shd w:val="clear" w:color="000000" w:fill="E2EFDA"/>
            <w:vAlign w:val="center"/>
            <w:hideMark/>
          </w:tcPr>
          <w:p w:rsidR="009A2125" w:rsidRPr="009A2125" w:rsidRDefault="009A2125" w:rsidP="009A2125">
            <w:pPr>
              <w:jc w:val="center"/>
              <w:rPr>
                <w:rFonts w:ascii="Arial" w:hAnsi="Arial" w:cs="Arial"/>
                <w:b/>
                <w:bCs/>
                <w:color w:val="000000"/>
                <w:sz w:val="22"/>
                <w:szCs w:val="22"/>
              </w:rPr>
            </w:pPr>
            <w:r w:rsidRPr="009A2125">
              <w:rPr>
                <w:rFonts w:ascii="Arial" w:hAnsi="Arial" w:cs="Arial"/>
                <w:b/>
                <w:bCs/>
                <w:color w:val="000000"/>
                <w:sz w:val="22"/>
                <w:szCs w:val="22"/>
              </w:rPr>
              <w:t>Indicative UK price (330ml equivalent)</w:t>
            </w:r>
          </w:p>
        </w:tc>
        <w:tc>
          <w:tcPr>
            <w:tcW w:w="3437" w:type="dxa"/>
            <w:tcBorders>
              <w:top w:val="single" w:sz="4" w:space="0" w:color="auto"/>
              <w:left w:val="nil"/>
              <w:bottom w:val="single" w:sz="4" w:space="0" w:color="auto"/>
              <w:right w:val="single" w:sz="4" w:space="0" w:color="auto"/>
            </w:tcBorders>
            <w:shd w:val="clear" w:color="000000" w:fill="E2EFDA"/>
            <w:vAlign w:val="center"/>
            <w:hideMark/>
          </w:tcPr>
          <w:p w:rsidR="009A2125" w:rsidRPr="009A2125" w:rsidRDefault="009A2125" w:rsidP="009A2125">
            <w:pPr>
              <w:jc w:val="center"/>
              <w:rPr>
                <w:rFonts w:ascii="Arial" w:hAnsi="Arial" w:cs="Arial"/>
                <w:b/>
                <w:bCs/>
                <w:color w:val="000000"/>
                <w:sz w:val="22"/>
                <w:szCs w:val="22"/>
              </w:rPr>
            </w:pPr>
            <w:r w:rsidRPr="009A2125">
              <w:rPr>
                <w:rFonts w:ascii="Arial" w:hAnsi="Arial" w:cs="Arial"/>
                <w:b/>
                <w:bCs/>
                <w:color w:val="000000"/>
                <w:sz w:val="22"/>
                <w:szCs w:val="22"/>
              </w:rPr>
              <w:t>UK market position (2026)</w:t>
            </w:r>
          </w:p>
        </w:tc>
        <w:tc>
          <w:tcPr>
            <w:tcW w:w="2468" w:type="dxa"/>
            <w:tcBorders>
              <w:top w:val="single" w:sz="4" w:space="0" w:color="auto"/>
              <w:left w:val="nil"/>
              <w:bottom w:val="single" w:sz="4" w:space="0" w:color="auto"/>
              <w:right w:val="single" w:sz="4" w:space="0" w:color="auto"/>
            </w:tcBorders>
            <w:shd w:val="clear" w:color="000000" w:fill="E2EFDA"/>
            <w:vAlign w:val="center"/>
            <w:hideMark/>
          </w:tcPr>
          <w:p w:rsidR="009A2125" w:rsidRPr="009A2125" w:rsidRDefault="009A2125" w:rsidP="009A2125">
            <w:pPr>
              <w:jc w:val="center"/>
              <w:rPr>
                <w:rFonts w:ascii="Arial" w:hAnsi="Arial" w:cs="Arial"/>
                <w:b/>
                <w:bCs/>
                <w:color w:val="000000"/>
                <w:sz w:val="22"/>
                <w:szCs w:val="22"/>
              </w:rPr>
            </w:pPr>
            <w:r w:rsidRPr="009A2125">
              <w:rPr>
                <w:rFonts w:ascii="Arial" w:hAnsi="Arial" w:cs="Arial"/>
                <w:b/>
                <w:bCs/>
                <w:color w:val="000000"/>
                <w:sz w:val="22"/>
                <w:szCs w:val="22"/>
              </w:rPr>
              <w:t>Branding strategy</w:t>
            </w:r>
          </w:p>
        </w:tc>
      </w:tr>
      <w:tr w:rsidR="009A2125" w:rsidRPr="009A2125" w:rsidTr="00A14BC3">
        <w:trPr>
          <w:trHeight w:val="1355"/>
        </w:trPr>
        <w:tc>
          <w:tcPr>
            <w:tcW w:w="1547" w:type="dxa"/>
            <w:tcBorders>
              <w:top w:val="nil"/>
              <w:left w:val="single" w:sz="4" w:space="0" w:color="auto"/>
              <w:bottom w:val="single" w:sz="4" w:space="0" w:color="auto"/>
              <w:right w:val="single" w:sz="4" w:space="0" w:color="auto"/>
            </w:tcBorders>
            <w:shd w:val="clear" w:color="000000" w:fill="BDD7EE"/>
            <w:vAlign w:val="center"/>
            <w:hideMark/>
          </w:tcPr>
          <w:p w:rsidR="009A2125" w:rsidRPr="009A2125" w:rsidRDefault="009A2125" w:rsidP="009A2125">
            <w:pPr>
              <w:jc w:val="center"/>
              <w:rPr>
                <w:rFonts w:ascii="Arial" w:hAnsi="Arial" w:cs="Arial"/>
                <w:b/>
                <w:bCs/>
                <w:color w:val="000000"/>
                <w:sz w:val="22"/>
                <w:szCs w:val="22"/>
              </w:rPr>
            </w:pPr>
            <w:proofErr w:type="spellStart"/>
            <w:r w:rsidRPr="009A2125">
              <w:rPr>
                <w:rFonts w:ascii="Arial" w:hAnsi="Arial" w:cs="Arial"/>
                <w:b/>
                <w:bCs/>
                <w:color w:val="000000"/>
                <w:sz w:val="22"/>
                <w:szCs w:val="22"/>
              </w:rPr>
              <w:t>Poppi</w:t>
            </w:r>
            <w:proofErr w:type="spellEnd"/>
          </w:p>
        </w:tc>
        <w:tc>
          <w:tcPr>
            <w:tcW w:w="1620"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£2.59</w:t>
            </w:r>
          </w:p>
        </w:tc>
        <w:tc>
          <w:tcPr>
            <w:tcW w:w="3437"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Recently entered UK via specialist retailers; strong social media-driven demand</w:t>
            </w:r>
          </w:p>
        </w:tc>
        <w:tc>
          <w:tcPr>
            <w:tcW w:w="2468"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Fun, accessible, influencer-led gut-health soda</w:t>
            </w:r>
          </w:p>
        </w:tc>
      </w:tr>
      <w:tr w:rsidR="009A2125" w:rsidRPr="009A2125" w:rsidTr="00A14BC3">
        <w:trPr>
          <w:trHeight w:val="1355"/>
        </w:trPr>
        <w:tc>
          <w:tcPr>
            <w:tcW w:w="1547" w:type="dxa"/>
            <w:tcBorders>
              <w:top w:val="nil"/>
              <w:left w:val="single" w:sz="4" w:space="0" w:color="auto"/>
              <w:bottom w:val="single" w:sz="4" w:space="0" w:color="auto"/>
              <w:right w:val="single" w:sz="4" w:space="0" w:color="auto"/>
            </w:tcBorders>
            <w:shd w:val="clear" w:color="000000" w:fill="BDD7EE"/>
            <w:vAlign w:val="center"/>
            <w:hideMark/>
          </w:tcPr>
          <w:p w:rsidR="009A2125" w:rsidRPr="009A2125" w:rsidRDefault="009A2125" w:rsidP="009A2125">
            <w:pPr>
              <w:jc w:val="center"/>
              <w:rPr>
                <w:rFonts w:ascii="Arial" w:hAnsi="Arial" w:cs="Arial"/>
                <w:b/>
                <w:bCs/>
                <w:color w:val="000000"/>
                <w:sz w:val="22"/>
                <w:szCs w:val="22"/>
              </w:rPr>
            </w:pPr>
            <w:r w:rsidRPr="009A2125">
              <w:rPr>
                <w:rFonts w:ascii="Arial" w:hAnsi="Arial" w:cs="Arial"/>
                <w:b/>
                <w:bCs/>
                <w:color w:val="000000"/>
                <w:sz w:val="22"/>
                <w:szCs w:val="22"/>
              </w:rPr>
              <w:t>Celsius</w:t>
            </w:r>
          </w:p>
        </w:tc>
        <w:tc>
          <w:tcPr>
            <w:tcW w:w="1620"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£1.65-£1.85</w:t>
            </w:r>
          </w:p>
        </w:tc>
        <w:tc>
          <w:tcPr>
            <w:tcW w:w="3437"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Rapid UK growth via Tesco, Asda and Amazon; positioned as performance energy</w:t>
            </w:r>
          </w:p>
        </w:tc>
        <w:tc>
          <w:tcPr>
            <w:tcW w:w="2468"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Premium, performance-led functional energy drink</w:t>
            </w:r>
          </w:p>
        </w:tc>
      </w:tr>
      <w:tr w:rsidR="009A2125" w:rsidRPr="009A2125" w:rsidTr="00A14BC3">
        <w:trPr>
          <w:trHeight w:val="1355"/>
        </w:trPr>
        <w:tc>
          <w:tcPr>
            <w:tcW w:w="1547" w:type="dxa"/>
            <w:tcBorders>
              <w:top w:val="nil"/>
              <w:left w:val="single" w:sz="4" w:space="0" w:color="auto"/>
              <w:bottom w:val="single" w:sz="4" w:space="0" w:color="auto"/>
              <w:right w:val="single" w:sz="4" w:space="0" w:color="auto"/>
            </w:tcBorders>
            <w:shd w:val="clear" w:color="000000" w:fill="BDD7EE"/>
            <w:vAlign w:val="center"/>
            <w:hideMark/>
          </w:tcPr>
          <w:p w:rsidR="009A2125" w:rsidRPr="009A2125" w:rsidRDefault="009A2125" w:rsidP="009A2125">
            <w:pPr>
              <w:jc w:val="center"/>
              <w:rPr>
                <w:rFonts w:ascii="Arial" w:hAnsi="Arial" w:cs="Arial"/>
                <w:b/>
                <w:bCs/>
                <w:color w:val="000000"/>
                <w:sz w:val="22"/>
                <w:szCs w:val="22"/>
              </w:rPr>
            </w:pPr>
            <w:r w:rsidRPr="009A2125">
              <w:rPr>
                <w:rFonts w:ascii="Arial" w:hAnsi="Arial" w:cs="Arial"/>
                <w:b/>
                <w:bCs/>
                <w:color w:val="000000"/>
                <w:sz w:val="22"/>
                <w:szCs w:val="22"/>
              </w:rPr>
              <w:t>TRIP</w:t>
            </w:r>
          </w:p>
        </w:tc>
        <w:tc>
          <w:tcPr>
            <w:tcW w:w="1620"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£2.00</w:t>
            </w:r>
          </w:p>
        </w:tc>
        <w:tc>
          <w:tcPr>
            <w:tcW w:w="3437"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UK-founded CBD/functional drink brand; strong presence in Boots, Tesco, Sainsbury’s</w:t>
            </w:r>
          </w:p>
        </w:tc>
        <w:tc>
          <w:tcPr>
            <w:tcW w:w="2468"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Calm, wellness-first, minimalist aesthetic</w:t>
            </w:r>
          </w:p>
        </w:tc>
      </w:tr>
      <w:tr w:rsidR="009A2125" w:rsidRPr="009A2125" w:rsidTr="00A14BC3">
        <w:trPr>
          <w:trHeight w:val="1807"/>
        </w:trPr>
        <w:tc>
          <w:tcPr>
            <w:tcW w:w="1547" w:type="dxa"/>
            <w:tcBorders>
              <w:top w:val="nil"/>
              <w:left w:val="single" w:sz="4" w:space="0" w:color="auto"/>
              <w:bottom w:val="single" w:sz="4" w:space="0" w:color="auto"/>
              <w:right w:val="single" w:sz="4" w:space="0" w:color="auto"/>
            </w:tcBorders>
            <w:shd w:val="clear" w:color="000000" w:fill="BDD7EE"/>
            <w:vAlign w:val="center"/>
            <w:hideMark/>
          </w:tcPr>
          <w:p w:rsidR="009A2125" w:rsidRPr="009A2125" w:rsidRDefault="009A2125" w:rsidP="009A2125">
            <w:pPr>
              <w:jc w:val="center"/>
              <w:rPr>
                <w:rFonts w:ascii="Arial" w:hAnsi="Arial" w:cs="Arial"/>
                <w:b/>
                <w:bCs/>
                <w:color w:val="000000"/>
                <w:sz w:val="22"/>
                <w:szCs w:val="22"/>
              </w:rPr>
            </w:pPr>
            <w:r w:rsidRPr="009A2125">
              <w:rPr>
                <w:rFonts w:ascii="Arial" w:hAnsi="Arial" w:cs="Arial"/>
                <w:b/>
                <w:bCs/>
                <w:color w:val="000000"/>
                <w:sz w:val="22"/>
                <w:szCs w:val="22"/>
              </w:rPr>
              <w:t>Coca-Cola Herbal+ (proposed)</w:t>
            </w:r>
          </w:p>
        </w:tc>
        <w:tc>
          <w:tcPr>
            <w:tcW w:w="1620"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£1.99-£2.49</w:t>
            </w:r>
          </w:p>
        </w:tc>
        <w:tc>
          <w:tcPr>
            <w:tcW w:w="3437"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 xml:space="preserve">New entrant leveraging Coca-Cola </w:t>
            </w:r>
            <w:proofErr w:type="spellStart"/>
            <w:r w:rsidRPr="009A2125">
              <w:rPr>
                <w:rFonts w:ascii="Arial" w:hAnsi="Arial" w:cs="Arial"/>
                <w:color w:val="000000"/>
                <w:sz w:val="22"/>
                <w:szCs w:val="22"/>
              </w:rPr>
              <w:t>Europacific</w:t>
            </w:r>
            <w:proofErr w:type="spellEnd"/>
            <w:r w:rsidRPr="009A2125">
              <w:rPr>
                <w:rFonts w:ascii="Arial" w:hAnsi="Arial" w:cs="Arial"/>
                <w:color w:val="000000"/>
                <w:sz w:val="22"/>
                <w:szCs w:val="22"/>
              </w:rPr>
              <w:t xml:space="preserve"> Partners’ UK distribution</w:t>
            </w:r>
          </w:p>
        </w:tc>
        <w:tc>
          <w:tcPr>
            <w:tcW w:w="2468" w:type="dxa"/>
            <w:tcBorders>
              <w:top w:val="nil"/>
              <w:left w:val="nil"/>
              <w:bottom w:val="single" w:sz="4" w:space="0" w:color="auto"/>
              <w:right w:val="single" w:sz="4" w:space="0" w:color="auto"/>
            </w:tcBorders>
            <w:shd w:val="clear" w:color="auto" w:fill="auto"/>
            <w:vAlign w:val="center"/>
            <w:hideMark/>
          </w:tcPr>
          <w:p w:rsidR="009A2125" w:rsidRPr="009A2125" w:rsidRDefault="009A2125" w:rsidP="009A2125">
            <w:pPr>
              <w:jc w:val="center"/>
              <w:rPr>
                <w:rFonts w:ascii="Arial" w:hAnsi="Arial" w:cs="Arial"/>
                <w:color w:val="000000"/>
                <w:sz w:val="22"/>
                <w:szCs w:val="22"/>
              </w:rPr>
            </w:pPr>
            <w:r w:rsidRPr="009A2125">
              <w:rPr>
                <w:rFonts w:ascii="Arial" w:hAnsi="Arial" w:cs="Arial"/>
                <w:color w:val="000000"/>
                <w:sz w:val="22"/>
                <w:szCs w:val="22"/>
              </w:rPr>
              <w:t>Endorsed sub-brand blending mainstream trust with herbal credibility</w:t>
            </w:r>
          </w:p>
        </w:tc>
      </w:tr>
    </w:tbl>
    <w:p w:rsidR="00A14BC3" w:rsidRPr="00613079" w:rsidRDefault="00A14BC3" w:rsidP="00A14BC3">
      <w:pPr>
        <w:pStyle w:val="Heading2"/>
        <w:spacing w:before="280" w:after="160" w:line="360" w:lineRule="auto"/>
        <w:jc w:val="center"/>
        <w:rPr>
          <w:rFonts w:ascii="Arial" w:eastAsia="Calibri" w:hAnsi="Arial" w:cs="Arial"/>
          <w:b/>
          <w:bCs/>
          <w:color w:val="000000" w:themeColor="text1"/>
          <w:sz w:val="24"/>
          <w:szCs w:val="24"/>
        </w:rPr>
      </w:pPr>
      <w:r w:rsidRPr="00613079">
        <w:rPr>
          <w:rFonts w:ascii="Arial" w:eastAsia="Calibri" w:hAnsi="Arial" w:cs="Arial"/>
          <w:i/>
          <w:iCs/>
          <w:color w:val="000000" w:themeColor="text1"/>
          <w:sz w:val="16"/>
          <w:szCs w:val="24"/>
        </w:rPr>
        <w:t>Table 1: UK Competitor Benchmarking (Author´s own Analysis)</w:t>
      </w:r>
    </w:p>
    <w:p w:rsidR="004B0A67" w:rsidRPr="00613079" w:rsidRDefault="003349D0" w:rsidP="00FE02D4">
      <w:pPr>
        <w:pStyle w:val="Heading2"/>
        <w:spacing w:before="280" w:after="160" w:line="360" w:lineRule="auto"/>
        <w:rPr>
          <w:rFonts w:ascii="Arial" w:hAnsi="Arial" w:cs="Arial"/>
          <w:sz w:val="24"/>
          <w:szCs w:val="24"/>
        </w:rPr>
      </w:pPr>
      <w:r w:rsidRPr="00613079">
        <w:rPr>
          <w:rFonts w:ascii="Arial" w:eastAsia="Calibri" w:hAnsi="Arial" w:cs="Arial"/>
          <w:b/>
          <w:bCs/>
          <w:color w:val="1F4E1F"/>
          <w:sz w:val="24"/>
          <w:szCs w:val="24"/>
        </w:rPr>
        <w:t>Positioning</w:t>
      </w:r>
      <w:bookmarkEnd w:id="9"/>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 xml:space="preserve">The positioning statement for Herbal+ is: For health- and sustainability-conscious consumers seeking great-tasting functional refreshment, Coca-Cola Herbal+ is a range of plant-based sparkling beverages delivering targeted wellness benefits from natural herbal ingredients, backed by Coca-Cola's trust, scale and sustainability </w:t>
      </w:r>
      <w:r w:rsidRPr="00613079">
        <w:rPr>
          <w:rFonts w:ascii="Arial" w:eastAsia="Calibri" w:hAnsi="Arial" w:cs="Arial"/>
          <w:sz w:val="24"/>
          <w:szCs w:val="24"/>
        </w:rPr>
        <w:lastRenderedPageBreak/>
        <w:t>commitment - unlike niche wellness brands offering authenticity without accessibility, and mainstream soft drinks offering accessibility without function.</w:t>
      </w:r>
    </w:p>
    <w:p w:rsidR="004B0A67" w:rsidRPr="00613079" w:rsidRDefault="00A14BC3" w:rsidP="00FE02D4">
      <w:pPr>
        <w:spacing w:after="200" w:line="360" w:lineRule="auto"/>
        <w:jc w:val="both"/>
        <w:rPr>
          <w:rFonts w:ascii="Arial" w:hAnsi="Arial" w:cs="Arial"/>
          <w:sz w:val="24"/>
          <w:szCs w:val="24"/>
        </w:rPr>
      </w:pPr>
      <w:r w:rsidRPr="00613079">
        <w:rPr>
          <w:rFonts w:ascii="Arial" w:hAnsi="Arial" w:cs="Arial"/>
          <w:noProof/>
          <w:sz w:val="16"/>
          <w:szCs w:val="24"/>
        </w:rPr>
        <w:drawing>
          <wp:anchor distT="0" distB="0" distL="114300" distR="114300" simplePos="0" relativeHeight="251663360" behindDoc="0" locked="0" layoutInCell="1" allowOverlap="1">
            <wp:simplePos x="0" y="0"/>
            <wp:positionH relativeFrom="margin">
              <wp:align>center</wp:align>
            </wp:positionH>
            <wp:positionV relativeFrom="paragraph">
              <wp:posOffset>1884479</wp:posOffset>
            </wp:positionV>
            <wp:extent cx="4948555" cy="379349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48555" cy="3793490"/>
                    </a:xfrm>
                    <a:prstGeom prst="rect">
                      <a:avLst/>
                    </a:prstGeom>
                  </pic:spPr>
                </pic:pic>
              </a:graphicData>
            </a:graphic>
            <wp14:sizeRelH relativeFrom="margin">
              <wp14:pctWidth>0</wp14:pctWidth>
            </wp14:sizeRelH>
            <wp14:sizeRelV relativeFrom="margin">
              <wp14:pctHeight>0</wp14:pctHeight>
            </wp14:sizeRelV>
          </wp:anchor>
        </w:drawing>
      </w:r>
      <w:r w:rsidR="003349D0" w:rsidRPr="00613079">
        <w:rPr>
          <w:rFonts w:ascii="Arial" w:eastAsia="Calibri" w:hAnsi="Arial" w:cs="Arial"/>
          <w:sz w:val="24"/>
          <w:szCs w:val="24"/>
        </w:rPr>
        <w:t>Plotted on a perceptual map with 'functional/wellness benefit' on one axis and 'mainstream accessibility and trust' on the other, Herbal+ sits in the high-benefit, high-accessibility quadrant, a space largely vacant between indie wellness brands and legacy carbonated soft drinks. This positioning must be actively managed to avoid the 'dilution' risk associated with brand extensions that stretch too far from the parent brand's core associations (Aaker and Keller, 1990); consistent sub-branding and clear visual differentiation on-pack protect the core trademark equity.</w:t>
      </w:r>
    </w:p>
    <w:p w:rsidR="004B0A67" w:rsidRPr="00613079" w:rsidRDefault="00533CAF" w:rsidP="00E00558">
      <w:pPr>
        <w:spacing w:before="200" w:after="120" w:line="360" w:lineRule="auto"/>
        <w:jc w:val="center"/>
        <w:rPr>
          <w:rFonts w:ascii="Arial" w:hAnsi="Arial" w:cs="Arial"/>
          <w:sz w:val="16"/>
          <w:szCs w:val="24"/>
        </w:rPr>
      </w:pPr>
      <w:r w:rsidRPr="00613079">
        <w:rPr>
          <w:rFonts w:ascii="Arial" w:eastAsia="Calibri" w:hAnsi="Arial" w:cs="Arial"/>
          <w:i/>
          <w:iCs/>
          <w:sz w:val="16"/>
          <w:szCs w:val="24"/>
        </w:rPr>
        <w:t>Figure 4: Perceptual map of functional beverage positioning, plotting mainstream accessibility/trust against functional/wellness benefit (author's own analysis).</w:t>
      </w:r>
    </w:p>
    <w:p w:rsidR="004B0A67" w:rsidRPr="00613079" w:rsidRDefault="00E00558" w:rsidP="008A21C8">
      <w:pPr>
        <w:pStyle w:val="Heading1"/>
        <w:rPr>
          <w:rFonts w:ascii="Arial" w:eastAsia="Calibri" w:hAnsi="Arial" w:cs="Arial"/>
          <w:b/>
          <w:bCs/>
          <w:color w:val="4472C4" w:themeColor="accent5"/>
          <w:sz w:val="24"/>
          <w:szCs w:val="24"/>
        </w:rPr>
      </w:pPr>
      <w:bookmarkStart w:id="10" w:name="_Toc235135656"/>
      <w:r w:rsidRPr="00613079">
        <w:rPr>
          <w:rFonts w:ascii="Arial" w:eastAsia="Calibri" w:hAnsi="Arial" w:cs="Arial"/>
          <w:b/>
          <w:bCs/>
          <w:color w:val="4472C4" w:themeColor="accent5"/>
          <w:sz w:val="28"/>
          <w:szCs w:val="24"/>
        </w:rPr>
        <w:t>Element 3: Marketing Mix (7Ps)</w:t>
      </w:r>
      <w:bookmarkEnd w:id="10"/>
    </w:p>
    <w:p w:rsidR="002E605F" w:rsidRPr="00613079" w:rsidRDefault="00F46214" w:rsidP="00E00558">
      <w:pPr>
        <w:spacing w:before="240" w:after="200" w:line="360" w:lineRule="auto"/>
        <w:jc w:val="both"/>
        <w:rPr>
          <w:rFonts w:ascii="Arial" w:hAnsi="Arial" w:cs="Arial"/>
          <w:noProof/>
          <w:sz w:val="24"/>
          <w:szCs w:val="24"/>
        </w:rPr>
      </w:pPr>
      <w:r w:rsidRPr="00613079">
        <w:rPr>
          <w:rFonts w:ascii="Arial" w:hAnsi="Arial" w:cs="Arial"/>
          <w:noProof/>
          <w:sz w:val="24"/>
          <w:szCs w:val="24"/>
        </w:rPr>
        <w:t>Booms and Bitner's (1981) extended marketing mix provides seven controllable levers through which Coca-Cola can operationalise the Herbal+ strategy coherently and sustainably. Vargo and Lusch's (2004) Service-Dominant Logic complements this by reframing each of the 7Ps as a mechanism for co-creating value with consumers; applied to Herbal+, on-pack QR traceability becomes an invitation for consumers to actively verify and endorse the brand's sustainability claims.</w:t>
      </w:r>
      <w:r w:rsidR="002E605F" w:rsidRPr="00613079">
        <w:rPr>
          <w:rFonts w:ascii="Arial" w:hAnsi="Arial" w:cs="Arial"/>
          <w:noProof/>
          <w:sz w:val="24"/>
          <w:szCs w:val="24"/>
        </w:rPr>
        <w:t xml:space="preserve"> </w:t>
      </w:r>
    </w:p>
    <w:p w:rsidR="002E605F" w:rsidRPr="00613079" w:rsidRDefault="002E605F" w:rsidP="00E00558">
      <w:pPr>
        <w:spacing w:before="240" w:after="200" w:line="360" w:lineRule="auto"/>
        <w:jc w:val="both"/>
        <w:rPr>
          <w:rFonts w:ascii="Arial" w:hAnsi="Arial" w:cs="Arial"/>
          <w:noProof/>
          <w:sz w:val="24"/>
          <w:szCs w:val="24"/>
        </w:rPr>
      </w:pPr>
      <w:r w:rsidRPr="00613079">
        <w:rPr>
          <w:rFonts w:ascii="Arial" w:hAnsi="Arial" w:cs="Arial"/>
          <w:noProof/>
          <w:sz w:val="24"/>
          <w:szCs w:val="24"/>
        </w:rPr>
        <w:lastRenderedPageBreak/>
        <w:drawing>
          <wp:anchor distT="0" distB="0" distL="114300" distR="114300" simplePos="0" relativeHeight="251672576" behindDoc="0" locked="0" layoutInCell="1" allowOverlap="1" wp14:anchorId="196DCF4D" wp14:editId="24B67F83">
            <wp:simplePos x="0" y="0"/>
            <wp:positionH relativeFrom="margin">
              <wp:align>center</wp:align>
            </wp:positionH>
            <wp:positionV relativeFrom="paragraph">
              <wp:posOffset>1357630</wp:posOffset>
            </wp:positionV>
            <wp:extent cx="6472555" cy="282321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513183" cy="2841132"/>
                    </a:xfrm>
                    <a:prstGeom prst="rect">
                      <a:avLst/>
                    </a:prstGeom>
                  </pic:spPr>
                </pic:pic>
              </a:graphicData>
            </a:graphic>
            <wp14:sizeRelH relativeFrom="margin">
              <wp14:pctWidth>0</wp14:pctWidth>
            </wp14:sizeRelH>
            <wp14:sizeRelV relativeFrom="margin">
              <wp14:pctHeight>0</wp14:pctHeight>
            </wp14:sizeRelV>
          </wp:anchor>
        </w:drawing>
      </w:r>
      <w:r w:rsidRPr="00613079">
        <w:rPr>
          <w:rFonts w:ascii="Arial" w:hAnsi="Arial" w:cs="Arial"/>
          <w:noProof/>
          <w:sz w:val="24"/>
          <w:szCs w:val="24"/>
        </w:rPr>
        <w:t>Herbal+’s low/zero-sugar formulation is strategically aligned with the UK Soft Drinks Industry Levy (SDIL), which financially penalises drinks exceeding 5g of sugar per 100ml. By remaining below this threshold, Herbal+ avoids the levy entirely, strengthening both its health positioning and its commercial viability in the UK market (Institute for Fiscal Studies, 2025).</w:t>
      </w:r>
    </w:p>
    <w:p w:rsidR="004B0A67" w:rsidRPr="00613079" w:rsidRDefault="00F46214" w:rsidP="00E00558">
      <w:pPr>
        <w:spacing w:after="300" w:line="360" w:lineRule="auto"/>
        <w:jc w:val="center"/>
        <w:rPr>
          <w:rFonts w:ascii="Arial" w:hAnsi="Arial" w:cs="Arial"/>
          <w:sz w:val="16"/>
          <w:szCs w:val="24"/>
        </w:rPr>
      </w:pPr>
      <w:r w:rsidRPr="00613079">
        <w:rPr>
          <w:rFonts w:ascii="Arial" w:eastAsia="Calibri" w:hAnsi="Arial" w:cs="Arial"/>
          <w:i/>
          <w:iCs/>
          <w:sz w:val="16"/>
          <w:szCs w:val="24"/>
        </w:rPr>
        <w:t>Figure 5: Overview of the Coca-Cola Herbal+ marketing mix across Booms and Bitner's (1981) 7Ps framework (author's own design).</w:t>
      </w:r>
    </w:p>
    <w:p w:rsidR="004B0A67" w:rsidRPr="00613079" w:rsidRDefault="003349D0" w:rsidP="00FE02D4">
      <w:pPr>
        <w:pStyle w:val="Heading2"/>
        <w:spacing w:before="280" w:after="160" w:line="360" w:lineRule="auto"/>
        <w:rPr>
          <w:rFonts w:ascii="Arial" w:hAnsi="Arial" w:cs="Arial"/>
          <w:sz w:val="24"/>
          <w:szCs w:val="24"/>
        </w:rPr>
      </w:pPr>
      <w:bookmarkStart w:id="11" w:name="_Toc235135657"/>
      <w:r w:rsidRPr="00613079">
        <w:rPr>
          <w:rFonts w:ascii="Arial" w:eastAsia="Calibri" w:hAnsi="Arial" w:cs="Arial"/>
          <w:b/>
          <w:bCs/>
          <w:color w:val="1F4E1F"/>
          <w:sz w:val="24"/>
          <w:szCs w:val="24"/>
        </w:rPr>
        <w:t>Product</w:t>
      </w:r>
      <w:bookmarkEnd w:id="11"/>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The Herbal+ product line comprises five low/zero-sugar sparkling herbal beverages, each built around a single functional benefit (energy, immunity, stress relief, hydration, refreshment) using botanicals such as turmeric, ginger and ashwagandha. Adopting Keller's (2013) sub-branding approach, Herbal+ is an endorsed brand rather than stand-alone or fully absorbed, borrowing parent-brand trust while protecting the core trademark if the category underperforms (Aaker and Keller, 1990). Recyclable aluminium cans and low-sugar reformulation answer World Health Organization (2021) guidance on limiting free sugar.</w:t>
      </w:r>
    </w:p>
    <w:p w:rsidR="00A14BC3" w:rsidRPr="00613079" w:rsidRDefault="003349D0" w:rsidP="00A14BC3">
      <w:pPr>
        <w:pStyle w:val="Heading2"/>
        <w:spacing w:before="280" w:after="160" w:line="360" w:lineRule="auto"/>
        <w:rPr>
          <w:rFonts w:ascii="Arial" w:eastAsia="Calibri" w:hAnsi="Arial" w:cs="Arial"/>
          <w:b/>
          <w:bCs/>
          <w:color w:val="1F4E1F"/>
          <w:sz w:val="24"/>
          <w:szCs w:val="24"/>
        </w:rPr>
      </w:pPr>
      <w:bookmarkStart w:id="12" w:name="_Toc235135658"/>
      <w:r w:rsidRPr="00613079">
        <w:rPr>
          <w:rFonts w:ascii="Arial" w:eastAsia="Calibri" w:hAnsi="Arial" w:cs="Arial"/>
          <w:b/>
          <w:bCs/>
          <w:color w:val="1F4E1F"/>
          <w:sz w:val="24"/>
          <w:szCs w:val="24"/>
        </w:rPr>
        <w:t>Price</w:t>
      </w:r>
      <w:bookmarkEnd w:id="12"/>
    </w:p>
    <w:p w:rsidR="00A14BC3" w:rsidRPr="00613079" w:rsidRDefault="00F46214" w:rsidP="00A14BC3">
      <w:pPr>
        <w:pStyle w:val="Heading2"/>
        <w:spacing w:after="160" w:line="360" w:lineRule="auto"/>
        <w:jc w:val="both"/>
        <w:rPr>
          <w:rFonts w:ascii="Arial" w:hAnsi="Arial" w:cs="Arial"/>
          <w:color w:val="000000" w:themeColor="text1"/>
          <w:sz w:val="24"/>
          <w:szCs w:val="24"/>
        </w:rPr>
      </w:pPr>
      <w:r w:rsidRPr="00613079">
        <w:rPr>
          <w:rFonts w:ascii="Arial" w:hAnsi="Arial" w:cs="Arial"/>
          <w:noProof/>
          <w:color w:val="000000" w:themeColor="text1"/>
          <w:sz w:val="24"/>
          <w:szCs w:val="24"/>
        </w:rPr>
        <w:t xml:space="preserve">Herbal+ will adopt a value-based, moderate premium pricing strategy, priced above core Coca-Cola but below ultra-premium indie brands such as Celsius. This reflects both ingredient cost and consumers' demonstrated willingness to pay for credible sustainability: PwC (2024) found consumers willing to accept a sustainability premium </w:t>
      </w:r>
      <w:r w:rsidRPr="00613079">
        <w:rPr>
          <w:rFonts w:ascii="Arial" w:hAnsi="Arial" w:cs="Arial"/>
          <w:noProof/>
          <w:color w:val="000000" w:themeColor="text1"/>
          <w:sz w:val="24"/>
          <w:szCs w:val="24"/>
        </w:rPr>
        <w:lastRenderedPageBreak/>
        <w:t>of almost 10%, while First Insight (2024) reports 73% of Gen Z shoppers are willing to pay more for sustainable products. Psychological pricing applies at single-can level for impulse accessibility, while multipacks reward habitual purchase, addressing NielsenIQ's (2024) finding that Gen Z remains price-conscious despite its values; a single price point would either underprice sustainability buyers or overprice deal-</w:t>
      </w:r>
      <w:r w:rsidR="00A14BC3" w:rsidRPr="00613079">
        <w:rPr>
          <w:rFonts w:ascii="Arial" w:hAnsi="Arial" w:cs="Arial"/>
          <w:noProof/>
          <w:color w:val="000000" w:themeColor="text1"/>
          <w:sz w:val="24"/>
          <w:szCs w:val="24"/>
        </w:rPr>
        <w:drawing>
          <wp:anchor distT="0" distB="0" distL="114300" distR="114300" simplePos="0" relativeHeight="251674624" behindDoc="0" locked="0" layoutInCell="1" allowOverlap="1" wp14:anchorId="2423AF47" wp14:editId="08080B9E">
            <wp:simplePos x="0" y="0"/>
            <wp:positionH relativeFrom="margin">
              <wp:posOffset>377524</wp:posOffset>
            </wp:positionH>
            <wp:positionV relativeFrom="paragraph">
              <wp:posOffset>1623161</wp:posOffset>
            </wp:positionV>
            <wp:extent cx="4350385" cy="2638425"/>
            <wp:effectExtent l="0" t="0" r="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50385" cy="2638425"/>
                    </a:xfrm>
                    <a:prstGeom prst="rect">
                      <a:avLst/>
                    </a:prstGeom>
                  </pic:spPr>
                </pic:pic>
              </a:graphicData>
            </a:graphic>
            <wp14:sizeRelH relativeFrom="margin">
              <wp14:pctWidth>0</wp14:pctWidth>
            </wp14:sizeRelH>
            <wp14:sizeRelV relativeFrom="margin">
              <wp14:pctHeight>0</wp14:pctHeight>
            </wp14:sizeRelV>
          </wp:anchor>
        </w:drawing>
      </w:r>
      <w:r w:rsidRPr="00613079">
        <w:rPr>
          <w:rFonts w:ascii="Arial" w:hAnsi="Arial" w:cs="Arial"/>
          <w:noProof/>
          <w:color w:val="000000" w:themeColor="text1"/>
          <w:sz w:val="24"/>
          <w:szCs w:val="24"/>
        </w:rPr>
        <w:t>seekers, making tiered pricing a commercial necessity.</w:t>
      </w:r>
    </w:p>
    <w:p w:rsidR="004B0A67" w:rsidRPr="00613079" w:rsidRDefault="00F46214" w:rsidP="00E00558">
      <w:pPr>
        <w:spacing w:after="300" w:line="360" w:lineRule="auto"/>
        <w:jc w:val="center"/>
        <w:rPr>
          <w:rFonts w:ascii="Arial" w:hAnsi="Arial" w:cs="Arial"/>
          <w:sz w:val="16"/>
          <w:szCs w:val="24"/>
        </w:rPr>
      </w:pPr>
      <w:r w:rsidRPr="00613079">
        <w:rPr>
          <w:rFonts w:ascii="Arial" w:eastAsia="Calibri" w:hAnsi="Arial" w:cs="Arial"/>
          <w:i/>
          <w:iCs/>
          <w:sz w:val="16"/>
          <w:szCs w:val="24"/>
        </w:rPr>
        <w:t>Figure 6: Gen Z sustainability purchase attitudes (First Insight, 2024).</w:t>
      </w:r>
    </w:p>
    <w:p w:rsidR="004B0A67" w:rsidRPr="00613079" w:rsidRDefault="00F46214" w:rsidP="00FE02D4">
      <w:pPr>
        <w:spacing w:after="200" w:line="360" w:lineRule="auto"/>
        <w:jc w:val="both"/>
        <w:rPr>
          <w:rFonts w:ascii="Arial" w:hAnsi="Arial" w:cs="Arial"/>
          <w:sz w:val="24"/>
          <w:szCs w:val="24"/>
        </w:rPr>
      </w:pPr>
      <w:r w:rsidRPr="00613079">
        <w:rPr>
          <w:rFonts w:ascii="Arial" w:eastAsia="Calibri" w:hAnsi="Arial" w:cs="Arial"/>
          <w:sz w:val="24"/>
          <w:szCs w:val="24"/>
        </w:rPr>
        <w:t>Figure 6 shows that more Gen Z shoppers say they would pay more for sustainable products (73%) than say they generally prefer sustainable brands (62%) (First Insight, 2024), suggesting specific, well-communicated benefits convert price sensitivity into an accepted premium.</w:t>
      </w:r>
    </w:p>
    <w:p w:rsidR="000414CD" w:rsidRPr="00613079" w:rsidRDefault="00F46214" w:rsidP="00FE02D4">
      <w:pPr>
        <w:spacing w:after="200" w:line="360" w:lineRule="auto"/>
        <w:jc w:val="both"/>
        <w:rPr>
          <w:rFonts w:ascii="Arial" w:eastAsia="Calibri" w:hAnsi="Arial" w:cs="Arial"/>
          <w:sz w:val="24"/>
          <w:szCs w:val="24"/>
        </w:rPr>
      </w:pPr>
      <w:r w:rsidRPr="00613079">
        <w:rPr>
          <w:rFonts w:ascii="Arial" w:eastAsia="Calibri" w:hAnsi="Arial" w:cs="Arial"/>
          <w:sz w:val="24"/>
          <w:szCs w:val="24"/>
        </w:rPr>
        <w:t>Table 2 sets out indicative figures to ground the pricing strategy commercially; these are illustrative planning assumptions rather than audited company projections.</w:t>
      </w:r>
    </w:p>
    <w:p w:rsidR="000414CD" w:rsidRPr="00613079" w:rsidRDefault="000414CD" w:rsidP="000414CD">
      <w:pPr>
        <w:pStyle w:val="Heading2"/>
        <w:spacing w:before="280" w:after="160" w:line="360" w:lineRule="auto"/>
        <w:rPr>
          <w:rFonts w:ascii="Arial" w:hAnsi="Arial" w:cs="Arial"/>
          <w:sz w:val="24"/>
        </w:rPr>
      </w:pPr>
      <w:r w:rsidRPr="00613079">
        <w:rPr>
          <w:rFonts w:ascii="Arial" w:hAnsi="Arial" w:cs="Arial"/>
          <w:sz w:val="24"/>
        </w:rPr>
        <w:t>Table 2. Indicative UK Pricing Economics (Planning Assumptions)</w:t>
      </w:r>
    </w:p>
    <w:tbl>
      <w:tblPr>
        <w:tblW w:w="90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3"/>
        <w:gridCol w:w="2403"/>
        <w:gridCol w:w="4446"/>
      </w:tblGrid>
      <w:tr w:rsidR="000414CD" w:rsidRPr="000414CD" w:rsidTr="000414CD">
        <w:trPr>
          <w:trHeight w:val="824"/>
        </w:trPr>
        <w:tc>
          <w:tcPr>
            <w:tcW w:w="2163" w:type="dxa"/>
            <w:shd w:val="clear" w:color="000000" w:fill="E2EFDA"/>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t>Metric</w:t>
            </w:r>
          </w:p>
        </w:tc>
        <w:tc>
          <w:tcPr>
            <w:tcW w:w="2403" w:type="dxa"/>
            <w:shd w:val="clear" w:color="000000" w:fill="E2EFDA"/>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t>Indicative value</w:t>
            </w:r>
          </w:p>
        </w:tc>
        <w:tc>
          <w:tcPr>
            <w:tcW w:w="4446" w:type="dxa"/>
            <w:shd w:val="clear" w:color="000000" w:fill="E2EFDA"/>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t>Rationale</w:t>
            </w:r>
          </w:p>
        </w:tc>
      </w:tr>
      <w:tr w:rsidR="000414CD" w:rsidRPr="000414CD" w:rsidTr="000414CD">
        <w:trPr>
          <w:trHeight w:val="824"/>
        </w:trPr>
        <w:tc>
          <w:tcPr>
            <w:tcW w:w="2163" w:type="dxa"/>
            <w:shd w:val="clear" w:color="000000" w:fill="DDEBF7"/>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t>Single-can RRP</w:t>
            </w:r>
          </w:p>
        </w:tc>
        <w:tc>
          <w:tcPr>
            <w:tcW w:w="2403"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£2.29</w:t>
            </w:r>
          </w:p>
        </w:tc>
        <w:tc>
          <w:tcPr>
            <w:tcW w:w="4446"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 xml:space="preserve">Above core Coca-Cola (£1.20-£1.50); below TRIP (£2.00) and </w:t>
            </w:r>
            <w:proofErr w:type="spellStart"/>
            <w:r w:rsidRPr="000414CD">
              <w:rPr>
                <w:rFonts w:ascii="Arial" w:hAnsi="Arial" w:cs="Arial"/>
                <w:color w:val="000000"/>
                <w:sz w:val="22"/>
                <w:szCs w:val="22"/>
              </w:rPr>
              <w:t>Poppi</w:t>
            </w:r>
            <w:proofErr w:type="spellEnd"/>
            <w:r w:rsidRPr="000414CD">
              <w:rPr>
                <w:rFonts w:ascii="Arial" w:hAnsi="Arial" w:cs="Arial"/>
                <w:color w:val="000000"/>
                <w:sz w:val="22"/>
                <w:szCs w:val="22"/>
              </w:rPr>
              <w:t xml:space="preserve"> (£2.59)</w:t>
            </w:r>
          </w:p>
        </w:tc>
      </w:tr>
      <w:tr w:rsidR="000414CD" w:rsidRPr="000414CD" w:rsidTr="000414CD">
        <w:trPr>
          <w:trHeight w:val="824"/>
        </w:trPr>
        <w:tc>
          <w:tcPr>
            <w:tcW w:w="2163" w:type="dxa"/>
            <w:shd w:val="clear" w:color="000000" w:fill="DDEBF7"/>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t>12-pack RRP</w:t>
            </w:r>
          </w:p>
        </w:tc>
        <w:tc>
          <w:tcPr>
            <w:tcW w:w="2403"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£18.99 (£1.58/can)</w:t>
            </w:r>
          </w:p>
        </w:tc>
        <w:tc>
          <w:tcPr>
            <w:tcW w:w="4446"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Rewards habitual purchase; aligns with UK multipack pricing norms</w:t>
            </w:r>
          </w:p>
        </w:tc>
      </w:tr>
      <w:tr w:rsidR="000414CD" w:rsidRPr="000414CD" w:rsidTr="000414CD">
        <w:trPr>
          <w:trHeight w:val="824"/>
        </w:trPr>
        <w:tc>
          <w:tcPr>
            <w:tcW w:w="2163" w:type="dxa"/>
            <w:shd w:val="clear" w:color="000000" w:fill="DDEBF7"/>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lastRenderedPageBreak/>
              <w:t>Indicative gross margin</w:t>
            </w:r>
          </w:p>
        </w:tc>
        <w:tc>
          <w:tcPr>
            <w:tcW w:w="2403"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50-54%</w:t>
            </w:r>
          </w:p>
        </w:tc>
        <w:tc>
          <w:tcPr>
            <w:tcW w:w="4446"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Slightly below Coca-Cola’s UK average due to premium ingredients</w:t>
            </w:r>
          </w:p>
        </w:tc>
      </w:tr>
      <w:tr w:rsidR="000414CD" w:rsidRPr="000414CD" w:rsidTr="000414CD">
        <w:trPr>
          <w:trHeight w:val="943"/>
        </w:trPr>
        <w:tc>
          <w:tcPr>
            <w:tcW w:w="2163" w:type="dxa"/>
            <w:shd w:val="clear" w:color="000000" w:fill="DDEBF7"/>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t>Launch investment (Years 1–2)</w:t>
            </w:r>
          </w:p>
        </w:tc>
        <w:tc>
          <w:tcPr>
            <w:tcW w:w="2403"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£120-160m</w:t>
            </w:r>
          </w:p>
        </w:tc>
        <w:tc>
          <w:tcPr>
            <w:tcW w:w="4446"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Comparable to UK functional drink category scale-up costs</w:t>
            </w:r>
          </w:p>
        </w:tc>
      </w:tr>
      <w:tr w:rsidR="000414CD" w:rsidRPr="000414CD" w:rsidTr="00DB1DA1">
        <w:trPr>
          <w:trHeight w:val="845"/>
        </w:trPr>
        <w:tc>
          <w:tcPr>
            <w:tcW w:w="2163" w:type="dxa"/>
            <w:shd w:val="clear" w:color="000000" w:fill="DDEBF7"/>
            <w:vAlign w:val="center"/>
            <w:hideMark/>
          </w:tcPr>
          <w:p w:rsidR="000414CD" w:rsidRPr="000414CD" w:rsidRDefault="000414CD" w:rsidP="000414CD">
            <w:pPr>
              <w:jc w:val="center"/>
              <w:rPr>
                <w:rFonts w:ascii="Arial" w:hAnsi="Arial" w:cs="Arial"/>
                <w:b/>
                <w:bCs/>
                <w:color w:val="000000"/>
                <w:sz w:val="22"/>
                <w:szCs w:val="22"/>
              </w:rPr>
            </w:pPr>
            <w:r w:rsidRPr="000414CD">
              <w:rPr>
                <w:rFonts w:ascii="Arial" w:hAnsi="Arial" w:cs="Arial"/>
                <w:b/>
                <w:bCs/>
                <w:color w:val="000000"/>
                <w:sz w:val="22"/>
                <w:szCs w:val="22"/>
              </w:rPr>
              <w:t>Profitability horizon</w:t>
            </w:r>
          </w:p>
        </w:tc>
        <w:tc>
          <w:tcPr>
            <w:tcW w:w="2403" w:type="dxa"/>
            <w:shd w:val="clear" w:color="auto" w:fill="auto"/>
            <w:vAlign w:val="center"/>
            <w:hideMark/>
          </w:tcPr>
          <w:p w:rsidR="000414CD" w:rsidRPr="000414CD" w:rsidRDefault="000414CD" w:rsidP="00A14BC3">
            <w:pPr>
              <w:jc w:val="center"/>
              <w:rPr>
                <w:rFonts w:ascii="Arial" w:hAnsi="Arial" w:cs="Arial"/>
                <w:color w:val="000000"/>
                <w:sz w:val="22"/>
                <w:szCs w:val="22"/>
              </w:rPr>
            </w:pPr>
            <w:r w:rsidRPr="000414CD">
              <w:rPr>
                <w:rFonts w:ascii="Arial" w:hAnsi="Arial" w:cs="Arial"/>
                <w:color w:val="000000"/>
                <w:sz w:val="22"/>
                <w:szCs w:val="22"/>
              </w:rPr>
              <w:t xml:space="preserve">Year </w:t>
            </w:r>
            <w:r w:rsidR="00A14BC3" w:rsidRPr="00613079">
              <w:rPr>
                <w:rFonts w:ascii="Arial" w:hAnsi="Arial" w:cs="Arial"/>
                <w:color w:val="000000"/>
                <w:sz w:val="22"/>
                <w:szCs w:val="22"/>
              </w:rPr>
              <w:t>2- 3</w:t>
            </w:r>
          </w:p>
        </w:tc>
        <w:tc>
          <w:tcPr>
            <w:tcW w:w="4446" w:type="dxa"/>
            <w:shd w:val="clear" w:color="auto" w:fill="auto"/>
            <w:vAlign w:val="center"/>
            <w:hideMark/>
          </w:tcPr>
          <w:p w:rsidR="000414CD" w:rsidRPr="000414CD" w:rsidRDefault="000414CD" w:rsidP="000414CD">
            <w:pPr>
              <w:jc w:val="center"/>
              <w:rPr>
                <w:rFonts w:ascii="Arial" w:hAnsi="Arial" w:cs="Arial"/>
                <w:color w:val="000000"/>
                <w:sz w:val="22"/>
                <w:szCs w:val="22"/>
              </w:rPr>
            </w:pPr>
            <w:r w:rsidRPr="000414CD">
              <w:rPr>
                <w:rFonts w:ascii="Arial" w:hAnsi="Arial" w:cs="Arial"/>
                <w:color w:val="000000"/>
                <w:sz w:val="22"/>
                <w:szCs w:val="22"/>
              </w:rPr>
              <w:t>Consistent with UK functional beverage category growth trajectories</w:t>
            </w:r>
          </w:p>
        </w:tc>
      </w:tr>
    </w:tbl>
    <w:p w:rsidR="000414CD" w:rsidRPr="00613079" w:rsidRDefault="00A14BC3" w:rsidP="00A14BC3">
      <w:pPr>
        <w:spacing w:after="200" w:line="360" w:lineRule="auto"/>
        <w:jc w:val="center"/>
        <w:rPr>
          <w:rFonts w:ascii="Arial" w:hAnsi="Arial" w:cs="Arial"/>
          <w:sz w:val="24"/>
          <w:szCs w:val="24"/>
        </w:rPr>
      </w:pPr>
      <w:r w:rsidRPr="00613079">
        <w:rPr>
          <w:rFonts w:ascii="Arial" w:eastAsia="Calibri" w:hAnsi="Arial" w:cs="Arial"/>
          <w:i/>
          <w:iCs/>
          <w:sz w:val="16"/>
          <w:szCs w:val="24"/>
        </w:rPr>
        <w:t>Table 2: Indicative UK Pricing Economics (Author´s own Analysis)</w:t>
      </w:r>
    </w:p>
    <w:p w:rsidR="004B0A67" w:rsidRPr="00613079" w:rsidRDefault="003349D0" w:rsidP="00FE02D4">
      <w:pPr>
        <w:pStyle w:val="Heading2"/>
        <w:spacing w:before="280" w:after="160" w:line="360" w:lineRule="auto"/>
        <w:rPr>
          <w:rFonts w:ascii="Arial" w:hAnsi="Arial" w:cs="Arial"/>
          <w:sz w:val="24"/>
          <w:szCs w:val="24"/>
        </w:rPr>
      </w:pPr>
      <w:bookmarkStart w:id="13" w:name="_Toc235135659"/>
      <w:r w:rsidRPr="00613079">
        <w:rPr>
          <w:rFonts w:ascii="Arial" w:eastAsia="Calibri" w:hAnsi="Arial" w:cs="Arial"/>
          <w:b/>
          <w:bCs/>
          <w:color w:val="1F4E1F"/>
          <w:sz w:val="24"/>
          <w:szCs w:val="24"/>
        </w:rPr>
        <w:t>Place</w:t>
      </w:r>
      <w:bookmarkEnd w:id="13"/>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Distribution is Herbal+'s single greatest structural advantage over independent wellness competitors. Coca-Cola's bottling and distribution system already reaches retailers, foodservice outlets and vending machines across more than 200 countries (Coca-Cola Company, 2025), allowing near-immediate shelf presence at a scale niche entrants such as Poppi could only achieve via acquisition by PepsiCo (Mordor Intelligence, 2026). This scale also risks scepticism about the authenticity of a wellness sub-brand, since shoppers may associate mass-market ubiquity with the profit motive sustainability-conscious segments distrust (Mintel, 2024); endorsed branding mitigates this. The rollout is phased: supermarkets, health-food retailers and gyms first, then wider grocery and vending as awareness builds.</w:t>
      </w:r>
    </w:p>
    <w:p w:rsidR="004B0A67" w:rsidRPr="00613079" w:rsidRDefault="003349D0" w:rsidP="00FE02D4">
      <w:pPr>
        <w:pStyle w:val="Heading2"/>
        <w:spacing w:before="280" w:after="160" w:line="360" w:lineRule="auto"/>
        <w:rPr>
          <w:rFonts w:ascii="Arial" w:hAnsi="Arial" w:cs="Arial"/>
          <w:sz w:val="24"/>
          <w:szCs w:val="24"/>
        </w:rPr>
      </w:pPr>
      <w:bookmarkStart w:id="14" w:name="_Toc235135660"/>
      <w:r w:rsidRPr="00613079">
        <w:rPr>
          <w:rFonts w:ascii="Arial" w:eastAsia="Calibri" w:hAnsi="Arial" w:cs="Arial"/>
          <w:b/>
          <w:bCs/>
          <w:color w:val="1F4E1F"/>
          <w:sz w:val="24"/>
          <w:szCs w:val="24"/>
        </w:rPr>
        <w:t>Promotion</w:t>
      </w:r>
      <w:bookmarkEnd w:id="14"/>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Promotion will use an integrated communications approach centred on authentic sustainability storytelling rather than mass advertising, reflecting Mintel's (2024) warning that over half of consumers remain sceptical of unsubstantiated sustainability claims. This scepticism increases the strategic importance of verifiable metrics, making traceability essential for credibility. Tactics include digital, social-first campaigns featuring transparent sourcing content; wellness-community sampling at gyms and campuses; and cause-linked storytelling around certified herb farms (Coca-Cola Company, 2025). Rather than celebrity endorsement, the brand will use credible wellness micro-influencers, since peer credibility outperforms overt brand messaging with this segment (NielsenIQ, 2024).</w:t>
      </w:r>
    </w:p>
    <w:p w:rsidR="004B0A67" w:rsidRPr="00613079" w:rsidRDefault="003349D0" w:rsidP="00FE02D4">
      <w:pPr>
        <w:pStyle w:val="Heading2"/>
        <w:spacing w:before="280" w:after="160" w:line="360" w:lineRule="auto"/>
        <w:rPr>
          <w:rFonts w:ascii="Arial" w:hAnsi="Arial" w:cs="Arial"/>
          <w:sz w:val="24"/>
          <w:szCs w:val="24"/>
        </w:rPr>
      </w:pPr>
      <w:bookmarkStart w:id="15" w:name="_Toc235135661"/>
      <w:r w:rsidRPr="00613079">
        <w:rPr>
          <w:rFonts w:ascii="Arial" w:eastAsia="Calibri" w:hAnsi="Arial" w:cs="Arial"/>
          <w:b/>
          <w:bCs/>
          <w:color w:val="1F4E1F"/>
          <w:sz w:val="24"/>
          <w:szCs w:val="24"/>
        </w:rPr>
        <w:t>People</w:t>
      </w:r>
      <w:bookmarkEnd w:id="15"/>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lastRenderedPageBreak/>
        <w:t>People encompass both Coca-Cola's workforce and its supply-chain partners. Frontline staff require training to communicate functional and sustainability claims accurately, since inconsistent claims are a primary driver of consumer scepticism (Mintel, 2024). Certified sustainable herb farmers underpin the brand's credibility story (Coca-Cola Company, 2025), and cross-functional collaboration between R&amp;D, sustainability and marketing ensures claims are always substantiated by verifiable sourcing data.</w:t>
      </w:r>
    </w:p>
    <w:p w:rsidR="004B0A67" w:rsidRPr="00613079" w:rsidRDefault="003349D0" w:rsidP="00FE02D4">
      <w:pPr>
        <w:pStyle w:val="Heading2"/>
        <w:spacing w:before="280" w:after="160" w:line="360" w:lineRule="auto"/>
        <w:rPr>
          <w:rFonts w:ascii="Arial" w:hAnsi="Arial" w:cs="Arial"/>
          <w:sz w:val="24"/>
          <w:szCs w:val="24"/>
        </w:rPr>
      </w:pPr>
      <w:bookmarkStart w:id="16" w:name="_Toc235135662"/>
      <w:r w:rsidRPr="00613079">
        <w:rPr>
          <w:rFonts w:ascii="Arial" w:eastAsia="Calibri" w:hAnsi="Arial" w:cs="Arial"/>
          <w:b/>
          <w:bCs/>
          <w:color w:val="1F4E1F"/>
          <w:sz w:val="24"/>
          <w:szCs w:val="24"/>
        </w:rPr>
        <w:t>Process</w:t>
      </w:r>
      <w:bookmarkEnd w:id="16"/>
    </w:p>
    <w:p w:rsidR="004B0A67" w:rsidRPr="00613079" w:rsidRDefault="00F46214" w:rsidP="00FE02D4">
      <w:pPr>
        <w:spacing w:after="200" w:line="360" w:lineRule="auto"/>
        <w:jc w:val="both"/>
        <w:rPr>
          <w:rFonts w:ascii="Arial" w:hAnsi="Arial" w:cs="Arial"/>
          <w:sz w:val="24"/>
          <w:szCs w:val="24"/>
        </w:rPr>
      </w:pPr>
      <w:r w:rsidRPr="00613079">
        <w:rPr>
          <w:rFonts w:ascii="Arial" w:hAnsi="Arial" w:cs="Arial"/>
          <w:noProof/>
          <w:sz w:val="24"/>
          <w:szCs w:val="24"/>
        </w:rPr>
        <w:t>Process refers to the systems delivering the brand promise consistently. Herbal+ will implement supply-chain traceability, allowing a QR code on-pack to show consumers the herb source, carbon footprint and recycling instructions, supporting the Greenhouse Gas Protocol (2023) reporting that underpins Coca-Cola's own accounting. Making this data visible at purchase, rather than confined to corporate reports, shifts the burden of proof to consumer-verifiable evidence, addressing the credibility gap Mintel (2024) identifies. Production will prioritise energy-efficient manufacturing, consistent with Coca-Cola's 1.5°C emissions trajectory by 2035 (Coca-Cola Company, 2025), integrating Herbal+ into existing bottling and logistics to minimise incremental cost.</w:t>
      </w:r>
    </w:p>
    <w:p w:rsidR="004B0A67" w:rsidRPr="00613079" w:rsidRDefault="003349D0" w:rsidP="00F46214">
      <w:pPr>
        <w:pStyle w:val="Heading2"/>
        <w:spacing w:line="360" w:lineRule="auto"/>
        <w:rPr>
          <w:rFonts w:ascii="Arial" w:hAnsi="Arial" w:cs="Arial"/>
          <w:sz w:val="24"/>
          <w:szCs w:val="24"/>
        </w:rPr>
      </w:pPr>
      <w:bookmarkStart w:id="17" w:name="_Toc235135663"/>
      <w:r w:rsidRPr="00613079">
        <w:rPr>
          <w:rFonts w:ascii="Arial" w:eastAsia="Calibri" w:hAnsi="Arial" w:cs="Arial"/>
          <w:b/>
          <w:bCs/>
          <w:color w:val="1F4E1F"/>
          <w:sz w:val="24"/>
          <w:szCs w:val="24"/>
        </w:rPr>
        <w:t>Physical Evidence</w:t>
      </w:r>
      <w:bookmarkEnd w:id="17"/>
    </w:p>
    <w:p w:rsidR="004B0A67" w:rsidRPr="00613079" w:rsidRDefault="003349D0" w:rsidP="00FE02D4">
      <w:pPr>
        <w:spacing w:after="200" w:line="360" w:lineRule="auto"/>
        <w:jc w:val="both"/>
        <w:rPr>
          <w:rFonts w:ascii="Arial" w:eastAsia="Calibri" w:hAnsi="Arial" w:cs="Arial"/>
          <w:sz w:val="24"/>
          <w:szCs w:val="24"/>
        </w:rPr>
      </w:pPr>
      <w:r w:rsidRPr="00613079">
        <w:rPr>
          <w:rFonts w:ascii="Arial" w:eastAsia="Calibri" w:hAnsi="Arial" w:cs="Arial"/>
          <w:sz w:val="24"/>
          <w:szCs w:val="24"/>
        </w:rPr>
        <w:t>Physical evidence includes packaging, in-store presence and digital assets that make the intangible promise of 'wellness' and 'sustainability' tangible. Each Herbal+ can uses distinct pastel colour-coding and botanical illustration per variant, paired with on-pack sustainability icons echoing Coca-Cola's core visual system for shelf recognition. Aluminium was selected over PET plastic and glass: the International Aluminium Institute (2025) reports 75% of aluminium cans are recycled back into new products globally, comfortably ahead of plastic and glass, supporting genuine circular-economy claims (Aluminum Association and Can Manufacturers Institute, 2024).</w:t>
      </w:r>
    </w:p>
    <w:p w:rsidR="00DB1DA1" w:rsidRPr="00613079" w:rsidRDefault="00DB1DA1" w:rsidP="00FE02D4">
      <w:pPr>
        <w:spacing w:after="200" w:line="360" w:lineRule="auto"/>
        <w:jc w:val="both"/>
        <w:rPr>
          <w:rFonts w:ascii="Arial" w:hAnsi="Arial" w:cs="Arial"/>
          <w:sz w:val="24"/>
          <w:szCs w:val="24"/>
        </w:rPr>
      </w:pPr>
      <w:r w:rsidRPr="00613079">
        <w:rPr>
          <w:rFonts w:ascii="Arial" w:hAnsi="Arial" w:cs="Arial"/>
          <w:noProof/>
          <w:sz w:val="24"/>
          <w:szCs w:val="24"/>
        </w:rPr>
        <w:lastRenderedPageBreak/>
        <w:drawing>
          <wp:anchor distT="0" distB="0" distL="114300" distR="114300" simplePos="0" relativeHeight="251676672" behindDoc="0" locked="0" layoutInCell="1" allowOverlap="1" wp14:anchorId="3B9F8B23" wp14:editId="72A98F89">
            <wp:simplePos x="0" y="0"/>
            <wp:positionH relativeFrom="margin">
              <wp:align>center</wp:align>
            </wp:positionH>
            <wp:positionV relativeFrom="paragraph">
              <wp:posOffset>1008915</wp:posOffset>
            </wp:positionV>
            <wp:extent cx="4980305" cy="316801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980305" cy="3168015"/>
                    </a:xfrm>
                    <a:prstGeom prst="rect">
                      <a:avLst/>
                    </a:prstGeom>
                  </pic:spPr>
                </pic:pic>
              </a:graphicData>
            </a:graphic>
            <wp14:sizeRelH relativeFrom="margin">
              <wp14:pctWidth>0</wp14:pctWidth>
            </wp14:sizeRelH>
            <wp14:sizeRelV relativeFrom="margin">
              <wp14:pctHeight>0</wp14:pctHeight>
            </wp14:sizeRelV>
          </wp:anchor>
        </w:drawing>
      </w:r>
      <w:r w:rsidRPr="00613079">
        <w:rPr>
          <w:rFonts w:ascii="Arial" w:hAnsi="Arial" w:cs="Arial"/>
          <w:sz w:val="24"/>
          <w:szCs w:val="24"/>
        </w:rPr>
        <w:t>Aluminium was selected over PET plastic and glass because the UK achieves an 82% aluminium can recycling rate (</w:t>
      </w:r>
      <w:proofErr w:type="spellStart"/>
      <w:r w:rsidRPr="00613079">
        <w:rPr>
          <w:rFonts w:ascii="Arial" w:hAnsi="Arial" w:cs="Arial"/>
          <w:sz w:val="24"/>
          <w:szCs w:val="24"/>
        </w:rPr>
        <w:t>Alupro</w:t>
      </w:r>
      <w:proofErr w:type="spellEnd"/>
      <w:r w:rsidRPr="00613079">
        <w:rPr>
          <w:rFonts w:ascii="Arial" w:hAnsi="Arial" w:cs="Arial"/>
          <w:sz w:val="24"/>
          <w:szCs w:val="24"/>
        </w:rPr>
        <w:t xml:space="preserve">, 2025), significantly higher than UK PET (52%) and glass (76%) recycling rates (WRAP, 2025). This provides a defensible, UK-specific sustainability claim and supports </w:t>
      </w:r>
      <w:proofErr w:type="spellStart"/>
      <w:r w:rsidRPr="00613079">
        <w:rPr>
          <w:rFonts w:ascii="Arial" w:hAnsi="Arial" w:cs="Arial"/>
          <w:sz w:val="24"/>
          <w:szCs w:val="24"/>
        </w:rPr>
        <w:t>Herbal+’s</w:t>
      </w:r>
      <w:proofErr w:type="spellEnd"/>
      <w:r w:rsidRPr="00613079">
        <w:rPr>
          <w:rFonts w:ascii="Arial" w:hAnsi="Arial" w:cs="Arial"/>
          <w:sz w:val="24"/>
          <w:szCs w:val="24"/>
        </w:rPr>
        <w:t xml:space="preserve"> circular-economy positioning.</w:t>
      </w:r>
    </w:p>
    <w:p w:rsidR="00DB1DA1" w:rsidRPr="00613079" w:rsidRDefault="00DB1DA1" w:rsidP="00DB1DA1">
      <w:pPr>
        <w:spacing w:before="200" w:after="120" w:line="360" w:lineRule="auto"/>
        <w:jc w:val="center"/>
        <w:rPr>
          <w:rFonts w:ascii="Arial" w:hAnsi="Arial" w:cs="Arial"/>
          <w:sz w:val="16"/>
          <w:szCs w:val="24"/>
        </w:rPr>
      </w:pPr>
      <w:r w:rsidRPr="00613079">
        <w:rPr>
          <w:rFonts w:ascii="Arial" w:eastAsia="Calibri" w:hAnsi="Arial" w:cs="Arial"/>
          <w:i/>
          <w:iCs/>
          <w:sz w:val="16"/>
          <w:szCs w:val="24"/>
        </w:rPr>
        <w:t>Figure 7: Share of material recycled back into new packaging, by container type (International Aluminium Institute, 2025).</w:t>
      </w:r>
    </w:p>
    <w:p w:rsidR="004B0A67" w:rsidRPr="00613079" w:rsidRDefault="00F46214" w:rsidP="00FE02D4">
      <w:pPr>
        <w:spacing w:after="200" w:line="360" w:lineRule="auto"/>
        <w:jc w:val="both"/>
        <w:rPr>
          <w:rFonts w:ascii="Arial" w:hAnsi="Arial" w:cs="Arial"/>
          <w:sz w:val="24"/>
          <w:szCs w:val="24"/>
        </w:rPr>
      </w:pPr>
      <w:r w:rsidRPr="00613079">
        <w:rPr>
          <w:rFonts w:ascii="Arial" w:eastAsia="Calibri" w:hAnsi="Arial" w:cs="Arial"/>
          <w:sz w:val="24"/>
          <w:szCs w:val="24"/>
        </w:rPr>
        <w:t>Figure 7 gives the specific, verifiable evidence needed to substantiate Herbal+'s recyclability claims without overstating them. Aluminium's 75% recycled content is around 1.6 times that of PET (47%) and almost double that of glass (42%), giving a defensible statistic for packaging copy, the kind of specific metric Mintel (2024) finds builds credibility with sceptical consumers. Point-of-sale units in the 'wellness aisle', with a dedicated web presence, reinforce a premium, credible physical brand experience.</w:t>
      </w:r>
    </w:p>
    <w:p w:rsidR="004B0A67" w:rsidRPr="00613079" w:rsidRDefault="00E00558" w:rsidP="00775E29">
      <w:pPr>
        <w:pStyle w:val="Heading1"/>
        <w:spacing w:after="240" w:line="360" w:lineRule="auto"/>
        <w:rPr>
          <w:rFonts w:ascii="Arial" w:eastAsia="Calibri" w:hAnsi="Arial" w:cs="Arial"/>
          <w:b/>
          <w:bCs/>
          <w:color w:val="4472C4" w:themeColor="accent5"/>
          <w:sz w:val="24"/>
          <w:szCs w:val="24"/>
        </w:rPr>
      </w:pPr>
      <w:r w:rsidRPr="00613079">
        <w:rPr>
          <w:rFonts w:ascii="Arial" w:eastAsia="Calibri" w:hAnsi="Arial" w:cs="Arial"/>
          <w:b/>
          <w:bCs/>
          <w:color w:val="4472C4" w:themeColor="accent5"/>
          <w:sz w:val="28"/>
          <w:szCs w:val="24"/>
        </w:rPr>
        <w:t>Critical Evaluation: Risks and Limitations</w:t>
      </w:r>
    </w:p>
    <w:p w:rsidR="00DB1DA1" w:rsidRPr="00613079" w:rsidRDefault="00F46214" w:rsidP="00FE02D4">
      <w:pPr>
        <w:spacing w:after="200" w:line="360" w:lineRule="auto"/>
        <w:jc w:val="both"/>
        <w:rPr>
          <w:rFonts w:ascii="Arial" w:eastAsia="Calibri" w:hAnsi="Arial" w:cs="Arial"/>
          <w:sz w:val="24"/>
          <w:szCs w:val="24"/>
        </w:rPr>
      </w:pPr>
      <w:r w:rsidRPr="00613079">
        <w:rPr>
          <w:rFonts w:ascii="Arial" w:eastAsia="Calibri" w:hAnsi="Arial" w:cs="Arial"/>
          <w:sz w:val="24"/>
          <w:szCs w:val="24"/>
        </w:rPr>
        <w:t xml:space="preserve">While the preceding analysis supports Herbal+, a balanced evaluation must weigh its risks. Consumer distrust may persist even with verifiable metrics: Mintel (2024) shows over half stay sceptical of sustainability claims regardless of evidence, so Herbal+ could still be dismissed as greenwashing. Cannibalisation of Coca-Cola Zero Sugar is a genuine risk, since both compete for the same health-conscious consumers without clear occasion-based differentiation. </w:t>
      </w:r>
    </w:p>
    <w:p w:rsidR="00DB1DA1" w:rsidRPr="00613079" w:rsidRDefault="00F46214" w:rsidP="00FE02D4">
      <w:pPr>
        <w:spacing w:after="200" w:line="360" w:lineRule="auto"/>
        <w:jc w:val="both"/>
        <w:rPr>
          <w:rFonts w:ascii="Arial" w:eastAsia="Calibri" w:hAnsi="Arial" w:cs="Arial"/>
          <w:sz w:val="24"/>
          <w:szCs w:val="24"/>
        </w:rPr>
      </w:pPr>
      <w:r w:rsidRPr="00613079">
        <w:rPr>
          <w:rFonts w:ascii="Arial" w:eastAsia="Calibri" w:hAnsi="Arial" w:cs="Arial"/>
          <w:sz w:val="24"/>
          <w:szCs w:val="24"/>
        </w:rPr>
        <w:lastRenderedPageBreak/>
        <w:t xml:space="preserve">Regulatory risk is material: ingredients such as ashwagandha face inconsistent international approval rules, risking costly reformulation. Supply-chain uncertainty around certified herb sourcing at Coca-Cola's scale is unproven, since yield and quality are harder to guarantee than in existing commodity chains. Pricing risk cuts both ways: too high a premium excludes deal-seeking Gen Z (NielsenIQ, 2024), while too low erodes the margin needed to sustain sustainability investment. </w:t>
      </w:r>
    </w:p>
    <w:p w:rsidR="00DB1DA1" w:rsidRPr="00613079" w:rsidRDefault="00DB1DA1" w:rsidP="00FE02D4">
      <w:pPr>
        <w:spacing w:after="200" w:line="360" w:lineRule="auto"/>
        <w:jc w:val="both"/>
        <w:rPr>
          <w:rFonts w:ascii="Arial" w:hAnsi="Arial" w:cs="Arial"/>
          <w:sz w:val="24"/>
          <w:szCs w:val="24"/>
        </w:rPr>
      </w:pPr>
      <w:r w:rsidRPr="00613079">
        <w:rPr>
          <w:rFonts w:ascii="Arial" w:hAnsi="Arial" w:cs="Arial"/>
          <w:sz w:val="24"/>
          <w:szCs w:val="24"/>
        </w:rPr>
        <w:t xml:space="preserve">A material regulatory risk is the UK Food Standards Agency’s (FSA) ongoing safety review of botanicals such as </w:t>
      </w:r>
      <w:proofErr w:type="spellStart"/>
      <w:r w:rsidRPr="00613079">
        <w:rPr>
          <w:rFonts w:ascii="Arial" w:hAnsi="Arial" w:cs="Arial"/>
          <w:sz w:val="24"/>
          <w:szCs w:val="24"/>
        </w:rPr>
        <w:t>ashwagandha</w:t>
      </w:r>
      <w:proofErr w:type="spellEnd"/>
      <w:r w:rsidRPr="00613079">
        <w:rPr>
          <w:rFonts w:ascii="Arial" w:hAnsi="Arial" w:cs="Arial"/>
          <w:sz w:val="24"/>
          <w:szCs w:val="24"/>
        </w:rPr>
        <w:t>. In 2024–2026, the FSA issued precautionary guidance limiting its use in certain consumer groups, meaning Herbal+ may require reformulation or differentiated labelling for UK compliance. This is a more concrete and immediate risk than generalised “international inconsistency” and must be actively monitored.</w:t>
      </w:r>
    </w:p>
    <w:p w:rsidR="004B0A67" w:rsidRPr="00613079" w:rsidRDefault="00E00558" w:rsidP="008A21C8">
      <w:pPr>
        <w:pStyle w:val="Heading1"/>
        <w:rPr>
          <w:rFonts w:ascii="Arial" w:eastAsia="Calibri" w:hAnsi="Arial" w:cs="Arial"/>
          <w:b/>
          <w:bCs/>
          <w:color w:val="4472C4" w:themeColor="accent5"/>
          <w:sz w:val="24"/>
          <w:szCs w:val="24"/>
        </w:rPr>
      </w:pPr>
      <w:bookmarkStart w:id="18" w:name="_Toc235135664"/>
      <w:r w:rsidRPr="00613079">
        <w:rPr>
          <w:rFonts w:ascii="Arial" w:eastAsia="Calibri" w:hAnsi="Arial" w:cs="Arial"/>
          <w:b/>
          <w:bCs/>
          <w:color w:val="4472C4" w:themeColor="accent5"/>
          <w:sz w:val="28"/>
          <w:szCs w:val="24"/>
        </w:rPr>
        <w:t>Element 4: Reflection</w:t>
      </w:r>
      <w:bookmarkEnd w:id="18"/>
    </w:p>
    <w:p w:rsidR="004B0A67" w:rsidRPr="00613079" w:rsidRDefault="003349D0" w:rsidP="00E00558">
      <w:pPr>
        <w:spacing w:before="240" w:after="200" w:line="360" w:lineRule="auto"/>
        <w:jc w:val="both"/>
        <w:rPr>
          <w:rFonts w:ascii="Arial" w:eastAsia="Calibri" w:hAnsi="Arial" w:cs="Arial"/>
          <w:sz w:val="24"/>
          <w:szCs w:val="24"/>
        </w:rPr>
      </w:pPr>
      <w:r w:rsidRPr="00613079">
        <w:rPr>
          <w:rFonts w:ascii="Arial" w:eastAsia="Calibri" w:hAnsi="Arial" w:cs="Arial"/>
          <w:sz w:val="24"/>
          <w:szCs w:val="24"/>
        </w:rPr>
        <w:t>Developing the Coca-Cola Herbal+ brand extension strategy has been a valuable, and at times humbling, exercise in applying marketing theory to a live commercial dilemma. Working through Ansoff's (1957) growth matrix clarified that a brand extension was the lowest-risk growth route available to a company of Coca-Cola's scale, shaping every subsequent decision from segmentation to packaging. Structuring this reflection around Kolb's (1984) experiential learning cycle - concrete experience, reflective observation, abstract conceptualisation and active experimentation - helped convert isolated research into a coherent learning process.</w:t>
      </w:r>
    </w:p>
    <w:p w:rsidR="00DB1DA1" w:rsidRPr="00613079" w:rsidRDefault="00DB1DA1" w:rsidP="00E00558">
      <w:pPr>
        <w:spacing w:before="240" w:after="200" w:line="360" w:lineRule="auto"/>
        <w:jc w:val="both"/>
        <w:rPr>
          <w:rFonts w:ascii="Arial" w:hAnsi="Arial" w:cs="Arial"/>
          <w:sz w:val="24"/>
          <w:szCs w:val="24"/>
        </w:rPr>
      </w:pPr>
      <w:r w:rsidRPr="00613079">
        <w:rPr>
          <w:rFonts w:ascii="Arial" w:hAnsi="Arial" w:cs="Arial"/>
          <w:sz w:val="24"/>
          <w:szCs w:val="24"/>
        </w:rPr>
        <w:t xml:space="preserve">After reviewing UK primary sources, including Coca-Cola </w:t>
      </w:r>
      <w:proofErr w:type="spellStart"/>
      <w:r w:rsidRPr="00613079">
        <w:rPr>
          <w:rFonts w:ascii="Arial" w:hAnsi="Arial" w:cs="Arial"/>
          <w:sz w:val="24"/>
          <w:szCs w:val="24"/>
        </w:rPr>
        <w:t>Europacific</w:t>
      </w:r>
      <w:proofErr w:type="spellEnd"/>
      <w:r w:rsidRPr="00613079">
        <w:rPr>
          <w:rFonts w:ascii="Arial" w:hAnsi="Arial" w:cs="Arial"/>
          <w:sz w:val="24"/>
          <w:szCs w:val="24"/>
        </w:rPr>
        <w:t xml:space="preserve"> Partners’ sustainability disclosures and UK recycling data (</w:t>
      </w:r>
      <w:proofErr w:type="spellStart"/>
      <w:r w:rsidRPr="00613079">
        <w:rPr>
          <w:rFonts w:ascii="Arial" w:hAnsi="Arial" w:cs="Arial"/>
          <w:sz w:val="24"/>
          <w:szCs w:val="24"/>
        </w:rPr>
        <w:t>Alupro</w:t>
      </w:r>
      <w:proofErr w:type="spellEnd"/>
      <w:r w:rsidRPr="00613079">
        <w:rPr>
          <w:rFonts w:ascii="Arial" w:hAnsi="Arial" w:cs="Arial"/>
          <w:sz w:val="24"/>
          <w:szCs w:val="24"/>
        </w:rPr>
        <w:t>, 2025), I realised that several assumptions I initially made based on US data were not transferable. This reinforced the importance of grounding brand strategy in UK-specific evidence rather than global generalisations.</w:t>
      </w:r>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 xml:space="preserve">Initially, I believed 'health-conscious consumers' could be treated as a single, fairly homogenous target market. After applying Kotler, Armstrong and Opresnik's (2024) four segmentation bases, I changed my view because the data forced me to disaggregate that assumption into genuinely distinct groups, sharpening the positioning statement considerably. Aaker and Keller's (1990) brand-extension fit </w:t>
      </w:r>
      <w:r w:rsidRPr="00613079">
        <w:rPr>
          <w:rFonts w:ascii="Arial" w:eastAsia="Calibri" w:hAnsi="Arial" w:cs="Arial"/>
          <w:sz w:val="24"/>
          <w:szCs w:val="24"/>
        </w:rPr>
        <w:lastRenderedPageBreak/>
        <w:t>research explained precisely why an endorsed sub-brand protects the parent trademark better than a fully absorbed or independent name, giving me a vocabulary for a decision I would otherwise have made on instinct.</w:t>
      </w:r>
    </w:p>
    <w:p w:rsidR="004B0A67" w:rsidRPr="00613079" w:rsidRDefault="003349D0" w:rsidP="00FE02D4">
      <w:pPr>
        <w:spacing w:after="200" w:line="360" w:lineRule="auto"/>
        <w:jc w:val="both"/>
        <w:rPr>
          <w:rFonts w:ascii="Arial" w:hAnsi="Arial" w:cs="Arial"/>
          <w:sz w:val="24"/>
          <w:szCs w:val="24"/>
        </w:rPr>
      </w:pPr>
      <w:r w:rsidRPr="00613079">
        <w:rPr>
          <w:rFonts w:ascii="Arial" w:eastAsia="Calibri" w:hAnsi="Arial" w:cs="Arial"/>
          <w:sz w:val="24"/>
          <w:szCs w:val="24"/>
        </w:rPr>
        <w:t>Initially, I assumed Coca-Cola's public 2035 sustainability targets were fixed commitments. After investigating primary sources, I changed my view because the company had scaled back several original 2025/2030 targets in late 2024 (Coca-Cola Company, 2025), teaching me that sustainability claims must always be checked against primary evidence rather than brand reputation. This also sharpened my thinking on greenwashing: Mintel's (2024) finding that over half of consumers are sceptical of brand claims meant I had to pair every claim with a specific, verifiable metric.</w:t>
      </w:r>
    </w:p>
    <w:p w:rsidR="004B0A67" w:rsidRPr="00613079" w:rsidRDefault="00A524C1" w:rsidP="00FE02D4">
      <w:pPr>
        <w:spacing w:after="200" w:line="360" w:lineRule="auto"/>
        <w:jc w:val="both"/>
        <w:rPr>
          <w:rFonts w:ascii="Arial" w:hAnsi="Arial" w:cs="Arial"/>
          <w:sz w:val="24"/>
          <w:szCs w:val="24"/>
        </w:rPr>
      </w:pPr>
      <w:r w:rsidRPr="00613079">
        <w:rPr>
          <w:rFonts w:ascii="Arial" w:eastAsia="Calibri" w:hAnsi="Arial" w:cs="Arial"/>
          <w:sz w:val="24"/>
          <w:szCs w:val="24"/>
        </w:rPr>
        <w:t>Preparing the poster presentation was a valuable exercise in concision and selective argumentation. Compressing a full brand rationale into a roughly 200-word spoken script forced me to prioritise the single strongest argument, that Coca-Cola's trust and scale meet a genuine market gap, rather than listing every fact researched. Designing the poster also taught me that persuasive communication depends as much on visual hierarchy as on written argument.</w:t>
      </w:r>
    </w:p>
    <w:p w:rsidR="002F0419" w:rsidRDefault="003349D0" w:rsidP="00613079">
      <w:pPr>
        <w:spacing w:line="360" w:lineRule="auto"/>
        <w:jc w:val="both"/>
        <w:rPr>
          <w:rFonts w:ascii="Arial" w:eastAsia="Calibri" w:hAnsi="Arial" w:cs="Arial"/>
          <w:b/>
          <w:bCs/>
          <w:color w:val="4472C4" w:themeColor="accent5"/>
          <w:sz w:val="28"/>
          <w:szCs w:val="24"/>
        </w:rPr>
      </w:pPr>
      <w:r w:rsidRPr="00613079">
        <w:rPr>
          <w:rFonts w:ascii="Arial" w:eastAsia="Calibri" w:hAnsi="Arial" w:cs="Arial"/>
          <w:sz w:val="24"/>
          <w:szCs w:val="24"/>
        </w:rPr>
        <w:t xml:space="preserve">In terms of professional development, </w:t>
      </w:r>
      <w:bookmarkStart w:id="19" w:name="_Toc235135665"/>
      <w:proofErr w:type="gramStart"/>
      <w:r w:rsidR="00613079" w:rsidRPr="00613079">
        <w:rPr>
          <w:rFonts w:ascii="Arial" w:eastAsia="Calibri" w:hAnsi="Arial" w:cs="Arial"/>
          <w:sz w:val="24"/>
          <w:szCs w:val="24"/>
        </w:rPr>
        <w:t>This</w:t>
      </w:r>
      <w:proofErr w:type="gramEnd"/>
      <w:r w:rsidR="00613079" w:rsidRPr="00613079">
        <w:rPr>
          <w:rFonts w:ascii="Arial" w:eastAsia="Calibri" w:hAnsi="Arial" w:cs="Arial"/>
          <w:sz w:val="24"/>
          <w:szCs w:val="24"/>
        </w:rPr>
        <w:t xml:space="preserve"> project enhanced my ability to develop evidence-based marketing recommendations, critically evaluate company strategies, and communicate complex ideas clearly. A key limitation was relying on secondary research and estimated data instead of primary consumer research. In future, I would conduct surveys or concept testing to validate customer preferences and further develop my quantitative analysis skills to support stronger, data-driven marketing decisions.</w:t>
      </w:r>
    </w:p>
    <w:p w:rsidR="002F0419" w:rsidRDefault="002F0419" w:rsidP="002F0419">
      <w:pPr>
        <w:rPr>
          <w:rFonts w:ascii="Arial" w:eastAsia="Calibri" w:hAnsi="Arial" w:cs="Arial"/>
          <w:b/>
          <w:bCs/>
          <w:color w:val="4472C4" w:themeColor="accent5"/>
          <w:sz w:val="28"/>
          <w:szCs w:val="24"/>
        </w:rPr>
      </w:pPr>
      <w:r>
        <w:rPr>
          <w:rFonts w:ascii="Arial" w:eastAsia="Calibri" w:hAnsi="Arial" w:cs="Arial"/>
          <w:b/>
          <w:bCs/>
          <w:color w:val="4472C4" w:themeColor="accent5"/>
          <w:sz w:val="28"/>
          <w:szCs w:val="24"/>
        </w:rPr>
        <w:br w:type="page"/>
      </w:r>
    </w:p>
    <w:p w:rsidR="00E00558" w:rsidRPr="00E00558" w:rsidRDefault="00E00558" w:rsidP="00A14BC3">
      <w:pPr>
        <w:pStyle w:val="Heading1"/>
        <w:spacing w:before="240" w:after="240" w:line="360" w:lineRule="auto"/>
        <w:rPr>
          <w:rFonts w:ascii="Arial" w:eastAsia="Calibri" w:hAnsi="Arial" w:cs="Arial"/>
          <w:b/>
          <w:bCs/>
          <w:color w:val="4472C4" w:themeColor="accent5"/>
          <w:sz w:val="24"/>
          <w:szCs w:val="24"/>
        </w:rPr>
      </w:pPr>
      <w:r>
        <w:rPr>
          <w:rFonts w:ascii="Arial" w:eastAsia="Calibri" w:hAnsi="Arial" w:cs="Arial"/>
          <w:b/>
          <w:bCs/>
          <w:color w:val="4472C4" w:themeColor="accent5"/>
          <w:sz w:val="28"/>
          <w:szCs w:val="24"/>
        </w:rPr>
        <w:lastRenderedPageBreak/>
        <w:t>References</w:t>
      </w:r>
      <w:bookmarkEnd w:id="19"/>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Aaker, D.A. and Keller, K.L. (1990) ‘Consumer evaluations of brand extensions’, Journal </w:t>
      </w:r>
      <w:r>
        <w:rPr>
          <w:rFonts w:ascii="Arial" w:hAnsi="Arial" w:cs="Arial"/>
          <w:sz w:val="24"/>
          <w:szCs w:val="24"/>
        </w:rPr>
        <w:t>of Marketing, 54(1), pp. 27-41.</w:t>
      </w:r>
    </w:p>
    <w:p w:rsidR="00A14BC3" w:rsidRPr="00A14BC3" w:rsidRDefault="00A14BC3" w:rsidP="00A14BC3">
      <w:pPr>
        <w:spacing w:after="160" w:line="360" w:lineRule="auto"/>
        <w:ind w:left="720" w:hanging="720"/>
        <w:jc w:val="both"/>
        <w:rPr>
          <w:rFonts w:ascii="Arial" w:hAnsi="Arial" w:cs="Arial"/>
          <w:sz w:val="24"/>
          <w:szCs w:val="24"/>
        </w:rPr>
      </w:pPr>
      <w:proofErr w:type="spellStart"/>
      <w:r w:rsidRPr="00A14BC3">
        <w:rPr>
          <w:rFonts w:ascii="Arial" w:hAnsi="Arial" w:cs="Arial"/>
          <w:sz w:val="24"/>
          <w:szCs w:val="24"/>
        </w:rPr>
        <w:t>Alupro</w:t>
      </w:r>
      <w:proofErr w:type="spellEnd"/>
      <w:r w:rsidRPr="00A14BC3">
        <w:rPr>
          <w:rFonts w:ascii="Arial" w:hAnsi="Arial" w:cs="Arial"/>
          <w:sz w:val="24"/>
          <w:szCs w:val="24"/>
        </w:rPr>
        <w:t xml:space="preserve"> (2025) UK Aluminium Packaging Recycling Rate Reaches 82%. Available at: https://www.alupro.o</w:t>
      </w:r>
      <w:r>
        <w:rPr>
          <w:rFonts w:ascii="Arial" w:hAnsi="Arial" w:cs="Arial"/>
          <w:sz w:val="24"/>
          <w:szCs w:val="24"/>
        </w:rPr>
        <w:t>rg.uk (Accessed: 20 July 2026).</w:t>
      </w:r>
    </w:p>
    <w:p w:rsidR="00A14BC3" w:rsidRPr="00A14BC3" w:rsidRDefault="00A14BC3" w:rsidP="00A14BC3">
      <w:pPr>
        <w:spacing w:after="160" w:line="360" w:lineRule="auto"/>
        <w:ind w:left="720" w:hanging="720"/>
        <w:jc w:val="both"/>
        <w:rPr>
          <w:rFonts w:ascii="Arial" w:hAnsi="Arial" w:cs="Arial"/>
          <w:sz w:val="24"/>
          <w:szCs w:val="24"/>
        </w:rPr>
      </w:pPr>
      <w:proofErr w:type="spellStart"/>
      <w:r w:rsidRPr="00A14BC3">
        <w:rPr>
          <w:rFonts w:ascii="Arial" w:hAnsi="Arial" w:cs="Arial"/>
          <w:sz w:val="24"/>
          <w:szCs w:val="24"/>
        </w:rPr>
        <w:t>Aluminum</w:t>
      </w:r>
      <w:proofErr w:type="spellEnd"/>
      <w:r w:rsidRPr="00A14BC3">
        <w:rPr>
          <w:rFonts w:ascii="Arial" w:hAnsi="Arial" w:cs="Arial"/>
          <w:sz w:val="24"/>
          <w:szCs w:val="24"/>
        </w:rPr>
        <w:t xml:space="preserve"> Association and Can Manufacturers Institute (2024) The </w:t>
      </w:r>
      <w:proofErr w:type="spellStart"/>
      <w:r w:rsidRPr="00A14BC3">
        <w:rPr>
          <w:rFonts w:ascii="Arial" w:hAnsi="Arial" w:cs="Arial"/>
          <w:sz w:val="24"/>
          <w:szCs w:val="24"/>
        </w:rPr>
        <w:t>Aluminum</w:t>
      </w:r>
      <w:proofErr w:type="spellEnd"/>
      <w:r w:rsidRPr="00A14BC3">
        <w:rPr>
          <w:rFonts w:ascii="Arial" w:hAnsi="Arial" w:cs="Arial"/>
          <w:sz w:val="24"/>
          <w:szCs w:val="24"/>
        </w:rPr>
        <w:t xml:space="preserve"> Can Advantage: Sustainability Key Performance Indicators. Arlin</w:t>
      </w:r>
      <w:r>
        <w:rPr>
          <w:rFonts w:ascii="Arial" w:hAnsi="Arial" w:cs="Arial"/>
          <w:sz w:val="24"/>
          <w:szCs w:val="24"/>
        </w:rPr>
        <w:t xml:space="preserve">gton, VA: </w:t>
      </w:r>
      <w:proofErr w:type="spellStart"/>
      <w:r>
        <w:rPr>
          <w:rFonts w:ascii="Arial" w:hAnsi="Arial" w:cs="Arial"/>
          <w:sz w:val="24"/>
          <w:szCs w:val="24"/>
        </w:rPr>
        <w:t>Aluminum</w:t>
      </w:r>
      <w:proofErr w:type="spellEnd"/>
      <w:r>
        <w:rPr>
          <w:rFonts w:ascii="Arial" w:hAnsi="Arial" w:cs="Arial"/>
          <w:sz w:val="24"/>
          <w:szCs w:val="24"/>
        </w:rPr>
        <w:t xml:space="preserve"> Association.</w:t>
      </w:r>
    </w:p>
    <w:p w:rsidR="00A14BC3" w:rsidRPr="00A14BC3" w:rsidRDefault="00A14BC3" w:rsidP="00A14BC3">
      <w:pPr>
        <w:spacing w:after="160" w:line="360" w:lineRule="auto"/>
        <w:ind w:left="720" w:hanging="720"/>
        <w:jc w:val="both"/>
        <w:rPr>
          <w:rFonts w:ascii="Arial" w:hAnsi="Arial" w:cs="Arial"/>
          <w:sz w:val="24"/>
          <w:szCs w:val="24"/>
        </w:rPr>
      </w:pPr>
      <w:proofErr w:type="spellStart"/>
      <w:r w:rsidRPr="00A14BC3">
        <w:rPr>
          <w:rFonts w:ascii="Arial" w:hAnsi="Arial" w:cs="Arial"/>
          <w:sz w:val="24"/>
          <w:szCs w:val="24"/>
        </w:rPr>
        <w:t>Ansoff</w:t>
      </w:r>
      <w:proofErr w:type="spellEnd"/>
      <w:r w:rsidRPr="00A14BC3">
        <w:rPr>
          <w:rFonts w:ascii="Arial" w:hAnsi="Arial" w:cs="Arial"/>
          <w:sz w:val="24"/>
          <w:szCs w:val="24"/>
        </w:rPr>
        <w:t>, H.I. (1957) ‘Strategies for diversification’, Harvard Busin</w:t>
      </w:r>
      <w:r>
        <w:rPr>
          <w:rFonts w:ascii="Arial" w:hAnsi="Arial" w:cs="Arial"/>
          <w:sz w:val="24"/>
          <w:szCs w:val="24"/>
        </w:rPr>
        <w:t>ess Review, 35(5), pp. 113-124.</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Booms, B.H. and </w:t>
      </w:r>
      <w:proofErr w:type="spellStart"/>
      <w:r w:rsidRPr="00A14BC3">
        <w:rPr>
          <w:rFonts w:ascii="Arial" w:hAnsi="Arial" w:cs="Arial"/>
          <w:sz w:val="24"/>
          <w:szCs w:val="24"/>
        </w:rPr>
        <w:t>Bitner</w:t>
      </w:r>
      <w:proofErr w:type="spellEnd"/>
      <w:r w:rsidRPr="00A14BC3">
        <w:rPr>
          <w:rFonts w:ascii="Arial" w:hAnsi="Arial" w:cs="Arial"/>
          <w:sz w:val="24"/>
          <w:szCs w:val="24"/>
        </w:rPr>
        <w:t>, M.J. (1981) ‘Marketing strategies and organization structures for service firms’, in Donnelly, J.H. and George, W.R. (eds.) Marketing of Services. Chicago: American Marketing</w:t>
      </w:r>
      <w:r>
        <w:rPr>
          <w:rFonts w:ascii="Arial" w:hAnsi="Arial" w:cs="Arial"/>
          <w:sz w:val="24"/>
          <w:szCs w:val="24"/>
        </w:rPr>
        <w:t xml:space="preserve"> Association, pp. 47–51.</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Celsius Holdings, Inc. (2026) Celsius Holdings Reports First Quarter 2026 Financial Results. Available at: https://ir.celsiusholdingsin</w:t>
      </w:r>
      <w:r>
        <w:rPr>
          <w:rFonts w:ascii="Arial" w:hAnsi="Arial" w:cs="Arial"/>
          <w:sz w:val="24"/>
          <w:szCs w:val="24"/>
        </w:rPr>
        <w:t>c.com (Accessed: 20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Clear Channel UK (2025) Sustainability and Consumer Trust Repo</w:t>
      </w:r>
      <w:r>
        <w:rPr>
          <w:rFonts w:ascii="Arial" w:hAnsi="Arial" w:cs="Arial"/>
          <w:sz w:val="24"/>
          <w:szCs w:val="24"/>
        </w:rPr>
        <w:t>rt.</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Coca-Cola Company (2025) Sustainability. Available at: https://www.coca-colacompany.com/about-us/sustaina</w:t>
      </w:r>
      <w:r>
        <w:rPr>
          <w:rFonts w:ascii="Arial" w:hAnsi="Arial" w:cs="Arial"/>
          <w:sz w:val="24"/>
          <w:szCs w:val="24"/>
        </w:rPr>
        <w:t>bility (Accessed: 3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Forbes (2026) ‘How Bloom Nutrition Is Scaling To $1 Billion By Prioritizing Its Community First’, Forbes, 28 April. Available at: https://www.forbe</w:t>
      </w:r>
      <w:r>
        <w:rPr>
          <w:rFonts w:ascii="Arial" w:hAnsi="Arial" w:cs="Arial"/>
          <w:sz w:val="24"/>
          <w:szCs w:val="24"/>
        </w:rPr>
        <w:t>s.com (Accessed: 20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Food Standards Agency (2025) </w:t>
      </w:r>
      <w:proofErr w:type="spellStart"/>
      <w:r w:rsidRPr="00A14BC3">
        <w:rPr>
          <w:rFonts w:ascii="Arial" w:hAnsi="Arial" w:cs="Arial"/>
          <w:sz w:val="24"/>
          <w:szCs w:val="24"/>
        </w:rPr>
        <w:t>Ashwagandha</w:t>
      </w:r>
      <w:proofErr w:type="spellEnd"/>
      <w:r w:rsidRPr="00A14BC3">
        <w:rPr>
          <w:rFonts w:ascii="Arial" w:hAnsi="Arial" w:cs="Arial"/>
          <w:sz w:val="24"/>
          <w:szCs w:val="24"/>
        </w:rPr>
        <w:t xml:space="preserve"> Safet</w:t>
      </w:r>
      <w:r>
        <w:rPr>
          <w:rFonts w:ascii="Arial" w:hAnsi="Arial" w:cs="Arial"/>
          <w:sz w:val="24"/>
          <w:szCs w:val="24"/>
        </w:rPr>
        <w:t>y Review and Consumer Guidance.</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Grand View Research (2026) Functional Drinks Market Size, Share</w:t>
      </w:r>
      <w:r>
        <w:rPr>
          <w:rFonts w:ascii="Arial" w:hAnsi="Arial" w:cs="Arial"/>
          <w:sz w:val="24"/>
          <w:szCs w:val="24"/>
        </w:rPr>
        <w:t xml:space="preserve"> &amp; Trends Analysis Report, 2026-</w:t>
      </w:r>
      <w:r w:rsidRPr="00A14BC3">
        <w:rPr>
          <w:rFonts w:ascii="Arial" w:hAnsi="Arial" w:cs="Arial"/>
          <w:sz w:val="24"/>
          <w:szCs w:val="24"/>
        </w:rPr>
        <w:t>2033. Available at: https://www.grandviewresearch.com/industry-analysis/functional-drinks-</w:t>
      </w:r>
      <w:r>
        <w:rPr>
          <w:rFonts w:ascii="Arial" w:hAnsi="Arial" w:cs="Arial"/>
          <w:sz w:val="24"/>
          <w:szCs w:val="24"/>
        </w:rPr>
        <w:t>market (Accessed: 3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Grand View Research (2026) UK Functional Drinks </w:t>
      </w:r>
      <w:proofErr w:type="spellStart"/>
      <w:r w:rsidRPr="00A14BC3">
        <w:rPr>
          <w:rFonts w:ascii="Arial" w:hAnsi="Arial" w:cs="Arial"/>
          <w:sz w:val="24"/>
          <w:szCs w:val="24"/>
        </w:rPr>
        <w:t>Databook</w:t>
      </w:r>
      <w:proofErr w:type="spellEnd"/>
      <w:r w:rsidRPr="00A14BC3">
        <w:rPr>
          <w:rFonts w:ascii="Arial" w:hAnsi="Arial" w:cs="Arial"/>
          <w:sz w:val="24"/>
          <w:szCs w:val="24"/>
        </w:rPr>
        <w:t>.</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lastRenderedPageBreak/>
        <w:t xml:space="preserve">Greenhouse Gas Protocol (2023) </w:t>
      </w:r>
      <w:proofErr w:type="gramStart"/>
      <w:r w:rsidRPr="00A14BC3">
        <w:rPr>
          <w:rFonts w:ascii="Arial" w:hAnsi="Arial" w:cs="Arial"/>
          <w:sz w:val="24"/>
          <w:szCs w:val="24"/>
        </w:rPr>
        <w:t>The</w:t>
      </w:r>
      <w:proofErr w:type="gramEnd"/>
      <w:r w:rsidRPr="00A14BC3">
        <w:rPr>
          <w:rFonts w:ascii="Arial" w:hAnsi="Arial" w:cs="Arial"/>
          <w:sz w:val="24"/>
          <w:szCs w:val="24"/>
        </w:rPr>
        <w:t xml:space="preserve"> Greenhouse Gas Protocol: A Corporate Accounting and Reporting Standard. Washington, DC: World Resources Institute and World Business Counc</w:t>
      </w:r>
      <w:r>
        <w:rPr>
          <w:rFonts w:ascii="Arial" w:hAnsi="Arial" w:cs="Arial"/>
          <w:sz w:val="24"/>
          <w:szCs w:val="24"/>
        </w:rPr>
        <w:t>il for Sustainable Development.</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Institute for Fiscal Studies (2025) Soft Drinks I</w:t>
      </w:r>
      <w:r>
        <w:rPr>
          <w:rFonts w:ascii="Arial" w:hAnsi="Arial" w:cs="Arial"/>
          <w:sz w:val="24"/>
          <w:szCs w:val="24"/>
        </w:rPr>
        <w:t>ndustry Levy: Five-Year Review.</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International Aluminium Institute (2025) Global Aluminium Can Recycling Reaches 75%, Marking Major Step Toward Circular Economy. Available at: https://international-aluminium.org/global-aluminium-can-recycling-reaches-75-marking-major-step-toward-circular-ec</w:t>
      </w:r>
      <w:r>
        <w:rPr>
          <w:rFonts w:ascii="Arial" w:hAnsi="Arial" w:cs="Arial"/>
          <w:sz w:val="24"/>
          <w:szCs w:val="24"/>
        </w:rPr>
        <w:t>onomy/ (Accessed: 3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Keller, K.L. (2013) Strategic Brand Management: Building, Measuring, and Managing Brand Equity. 4th </w:t>
      </w:r>
      <w:proofErr w:type="spellStart"/>
      <w:r>
        <w:rPr>
          <w:rFonts w:ascii="Arial" w:hAnsi="Arial" w:cs="Arial"/>
          <w:sz w:val="24"/>
          <w:szCs w:val="24"/>
        </w:rPr>
        <w:t>edn</w:t>
      </w:r>
      <w:proofErr w:type="spellEnd"/>
      <w:r>
        <w:rPr>
          <w:rFonts w:ascii="Arial" w:hAnsi="Arial" w:cs="Arial"/>
          <w:sz w:val="24"/>
          <w:szCs w:val="24"/>
        </w:rPr>
        <w:t>. Harlow: Pearson Education.</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Kolb, D.A. (1984) Experiential Learning: Experience as the Source of Learning and Development. Engle</w:t>
      </w:r>
      <w:r>
        <w:rPr>
          <w:rFonts w:ascii="Arial" w:hAnsi="Arial" w:cs="Arial"/>
          <w:sz w:val="24"/>
          <w:szCs w:val="24"/>
        </w:rPr>
        <w:t>wood Cliffs, NJ: Prentice-Hall.</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Kotler, P., Armstrong, G. and </w:t>
      </w:r>
      <w:proofErr w:type="spellStart"/>
      <w:r w:rsidRPr="00A14BC3">
        <w:rPr>
          <w:rFonts w:ascii="Arial" w:hAnsi="Arial" w:cs="Arial"/>
          <w:sz w:val="24"/>
          <w:szCs w:val="24"/>
        </w:rPr>
        <w:t>Opresnik</w:t>
      </w:r>
      <w:proofErr w:type="spellEnd"/>
      <w:r w:rsidRPr="00A14BC3">
        <w:rPr>
          <w:rFonts w:ascii="Arial" w:hAnsi="Arial" w:cs="Arial"/>
          <w:sz w:val="24"/>
          <w:szCs w:val="24"/>
        </w:rPr>
        <w:t xml:space="preserve">, M.O. (2024) Principles of Marketing. 19th Global </w:t>
      </w:r>
      <w:proofErr w:type="spellStart"/>
      <w:r>
        <w:rPr>
          <w:rFonts w:ascii="Arial" w:hAnsi="Arial" w:cs="Arial"/>
          <w:sz w:val="24"/>
          <w:szCs w:val="24"/>
        </w:rPr>
        <w:t>edn</w:t>
      </w:r>
      <w:proofErr w:type="spellEnd"/>
      <w:r>
        <w:rPr>
          <w:rFonts w:ascii="Arial" w:hAnsi="Arial" w:cs="Arial"/>
          <w:sz w:val="24"/>
          <w:szCs w:val="24"/>
        </w:rPr>
        <w:t>. Harlow: Pearson Education.</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Market Research Future (2026) Functional Beverages Market Trends, Analysis, Outlook 2035. Available at: https://www.marketresearchfuture.com/reports/functional-beverages-marke</w:t>
      </w:r>
      <w:r>
        <w:rPr>
          <w:rFonts w:ascii="Arial" w:hAnsi="Arial" w:cs="Arial"/>
          <w:sz w:val="24"/>
          <w:szCs w:val="24"/>
        </w:rPr>
        <w:t>t-1863 (Accessed: 3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Mintel (2024) US Everyday Sustainability Consumer Report 2024. London: Mintel Group.</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Mitchell, A. (1983) The Nine American Lifestyles: Who We Are and Where We </w:t>
      </w:r>
      <w:r>
        <w:rPr>
          <w:rFonts w:ascii="Arial" w:hAnsi="Arial" w:cs="Arial"/>
          <w:sz w:val="24"/>
          <w:szCs w:val="24"/>
        </w:rPr>
        <w:t>Are Going. New York: Macmillan.</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Mordor Intelligence (2026) Functional Beverage Market Size &amp; Share Analysis. Available at: https://www.mordorintelligence.com/industry-reports/functional-beverage-</w:t>
      </w:r>
      <w:r>
        <w:rPr>
          <w:rFonts w:ascii="Arial" w:hAnsi="Arial" w:cs="Arial"/>
          <w:sz w:val="24"/>
          <w:szCs w:val="24"/>
        </w:rPr>
        <w:t>market (Accessed: 3 July 2026).</w:t>
      </w:r>
    </w:p>
    <w:p w:rsidR="00A14BC3" w:rsidRPr="00A14BC3" w:rsidRDefault="00A14BC3" w:rsidP="00A14BC3">
      <w:pPr>
        <w:spacing w:after="160" w:line="360" w:lineRule="auto"/>
        <w:ind w:left="720" w:hanging="720"/>
        <w:jc w:val="both"/>
        <w:rPr>
          <w:rFonts w:ascii="Arial" w:hAnsi="Arial" w:cs="Arial"/>
          <w:sz w:val="24"/>
          <w:szCs w:val="24"/>
        </w:rPr>
      </w:pPr>
      <w:proofErr w:type="spellStart"/>
      <w:r w:rsidRPr="00A14BC3">
        <w:rPr>
          <w:rFonts w:ascii="Arial" w:hAnsi="Arial" w:cs="Arial"/>
          <w:sz w:val="24"/>
          <w:szCs w:val="24"/>
        </w:rPr>
        <w:t>NielsenIQ</w:t>
      </w:r>
      <w:proofErr w:type="spellEnd"/>
      <w:r w:rsidRPr="00A14BC3">
        <w:rPr>
          <w:rFonts w:ascii="Arial" w:hAnsi="Arial" w:cs="Arial"/>
          <w:sz w:val="24"/>
          <w:szCs w:val="24"/>
        </w:rPr>
        <w:t xml:space="preserve"> (2024) How Gen Z Consumer </w:t>
      </w:r>
      <w:proofErr w:type="spellStart"/>
      <w:r w:rsidRPr="00A14BC3">
        <w:rPr>
          <w:rFonts w:ascii="Arial" w:hAnsi="Arial" w:cs="Arial"/>
          <w:sz w:val="24"/>
          <w:szCs w:val="24"/>
        </w:rPr>
        <w:t>Behavior</w:t>
      </w:r>
      <w:proofErr w:type="spellEnd"/>
      <w:r w:rsidRPr="00A14BC3">
        <w:rPr>
          <w:rFonts w:ascii="Arial" w:hAnsi="Arial" w:cs="Arial"/>
          <w:sz w:val="24"/>
          <w:szCs w:val="24"/>
        </w:rPr>
        <w:t xml:space="preserve"> Is Reshaping Retail. Available at: https://nielseniq.com/global/en/insights/analysis/2024/how-gen-z-consumer-behavior-is-reshaping-retail/ (Accessed: 3 July 2026).</w:t>
      </w:r>
    </w:p>
    <w:p w:rsidR="00A14BC3" w:rsidRPr="00A14BC3" w:rsidRDefault="00A14BC3" w:rsidP="00A14BC3">
      <w:pPr>
        <w:spacing w:after="160" w:line="360" w:lineRule="auto"/>
        <w:ind w:left="720" w:hanging="720"/>
        <w:jc w:val="both"/>
        <w:rPr>
          <w:rFonts w:ascii="Arial" w:hAnsi="Arial" w:cs="Arial"/>
          <w:sz w:val="24"/>
          <w:szCs w:val="24"/>
        </w:rPr>
      </w:pP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lastRenderedPageBreak/>
        <w:t>PwC (2024) PwC 2024 Voice of the Consumer Survey. Available at: https://www.pwc.com/gx/en/news-room/press-releases/2024/pwc-2024-voice-of-consumer-surve</w:t>
      </w:r>
      <w:r>
        <w:rPr>
          <w:rFonts w:ascii="Arial" w:hAnsi="Arial" w:cs="Arial"/>
          <w:sz w:val="24"/>
          <w:szCs w:val="24"/>
        </w:rPr>
        <w:t>y.html (Accessed: 3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 xml:space="preserve">Retail Gazette (2025) Gen </w:t>
      </w:r>
      <w:r>
        <w:rPr>
          <w:rFonts w:ascii="Arial" w:hAnsi="Arial" w:cs="Arial"/>
          <w:sz w:val="24"/>
          <w:szCs w:val="24"/>
        </w:rPr>
        <w:t>Z Shopping Behaviour in the UK.</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Smith, W.R. (1956) ‘Product differentiation and market segmentation as alternative marketing strategies’, Jou</w:t>
      </w:r>
      <w:r>
        <w:rPr>
          <w:rFonts w:ascii="Arial" w:hAnsi="Arial" w:cs="Arial"/>
          <w:sz w:val="24"/>
          <w:szCs w:val="24"/>
        </w:rPr>
        <w:t>rnal of Marketing, 21(1), pp. 3-8.</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Strategic Business Insights (2024) VALS™ Framework. Available at: https://www.strategicbusinessinsights.com/val</w:t>
      </w:r>
      <w:r>
        <w:rPr>
          <w:rFonts w:ascii="Arial" w:hAnsi="Arial" w:cs="Arial"/>
          <w:sz w:val="24"/>
          <w:szCs w:val="24"/>
        </w:rPr>
        <w:t>s/ (Accessed: 3 July 2026).</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The Grocer (2025) UK Funct</w:t>
      </w:r>
      <w:r>
        <w:rPr>
          <w:rFonts w:ascii="Arial" w:hAnsi="Arial" w:cs="Arial"/>
          <w:sz w:val="24"/>
          <w:szCs w:val="24"/>
        </w:rPr>
        <w:t>ional Beverage Category Report.</w:t>
      </w:r>
    </w:p>
    <w:p w:rsidR="00A14BC3" w:rsidRPr="00A14BC3" w:rsidRDefault="00A14BC3" w:rsidP="00A14BC3">
      <w:pPr>
        <w:spacing w:after="160" w:line="360" w:lineRule="auto"/>
        <w:ind w:left="720" w:hanging="720"/>
        <w:jc w:val="both"/>
        <w:rPr>
          <w:rFonts w:ascii="Arial" w:hAnsi="Arial" w:cs="Arial"/>
          <w:sz w:val="24"/>
          <w:szCs w:val="24"/>
        </w:rPr>
      </w:pPr>
      <w:proofErr w:type="spellStart"/>
      <w:r w:rsidRPr="00A14BC3">
        <w:rPr>
          <w:rFonts w:ascii="Arial" w:hAnsi="Arial" w:cs="Arial"/>
          <w:sz w:val="24"/>
          <w:szCs w:val="24"/>
        </w:rPr>
        <w:t>Vargo</w:t>
      </w:r>
      <w:proofErr w:type="spellEnd"/>
      <w:r w:rsidRPr="00A14BC3">
        <w:rPr>
          <w:rFonts w:ascii="Arial" w:hAnsi="Arial" w:cs="Arial"/>
          <w:sz w:val="24"/>
          <w:szCs w:val="24"/>
        </w:rPr>
        <w:t xml:space="preserve">, S.L. and </w:t>
      </w:r>
      <w:proofErr w:type="spellStart"/>
      <w:r w:rsidRPr="00A14BC3">
        <w:rPr>
          <w:rFonts w:ascii="Arial" w:hAnsi="Arial" w:cs="Arial"/>
          <w:sz w:val="24"/>
          <w:szCs w:val="24"/>
        </w:rPr>
        <w:t>Lusch</w:t>
      </w:r>
      <w:proofErr w:type="spellEnd"/>
      <w:r w:rsidRPr="00A14BC3">
        <w:rPr>
          <w:rFonts w:ascii="Arial" w:hAnsi="Arial" w:cs="Arial"/>
          <w:sz w:val="24"/>
          <w:szCs w:val="24"/>
        </w:rPr>
        <w:t>, R.F. (2004) ‘Evolving to a new dominant logic for marketing’, Jou</w:t>
      </w:r>
      <w:r>
        <w:rPr>
          <w:rFonts w:ascii="Arial" w:hAnsi="Arial" w:cs="Arial"/>
          <w:sz w:val="24"/>
          <w:szCs w:val="24"/>
        </w:rPr>
        <w:t>rnal of Marketing, 68(1), pp. 1-17.</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World Health Organization (2021) Guideline: Sugars Intake for Adults and Children. Gen</w:t>
      </w:r>
      <w:r>
        <w:rPr>
          <w:rFonts w:ascii="Arial" w:hAnsi="Arial" w:cs="Arial"/>
          <w:sz w:val="24"/>
          <w:szCs w:val="24"/>
        </w:rPr>
        <w:t>eva: World Health Organization.</w:t>
      </w:r>
    </w:p>
    <w:p w:rsidR="00A14BC3" w:rsidRPr="00A14BC3"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WRAP (2025) UK Re</w:t>
      </w:r>
      <w:r>
        <w:rPr>
          <w:rFonts w:ascii="Arial" w:hAnsi="Arial" w:cs="Arial"/>
          <w:sz w:val="24"/>
          <w:szCs w:val="24"/>
        </w:rPr>
        <w:t>cycling Performance Statistics.</w:t>
      </w:r>
    </w:p>
    <w:p w:rsidR="008A21C8" w:rsidRPr="008A21C8" w:rsidRDefault="00A14BC3" w:rsidP="00A14BC3">
      <w:pPr>
        <w:spacing w:after="160" w:line="360" w:lineRule="auto"/>
        <w:ind w:left="720" w:hanging="720"/>
        <w:jc w:val="both"/>
        <w:rPr>
          <w:rFonts w:ascii="Arial" w:hAnsi="Arial" w:cs="Arial"/>
          <w:sz w:val="24"/>
          <w:szCs w:val="24"/>
        </w:rPr>
      </w:pPr>
      <w:r w:rsidRPr="00A14BC3">
        <w:rPr>
          <w:rFonts w:ascii="Arial" w:hAnsi="Arial" w:cs="Arial"/>
          <w:sz w:val="24"/>
          <w:szCs w:val="24"/>
        </w:rPr>
        <w:t>Zion Market Research (2025) Functional Beverages Market</w:t>
      </w:r>
      <w:r>
        <w:rPr>
          <w:rFonts w:ascii="Arial" w:hAnsi="Arial" w:cs="Arial"/>
          <w:sz w:val="24"/>
          <w:szCs w:val="24"/>
        </w:rPr>
        <w:t xml:space="preserve"> Size, Share, Growth, Analysis, </w:t>
      </w:r>
      <w:r w:rsidRPr="00A14BC3">
        <w:rPr>
          <w:rFonts w:ascii="Arial" w:hAnsi="Arial" w:cs="Arial"/>
          <w:sz w:val="24"/>
          <w:szCs w:val="24"/>
        </w:rPr>
        <w:t>Trend 2034. Available at: https://www.zionmarketresearch.com/report/functional-beverages-market (Accessed: 3 July 2026).</w:t>
      </w:r>
    </w:p>
    <w:sectPr w:rsidR="008A21C8" w:rsidRPr="008A21C8" w:rsidSect="00533CAF">
      <w:headerReference w:type="default" r:id="rId20"/>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2480" w:rsidRDefault="00F22480">
      <w:r>
        <w:separator/>
      </w:r>
    </w:p>
  </w:endnote>
  <w:endnote w:type="continuationSeparator" w:id="0">
    <w:p w:rsidR="00F22480" w:rsidRDefault="00F22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7C6" w:rsidRDefault="00430A9E">
    <w:pPr>
      <w:pBdr>
        <w:top w:val="single" w:sz="6" w:space="4" w:color="BFBFBF"/>
      </w:pBdr>
      <w:tabs>
        <w:tab w:val="center" w:pos="4513"/>
        <w:tab w:val="right" w:pos="9026"/>
      </w:tabs>
      <w:jc w:val="center"/>
    </w:pPr>
    <w:r>
      <w:rPr>
        <w:rFonts w:ascii="Calibri" w:hAnsi="Calibri" w:cs="Calibri"/>
        <w:color w:val="595959"/>
        <w:sz w:val="17"/>
        <w:szCs w:val="17"/>
      </w:rPr>
      <w:t xml:space="preserve">Page </w:t>
    </w:r>
    <w:r>
      <w:rPr>
        <w:rFonts w:ascii="Calibri" w:hAnsi="Calibri" w:cs="Calibri"/>
        <w:color w:val="595959"/>
        <w:sz w:val="17"/>
        <w:szCs w:val="17"/>
      </w:rPr>
      <w:fldChar w:fldCharType="begin"/>
    </w:r>
    <w:r>
      <w:rPr>
        <w:rFonts w:ascii="Calibri" w:hAnsi="Calibri" w:cs="Calibri"/>
        <w:color w:val="595959"/>
        <w:sz w:val="17"/>
        <w:szCs w:val="17"/>
      </w:rPr>
      <w:instrText xml:space="preserve"> PAGE </w:instrText>
    </w:r>
    <w:r>
      <w:rPr>
        <w:rFonts w:ascii="Calibri" w:hAnsi="Calibri" w:cs="Calibri"/>
        <w:color w:val="595959"/>
        <w:sz w:val="17"/>
        <w:szCs w:val="17"/>
      </w:rPr>
      <w:fldChar w:fldCharType="separate"/>
    </w:r>
    <w:r w:rsidR="00B5360F">
      <w:rPr>
        <w:rFonts w:ascii="Calibri" w:hAnsi="Calibri" w:cs="Calibri"/>
        <w:noProof/>
        <w:color w:val="595959"/>
        <w:sz w:val="17"/>
        <w:szCs w:val="17"/>
      </w:rPr>
      <w:t>1</w:t>
    </w:r>
    <w:r>
      <w:rPr>
        <w:rFonts w:ascii="Calibri" w:hAnsi="Calibri" w:cs="Calibri"/>
        <w:color w:val="595959"/>
        <w:sz w:val="17"/>
        <w:szCs w:val="17"/>
      </w:rPr>
      <w:fldChar w:fldCharType="end"/>
    </w:r>
    <w:r>
      <w:rPr>
        <w:rFonts w:ascii="Calibri" w:hAnsi="Calibri" w:cs="Calibri"/>
        <w:color w:val="595959"/>
        <w:sz w:val="17"/>
        <w:szCs w:val="17"/>
      </w:rPr>
      <w:t xml:space="preserve"> of </w:t>
    </w:r>
    <w:r>
      <w:rPr>
        <w:rFonts w:ascii="Calibri" w:hAnsi="Calibri" w:cs="Calibri"/>
        <w:color w:val="595959"/>
        <w:sz w:val="17"/>
        <w:szCs w:val="17"/>
      </w:rPr>
      <w:fldChar w:fldCharType="begin"/>
    </w:r>
    <w:r>
      <w:rPr>
        <w:rFonts w:ascii="Calibri" w:hAnsi="Calibri" w:cs="Calibri"/>
        <w:color w:val="595959"/>
        <w:sz w:val="17"/>
        <w:szCs w:val="17"/>
      </w:rPr>
      <w:instrText xml:space="preserve"> NUMPAGES </w:instrText>
    </w:r>
    <w:r>
      <w:rPr>
        <w:rFonts w:ascii="Calibri" w:hAnsi="Calibri" w:cs="Calibri"/>
        <w:color w:val="595959"/>
        <w:sz w:val="17"/>
        <w:szCs w:val="17"/>
      </w:rPr>
      <w:fldChar w:fldCharType="separate"/>
    </w:r>
    <w:r w:rsidR="00B5360F">
      <w:rPr>
        <w:rFonts w:ascii="Calibri" w:hAnsi="Calibri" w:cs="Calibri"/>
        <w:noProof/>
        <w:color w:val="595959"/>
        <w:sz w:val="17"/>
        <w:szCs w:val="17"/>
      </w:rPr>
      <w:t>18</w:t>
    </w:r>
    <w:r>
      <w:rPr>
        <w:rFonts w:ascii="Calibri" w:hAnsi="Calibri" w:cs="Calibri"/>
        <w:color w:val="595959"/>
        <w:sz w:val="17"/>
        <w:szCs w:val="17"/>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7C6" w:rsidRDefault="00430A9E">
    <w:pPr>
      <w:pBdr>
        <w:top w:val="single" w:sz="6" w:space="4" w:color="BFBFBF"/>
      </w:pBdr>
      <w:tabs>
        <w:tab w:val="center" w:pos="4513"/>
        <w:tab w:val="right" w:pos="9026"/>
      </w:tabs>
      <w:jc w:val="center"/>
    </w:pPr>
    <w:r>
      <w:rPr>
        <w:rFonts w:ascii="Calibri" w:hAnsi="Calibri" w:cs="Calibri"/>
        <w:color w:val="595959"/>
        <w:sz w:val="17"/>
        <w:szCs w:val="17"/>
      </w:rPr>
      <w:t xml:space="preserve">Page </w:t>
    </w:r>
    <w:r>
      <w:rPr>
        <w:rFonts w:ascii="Calibri" w:hAnsi="Calibri" w:cs="Calibri"/>
        <w:color w:val="595959"/>
        <w:sz w:val="17"/>
        <w:szCs w:val="17"/>
      </w:rPr>
      <w:fldChar w:fldCharType="begin"/>
    </w:r>
    <w:r>
      <w:rPr>
        <w:rFonts w:ascii="Calibri" w:hAnsi="Calibri" w:cs="Calibri"/>
        <w:color w:val="595959"/>
        <w:sz w:val="17"/>
        <w:szCs w:val="17"/>
      </w:rPr>
      <w:instrText xml:space="preserve"> PAGE </w:instrText>
    </w:r>
    <w:r>
      <w:rPr>
        <w:rFonts w:ascii="Calibri" w:hAnsi="Calibri" w:cs="Calibri"/>
        <w:color w:val="595959"/>
        <w:sz w:val="17"/>
        <w:szCs w:val="17"/>
      </w:rPr>
      <w:fldChar w:fldCharType="separate"/>
    </w:r>
    <w:r w:rsidR="00B5360F">
      <w:rPr>
        <w:rFonts w:ascii="Calibri" w:hAnsi="Calibri" w:cs="Calibri"/>
        <w:noProof/>
        <w:color w:val="595959"/>
        <w:sz w:val="17"/>
        <w:szCs w:val="17"/>
      </w:rPr>
      <w:t>2</w:t>
    </w:r>
    <w:r>
      <w:rPr>
        <w:rFonts w:ascii="Calibri" w:hAnsi="Calibri" w:cs="Calibri"/>
        <w:color w:val="595959"/>
        <w:sz w:val="17"/>
        <w:szCs w:val="17"/>
      </w:rPr>
      <w:fldChar w:fldCharType="end"/>
    </w:r>
    <w:r>
      <w:rPr>
        <w:rFonts w:ascii="Calibri" w:hAnsi="Calibri" w:cs="Calibri"/>
        <w:color w:val="595959"/>
        <w:sz w:val="17"/>
        <w:szCs w:val="17"/>
      </w:rPr>
      <w:t xml:space="preserve"> of </w:t>
    </w:r>
    <w:r>
      <w:rPr>
        <w:rFonts w:ascii="Calibri" w:hAnsi="Calibri" w:cs="Calibri"/>
        <w:color w:val="595959"/>
        <w:sz w:val="17"/>
        <w:szCs w:val="17"/>
      </w:rPr>
      <w:fldChar w:fldCharType="begin"/>
    </w:r>
    <w:r>
      <w:rPr>
        <w:rFonts w:ascii="Calibri" w:hAnsi="Calibri" w:cs="Calibri"/>
        <w:color w:val="595959"/>
        <w:sz w:val="17"/>
        <w:szCs w:val="17"/>
      </w:rPr>
      <w:instrText xml:space="preserve"> NUMPAGES </w:instrText>
    </w:r>
    <w:r>
      <w:rPr>
        <w:rFonts w:ascii="Calibri" w:hAnsi="Calibri" w:cs="Calibri"/>
        <w:color w:val="595959"/>
        <w:sz w:val="17"/>
        <w:szCs w:val="17"/>
      </w:rPr>
      <w:fldChar w:fldCharType="separate"/>
    </w:r>
    <w:r w:rsidR="00B5360F">
      <w:rPr>
        <w:rFonts w:ascii="Calibri" w:hAnsi="Calibri" w:cs="Calibri"/>
        <w:noProof/>
        <w:color w:val="595959"/>
        <w:sz w:val="17"/>
        <w:szCs w:val="17"/>
      </w:rPr>
      <w:t>18</w:t>
    </w:r>
    <w:r>
      <w:rPr>
        <w:rFonts w:ascii="Calibri" w:hAnsi="Calibri" w:cs="Calibri"/>
        <w:color w:val="595959"/>
        <w:sz w:val="17"/>
        <w:szCs w:val="17"/>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7C6" w:rsidRDefault="00430A9E">
    <w:pPr>
      <w:pBdr>
        <w:top w:val="single" w:sz="6" w:space="4" w:color="BFBFBF"/>
      </w:pBdr>
      <w:tabs>
        <w:tab w:val="center" w:pos="4513"/>
        <w:tab w:val="right" w:pos="9026"/>
      </w:tabs>
      <w:jc w:val="center"/>
    </w:pPr>
    <w:r>
      <w:rPr>
        <w:rFonts w:ascii="Calibri" w:hAnsi="Calibri" w:cs="Calibri"/>
        <w:color w:val="595959"/>
        <w:sz w:val="17"/>
        <w:szCs w:val="17"/>
      </w:rPr>
      <w:t xml:space="preserve">Page </w:t>
    </w:r>
    <w:r>
      <w:rPr>
        <w:rFonts w:ascii="Calibri" w:hAnsi="Calibri" w:cs="Calibri"/>
        <w:color w:val="595959"/>
        <w:sz w:val="17"/>
        <w:szCs w:val="17"/>
      </w:rPr>
      <w:fldChar w:fldCharType="begin"/>
    </w:r>
    <w:r>
      <w:rPr>
        <w:rFonts w:ascii="Calibri" w:hAnsi="Calibri" w:cs="Calibri"/>
        <w:color w:val="595959"/>
        <w:sz w:val="17"/>
        <w:szCs w:val="17"/>
      </w:rPr>
      <w:instrText xml:space="preserve"> PAGE </w:instrText>
    </w:r>
    <w:r>
      <w:rPr>
        <w:rFonts w:ascii="Calibri" w:hAnsi="Calibri" w:cs="Calibri"/>
        <w:color w:val="595959"/>
        <w:sz w:val="17"/>
        <w:szCs w:val="17"/>
      </w:rPr>
      <w:fldChar w:fldCharType="separate"/>
    </w:r>
    <w:r w:rsidR="00B5360F">
      <w:rPr>
        <w:rFonts w:ascii="Calibri" w:hAnsi="Calibri" w:cs="Calibri"/>
        <w:noProof/>
        <w:color w:val="595959"/>
        <w:sz w:val="17"/>
        <w:szCs w:val="17"/>
      </w:rPr>
      <w:t>17</w:t>
    </w:r>
    <w:r>
      <w:rPr>
        <w:rFonts w:ascii="Calibri" w:hAnsi="Calibri" w:cs="Calibri"/>
        <w:color w:val="595959"/>
        <w:sz w:val="17"/>
        <w:szCs w:val="17"/>
      </w:rPr>
      <w:fldChar w:fldCharType="end"/>
    </w:r>
    <w:r>
      <w:rPr>
        <w:rFonts w:ascii="Calibri" w:hAnsi="Calibri" w:cs="Calibri"/>
        <w:color w:val="595959"/>
        <w:sz w:val="17"/>
        <w:szCs w:val="17"/>
      </w:rPr>
      <w:t xml:space="preserve"> of </w:t>
    </w:r>
    <w:r>
      <w:rPr>
        <w:rFonts w:ascii="Calibri" w:hAnsi="Calibri" w:cs="Calibri"/>
        <w:color w:val="595959"/>
        <w:sz w:val="17"/>
        <w:szCs w:val="17"/>
      </w:rPr>
      <w:fldChar w:fldCharType="begin"/>
    </w:r>
    <w:r>
      <w:rPr>
        <w:rFonts w:ascii="Calibri" w:hAnsi="Calibri" w:cs="Calibri"/>
        <w:color w:val="595959"/>
        <w:sz w:val="17"/>
        <w:szCs w:val="17"/>
      </w:rPr>
      <w:instrText xml:space="preserve"> NUMPAGES </w:instrText>
    </w:r>
    <w:r>
      <w:rPr>
        <w:rFonts w:ascii="Calibri" w:hAnsi="Calibri" w:cs="Calibri"/>
        <w:color w:val="595959"/>
        <w:sz w:val="17"/>
        <w:szCs w:val="17"/>
      </w:rPr>
      <w:fldChar w:fldCharType="separate"/>
    </w:r>
    <w:r w:rsidR="00B5360F">
      <w:rPr>
        <w:rFonts w:ascii="Calibri" w:hAnsi="Calibri" w:cs="Calibri"/>
        <w:noProof/>
        <w:color w:val="595959"/>
        <w:sz w:val="17"/>
        <w:szCs w:val="17"/>
      </w:rPr>
      <w:t>18</w:t>
    </w:r>
    <w:r>
      <w:rPr>
        <w:rFonts w:ascii="Calibri" w:hAnsi="Calibri" w:cs="Calibri"/>
        <w:color w:val="595959"/>
        <w:sz w:val="17"/>
        <w:szCs w:val="17"/>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2480" w:rsidRDefault="00F22480">
      <w:r>
        <w:separator/>
      </w:r>
    </w:p>
  </w:footnote>
  <w:footnote w:type="continuationSeparator" w:id="0">
    <w:p w:rsidR="00F22480" w:rsidRDefault="00F2248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7C6" w:rsidRPr="00B5360F" w:rsidRDefault="00430A9E">
    <w:pPr>
      <w:pBdr>
        <w:bottom w:val="single" w:sz="6" w:space="4" w:color="BFBFBF"/>
      </w:pBdr>
      <w:tabs>
        <w:tab w:val="center" w:pos="4513"/>
        <w:tab w:val="right" w:pos="9026"/>
      </w:tabs>
      <w:rPr>
        <w:rFonts w:ascii="Calibri" w:hAnsi="Calibri" w:cs="Calibri"/>
        <w:color w:val="595959"/>
        <w:sz w:val="17"/>
        <w:szCs w:val="17"/>
      </w:rPr>
    </w:pPr>
    <w:r>
      <w:rPr>
        <w:rFonts w:ascii="Calibri" w:hAnsi="Calibri" w:cs="Calibri"/>
        <w:color w:val="595959"/>
        <w:sz w:val="17"/>
        <w:szCs w:val="17"/>
      </w:rPr>
      <w:t>Coca-Cola Herbal+</w:t>
    </w:r>
    <w:r w:rsidR="00B5360F">
      <w:rPr>
        <w:rFonts w:ascii="Calibri" w:hAnsi="Calibri" w:cs="Calibri"/>
        <w:color w:val="595959"/>
        <w:sz w:val="17"/>
        <w:szCs w:val="17"/>
      </w:rPr>
      <w:t xml:space="preserve"> by Zarna Patel</w:t>
    </w:r>
    <w:r>
      <w:rPr>
        <w:rFonts w:ascii="Calibri" w:hAnsi="Calibri" w:cs="Calibri"/>
        <w:color w:val="595959"/>
        <w:sz w:val="17"/>
        <w:szCs w:val="17"/>
      </w:rPr>
      <w:tab/>
    </w:r>
    <w:r>
      <w:rPr>
        <w:rFonts w:ascii="Calibri" w:hAnsi="Calibri" w:cs="Calibri"/>
        <w:color w:val="595959"/>
        <w:sz w:val="17"/>
        <w:szCs w:val="17"/>
      </w:rPr>
      <w:tab/>
    </w:r>
    <w:r w:rsidR="00775E29">
      <w:rPr>
        <w:rFonts w:ascii="Calibri" w:hAnsi="Calibri" w:cs="Calibri"/>
        <w:i/>
        <w:iCs/>
        <w:color w:val="595959"/>
        <w:sz w:val="17"/>
        <w:szCs w:val="17"/>
      </w:rPr>
      <w:t>Marketing Management</w:t>
    </w:r>
    <w:r>
      <w:rPr>
        <w:rFonts w:ascii="Calibri" w:hAnsi="Calibri" w:cs="Calibri"/>
        <w:i/>
        <w:iCs/>
        <w:color w:val="595959"/>
        <w:sz w:val="17"/>
        <w:szCs w:val="17"/>
      </w:rPr>
      <w:t xml:space="preserve"> (LCMB7024)</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7C6" w:rsidRDefault="00430A9E">
    <w:pPr>
      <w:pBdr>
        <w:bottom w:val="single" w:sz="6" w:space="4" w:color="BFBFBF"/>
      </w:pBdr>
      <w:tabs>
        <w:tab w:val="center" w:pos="4513"/>
        <w:tab w:val="right" w:pos="9026"/>
      </w:tabs>
    </w:pPr>
    <w:r>
      <w:rPr>
        <w:rFonts w:ascii="Calibri" w:hAnsi="Calibri" w:cs="Calibri"/>
        <w:color w:val="595959"/>
        <w:sz w:val="17"/>
        <w:szCs w:val="17"/>
      </w:rPr>
      <w:t>Coca-Cola Herbal+ Brand Development Portfolio</w:t>
    </w:r>
    <w:r>
      <w:rPr>
        <w:rFonts w:ascii="Calibri" w:hAnsi="Calibri" w:cs="Calibri"/>
        <w:color w:val="595959"/>
        <w:sz w:val="17"/>
        <w:szCs w:val="17"/>
      </w:rPr>
      <w:tab/>
    </w:r>
    <w:r>
      <w:rPr>
        <w:rFonts w:ascii="Calibri" w:hAnsi="Calibri" w:cs="Calibri"/>
        <w:color w:val="595959"/>
        <w:sz w:val="17"/>
        <w:szCs w:val="17"/>
      </w:rPr>
      <w:tab/>
    </w:r>
    <w:r>
      <w:rPr>
        <w:rFonts w:ascii="Calibri" w:hAnsi="Calibri" w:cs="Calibri"/>
        <w:i/>
        <w:iCs/>
        <w:color w:val="595959"/>
        <w:sz w:val="17"/>
        <w:szCs w:val="17"/>
      </w:rPr>
      <w:t>Module: Brand Development (LCMB7024)</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A07C6" w:rsidRDefault="00DD7084">
    <w:pPr>
      <w:pBdr>
        <w:bottom w:val="single" w:sz="6" w:space="4" w:color="BFBFBF"/>
      </w:pBdr>
      <w:tabs>
        <w:tab w:val="center" w:pos="4513"/>
        <w:tab w:val="right" w:pos="9026"/>
      </w:tabs>
    </w:pPr>
    <w:r>
      <w:rPr>
        <w:rFonts w:ascii="Calibri" w:hAnsi="Calibri" w:cs="Calibri"/>
        <w:color w:val="595959"/>
        <w:sz w:val="17"/>
        <w:szCs w:val="17"/>
      </w:rPr>
      <w:t>Zarna Patel (2536013)</w:t>
    </w:r>
    <w:r w:rsidR="00430A9E">
      <w:rPr>
        <w:rFonts w:ascii="Calibri" w:hAnsi="Calibri" w:cs="Calibri"/>
        <w:color w:val="595959"/>
        <w:sz w:val="17"/>
        <w:szCs w:val="17"/>
      </w:rPr>
      <w:tab/>
    </w:r>
    <w:r w:rsidR="00430A9E">
      <w:rPr>
        <w:rFonts w:ascii="Calibri" w:hAnsi="Calibri" w:cs="Calibri"/>
        <w:color w:val="595959"/>
        <w:sz w:val="17"/>
        <w:szCs w:val="17"/>
      </w:rPr>
      <w:tab/>
    </w:r>
    <w:r>
      <w:rPr>
        <w:rFonts w:ascii="Calibri" w:hAnsi="Calibri" w:cs="Calibri"/>
        <w:i/>
        <w:iCs/>
        <w:color w:val="595959"/>
        <w:sz w:val="17"/>
        <w:szCs w:val="17"/>
      </w:rPr>
      <w:t>Marketing Management</w:t>
    </w:r>
    <w:r w:rsidR="00430A9E">
      <w:rPr>
        <w:rFonts w:ascii="Calibri" w:hAnsi="Calibri" w:cs="Calibri"/>
        <w:i/>
        <w:iCs/>
        <w:color w:val="595959"/>
        <w:sz w:val="17"/>
        <w:szCs w:val="17"/>
      </w:rPr>
      <w:t xml:space="preserve"> (LCMB7024)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612219"/>
    <w:multiLevelType w:val="hybridMultilevel"/>
    <w:tmpl w:val="FEE8D228"/>
    <w:lvl w:ilvl="0" w:tplc="083E7F58">
      <w:start w:val="1"/>
      <w:numFmt w:val="bullet"/>
      <w:pStyle w:val="TOC2"/>
      <w:lvlText w:val="o"/>
      <w:lvlJc w:val="left"/>
      <w:pPr>
        <w:ind w:left="920" w:hanging="360"/>
      </w:pPr>
      <w:rPr>
        <w:rFonts w:ascii="Courier New" w:hAnsi="Courier New" w:cs="Courier New" w:hint="default"/>
      </w:rPr>
    </w:lvl>
    <w:lvl w:ilvl="1" w:tplc="40090003" w:tentative="1">
      <w:start w:val="1"/>
      <w:numFmt w:val="bullet"/>
      <w:lvlText w:val="o"/>
      <w:lvlJc w:val="left"/>
      <w:pPr>
        <w:ind w:left="1640" w:hanging="360"/>
      </w:pPr>
      <w:rPr>
        <w:rFonts w:ascii="Courier New" w:hAnsi="Courier New" w:cs="Courier New" w:hint="default"/>
      </w:rPr>
    </w:lvl>
    <w:lvl w:ilvl="2" w:tplc="40090005" w:tentative="1">
      <w:start w:val="1"/>
      <w:numFmt w:val="bullet"/>
      <w:lvlText w:val=""/>
      <w:lvlJc w:val="left"/>
      <w:pPr>
        <w:ind w:left="2360" w:hanging="360"/>
      </w:pPr>
      <w:rPr>
        <w:rFonts w:ascii="Wingdings" w:hAnsi="Wingdings" w:hint="default"/>
      </w:rPr>
    </w:lvl>
    <w:lvl w:ilvl="3" w:tplc="40090001" w:tentative="1">
      <w:start w:val="1"/>
      <w:numFmt w:val="bullet"/>
      <w:lvlText w:val=""/>
      <w:lvlJc w:val="left"/>
      <w:pPr>
        <w:ind w:left="3080" w:hanging="360"/>
      </w:pPr>
      <w:rPr>
        <w:rFonts w:ascii="Symbol" w:hAnsi="Symbol" w:hint="default"/>
      </w:rPr>
    </w:lvl>
    <w:lvl w:ilvl="4" w:tplc="40090003" w:tentative="1">
      <w:start w:val="1"/>
      <w:numFmt w:val="bullet"/>
      <w:lvlText w:val="o"/>
      <w:lvlJc w:val="left"/>
      <w:pPr>
        <w:ind w:left="3800" w:hanging="360"/>
      </w:pPr>
      <w:rPr>
        <w:rFonts w:ascii="Courier New" w:hAnsi="Courier New" w:cs="Courier New" w:hint="default"/>
      </w:rPr>
    </w:lvl>
    <w:lvl w:ilvl="5" w:tplc="40090005" w:tentative="1">
      <w:start w:val="1"/>
      <w:numFmt w:val="bullet"/>
      <w:lvlText w:val=""/>
      <w:lvlJc w:val="left"/>
      <w:pPr>
        <w:ind w:left="4520" w:hanging="360"/>
      </w:pPr>
      <w:rPr>
        <w:rFonts w:ascii="Wingdings" w:hAnsi="Wingdings" w:hint="default"/>
      </w:rPr>
    </w:lvl>
    <w:lvl w:ilvl="6" w:tplc="40090001" w:tentative="1">
      <w:start w:val="1"/>
      <w:numFmt w:val="bullet"/>
      <w:lvlText w:val=""/>
      <w:lvlJc w:val="left"/>
      <w:pPr>
        <w:ind w:left="5240" w:hanging="360"/>
      </w:pPr>
      <w:rPr>
        <w:rFonts w:ascii="Symbol" w:hAnsi="Symbol" w:hint="default"/>
      </w:rPr>
    </w:lvl>
    <w:lvl w:ilvl="7" w:tplc="40090003" w:tentative="1">
      <w:start w:val="1"/>
      <w:numFmt w:val="bullet"/>
      <w:lvlText w:val="o"/>
      <w:lvlJc w:val="left"/>
      <w:pPr>
        <w:ind w:left="5960" w:hanging="360"/>
      </w:pPr>
      <w:rPr>
        <w:rFonts w:ascii="Courier New" w:hAnsi="Courier New" w:cs="Courier New" w:hint="default"/>
      </w:rPr>
    </w:lvl>
    <w:lvl w:ilvl="8" w:tplc="40090005" w:tentative="1">
      <w:start w:val="1"/>
      <w:numFmt w:val="bullet"/>
      <w:lvlText w:val=""/>
      <w:lvlJc w:val="left"/>
      <w:pPr>
        <w:ind w:left="6680" w:hanging="360"/>
      </w:pPr>
      <w:rPr>
        <w:rFonts w:ascii="Wingdings" w:hAnsi="Wingdings" w:hint="default"/>
      </w:rPr>
    </w:lvl>
  </w:abstractNum>
  <w:abstractNum w:abstractNumId="1" w15:restartNumberingAfterBreak="0">
    <w:nsid w:val="4D78332D"/>
    <w:multiLevelType w:val="hybridMultilevel"/>
    <w:tmpl w:val="243A45CA"/>
    <w:lvl w:ilvl="0" w:tplc="DE52AF40">
      <w:start w:val="1"/>
      <w:numFmt w:val="bullet"/>
      <w:lvlText w:val="●"/>
      <w:lvlJc w:val="left"/>
      <w:pPr>
        <w:ind w:left="720" w:hanging="360"/>
      </w:pPr>
    </w:lvl>
    <w:lvl w:ilvl="1" w:tplc="C7ACC180">
      <w:start w:val="1"/>
      <w:numFmt w:val="bullet"/>
      <w:lvlText w:val="○"/>
      <w:lvlJc w:val="left"/>
      <w:pPr>
        <w:ind w:left="1440" w:hanging="360"/>
      </w:pPr>
    </w:lvl>
    <w:lvl w:ilvl="2" w:tplc="C172AD26">
      <w:start w:val="1"/>
      <w:numFmt w:val="bullet"/>
      <w:lvlText w:val="■"/>
      <w:lvlJc w:val="left"/>
      <w:pPr>
        <w:ind w:left="2160" w:hanging="360"/>
      </w:pPr>
    </w:lvl>
    <w:lvl w:ilvl="3" w:tplc="1FAA0512">
      <w:start w:val="1"/>
      <w:numFmt w:val="bullet"/>
      <w:lvlText w:val="●"/>
      <w:lvlJc w:val="left"/>
      <w:pPr>
        <w:ind w:left="2880" w:hanging="360"/>
      </w:pPr>
    </w:lvl>
    <w:lvl w:ilvl="4" w:tplc="D4F2D0C0">
      <w:start w:val="1"/>
      <w:numFmt w:val="bullet"/>
      <w:lvlText w:val="○"/>
      <w:lvlJc w:val="left"/>
      <w:pPr>
        <w:ind w:left="3600" w:hanging="360"/>
      </w:pPr>
    </w:lvl>
    <w:lvl w:ilvl="5" w:tplc="D0BE8AE2">
      <w:start w:val="1"/>
      <w:numFmt w:val="bullet"/>
      <w:lvlText w:val="■"/>
      <w:lvlJc w:val="left"/>
      <w:pPr>
        <w:ind w:left="4320" w:hanging="360"/>
      </w:pPr>
    </w:lvl>
    <w:lvl w:ilvl="6" w:tplc="7F9C0556">
      <w:start w:val="1"/>
      <w:numFmt w:val="bullet"/>
      <w:lvlText w:val="●"/>
      <w:lvlJc w:val="left"/>
      <w:pPr>
        <w:ind w:left="5040" w:hanging="360"/>
      </w:pPr>
    </w:lvl>
    <w:lvl w:ilvl="7" w:tplc="F0F0C7C0">
      <w:start w:val="1"/>
      <w:numFmt w:val="bullet"/>
      <w:lvlText w:val="●"/>
      <w:lvlJc w:val="left"/>
      <w:pPr>
        <w:ind w:left="5760" w:hanging="360"/>
      </w:pPr>
    </w:lvl>
    <w:lvl w:ilvl="8" w:tplc="884895B8">
      <w:start w:val="1"/>
      <w:numFmt w:val="bullet"/>
      <w:lvlText w:val="●"/>
      <w:lvlJc w:val="left"/>
      <w:pPr>
        <w:ind w:left="6480" w:hanging="360"/>
      </w:pPr>
    </w:lvl>
  </w:abstractNum>
  <w:abstractNum w:abstractNumId="2" w15:restartNumberingAfterBreak="0">
    <w:nsid w:val="531930C8"/>
    <w:multiLevelType w:val="hybridMultilevel"/>
    <w:tmpl w:val="54B88A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ECC1C9C"/>
    <w:multiLevelType w:val="hybridMultilevel"/>
    <w:tmpl w:val="7E2E25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A67"/>
    <w:rsid w:val="000414CD"/>
    <w:rsid w:val="00052BD7"/>
    <w:rsid w:val="00292097"/>
    <w:rsid w:val="002E605F"/>
    <w:rsid w:val="002F0419"/>
    <w:rsid w:val="002F2CFA"/>
    <w:rsid w:val="003349D0"/>
    <w:rsid w:val="003726A1"/>
    <w:rsid w:val="003D1FC6"/>
    <w:rsid w:val="00414ACE"/>
    <w:rsid w:val="00430A9E"/>
    <w:rsid w:val="00486D12"/>
    <w:rsid w:val="004B0A67"/>
    <w:rsid w:val="00533CAF"/>
    <w:rsid w:val="00613079"/>
    <w:rsid w:val="00667EDB"/>
    <w:rsid w:val="00775E29"/>
    <w:rsid w:val="00783D40"/>
    <w:rsid w:val="008A21C8"/>
    <w:rsid w:val="009A2125"/>
    <w:rsid w:val="00A14BC3"/>
    <w:rsid w:val="00A524C1"/>
    <w:rsid w:val="00A524E4"/>
    <w:rsid w:val="00A53922"/>
    <w:rsid w:val="00B5360F"/>
    <w:rsid w:val="00C05CDB"/>
    <w:rsid w:val="00D76C46"/>
    <w:rsid w:val="00D84A98"/>
    <w:rsid w:val="00D865CF"/>
    <w:rsid w:val="00DA07C6"/>
    <w:rsid w:val="00DB1DA1"/>
    <w:rsid w:val="00DD7084"/>
    <w:rsid w:val="00E00558"/>
    <w:rsid w:val="00F22480"/>
    <w:rsid w:val="00F40CB6"/>
    <w:rsid w:val="00F46214"/>
    <w:rsid w:val="00F57CA8"/>
    <w:rsid w:val="00FC163A"/>
    <w:rsid w:val="00FC5010"/>
    <w:rsid w:val="00FE02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FEECEA0-FD0C-4BC5-A237-3A6C06965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292097"/>
    <w:rPr>
      <w:b/>
      <w:bCs/>
    </w:rPr>
  </w:style>
  <w:style w:type="paragraph" w:styleId="Header">
    <w:name w:val="header"/>
    <w:basedOn w:val="Normal"/>
    <w:link w:val="HeaderChar"/>
    <w:uiPriority w:val="99"/>
    <w:unhideWhenUsed/>
    <w:rsid w:val="00292097"/>
    <w:pPr>
      <w:tabs>
        <w:tab w:val="center" w:pos="4513"/>
        <w:tab w:val="right" w:pos="9026"/>
      </w:tabs>
    </w:pPr>
  </w:style>
  <w:style w:type="character" w:customStyle="1" w:styleId="HeaderChar">
    <w:name w:val="Header Char"/>
    <w:basedOn w:val="DefaultParagraphFont"/>
    <w:link w:val="Header"/>
    <w:uiPriority w:val="99"/>
    <w:rsid w:val="00292097"/>
  </w:style>
  <w:style w:type="paragraph" w:styleId="Footer">
    <w:name w:val="footer"/>
    <w:basedOn w:val="Normal"/>
    <w:link w:val="FooterChar"/>
    <w:uiPriority w:val="99"/>
    <w:unhideWhenUsed/>
    <w:rsid w:val="00292097"/>
    <w:pPr>
      <w:tabs>
        <w:tab w:val="center" w:pos="4513"/>
        <w:tab w:val="right" w:pos="9026"/>
      </w:tabs>
    </w:pPr>
  </w:style>
  <w:style w:type="character" w:customStyle="1" w:styleId="FooterChar">
    <w:name w:val="Footer Char"/>
    <w:basedOn w:val="DefaultParagraphFont"/>
    <w:link w:val="Footer"/>
    <w:uiPriority w:val="99"/>
    <w:rsid w:val="00292097"/>
  </w:style>
  <w:style w:type="paragraph" w:styleId="TOCHeading">
    <w:name w:val="TOC Heading"/>
    <w:basedOn w:val="Heading1"/>
    <w:next w:val="Normal"/>
    <w:uiPriority w:val="39"/>
    <w:unhideWhenUsed/>
    <w:qFormat/>
    <w:rsid w:val="008A21C8"/>
    <w:pPr>
      <w:keepNext/>
      <w:keepLines/>
      <w:spacing w:before="240" w:line="259" w:lineRule="auto"/>
      <w:outlineLvl w:val="9"/>
    </w:pPr>
    <w:rPr>
      <w:rFonts w:asciiTheme="majorHAnsi" w:eastAsiaTheme="majorEastAsia" w:hAnsiTheme="majorHAnsi" w:cstheme="majorBidi"/>
      <w:color w:val="2E74B5" w:themeColor="accent1" w:themeShade="BF"/>
      <w:lang w:val="en-US" w:eastAsia="en-US"/>
    </w:rPr>
  </w:style>
  <w:style w:type="paragraph" w:styleId="TOC1">
    <w:name w:val="toc 1"/>
    <w:basedOn w:val="Normal"/>
    <w:next w:val="Normal"/>
    <w:autoRedefine/>
    <w:uiPriority w:val="39"/>
    <w:unhideWhenUsed/>
    <w:rsid w:val="008A21C8"/>
    <w:pPr>
      <w:spacing w:after="100"/>
    </w:pPr>
  </w:style>
  <w:style w:type="paragraph" w:styleId="TOC2">
    <w:name w:val="toc 2"/>
    <w:basedOn w:val="Normal"/>
    <w:next w:val="Normal"/>
    <w:autoRedefine/>
    <w:uiPriority w:val="39"/>
    <w:unhideWhenUsed/>
    <w:rsid w:val="008A21C8"/>
    <w:pPr>
      <w:numPr>
        <w:numId w:val="3"/>
      </w:num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5444294">
      <w:bodyDiv w:val="1"/>
      <w:marLeft w:val="0"/>
      <w:marRight w:val="0"/>
      <w:marTop w:val="0"/>
      <w:marBottom w:val="0"/>
      <w:divBdr>
        <w:top w:val="none" w:sz="0" w:space="0" w:color="auto"/>
        <w:left w:val="none" w:sz="0" w:space="0" w:color="auto"/>
        <w:bottom w:val="none" w:sz="0" w:space="0" w:color="auto"/>
        <w:right w:val="none" w:sz="0" w:space="0" w:color="auto"/>
      </w:divBdr>
    </w:div>
    <w:div w:id="524901808">
      <w:bodyDiv w:val="1"/>
      <w:marLeft w:val="0"/>
      <w:marRight w:val="0"/>
      <w:marTop w:val="0"/>
      <w:marBottom w:val="0"/>
      <w:divBdr>
        <w:top w:val="none" w:sz="0" w:space="0" w:color="auto"/>
        <w:left w:val="none" w:sz="0" w:space="0" w:color="auto"/>
        <w:bottom w:val="none" w:sz="0" w:space="0" w:color="auto"/>
        <w:right w:val="none" w:sz="0" w:space="0" w:color="auto"/>
      </w:divBdr>
    </w:div>
    <w:div w:id="770584838">
      <w:bodyDiv w:val="1"/>
      <w:marLeft w:val="0"/>
      <w:marRight w:val="0"/>
      <w:marTop w:val="0"/>
      <w:marBottom w:val="0"/>
      <w:divBdr>
        <w:top w:val="none" w:sz="0" w:space="0" w:color="auto"/>
        <w:left w:val="none" w:sz="0" w:space="0" w:color="auto"/>
        <w:bottom w:val="none" w:sz="0" w:space="0" w:color="auto"/>
        <w:right w:val="none" w:sz="0" w:space="0" w:color="auto"/>
      </w:divBdr>
    </w:div>
    <w:div w:id="857741285">
      <w:bodyDiv w:val="1"/>
      <w:marLeft w:val="0"/>
      <w:marRight w:val="0"/>
      <w:marTop w:val="0"/>
      <w:marBottom w:val="0"/>
      <w:divBdr>
        <w:top w:val="none" w:sz="0" w:space="0" w:color="auto"/>
        <w:left w:val="none" w:sz="0" w:space="0" w:color="auto"/>
        <w:bottom w:val="none" w:sz="0" w:space="0" w:color="auto"/>
        <w:right w:val="none" w:sz="0" w:space="0" w:color="auto"/>
      </w:divBdr>
    </w:div>
    <w:div w:id="1314749172">
      <w:bodyDiv w:val="1"/>
      <w:marLeft w:val="0"/>
      <w:marRight w:val="0"/>
      <w:marTop w:val="0"/>
      <w:marBottom w:val="0"/>
      <w:divBdr>
        <w:top w:val="none" w:sz="0" w:space="0" w:color="auto"/>
        <w:left w:val="none" w:sz="0" w:space="0" w:color="auto"/>
        <w:bottom w:val="none" w:sz="0" w:space="0" w:color="auto"/>
        <w:right w:val="none" w:sz="0" w:space="0" w:color="auto"/>
      </w:divBdr>
    </w:div>
    <w:div w:id="15733903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BA8B1-0780-4788-A829-9F76FCC78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18</Pages>
  <Words>4027</Words>
  <Characters>22957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Microsoft account</cp:lastModifiedBy>
  <cp:revision>12</cp:revision>
  <dcterms:created xsi:type="dcterms:W3CDTF">2026-07-03T01:15:00Z</dcterms:created>
  <dcterms:modified xsi:type="dcterms:W3CDTF">2026-07-31T09:04:00Z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ebf0bc73-8db0-4269-8b62-d2def0331dbd</vt:lpwstr>
  </property>
</Properties>
</file>