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052852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929F3">
              <w:rPr>
                <w:rFonts w:ascii="Times New Roman" w:hAnsi="Times New Roman" w:cs="Times New Roman"/>
                <w:b/>
                <w:color w:val="auto"/>
                <w:sz w:val="48"/>
              </w:rPr>
              <w:t>Leah Fuge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1C6569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929F3">
              <w:rPr>
                <w:rFonts w:ascii="Times New Roman" w:hAnsi="Times New Roman" w:cs="Times New Roman"/>
                <w:b/>
                <w:color w:val="auto"/>
                <w:sz w:val="48"/>
              </w:rPr>
              <w:t xml:space="preserve"> leah.fuge@swansea.gov.uk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BF7B93F" w14:textId="4A908AF5" w:rsidR="0056130F" w:rsidRPr="005D3F07" w:rsidRDefault="0056130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2518606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62FC1FB" w14:textId="68F06222" w:rsidR="0056130F" w:rsidRDefault="0056130F" w:rsidP="0056130F">
            <w:pPr>
              <w:rPr>
                <w:sz w:val="24"/>
                <w:szCs w:val="24"/>
              </w:rPr>
            </w:pPr>
            <w:r w:rsidRPr="0056130F">
              <w:rPr>
                <w:sz w:val="24"/>
                <w:szCs w:val="24"/>
                <w:shd w:val="clear" w:color="auto" w:fill="FFFFFF"/>
              </w:rPr>
              <w:t xml:space="preserve">According to Glaister (2008) the term critical is defined as </w:t>
            </w:r>
            <w:r w:rsidRPr="0056130F">
              <w:rPr>
                <w:sz w:val="24"/>
                <w:szCs w:val="24"/>
              </w:rPr>
              <w:t xml:space="preserve">‘open-minded, reflective approaches that take account of different perspectives, experiences and assumptions. This reflective case study will critically reflect on an assessment that has been undertaken in relation to the safeguarding of an adult.  I will demonstrate how the case relates to safeguarding legislation, policies and procedures including the relevance of working in Wales.  I will demonstrate the integration of analysis in assessment and how collaborative working was achieved with the adult, their support network and professionals throughout the process.  I will analyse how professional judgement was used in order to safeguard and the importance of remaining non-judgemental throughout my involvement.  I will evidence how social work theories and methods were used throughout the assessment and in my practice including task centred approaches (Davies, 2013) and working in line with a person-centred practice.  I will endeavour to demonstrate how I </w:t>
            </w:r>
            <w:r w:rsidR="0052516B">
              <w:rPr>
                <w:sz w:val="24"/>
                <w:szCs w:val="24"/>
              </w:rPr>
              <w:t xml:space="preserve">utilised </w:t>
            </w:r>
            <w:r w:rsidR="0052516B" w:rsidRPr="00AE1D6D">
              <w:rPr>
                <w:sz w:val="24"/>
                <w:szCs w:val="24"/>
              </w:rPr>
              <w:t>the Code of Professional Practice</w:t>
            </w:r>
            <w:r w:rsidR="0052516B">
              <w:rPr>
                <w:sz w:val="24"/>
                <w:szCs w:val="24"/>
              </w:rPr>
              <w:t xml:space="preserve"> </w:t>
            </w:r>
            <w:r w:rsidR="0052516B" w:rsidRPr="00AE1D6D">
              <w:rPr>
                <w:sz w:val="24"/>
                <w:szCs w:val="24"/>
              </w:rPr>
              <w:t xml:space="preserve">for Social Care Workers </w:t>
            </w:r>
            <w:r w:rsidR="0052516B">
              <w:rPr>
                <w:sz w:val="24"/>
                <w:szCs w:val="24"/>
              </w:rPr>
              <w:t>(</w:t>
            </w:r>
            <w:r w:rsidR="0052516B" w:rsidRPr="00AE1D6D">
              <w:rPr>
                <w:sz w:val="24"/>
                <w:szCs w:val="24"/>
              </w:rPr>
              <w:t>Social Care Wales</w:t>
            </w:r>
            <w:r w:rsidR="0052516B">
              <w:rPr>
                <w:sz w:val="24"/>
                <w:szCs w:val="24"/>
              </w:rPr>
              <w:t xml:space="preserve">, </w:t>
            </w:r>
            <w:r w:rsidR="0052516B" w:rsidRPr="00AE1D6D">
              <w:rPr>
                <w:sz w:val="24"/>
                <w:szCs w:val="24"/>
              </w:rPr>
              <w:t>20</w:t>
            </w:r>
            <w:r w:rsidR="0052516B">
              <w:rPr>
                <w:sz w:val="24"/>
                <w:szCs w:val="24"/>
              </w:rPr>
              <w:t>26), hereafter referred to as the COPP</w:t>
            </w:r>
            <w:r w:rsidR="0052516B">
              <w:rPr>
                <w:sz w:val="24"/>
                <w:szCs w:val="24"/>
              </w:rPr>
              <w:t>,</w:t>
            </w:r>
            <w:r w:rsidRPr="0056130F">
              <w:rPr>
                <w:sz w:val="24"/>
                <w:szCs w:val="24"/>
              </w:rPr>
              <w:t xml:space="preserve"> to inform my practice throughout the assessment process, and I will refer to consideration of Welsh context and how this impacted upon the services I was able to provide.  In the interest of confidentiality, throughout the case study the adult will be referred to as 1, the adult’s former partner will be referred to as 2 and adult child as 3.</w:t>
            </w:r>
          </w:p>
          <w:p w14:paraId="3FD43D9E" w14:textId="77777777" w:rsidR="0056130F" w:rsidRPr="0056130F" w:rsidRDefault="0056130F" w:rsidP="0056130F">
            <w:pPr>
              <w:rPr>
                <w:sz w:val="24"/>
                <w:szCs w:val="24"/>
              </w:rPr>
            </w:pPr>
          </w:p>
          <w:p w14:paraId="11318005" w14:textId="5B53BA48" w:rsidR="0056130F" w:rsidRPr="0056130F" w:rsidRDefault="0056130F" w:rsidP="0056130F">
            <w:pPr>
              <w:rPr>
                <w:sz w:val="24"/>
                <w:szCs w:val="24"/>
              </w:rPr>
            </w:pPr>
            <w:r w:rsidRPr="0056130F">
              <w:rPr>
                <w:sz w:val="24"/>
                <w:szCs w:val="24"/>
              </w:rPr>
              <w:t xml:space="preserve">The significance of social workers understanding the law in order to promote rights when working with individuals is essential. Without knowledge of the law social workers could not work in a way that promotes service users' best interests and rights, equally social workers could leave service users vulnerable and at potential risk of harm if they do not act in the </w:t>
            </w:r>
            <w:r w:rsidRPr="0056130F">
              <w:rPr>
                <w:sz w:val="24"/>
                <w:szCs w:val="24"/>
              </w:rPr>
              <w:lastRenderedPageBreak/>
              <w:t>way they are guided to do so by the law (Braye and Preston-Shoot, 2020).  The key legislation in respect of this case study and informing my practice will be the Social Services and Well-being (Wales) Act 2014</w:t>
            </w:r>
            <w:r w:rsidR="006F130B">
              <w:rPr>
                <w:sz w:val="24"/>
                <w:szCs w:val="24"/>
              </w:rPr>
              <w:t xml:space="preserve"> hereafter referred to as </w:t>
            </w:r>
            <w:r w:rsidRPr="0056130F">
              <w:rPr>
                <w:sz w:val="24"/>
                <w:szCs w:val="24"/>
              </w:rPr>
              <w:t>SSWBA</w:t>
            </w:r>
            <w:r w:rsidR="006F130B">
              <w:rPr>
                <w:sz w:val="24"/>
                <w:szCs w:val="24"/>
              </w:rPr>
              <w:t>,</w:t>
            </w:r>
            <w:r w:rsidRPr="0056130F">
              <w:rPr>
                <w:sz w:val="24"/>
                <w:szCs w:val="24"/>
              </w:rPr>
              <w:t xml:space="preserve"> which provides the legislative framework for safeguarding children and adults in Wales and the Mental Capacity Act 2005.  The Wales </w:t>
            </w:r>
            <w:r w:rsidR="001C3F66">
              <w:rPr>
                <w:sz w:val="24"/>
                <w:szCs w:val="24"/>
              </w:rPr>
              <w:t>S</w:t>
            </w:r>
            <w:r w:rsidRPr="0056130F">
              <w:rPr>
                <w:sz w:val="24"/>
                <w:szCs w:val="24"/>
              </w:rPr>
              <w:t xml:space="preserve">afeguarding </w:t>
            </w:r>
            <w:r w:rsidR="001C3F66">
              <w:rPr>
                <w:sz w:val="24"/>
                <w:szCs w:val="24"/>
              </w:rPr>
              <w:t>P</w:t>
            </w:r>
            <w:r w:rsidRPr="0056130F">
              <w:rPr>
                <w:sz w:val="24"/>
                <w:szCs w:val="24"/>
              </w:rPr>
              <w:t>rocedures (2019) are underpinned by the SSWBA and are used to provide guidance to practitioners in terms of responding to safeguarding risks that may be present and require further investigation. Consideration of the Human Rights Act (1998) will also be considered as part of the case study.</w:t>
            </w:r>
          </w:p>
          <w:p w14:paraId="3308FE62" w14:textId="77777777" w:rsidR="0056130F" w:rsidRPr="0056130F" w:rsidRDefault="0056130F" w:rsidP="0056130F">
            <w:pPr>
              <w:rPr>
                <w:sz w:val="24"/>
                <w:szCs w:val="24"/>
              </w:rPr>
            </w:pPr>
          </w:p>
          <w:p w14:paraId="7B13C2C6" w14:textId="77777777" w:rsidR="0056130F" w:rsidRDefault="0056130F" w:rsidP="0056130F">
            <w:pPr>
              <w:rPr>
                <w:sz w:val="24"/>
                <w:szCs w:val="24"/>
              </w:rPr>
            </w:pPr>
            <w:r w:rsidRPr="0056130F">
              <w:rPr>
                <w:sz w:val="24"/>
                <w:szCs w:val="24"/>
              </w:rPr>
              <w:t xml:space="preserve">Section 126 (2) of the SSWBA places a duty on the local authority to make enquiries where it has reasonable cause to suspect that an adult is at risk.  In respect of this case study, a telephone call had been received from a nurse within the hospital emergency department advising that 1 had been brought into hospital and the ambulance crew had raised significant safeguarding concerns in relation to home conditions and how this is impacting 1’s health. The ambulance crew noted that both human and animal faeces and urine were present throughout the whole of the property alongside broken glass. They also highlighted that there were significant fire hazards due to broken electrical appliances, little to no food or hot water and heating, and a significant smell of ammonia throughout the property which subsequently resulted in 1’s ill health and hospital admission.  In addition to this, 1 had three dogs that were required to also be removed from the property due to its condition and were currently with the local authority dog warden. The nurse further went on to advise that they did not feel that the property was safe enough for 1 to return to and that 1 had consented to contact being made with Social Services.  </w:t>
            </w:r>
          </w:p>
          <w:p w14:paraId="35D27D2B" w14:textId="77777777" w:rsidR="0056130F" w:rsidRPr="0056130F" w:rsidRDefault="0056130F" w:rsidP="0056130F">
            <w:pPr>
              <w:rPr>
                <w:sz w:val="24"/>
                <w:szCs w:val="24"/>
              </w:rPr>
            </w:pPr>
          </w:p>
          <w:p w14:paraId="43A6685C" w14:textId="77777777" w:rsidR="00D842FF" w:rsidRPr="00D842FF" w:rsidRDefault="0056130F" w:rsidP="00D842FF">
            <w:pPr>
              <w:rPr>
                <w:sz w:val="24"/>
                <w:szCs w:val="24"/>
              </w:rPr>
            </w:pPr>
            <w:r w:rsidRPr="0056130F">
              <w:rPr>
                <w:sz w:val="24"/>
                <w:szCs w:val="24"/>
              </w:rPr>
              <w:t xml:space="preserve">The information provided by the ambulance crew and nurse highlighted a number of concerns for 1 which evidenced the duty for the Local Authority to respond and subsequently I completed a contact response as the duty social worker to act </w:t>
            </w:r>
            <w:r w:rsidR="0030590D" w:rsidRPr="0056130F">
              <w:rPr>
                <w:sz w:val="24"/>
                <w:szCs w:val="24"/>
              </w:rPr>
              <w:t>in line</w:t>
            </w:r>
            <w:r w:rsidRPr="0056130F">
              <w:rPr>
                <w:sz w:val="24"/>
                <w:szCs w:val="24"/>
              </w:rPr>
              <w:t xml:space="preserve"> with section 126 of </w:t>
            </w:r>
            <w:r w:rsidR="0030590D">
              <w:rPr>
                <w:sz w:val="24"/>
                <w:szCs w:val="24"/>
              </w:rPr>
              <w:t xml:space="preserve">the </w:t>
            </w:r>
            <w:r w:rsidRPr="0056130F">
              <w:rPr>
                <w:sz w:val="24"/>
                <w:szCs w:val="24"/>
              </w:rPr>
              <w:t xml:space="preserve">SSWBA given it was evident that 1 appeared to be at risk.  Prior to the initial contact response I ensured to refer to Section 1(1) of the Mental Capacity Act 2005 which states that ‘A person must be assumed to have capacity unless it is established that he lacks capacity’, as no concerns had been raised around capacity, I had to ensure to assume this was a capacitated decision to live in said conditions. </w:t>
            </w:r>
            <w:r w:rsidR="00D842FF" w:rsidRPr="00D842FF">
              <w:rPr>
                <w:sz w:val="24"/>
                <w:szCs w:val="24"/>
              </w:rPr>
              <w:t>I also referred to Article 8 of the European Convention on Human Rights (ECHR), which is incorporated into UK law through the Human Rights Act 1998 (HRA). Article 8 provides individuals with the right to respect for their private and family life. In addition, I was mindful of section 1(4) of the Mental Capacity Act 2005 (MCA), which states that 'a person is not to be treated as unable to make a decision merely because he makes an unwise decision'</w:t>
            </w:r>
          </w:p>
          <w:p w14:paraId="40242994" w14:textId="61FE75AD" w:rsidR="0056130F" w:rsidRDefault="0056130F" w:rsidP="0056130F">
            <w:pPr>
              <w:rPr>
                <w:sz w:val="24"/>
                <w:szCs w:val="24"/>
              </w:rPr>
            </w:pPr>
          </w:p>
          <w:p w14:paraId="389C5261" w14:textId="77777777" w:rsidR="0056130F" w:rsidRPr="0056130F" w:rsidRDefault="0056130F" w:rsidP="0056130F">
            <w:pPr>
              <w:rPr>
                <w:sz w:val="24"/>
                <w:szCs w:val="24"/>
              </w:rPr>
            </w:pPr>
          </w:p>
          <w:p w14:paraId="465BF226" w14:textId="77777777" w:rsidR="0056130F" w:rsidRDefault="0056130F" w:rsidP="0056130F">
            <w:pPr>
              <w:rPr>
                <w:sz w:val="24"/>
                <w:szCs w:val="24"/>
              </w:rPr>
            </w:pPr>
            <w:r w:rsidRPr="0056130F">
              <w:rPr>
                <w:sz w:val="24"/>
                <w:szCs w:val="24"/>
              </w:rPr>
              <w:t xml:space="preserve">It was my role to ascertain the level of risk that was potentially posed towards 1 with the safety and wellbeing of 1 being paramount and respecting 1’s wishes and rights to making their own decisions.  I also had to consider Section 19 of the SSWBA as whilst this places a mandatory legal duty for local authorities to assess an adult's need for care and support if it appears they may have such needs, it also allows adults to refuse such assessment should they wish.    </w:t>
            </w:r>
          </w:p>
          <w:p w14:paraId="0B016C36" w14:textId="77777777" w:rsidR="0056130F" w:rsidRPr="0056130F" w:rsidRDefault="0056130F" w:rsidP="0056130F">
            <w:pPr>
              <w:rPr>
                <w:sz w:val="24"/>
                <w:szCs w:val="24"/>
              </w:rPr>
            </w:pPr>
          </w:p>
          <w:p w14:paraId="50657E69" w14:textId="5E266529" w:rsidR="0056130F" w:rsidRPr="0056130F" w:rsidRDefault="0056130F" w:rsidP="0056130F">
            <w:pPr>
              <w:rPr>
                <w:sz w:val="24"/>
                <w:szCs w:val="24"/>
              </w:rPr>
            </w:pPr>
            <w:r w:rsidRPr="0056130F">
              <w:rPr>
                <w:sz w:val="24"/>
                <w:szCs w:val="24"/>
              </w:rPr>
              <w:lastRenderedPageBreak/>
              <w:t xml:space="preserve">On arriving at the emergency department, I was greeted by 1 who was eager for support.  I ensured to undertake the ‘Active Offer’ to ensure that all conversations would be taking place in 1’s language of choice in line with the Welsh Language (Wales) Measure 2011, 1 advised </w:t>
            </w:r>
            <w:r w:rsidR="00570353">
              <w:rPr>
                <w:sz w:val="24"/>
                <w:szCs w:val="24"/>
              </w:rPr>
              <w:t>they</w:t>
            </w:r>
            <w:r w:rsidRPr="0056130F">
              <w:rPr>
                <w:sz w:val="24"/>
                <w:szCs w:val="24"/>
              </w:rPr>
              <w:t xml:space="preserve"> wanted all correspondence in English. 1 identified as White Welsh and resided in a </w:t>
            </w:r>
            <w:r w:rsidR="00CE7EDD">
              <w:rPr>
                <w:sz w:val="24"/>
                <w:szCs w:val="24"/>
              </w:rPr>
              <w:t>rural</w:t>
            </w:r>
            <w:r w:rsidRPr="0056130F">
              <w:rPr>
                <w:sz w:val="24"/>
                <w:szCs w:val="24"/>
              </w:rPr>
              <w:t xml:space="preserve"> area with poor transport links and poor resources and services locally to them, they advised me that they had been admitted to hospital previously and when asking for help they were advised to present to housing options with no further discussion had.  1 told me that they were fully aware of the conditions they had been living in were not acceptable in their words, but they had lost hope in who or how to get support.   On reflection, referring to the SSWBA prior to the visit, provided me with valuable information to support 1 as I was aware of their rights to an assessment in line with section 19 of</w:t>
            </w:r>
            <w:r w:rsidR="00570353">
              <w:rPr>
                <w:sz w:val="24"/>
                <w:szCs w:val="24"/>
              </w:rPr>
              <w:t xml:space="preserve"> the</w:t>
            </w:r>
            <w:r w:rsidRPr="0056130F">
              <w:rPr>
                <w:sz w:val="24"/>
                <w:szCs w:val="24"/>
              </w:rPr>
              <w:t xml:space="preserve"> SSWBA, but I also felt frustrated that 1 had to hit crisis point prior to support being offered due to not being listened to properly previously, I felt this went against the key principles within the SSWBA in respect of early intervention and prevention.  I also reflected on how I was guilty of the information within the referral painting a picture in my head and how this differed to 1’s presentation, this was a learning experience for me as whilst I strongly feel the picture I painted didn’t impact my response and I continued to work in a non-judgemental way in line with </w:t>
            </w:r>
            <w:r w:rsidR="002E7C36">
              <w:rPr>
                <w:sz w:val="24"/>
                <w:szCs w:val="24"/>
              </w:rPr>
              <w:t>section 2.7 of the</w:t>
            </w:r>
            <w:r w:rsidR="00570353">
              <w:rPr>
                <w:sz w:val="24"/>
                <w:szCs w:val="24"/>
              </w:rPr>
              <w:t xml:space="preserve"> COPP, </w:t>
            </w:r>
            <w:r w:rsidRPr="0056130F">
              <w:rPr>
                <w:sz w:val="24"/>
                <w:szCs w:val="24"/>
              </w:rPr>
              <w:t>it made me consider how other professionals may have simply “missed” how much 1 was struggling previously when asking for help due to their presentation.  This also evidenced the importance of “what matters” conversations during early conversations and working in line with person centred practice</w:t>
            </w:r>
            <w:r w:rsidR="00DC548B">
              <w:rPr>
                <w:sz w:val="24"/>
                <w:szCs w:val="24"/>
              </w:rPr>
              <w:t xml:space="preserve"> </w:t>
            </w:r>
            <w:r w:rsidRPr="0056130F">
              <w:rPr>
                <w:sz w:val="24"/>
                <w:szCs w:val="24"/>
              </w:rPr>
              <w:t>(PCP)</w:t>
            </w:r>
            <w:r w:rsidR="00DC548B">
              <w:rPr>
                <w:sz w:val="24"/>
                <w:szCs w:val="24"/>
              </w:rPr>
              <w:t>.</w:t>
            </w:r>
            <w:r w:rsidRPr="0056130F">
              <w:rPr>
                <w:sz w:val="24"/>
                <w:szCs w:val="24"/>
              </w:rPr>
              <w:t xml:space="preserve"> (Garden 2013).</w:t>
            </w:r>
          </w:p>
          <w:p w14:paraId="60AF5D7B" w14:textId="77777777" w:rsidR="0056130F" w:rsidRPr="0056130F" w:rsidRDefault="0056130F" w:rsidP="0056130F">
            <w:pPr>
              <w:rPr>
                <w:sz w:val="24"/>
                <w:szCs w:val="24"/>
              </w:rPr>
            </w:pPr>
          </w:p>
          <w:p w14:paraId="42A221A2" w14:textId="77777777" w:rsidR="0056130F" w:rsidRPr="0056130F" w:rsidRDefault="0056130F" w:rsidP="0056130F">
            <w:pPr>
              <w:rPr>
                <w:sz w:val="24"/>
                <w:szCs w:val="24"/>
              </w:rPr>
            </w:pPr>
            <w:r w:rsidRPr="0056130F">
              <w:rPr>
                <w:sz w:val="24"/>
                <w:szCs w:val="24"/>
              </w:rPr>
              <w:t>PCP places the individual receiving support in the driving seat. ‘</w:t>
            </w:r>
            <w:r w:rsidRPr="0056130F">
              <w:rPr>
                <w:i/>
                <w:sz w:val="24"/>
                <w:szCs w:val="24"/>
              </w:rPr>
              <w:t>Person centred thinking and planning is a way to connect fundamental beliefs about what people want with practical ways of making it happen for individuals’</w:t>
            </w:r>
            <w:r w:rsidRPr="0056130F">
              <w:rPr>
                <w:sz w:val="24"/>
                <w:szCs w:val="24"/>
              </w:rPr>
              <w:t xml:space="preserve"> (Sanderson and Lewis, 2012, p. 20). Being aware of the principles underpinning PCP I ensured to apply this to my practice by actively listening, empathising with how 1 felt and gaining an understanding around what support they felt they needed to achieve positive outcomes.  By utilising PCP I was then able to share what support I could offer 1 in achieving their desired outcomes. It appeared 1 was very motivated and open to support following reaching crisis point, which in turn made me think about how PCP outcomes can change frequently dependant on need and situation at the time and it further highlighted the importance for it to be always implemented within practice at the earliest stage of intervention. There may be opportunities missed to offer further support if workers are to accept initial responses and not continue with PCP which made me reflect on whether this was the case whereby 1 was not fully listened to when seeking support which results in the crisis they found themselves in.</w:t>
            </w:r>
          </w:p>
          <w:p w14:paraId="60F1178B" w14:textId="77777777" w:rsidR="0056130F" w:rsidRPr="0056130F" w:rsidRDefault="0056130F" w:rsidP="0056130F">
            <w:pPr>
              <w:rPr>
                <w:sz w:val="24"/>
                <w:szCs w:val="24"/>
              </w:rPr>
            </w:pPr>
          </w:p>
          <w:p w14:paraId="1C212B94" w14:textId="3BB2B7C3" w:rsidR="0056130F" w:rsidRDefault="0056130F" w:rsidP="0056130F">
            <w:pPr>
              <w:rPr>
                <w:sz w:val="24"/>
                <w:szCs w:val="24"/>
              </w:rPr>
            </w:pPr>
            <w:r w:rsidRPr="0056130F">
              <w:rPr>
                <w:sz w:val="24"/>
                <w:szCs w:val="24"/>
              </w:rPr>
              <w:t>I ensured to adhere to the</w:t>
            </w:r>
            <w:r w:rsidR="007D3706">
              <w:rPr>
                <w:sz w:val="24"/>
                <w:szCs w:val="24"/>
              </w:rPr>
              <w:t xml:space="preserve"> COPP </w:t>
            </w:r>
            <w:r w:rsidRPr="0056130F">
              <w:rPr>
                <w:sz w:val="24"/>
                <w:szCs w:val="24"/>
              </w:rPr>
              <w:t xml:space="preserve">as this guides social workers in their practice.  I reflected on the importance of being aware of my own values, beliefs and standard of living. </w:t>
            </w:r>
            <w:r w:rsidRPr="0056130F">
              <w:rPr>
                <w:sz w:val="24"/>
                <w:szCs w:val="24"/>
                <w:shd w:val="clear" w:color="auto" w:fill="FFFFFF"/>
              </w:rPr>
              <w:t xml:space="preserve">There are many barriers to achieving successful outcomes such as social workers’ own values and assumptions.  Glaister (2008) raises the importance of respecting others as equals, </w:t>
            </w:r>
            <w:r w:rsidRPr="0056130F">
              <w:rPr>
                <w:sz w:val="24"/>
                <w:szCs w:val="24"/>
              </w:rPr>
              <w:t>I acknowledged my own values around how I maintain the cleanliness within my own home but I also considered my own support network and how this differed for 1, empathising with the different difficulties 1 may be facing.</w:t>
            </w:r>
          </w:p>
          <w:p w14:paraId="131A8BC8" w14:textId="77777777" w:rsidR="007D3706" w:rsidRPr="0056130F" w:rsidRDefault="007D3706" w:rsidP="0056130F">
            <w:pPr>
              <w:rPr>
                <w:sz w:val="24"/>
                <w:szCs w:val="24"/>
              </w:rPr>
            </w:pPr>
          </w:p>
          <w:p w14:paraId="3F919ED0" w14:textId="77777777" w:rsidR="0056130F" w:rsidRDefault="0056130F" w:rsidP="0056130F">
            <w:pPr>
              <w:rPr>
                <w:sz w:val="24"/>
                <w:szCs w:val="24"/>
              </w:rPr>
            </w:pPr>
            <w:r w:rsidRPr="0056130F">
              <w:rPr>
                <w:sz w:val="24"/>
                <w:szCs w:val="24"/>
              </w:rPr>
              <w:lastRenderedPageBreak/>
              <w:t xml:space="preserve">On reflection I feel being aware of my own values enabled me to work in an anti-oppressive way, I was consciously aware to not make any judgements based on what the referrer shared and instead I was more eager to listen and understand 1’s own views of their circumstances.  </w:t>
            </w:r>
          </w:p>
          <w:p w14:paraId="4F37B742" w14:textId="77777777" w:rsidR="0056130F" w:rsidRPr="0056130F" w:rsidRDefault="0056130F" w:rsidP="0056130F">
            <w:pPr>
              <w:rPr>
                <w:sz w:val="24"/>
                <w:szCs w:val="24"/>
              </w:rPr>
            </w:pPr>
          </w:p>
          <w:p w14:paraId="5086676E" w14:textId="082E2C41" w:rsidR="0056130F" w:rsidRDefault="0056130F" w:rsidP="0056130F">
            <w:pPr>
              <w:rPr>
                <w:sz w:val="24"/>
                <w:szCs w:val="24"/>
              </w:rPr>
            </w:pPr>
            <w:r w:rsidRPr="0056130F">
              <w:rPr>
                <w:sz w:val="24"/>
                <w:szCs w:val="24"/>
              </w:rPr>
              <w:t>Following receiving the referral, the ambulance crew also submitted their own safeguarding referral to the local authority safeguarding team.  The SSWBA requires the local authority to work collaboratively with other agencies such as specific safeguarding teams, health care and housing to provide support.  In line with the SSWBA, I arranged a consultation with the local authority safeguarding adults</w:t>
            </w:r>
            <w:r w:rsidR="005C527C">
              <w:rPr>
                <w:sz w:val="24"/>
                <w:szCs w:val="24"/>
              </w:rPr>
              <w:t>’</w:t>
            </w:r>
            <w:r w:rsidRPr="0056130F">
              <w:rPr>
                <w:sz w:val="24"/>
                <w:szCs w:val="24"/>
              </w:rPr>
              <w:t xml:space="preserve"> team to ensure everyone was fully aware of 1’s circumstance and this was fully assessed.  This included whether alternative accommodation was required due to the risk of harm to 1 if they returned.  I was informed that best practice would be with 1s consent to attend the property with the housing officer to assess the situation.</w:t>
            </w:r>
          </w:p>
          <w:p w14:paraId="301A1E51" w14:textId="77777777" w:rsidR="0056130F" w:rsidRPr="0056130F" w:rsidRDefault="0056130F" w:rsidP="0056130F">
            <w:pPr>
              <w:rPr>
                <w:sz w:val="24"/>
                <w:szCs w:val="24"/>
              </w:rPr>
            </w:pPr>
          </w:p>
          <w:p w14:paraId="4F3AC6F2" w14:textId="0F4A7604" w:rsidR="0056130F" w:rsidRPr="0056130F" w:rsidRDefault="0056130F" w:rsidP="0056130F">
            <w:pPr>
              <w:rPr>
                <w:sz w:val="24"/>
                <w:szCs w:val="24"/>
              </w:rPr>
            </w:pPr>
            <w:r w:rsidRPr="0056130F">
              <w:rPr>
                <w:sz w:val="24"/>
                <w:szCs w:val="24"/>
              </w:rPr>
              <w:t>1 provided me with keys to enter the property, at this point 1 was visibly upset and told me that they were embarrassed at what I and the housing officer was going to witness at the property.  I felt at this point a task centred approach (Reid and Epstein, 1972) worked well with 1 – they evidently w</w:t>
            </w:r>
            <w:r w:rsidR="00880FB7">
              <w:rPr>
                <w:sz w:val="24"/>
                <w:szCs w:val="24"/>
              </w:rPr>
              <w:t>ere</w:t>
            </w:r>
            <w:r w:rsidRPr="0056130F">
              <w:rPr>
                <w:sz w:val="24"/>
                <w:szCs w:val="24"/>
              </w:rPr>
              <w:t xml:space="preserve"> very open to support and wanting things to change for them.  Utilising this approach was useful as this enabled 1 to identify what was required of them in short to be able to move forward and meet their desired outcomes.  I explained that in order to access appropriate housing, the housing officer was required to visit the property and deem the property unhabitable due to safety hazards as highlighted within the referral and through discussions with 1.   There is currently a housing crisis in Wales, with very limited housing available, this in turn can affect individuals accessing support services (Senedd Research 2023). I explained to 1 further assessment was required to evidence the need for housing support.  I felt giving 1 the relevant time and information to explain this, supported them in accepting and understanding the need for further assessment whilst still empowering them to remain in control over the outcomes that mattered to them in line with the SSWBA. </w:t>
            </w:r>
          </w:p>
          <w:p w14:paraId="1CEEFF8B" w14:textId="77777777" w:rsidR="0056130F" w:rsidRPr="0056130F" w:rsidRDefault="0056130F" w:rsidP="0056130F">
            <w:pPr>
              <w:rPr>
                <w:sz w:val="24"/>
                <w:szCs w:val="24"/>
              </w:rPr>
            </w:pPr>
          </w:p>
          <w:p w14:paraId="17CE31DE" w14:textId="369E2190" w:rsidR="0056130F" w:rsidRPr="0056130F" w:rsidRDefault="0056130F" w:rsidP="0056130F">
            <w:pPr>
              <w:rPr>
                <w:sz w:val="24"/>
                <w:szCs w:val="24"/>
              </w:rPr>
            </w:pPr>
            <w:r w:rsidRPr="0056130F">
              <w:rPr>
                <w:sz w:val="24"/>
                <w:szCs w:val="24"/>
              </w:rPr>
              <w:t>On arrival at the property</w:t>
            </w:r>
            <w:r w:rsidR="003B7FE9">
              <w:rPr>
                <w:sz w:val="24"/>
                <w:szCs w:val="24"/>
              </w:rPr>
              <w:t>,</w:t>
            </w:r>
            <w:r w:rsidRPr="0056130F">
              <w:rPr>
                <w:sz w:val="24"/>
                <w:szCs w:val="24"/>
              </w:rPr>
              <w:t xml:space="preserve"> it was evident that several parcels had been purchased and left outside the property due to 1 being admitted to hospital. The housing officer and I attempted to enter via the front door, however this was impossible to open due to the volume of parcels, clothes and rubbish that were present up to the height of the door, forcing the door closed.  We them attempted to access the back of the property.  When opening the door we were immediately greeted by a large volume of blowflies and a distinctive smell of ammonia thereafter. As described by the ambulance crew and 1 themself, there was dog and human faeces and urine throughout the property to the extent that the floor was very slippery and floorboards were disintegrating.  All the doors had been broken and visibly significantly scratched and damaged by what I can only describe as a distressed dog.  The electrical appliances were hanging off the wall and there was no access to any form of hot water or heating due to broken down boilers and pipework.  There was a significant amount of rubbish scattered around the ground floor of the property which included a high volume of empty bottles of wine and broken glass. The fridge/freezer was not working due to limited working electrical sockets, old food was left inside that had started to go very stale and </w:t>
            </w:r>
            <w:r w:rsidRPr="0056130F">
              <w:rPr>
                <w:sz w:val="24"/>
                <w:szCs w:val="24"/>
              </w:rPr>
              <w:lastRenderedPageBreak/>
              <w:t xml:space="preserve">mouldy due to the temperature and gone off food.  Due to the condition of the property and the health and safety risk to both myself and the housing officer we were unable to move any further throughout the property.  </w:t>
            </w:r>
          </w:p>
          <w:p w14:paraId="5C5BD83B" w14:textId="77777777" w:rsidR="0056130F" w:rsidRPr="0056130F" w:rsidRDefault="0056130F" w:rsidP="0056130F">
            <w:pPr>
              <w:rPr>
                <w:sz w:val="24"/>
                <w:szCs w:val="24"/>
              </w:rPr>
            </w:pPr>
          </w:p>
          <w:p w14:paraId="4A832D52" w14:textId="3C5E243B" w:rsidR="0056130F" w:rsidRDefault="0056130F" w:rsidP="0056130F">
            <w:pPr>
              <w:rPr>
                <w:sz w:val="24"/>
                <w:szCs w:val="24"/>
              </w:rPr>
            </w:pPr>
            <w:r w:rsidRPr="0056130F">
              <w:rPr>
                <w:sz w:val="24"/>
                <w:szCs w:val="24"/>
              </w:rPr>
              <w:t>My professional judgement at this point, based on what I was able to observe during my visit was that 1 would be at risk of harm if they returned to live within this environment.  I felt that a further discussion with the wider multi-disciplinary team was required to facilitate support services, I also felt it was important that 1 was involved in these discussions in</w:t>
            </w:r>
            <w:r w:rsidR="00CE2FA0">
              <w:rPr>
                <w:sz w:val="24"/>
                <w:szCs w:val="24"/>
              </w:rPr>
              <w:t xml:space="preserve"> </w:t>
            </w:r>
            <w:r w:rsidRPr="0056130F">
              <w:rPr>
                <w:sz w:val="24"/>
                <w:szCs w:val="24"/>
              </w:rPr>
              <w:t>line with the SSWBA in terms of voice and control and collaborative working. I returned the keys to 1 and fed back how the visit went, I also described to 1 what I had seen to allow 1 the opportunity to further express their emotions, I allowed 1 time to compose themselves and I felt this showed 1 I had respect for them.  I was mindful about my body language and facial expressions when describing what I had witnessed as I did not want 1 to feel I was being judgemental or forming my own opinion of them of the back of the visit.  I reassured 1 throughout discussion and I was actively listening to how they seen their own situation.  I feel using this approach supported 1 to fully engage, Wilson (2008) highlights that professional relationships with service users require the development of good communication skills, Wilson (2008) particularly highlights the importance of professionals utilising time and not rushing this process.</w:t>
            </w:r>
          </w:p>
          <w:p w14:paraId="13080B6D" w14:textId="77777777" w:rsidR="0056130F" w:rsidRPr="0056130F" w:rsidRDefault="0056130F" w:rsidP="0056130F">
            <w:pPr>
              <w:rPr>
                <w:sz w:val="24"/>
                <w:szCs w:val="24"/>
              </w:rPr>
            </w:pPr>
          </w:p>
          <w:p w14:paraId="256E6D1F" w14:textId="655A31FC" w:rsidR="0056130F" w:rsidRPr="0056130F" w:rsidRDefault="0056130F" w:rsidP="0056130F">
            <w:pPr>
              <w:rPr>
                <w:sz w:val="24"/>
                <w:szCs w:val="24"/>
              </w:rPr>
            </w:pPr>
            <w:r w:rsidRPr="0056130F">
              <w:rPr>
                <w:sz w:val="24"/>
                <w:szCs w:val="24"/>
              </w:rPr>
              <w:t>I feel due to my approach this invited 1 to further expand on their current circumstances.  1 explained that their mental health had declined over the last year, 1 went on to explain slowly things stopped working within the home and they simply did not have the finances to fix this.  1 spoke highly about their support network in 2 and 3 however advised that they would not allow them to enter their property due to shame and instead acknowledged that the situation was escalating but felt they had nowhere to turn.  1 explained that a coping mechanism for them was to purchase online items second hand, which explained the volume of parcels outside and inside the property, they also went on to share that they enjoyed a bottle of wine as this supported with forgetting their reality.  1 said they felt it was time to be open with 2 and 3 about their current situation as they recognise the volume of support 2 and 3 can offer and felt this was valuable in supporting them to reach their desired outcome of accessing a clean and secure property and services to support their low mood and isolation.  I asked whether 1 felt a meeting with myself, housing and health alongside their support network would be beneficial and 1 agreed this was required to move forward.  I also explained that I would like to complete a referral to the psychiatric team for 1 to have the opportunity to speak to a mental health professional about their feelings and low mood and how this has led to the conditions they have found themselves in.  The Mental Health (Wales) Measure (2010) is a law that gives people in Wales legal rights to access local mental health services, care planning, and advocacy. In line with Section 126 (2) of the SSWBA I felt it appropriate that action was required in respect of accessing health services to support 1.  The findings of the Section 126 enquiry under the</w:t>
            </w:r>
            <w:r w:rsidR="004C0EB3">
              <w:rPr>
                <w:sz w:val="24"/>
                <w:szCs w:val="24"/>
              </w:rPr>
              <w:t xml:space="preserve"> SSWBA</w:t>
            </w:r>
            <w:r w:rsidRPr="0056130F">
              <w:rPr>
                <w:sz w:val="24"/>
                <w:szCs w:val="24"/>
              </w:rPr>
              <w:t xml:space="preserve"> also identified the need for a social work assessment. Consequently, an assessment was instigated in accordance with Section 19 of the SSWBA, which places a duty on the local authority to assess an adult's needs for care and support where it appears that they may have such needs.</w:t>
            </w:r>
          </w:p>
          <w:p w14:paraId="185CF8EF" w14:textId="77777777" w:rsidR="0056130F" w:rsidRPr="0056130F" w:rsidRDefault="0056130F" w:rsidP="0056130F">
            <w:pPr>
              <w:rPr>
                <w:sz w:val="24"/>
                <w:szCs w:val="24"/>
              </w:rPr>
            </w:pPr>
          </w:p>
          <w:p w14:paraId="41C6A4EB" w14:textId="14A8655A" w:rsidR="0056130F" w:rsidRPr="0056130F" w:rsidRDefault="0056130F" w:rsidP="0056130F">
            <w:pPr>
              <w:rPr>
                <w:sz w:val="24"/>
                <w:szCs w:val="24"/>
              </w:rPr>
            </w:pPr>
            <w:r w:rsidRPr="0056130F">
              <w:rPr>
                <w:sz w:val="24"/>
                <w:szCs w:val="24"/>
              </w:rPr>
              <w:lastRenderedPageBreak/>
              <w:t>I reflected on how I gave 1 a strong voice and control over any support that was offered and acknowledged that whilst I can offer support this has to be accepted by 1 as any referral requires consent from the person in need of the service unless they are deemed to lack capacity to make this decision under the MCA (2005).  I felt by empowering 1 to feel and remain in control of meeting their own desired outcomes, supported them to want to engage and access services.  1 spoke about their experience with health professionals previously and power imbalances, I felt by working in line with the</w:t>
            </w:r>
            <w:r w:rsidR="00CB4F9B">
              <w:rPr>
                <w:sz w:val="24"/>
                <w:szCs w:val="24"/>
              </w:rPr>
              <w:t xml:space="preserve"> COPP</w:t>
            </w:r>
            <w:r w:rsidRPr="0056130F">
              <w:rPr>
                <w:sz w:val="24"/>
                <w:szCs w:val="24"/>
              </w:rPr>
              <w:t xml:space="preserve"> ensuring I was respecting and promoting the rights, views and wishes of 1 supported them in feeling heard and in control.  </w:t>
            </w:r>
          </w:p>
          <w:p w14:paraId="7CB198C5" w14:textId="77777777" w:rsidR="0056130F" w:rsidRPr="0056130F" w:rsidRDefault="0056130F" w:rsidP="0056130F">
            <w:pPr>
              <w:rPr>
                <w:sz w:val="24"/>
                <w:szCs w:val="24"/>
              </w:rPr>
            </w:pPr>
          </w:p>
          <w:p w14:paraId="443EAFC2" w14:textId="77777777" w:rsidR="0056130F" w:rsidRDefault="0056130F" w:rsidP="0056130F">
            <w:pPr>
              <w:rPr>
                <w:sz w:val="24"/>
                <w:szCs w:val="24"/>
              </w:rPr>
            </w:pPr>
            <w:r w:rsidRPr="0056130F">
              <w:rPr>
                <w:sz w:val="24"/>
                <w:szCs w:val="24"/>
              </w:rPr>
              <w:t>I was aware through discussions that 2 and 3 did not live locally and therefore this explained how 1 was able to mask the conditions they had been living in.  When considering support services that were available within their area I had to consider how these would be accessed and overcome any barriers from the offset in order to motivate 1 to engage.  On reflection I had to remind myself to not place my expectations on 1, and allow 1 to be in control whilst offering assistance and advice on how to access services in order to meet their desired outcomes.  Living in a rural area I had to consider transport links and volume of support services available, it invited me to think about how this differs to urban areas within Wales and how there appears to be more accessible services and resources within urban areas.</w:t>
            </w:r>
          </w:p>
          <w:p w14:paraId="5D9D6D54" w14:textId="77777777" w:rsidR="0056130F" w:rsidRPr="0056130F" w:rsidRDefault="0056130F" w:rsidP="0056130F">
            <w:pPr>
              <w:rPr>
                <w:sz w:val="24"/>
                <w:szCs w:val="24"/>
              </w:rPr>
            </w:pPr>
          </w:p>
          <w:p w14:paraId="33E9786C" w14:textId="16AB37BA" w:rsidR="0056130F" w:rsidRDefault="0056130F" w:rsidP="0056130F">
            <w:pPr>
              <w:rPr>
                <w:sz w:val="24"/>
                <w:szCs w:val="24"/>
              </w:rPr>
            </w:pPr>
            <w:r w:rsidRPr="0056130F">
              <w:rPr>
                <w:sz w:val="24"/>
                <w:szCs w:val="24"/>
              </w:rPr>
              <w:t xml:space="preserve">A meeting was arranged with 1, 2 and 3 alongside a housing officer and health colleagues.  This appeared to be very beneficial to 1 as it highlighted what support was available but also highlighted to professionals the benefits of collaborative working in line with </w:t>
            </w:r>
            <w:r w:rsidR="00F925E3">
              <w:rPr>
                <w:sz w:val="24"/>
                <w:szCs w:val="24"/>
              </w:rPr>
              <w:t xml:space="preserve">the </w:t>
            </w:r>
            <w:r w:rsidRPr="0056130F">
              <w:rPr>
                <w:sz w:val="24"/>
                <w:szCs w:val="24"/>
              </w:rPr>
              <w:t xml:space="preserve">SSWBA as it identified which professional were best to provide support to meet 1s identified need.  I also found that calling everyone together provided 1 with reassurance that we were all working in a person-centred manner ensuring that 1 was at the centre of the care being provided.  </w:t>
            </w:r>
          </w:p>
          <w:p w14:paraId="3B0EE663" w14:textId="77777777" w:rsidR="00F925E3" w:rsidRPr="0056130F" w:rsidRDefault="00F925E3" w:rsidP="0056130F">
            <w:pPr>
              <w:rPr>
                <w:sz w:val="24"/>
                <w:szCs w:val="24"/>
              </w:rPr>
            </w:pPr>
          </w:p>
          <w:p w14:paraId="1EBDA3FF" w14:textId="77777777" w:rsidR="0056130F" w:rsidRDefault="0056130F" w:rsidP="0056130F">
            <w:pPr>
              <w:rPr>
                <w:sz w:val="24"/>
                <w:szCs w:val="24"/>
              </w:rPr>
            </w:pPr>
            <w:r w:rsidRPr="0056130F">
              <w:rPr>
                <w:sz w:val="24"/>
                <w:szCs w:val="24"/>
              </w:rPr>
              <w:t>Discussions took place with housing, this I felt was a difficult conversation for 1 as at times during the discussion it felt that 1 did not have much choice in terms of accepting alternative accommodation. This created a dilemma for me as I felt it emphasised how we cannot maintain peoples wishes and feelings when providing support around housing when people find themselves in crisis due to the housing shortages within the area in which 1 resided, I felt this contradicted the SSWBA as 1 was told they only had one option provided to them and if they did not accept this, they would no longer be a priority for housing and could essentially be homeless.</w:t>
            </w:r>
          </w:p>
          <w:p w14:paraId="4756765E" w14:textId="77777777" w:rsidR="0056130F" w:rsidRPr="0056130F" w:rsidRDefault="0056130F" w:rsidP="0056130F">
            <w:pPr>
              <w:rPr>
                <w:sz w:val="24"/>
                <w:szCs w:val="24"/>
              </w:rPr>
            </w:pPr>
          </w:p>
          <w:p w14:paraId="6C494287" w14:textId="77777777" w:rsidR="0056130F" w:rsidRDefault="0056130F" w:rsidP="0056130F">
            <w:pPr>
              <w:rPr>
                <w:sz w:val="24"/>
                <w:szCs w:val="24"/>
              </w:rPr>
            </w:pPr>
            <w:r w:rsidRPr="0056130F">
              <w:rPr>
                <w:sz w:val="24"/>
                <w:szCs w:val="24"/>
              </w:rPr>
              <w:t xml:space="preserve">Through further discussions with 1, they highlighted that they felt they needed support with budgeting and managing finances, whilst 1 had financial capacity to independently manage their finances, they told me they felt overwhelmed by bills and debt and therefore felt support to manage this would be beneficial and in turn could support them in maintaining the property long term.  It was evident at this stage that 1 was ready to open up to support however I felt as they felt more comfortable to open up about their challenges, it was affecting their low mood and motivation due to feeling overwhelmed at the volume of support they felt they required.  I felt at this point a solution focused approach supported 1 to overcome this emotion (Shennan, 2019).  By utilising this approach, I supported 1 to identify </w:t>
            </w:r>
            <w:r w:rsidRPr="0056130F">
              <w:rPr>
                <w:sz w:val="24"/>
                <w:szCs w:val="24"/>
              </w:rPr>
              <w:lastRenderedPageBreak/>
              <w:t>their desired outcomes and explore how their existing strengths, skills and strategies could be used to achieve their identified outcomes. We discussed 1’s ability to maintain a job during this difficult time, and their time management skills and organisational skills which evidently lifted 1’s mood during discussion.</w:t>
            </w:r>
          </w:p>
          <w:p w14:paraId="5695A7A6" w14:textId="77777777" w:rsidR="0056130F" w:rsidRPr="0056130F" w:rsidRDefault="0056130F" w:rsidP="0056130F">
            <w:pPr>
              <w:rPr>
                <w:sz w:val="24"/>
                <w:szCs w:val="24"/>
              </w:rPr>
            </w:pPr>
          </w:p>
          <w:p w14:paraId="2585AE15" w14:textId="77777777" w:rsidR="00CA4DCA" w:rsidRDefault="0056130F" w:rsidP="0056130F">
            <w:pPr>
              <w:rPr>
                <w:sz w:val="24"/>
                <w:szCs w:val="24"/>
              </w:rPr>
            </w:pPr>
            <w:r w:rsidRPr="0056130F">
              <w:rPr>
                <w:sz w:val="24"/>
                <w:szCs w:val="24"/>
              </w:rPr>
              <w:t>2 and 3 were very supportive during the meeting and provided 1 with information as to what support they could offer, now knowing that 1 was struggling with their mental health, 2 made plans to visit one day in the week to support 1 in attending a service that supports people with low mood and isolation.  This alone lifted 1’s spirit as this was one day whereby transport would not be an issue for 1.  This made me reflect on people residing within rural areas and the challenges with meeting their needs in terms of accessing services.  Section 15 (1)</w:t>
            </w:r>
            <w:r w:rsidR="00CA4DCA">
              <w:rPr>
                <w:sz w:val="24"/>
                <w:szCs w:val="24"/>
              </w:rPr>
              <w:t xml:space="preserve"> of the</w:t>
            </w:r>
            <w:r w:rsidRPr="0056130F">
              <w:rPr>
                <w:sz w:val="24"/>
                <w:szCs w:val="24"/>
              </w:rPr>
              <w:t xml:space="preserve"> SSWBA places a duty on the Local Authority to provide or arrange the provision </w:t>
            </w:r>
            <w:r w:rsidR="00CA4DCA">
              <w:rPr>
                <w:sz w:val="24"/>
                <w:szCs w:val="24"/>
              </w:rPr>
              <w:t xml:space="preserve">of </w:t>
            </w:r>
            <w:r w:rsidRPr="0056130F">
              <w:rPr>
                <w:sz w:val="24"/>
                <w:szCs w:val="24"/>
              </w:rPr>
              <w:t xml:space="preserve">services. I was aware of a service within the community that supports with house visits, budgeting and wellbeing following hospital admission which I felt may benefit 1, 1 was open to this service and subsequently the plan was to complete this referral. </w:t>
            </w:r>
          </w:p>
          <w:p w14:paraId="44B08241" w14:textId="77777777" w:rsidR="00CA4DCA" w:rsidRDefault="00CA4DCA" w:rsidP="0056130F">
            <w:pPr>
              <w:rPr>
                <w:sz w:val="24"/>
                <w:szCs w:val="24"/>
              </w:rPr>
            </w:pPr>
          </w:p>
          <w:p w14:paraId="518A2D87" w14:textId="72ABE976" w:rsidR="0056130F" w:rsidRDefault="0056130F" w:rsidP="0056130F">
            <w:pPr>
              <w:rPr>
                <w:sz w:val="24"/>
                <w:szCs w:val="24"/>
              </w:rPr>
            </w:pPr>
            <w:r w:rsidRPr="0056130F">
              <w:rPr>
                <w:sz w:val="24"/>
                <w:szCs w:val="24"/>
              </w:rPr>
              <w:t>However, due to not knowing where 1 would be residing within their area this referral had to be placed on hold.  1 told me ordinarily they would have lost confidence that this would happen when a property is sourced however they were satisfied that I would remain reliable and consistent and complete the referral when a property became available.  Section 5 of the C</w:t>
            </w:r>
            <w:r w:rsidR="009F7B5E">
              <w:rPr>
                <w:sz w:val="24"/>
                <w:szCs w:val="24"/>
              </w:rPr>
              <w:t>OPP</w:t>
            </w:r>
            <w:r w:rsidRPr="0056130F">
              <w:rPr>
                <w:sz w:val="24"/>
                <w:szCs w:val="24"/>
              </w:rPr>
              <w:t xml:space="preserve"> states that I must act with integrity and in a way that maintains public trust and confidence in the social care profession – at work and outside work, online and in person</w:t>
            </w:r>
            <w:r w:rsidR="009F7B5E">
              <w:rPr>
                <w:sz w:val="24"/>
                <w:szCs w:val="24"/>
              </w:rPr>
              <w:t>,</w:t>
            </w:r>
            <w:r w:rsidRPr="0056130F">
              <w:rPr>
                <w:sz w:val="24"/>
                <w:szCs w:val="24"/>
              </w:rPr>
              <w:t xml:space="preserve"> this invited me to reflect on my intervention with 1 and my approach in that I was able to build such a rapport with 1 in order to gain trust.  </w:t>
            </w:r>
          </w:p>
          <w:p w14:paraId="4EA3E2E8" w14:textId="77777777" w:rsidR="009F7B5E" w:rsidRPr="0056130F" w:rsidRDefault="009F7B5E" w:rsidP="0056130F">
            <w:pPr>
              <w:rPr>
                <w:sz w:val="24"/>
                <w:szCs w:val="24"/>
              </w:rPr>
            </w:pPr>
          </w:p>
          <w:p w14:paraId="3D0170E1" w14:textId="77777777" w:rsidR="0056130F" w:rsidRDefault="0056130F" w:rsidP="0056130F">
            <w:pPr>
              <w:rPr>
                <w:sz w:val="24"/>
                <w:szCs w:val="24"/>
              </w:rPr>
            </w:pPr>
            <w:r w:rsidRPr="0056130F">
              <w:rPr>
                <w:sz w:val="24"/>
                <w:szCs w:val="24"/>
              </w:rPr>
              <w:t xml:space="preserve"> This reflective case study has demonstrated the complex nature of safeguarding adults and the importance of applying legislation, social work values, theory and professional judgement throughout the assessment process. Through my involvement with 1, I gained a greater understanding of the balance required between promoting an individual's rights, wishes and autonomy while responding appropriately to concerns regarding safety and wellbeing.</w:t>
            </w:r>
          </w:p>
          <w:p w14:paraId="23983DD2" w14:textId="77777777" w:rsidR="0056130F" w:rsidRPr="0056130F" w:rsidRDefault="0056130F" w:rsidP="0056130F">
            <w:pPr>
              <w:rPr>
                <w:sz w:val="24"/>
                <w:szCs w:val="24"/>
              </w:rPr>
            </w:pPr>
          </w:p>
          <w:p w14:paraId="7B544399" w14:textId="4DF69539" w:rsidR="0056130F" w:rsidRDefault="0056130F" w:rsidP="0056130F">
            <w:pPr>
              <w:rPr>
                <w:sz w:val="24"/>
                <w:szCs w:val="24"/>
              </w:rPr>
            </w:pPr>
            <w:r w:rsidRPr="0056130F">
              <w:rPr>
                <w:sz w:val="24"/>
                <w:szCs w:val="24"/>
              </w:rPr>
              <w:t>The case highlighted the significance of legislative frameworks, particularly the</w:t>
            </w:r>
            <w:r w:rsidR="009F7B5E">
              <w:rPr>
                <w:sz w:val="24"/>
                <w:szCs w:val="24"/>
              </w:rPr>
              <w:t xml:space="preserve"> SSWBA</w:t>
            </w:r>
            <w:r w:rsidRPr="0056130F">
              <w:rPr>
                <w:sz w:val="24"/>
                <w:szCs w:val="24"/>
              </w:rPr>
              <w:t>, the M</w:t>
            </w:r>
            <w:r w:rsidR="009F7B5E">
              <w:rPr>
                <w:sz w:val="24"/>
                <w:szCs w:val="24"/>
              </w:rPr>
              <w:t>CA</w:t>
            </w:r>
            <w:r w:rsidR="00786AD5">
              <w:rPr>
                <w:sz w:val="24"/>
                <w:szCs w:val="24"/>
              </w:rPr>
              <w:t xml:space="preserve"> (2005)</w:t>
            </w:r>
            <w:r w:rsidRPr="0056130F">
              <w:rPr>
                <w:sz w:val="24"/>
                <w:szCs w:val="24"/>
              </w:rPr>
              <w:t xml:space="preserve">, the Human Rights Act </w:t>
            </w:r>
            <w:r w:rsidR="00786AD5">
              <w:rPr>
                <w:sz w:val="24"/>
                <w:szCs w:val="24"/>
              </w:rPr>
              <w:t>(</w:t>
            </w:r>
            <w:r w:rsidRPr="0056130F">
              <w:rPr>
                <w:sz w:val="24"/>
                <w:szCs w:val="24"/>
              </w:rPr>
              <w:t>1998</w:t>
            </w:r>
            <w:r w:rsidR="00786AD5">
              <w:rPr>
                <w:sz w:val="24"/>
                <w:szCs w:val="24"/>
              </w:rPr>
              <w:t>)</w:t>
            </w:r>
            <w:r w:rsidRPr="0056130F">
              <w:rPr>
                <w:sz w:val="24"/>
                <w:szCs w:val="24"/>
              </w:rPr>
              <w:t xml:space="preserve"> and the Wales Safeguarding Procedures (2019), in informing decision-making and ensuring that interventions remained lawful, proportionate and person-centred. It reinforced the importance of social workers having a sound understanding of the law to safeguard individuals whilst promoting their rights and voice throughout assessment and intervention.</w:t>
            </w:r>
          </w:p>
          <w:p w14:paraId="65C396DF" w14:textId="77777777" w:rsidR="0056130F" w:rsidRPr="0056130F" w:rsidRDefault="0056130F" w:rsidP="0056130F">
            <w:pPr>
              <w:rPr>
                <w:sz w:val="24"/>
                <w:szCs w:val="24"/>
              </w:rPr>
            </w:pPr>
          </w:p>
          <w:p w14:paraId="6AB238F2" w14:textId="77777777" w:rsidR="0056130F" w:rsidRDefault="0056130F" w:rsidP="0056130F">
            <w:pPr>
              <w:rPr>
                <w:sz w:val="24"/>
                <w:szCs w:val="24"/>
              </w:rPr>
            </w:pPr>
            <w:r w:rsidRPr="0056130F">
              <w:rPr>
                <w:sz w:val="24"/>
                <w:szCs w:val="24"/>
              </w:rPr>
              <w:t>Through collaborative working with housing, health professionals, the safeguarding team and 1's support network, positive outcomes were achieved that addressed both immediate risks and longer-term wellbeing needs. The assessment also demonstrated the value of person-centred practice, ensuring that 1 remained at the centre of decision-making and maintained control over the support being offered. The use of task-centred and solution-focused approaches supported 1 to identify achievable goals, recognise personal strengths and engage positively with services.</w:t>
            </w:r>
          </w:p>
          <w:p w14:paraId="0FC4B279" w14:textId="77777777" w:rsidR="0056130F" w:rsidRPr="0056130F" w:rsidRDefault="0056130F" w:rsidP="0056130F">
            <w:pPr>
              <w:rPr>
                <w:sz w:val="24"/>
                <w:szCs w:val="24"/>
              </w:rPr>
            </w:pPr>
          </w:p>
          <w:p w14:paraId="523F7933" w14:textId="77777777" w:rsidR="0056130F" w:rsidRDefault="0056130F" w:rsidP="0056130F">
            <w:pPr>
              <w:rPr>
                <w:sz w:val="24"/>
                <w:szCs w:val="24"/>
              </w:rPr>
            </w:pPr>
            <w:r w:rsidRPr="0056130F">
              <w:rPr>
                <w:sz w:val="24"/>
                <w:szCs w:val="24"/>
              </w:rPr>
              <w:t xml:space="preserve">Critically reflecting on my practice increased my awareness of the importance of remaining non-judgemental, recognising my own personal values, and working in an anti-oppressive manner. </w:t>
            </w:r>
          </w:p>
          <w:p w14:paraId="71B700C0" w14:textId="77777777" w:rsidR="0056130F" w:rsidRPr="0056130F" w:rsidRDefault="0056130F" w:rsidP="0056130F">
            <w:pPr>
              <w:rPr>
                <w:sz w:val="24"/>
                <w:szCs w:val="24"/>
              </w:rPr>
            </w:pPr>
          </w:p>
          <w:p w14:paraId="681978D6" w14:textId="77777777" w:rsidR="0056130F" w:rsidRPr="0056130F" w:rsidRDefault="0056130F" w:rsidP="0056130F">
            <w:pPr>
              <w:rPr>
                <w:sz w:val="24"/>
                <w:szCs w:val="24"/>
              </w:rPr>
            </w:pPr>
            <w:r w:rsidRPr="0056130F">
              <w:rPr>
                <w:sz w:val="24"/>
                <w:szCs w:val="24"/>
              </w:rPr>
              <w:t xml:space="preserve">Overall, this experience has strengthened my confidence in safeguarding practice and highlighted the importance of empowering individuals through collaborative working utilising social work theories such as person-centred practice and task centred practice. Moving forward, this experience has emphasised the importance of social workers having an awareness and utilising good communication skills, being mindful of ones’ body language and always working in an anti-oppressive way in order to support those in need to meet their desired outcomes at a pace suited to them. </w:t>
            </w:r>
          </w:p>
          <w:p w14:paraId="343D8561" w14:textId="77777777" w:rsidR="0056130F" w:rsidRPr="0026618E" w:rsidRDefault="0056130F" w:rsidP="0056130F"/>
          <w:p w14:paraId="20370495" w14:textId="79B79501" w:rsidR="00D3203C" w:rsidRPr="0056130F" w:rsidRDefault="00D3203C" w:rsidP="00FF7EBB">
            <w:pPr>
              <w:jc w:val="both"/>
              <w:rPr>
                <w:iCs/>
                <w:sz w:val="24"/>
                <w:szCs w:val="24"/>
              </w:rPr>
            </w:pPr>
          </w:p>
          <w:p w14:paraId="43CA65F6" w14:textId="1FC8A693" w:rsidR="00D3203C" w:rsidRPr="003800C0" w:rsidRDefault="003800C0" w:rsidP="00FF7EBB">
            <w:pPr>
              <w:jc w:val="both"/>
              <w:rPr>
                <w:iCs/>
                <w:sz w:val="24"/>
                <w:szCs w:val="24"/>
              </w:rPr>
            </w:pPr>
            <w:r>
              <w:rPr>
                <w:iCs/>
                <w:sz w:val="24"/>
                <w:szCs w:val="24"/>
              </w:rPr>
              <w:t>Word count 4045</w:t>
            </w: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95B40" w14:textId="77777777" w:rsidR="00411516" w:rsidRDefault="00411516">
      <w:r>
        <w:separator/>
      </w:r>
    </w:p>
  </w:endnote>
  <w:endnote w:type="continuationSeparator" w:id="0">
    <w:p w14:paraId="45AC9AB8" w14:textId="77777777" w:rsidR="00411516" w:rsidRDefault="004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33C1C" w14:textId="77777777" w:rsidR="00411516" w:rsidRDefault="00411516">
      <w:r>
        <w:separator/>
      </w:r>
    </w:p>
  </w:footnote>
  <w:footnote w:type="continuationSeparator" w:id="0">
    <w:p w14:paraId="693D85C1" w14:textId="77777777" w:rsidR="00411516" w:rsidRDefault="004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7D9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3F66"/>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1076"/>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C36"/>
    <w:rsid w:val="002E7F2C"/>
    <w:rsid w:val="002F1FC7"/>
    <w:rsid w:val="002F2185"/>
    <w:rsid w:val="002F4F6E"/>
    <w:rsid w:val="003015C3"/>
    <w:rsid w:val="0030590D"/>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00C0"/>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B7FE9"/>
    <w:rsid w:val="003C0E03"/>
    <w:rsid w:val="003C19F1"/>
    <w:rsid w:val="003C3C67"/>
    <w:rsid w:val="003C4186"/>
    <w:rsid w:val="003C6185"/>
    <w:rsid w:val="003D0D2D"/>
    <w:rsid w:val="003D1885"/>
    <w:rsid w:val="003D1BC0"/>
    <w:rsid w:val="003D20F1"/>
    <w:rsid w:val="003D27F2"/>
    <w:rsid w:val="003D4710"/>
    <w:rsid w:val="003E16D7"/>
    <w:rsid w:val="003E197E"/>
    <w:rsid w:val="003E4B70"/>
    <w:rsid w:val="003E54CF"/>
    <w:rsid w:val="003E5FBA"/>
    <w:rsid w:val="003F1233"/>
    <w:rsid w:val="003F67A4"/>
    <w:rsid w:val="00400786"/>
    <w:rsid w:val="00401FDA"/>
    <w:rsid w:val="004046F0"/>
    <w:rsid w:val="0040668F"/>
    <w:rsid w:val="00411516"/>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4326"/>
    <w:rsid w:val="004A5A64"/>
    <w:rsid w:val="004B5553"/>
    <w:rsid w:val="004B600B"/>
    <w:rsid w:val="004B6822"/>
    <w:rsid w:val="004B69F6"/>
    <w:rsid w:val="004C0EB3"/>
    <w:rsid w:val="004C2D3A"/>
    <w:rsid w:val="004C5135"/>
    <w:rsid w:val="004D03C4"/>
    <w:rsid w:val="004D0BF1"/>
    <w:rsid w:val="004D0F4E"/>
    <w:rsid w:val="004D3278"/>
    <w:rsid w:val="004D35A4"/>
    <w:rsid w:val="004D445F"/>
    <w:rsid w:val="004E087B"/>
    <w:rsid w:val="004E34ED"/>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516B"/>
    <w:rsid w:val="005305C6"/>
    <w:rsid w:val="00540EEC"/>
    <w:rsid w:val="005414F4"/>
    <w:rsid w:val="00546187"/>
    <w:rsid w:val="00547B11"/>
    <w:rsid w:val="00557D77"/>
    <w:rsid w:val="0056130F"/>
    <w:rsid w:val="00562EAA"/>
    <w:rsid w:val="00563B58"/>
    <w:rsid w:val="005640C4"/>
    <w:rsid w:val="0056684C"/>
    <w:rsid w:val="00570353"/>
    <w:rsid w:val="00574A0C"/>
    <w:rsid w:val="0057780F"/>
    <w:rsid w:val="00581E0A"/>
    <w:rsid w:val="00586D89"/>
    <w:rsid w:val="005877C8"/>
    <w:rsid w:val="00587923"/>
    <w:rsid w:val="00594F9F"/>
    <w:rsid w:val="005A1B4C"/>
    <w:rsid w:val="005A545C"/>
    <w:rsid w:val="005B271A"/>
    <w:rsid w:val="005B3A2D"/>
    <w:rsid w:val="005C1567"/>
    <w:rsid w:val="005C28D3"/>
    <w:rsid w:val="005C527C"/>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4116"/>
    <w:rsid w:val="006B4496"/>
    <w:rsid w:val="006B5E67"/>
    <w:rsid w:val="006B6612"/>
    <w:rsid w:val="006C2EB5"/>
    <w:rsid w:val="006D18A3"/>
    <w:rsid w:val="006D5970"/>
    <w:rsid w:val="006E481E"/>
    <w:rsid w:val="006E795F"/>
    <w:rsid w:val="006F0862"/>
    <w:rsid w:val="006F130B"/>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6AD5"/>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706"/>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E2C"/>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0FB7"/>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9F7B5E"/>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9F3"/>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4DCA"/>
    <w:rsid w:val="00CA5726"/>
    <w:rsid w:val="00CA7E6A"/>
    <w:rsid w:val="00CB258E"/>
    <w:rsid w:val="00CB3C8F"/>
    <w:rsid w:val="00CB4F9B"/>
    <w:rsid w:val="00CC02F1"/>
    <w:rsid w:val="00CC1122"/>
    <w:rsid w:val="00CC11A6"/>
    <w:rsid w:val="00CC135E"/>
    <w:rsid w:val="00CC7226"/>
    <w:rsid w:val="00CD0735"/>
    <w:rsid w:val="00CD45E3"/>
    <w:rsid w:val="00CD4771"/>
    <w:rsid w:val="00CD5089"/>
    <w:rsid w:val="00CD5D3F"/>
    <w:rsid w:val="00CD7E1F"/>
    <w:rsid w:val="00CE18BB"/>
    <w:rsid w:val="00CE2FA0"/>
    <w:rsid w:val="00CE4BC4"/>
    <w:rsid w:val="00CE7DA2"/>
    <w:rsid w:val="00CE7EDD"/>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2FF"/>
    <w:rsid w:val="00D84841"/>
    <w:rsid w:val="00D876E6"/>
    <w:rsid w:val="00D90958"/>
    <w:rsid w:val="00DA1025"/>
    <w:rsid w:val="00DA22EC"/>
    <w:rsid w:val="00DA5682"/>
    <w:rsid w:val="00DA5860"/>
    <w:rsid w:val="00DA5C0C"/>
    <w:rsid w:val="00DB2767"/>
    <w:rsid w:val="00DC1B10"/>
    <w:rsid w:val="00DC2924"/>
    <w:rsid w:val="00DC4729"/>
    <w:rsid w:val="00DC548B"/>
    <w:rsid w:val="00DD31C5"/>
    <w:rsid w:val="00DD5020"/>
    <w:rsid w:val="00DD53D6"/>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5E3"/>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28</TotalTime>
  <Pages>9</Pages>
  <Words>4331</Words>
  <Characters>21268</Characters>
  <Application>Microsoft Office Word</Application>
  <DocSecurity>0</DocSecurity>
  <Lines>590</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Leah Fuge</cp:lastModifiedBy>
  <cp:revision>29</cp:revision>
  <cp:lastPrinted>2020-02-11T19:20:00Z</cp:lastPrinted>
  <dcterms:created xsi:type="dcterms:W3CDTF">2026-09-25T07:19:00Z</dcterms:created>
  <dcterms:modified xsi:type="dcterms:W3CDTF">2026-10-06T12:29:00Z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