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DC983" w14:textId="77777777" w:rsidR="00E06E0E" w:rsidRDefault="00E06E0E"/>
    <w:p w14:paraId="6376709E" w14:textId="77777777" w:rsidR="009A3BE0" w:rsidRDefault="009A3BE0"/>
    <w:p w14:paraId="7E773548" w14:textId="77777777" w:rsidR="009A3BE0" w:rsidRDefault="009A3BE0"/>
    <w:p w14:paraId="5412B321" w14:textId="77777777" w:rsidR="009A3BE0" w:rsidRDefault="009A3BE0"/>
    <w:p w14:paraId="75276354" w14:textId="77777777" w:rsidR="009A3BE0" w:rsidRDefault="009A3BE0"/>
    <w:p w14:paraId="2A76F7B7" w14:textId="77777777" w:rsidR="009A3BE0" w:rsidRDefault="009A3BE0"/>
    <w:p w14:paraId="6720F820" w14:textId="77777777" w:rsidR="009A3BE0" w:rsidRDefault="009A3BE0"/>
    <w:p w14:paraId="6C75510C" w14:textId="77777777" w:rsidR="009A3BE0" w:rsidRDefault="009A3BE0"/>
    <w:p w14:paraId="5472298B" w14:textId="77777777" w:rsidR="009A3BE0" w:rsidRDefault="009A3BE0"/>
    <w:p w14:paraId="243C0E77" w14:textId="1FF097F9" w:rsidR="009A3BE0" w:rsidRPr="000F31CA" w:rsidRDefault="006576CB">
      <w:pPr>
        <w:rPr>
          <w:rFonts w:ascii="Arial" w:hAnsi="Arial" w:cs="Arial"/>
        </w:rPr>
      </w:pPr>
      <w:r w:rsidRPr="000F31CA">
        <w:rPr>
          <w:rFonts w:ascii="Arial" w:hAnsi="Arial" w:cs="Arial"/>
        </w:rPr>
        <w:t xml:space="preserve">Student </w:t>
      </w:r>
      <w:r w:rsidR="007035B5" w:rsidRPr="000F31CA">
        <w:rPr>
          <w:rFonts w:ascii="Arial" w:hAnsi="Arial" w:cs="Arial"/>
        </w:rPr>
        <w:t>name: Cristina Nicolae</w:t>
      </w:r>
    </w:p>
    <w:p w14:paraId="460F7E69" w14:textId="7B122B89" w:rsidR="007035B5" w:rsidRPr="000F31CA" w:rsidRDefault="007035B5">
      <w:pPr>
        <w:rPr>
          <w:rFonts w:ascii="Arial" w:hAnsi="Arial" w:cs="Arial"/>
        </w:rPr>
      </w:pPr>
      <w:r w:rsidRPr="000F31CA">
        <w:rPr>
          <w:rFonts w:ascii="Arial" w:hAnsi="Arial" w:cs="Arial"/>
        </w:rPr>
        <w:t>Student id: 2226305</w:t>
      </w:r>
    </w:p>
    <w:p w14:paraId="103EF247" w14:textId="5CA6913E" w:rsidR="007035B5" w:rsidRPr="000F31CA" w:rsidRDefault="007035B5">
      <w:pPr>
        <w:rPr>
          <w:rFonts w:ascii="Arial" w:hAnsi="Arial" w:cs="Arial"/>
        </w:rPr>
      </w:pPr>
      <w:r w:rsidRPr="000F31CA">
        <w:rPr>
          <w:rFonts w:ascii="Arial" w:hAnsi="Arial" w:cs="Arial"/>
        </w:rPr>
        <w:t xml:space="preserve">Lecturer name: </w:t>
      </w:r>
      <w:r w:rsidR="009632EF" w:rsidRPr="000F31CA">
        <w:rPr>
          <w:rFonts w:ascii="Arial" w:hAnsi="Arial" w:cs="Arial"/>
        </w:rPr>
        <w:t>Liyanage Rodrigo</w:t>
      </w:r>
    </w:p>
    <w:p w14:paraId="3D9DE15E" w14:textId="1EFDA840" w:rsidR="009A3BE0" w:rsidRPr="000F31CA" w:rsidRDefault="009632EF">
      <w:pPr>
        <w:rPr>
          <w:rFonts w:ascii="Arial" w:hAnsi="Arial" w:cs="Arial"/>
        </w:rPr>
      </w:pPr>
      <w:r w:rsidRPr="000F31CA">
        <w:rPr>
          <w:rFonts w:ascii="Arial" w:hAnsi="Arial" w:cs="Arial"/>
        </w:rPr>
        <w:t>Module name: LCBB501</w:t>
      </w:r>
      <w:r w:rsidR="000F31CA" w:rsidRPr="000F31CA">
        <w:rPr>
          <w:rFonts w:ascii="Arial" w:hAnsi="Arial" w:cs="Arial"/>
        </w:rPr>
        <w:t>2</w:t>
      </w:r>
    </w:p>
    <w:p w14:paraId="4306B1E4" w14:textId="77777777" w:rsidR="009A3BE0" w:rsidRPr="000F31CA" w:rsidRDefault="009A3BE0">
      <w:pPr>
        <w:rPr>
          <w:rFonts w:ascii="Arial" w:hAnsi="Arial" w:cs="Arial"/>
        </w:rPr>
      </w:pPr>
    </w:p>
    <w:p w14:paraId="1747CD35" w14:textId="77777777" w:rsidR="009A3BE0" w:rsidRDefault="009A3BE0"/>
    <w:p w14:paraId="40ECC742" w14:textId="77777777" w:rsidR="009A3BE0" w:rsidRDefault="009A3BE0"/>
    <w:p w14:paraId="13EE4FFF" w14:textId="77777777" w:rsidR="009A3BE0" w:rsidRDefault="009A3BE0"/>
    <w:p w14:paraId="166A08CA" w14:textId="77777777" w:rsidR="009A3BE0" w:rsidRDefault="009A3BE0"/>
    <w:p w14:paraId="3817B7AD" w14:textId="77777777" w:rsidR="009A3BE0" w:rsidRDefault="009A3BE0"/>
    <w:p w14:paraId="4C9D6E2A" w14:textId="77777777" w:rsidR="009A3BE0" w:rsidRDefault="009A3BE0"/>
    <w:p w14:paraId="3D799E07" w14:textId="77777777" w:rsidR="009A3BE0" w:rsidRDefault="009A3BE0"/>
    <w:p w14:paraId="6E69890A" w14:textId="77777777" w:rsidR="009A3BE0" w:rsidRDefault="009A3BE0"/>
    <w:p w14:paraId="66F3A702" w14:textId="77777777" w:rsidR="009A3BE0" w:rsidRDefault="009A3BE0"/>
    <w:p w14:paraId="337F9557" w14:textId="77777777" w:rsidR="009A3BE0" w:rsidRDefault="009A3BE0"/>
    <w:p w14:paraId="146D51B9" w14:textId="77777777" w:rsidR="009A3BE0" w:rsidRDefault="009A3BE0"/>
    <w:p w14:paraId="25468E58" w14:textId="77777777" w:rsidR="009A3BE0" w:rsidRDefault="009A3BE0"/>
    <w:p w14:paraId="1C750DEB" w14:textId="77777777" w:rsidR="009A3BE0" w:rsidRDefault="009A3BE0"/>
    <w:p w14:paraId="117D8338" w14:textId="77777777" w:rsidR="009A3BE0" w:rsidRDefault="009A3BE0"/>
    <w:p w14:paraId="34B66925" w14:textId="77777777" w:rsidR="009A3BE0" w:rsidRDefault="009A3BE0"/>
    <w:p w14:paraId="0F4B774F" w14:textId="77777777" w:rsidR="009A3BE0" w:rsidRDefault="009A3BE0"/>
    <w:p w14:paraId="56C23A0D" w14:textId="77777777" w:rsidR="00CC7190" w:rsidRPr="00CC7190" w:rsidRDefault="00CC7190" w:rsidP="00CC7190">
      <w:pPr>
        <w:rPr>
          <w:rFonts w:ascii="Arial" w:hAnsi="Arial" w:cs="Arial"/>
          <w:b/>
          <w:bCs/>
          <w:sz w:val="22"/>
          <w:szCs w:val="22"/>
        </w:rPr>
      </w:pPr>
      <w:r w:rsidRPr="00CC7190">
        <w:rPr>
          <w:rFonts w:ascii="Arial" w:hAnsi="Arial" w:cs="Arial"/>
          <w:b/>
          <w:bCs/>
          <w:sz w:val="22"/>
          <w:szCs w:val="22"/>
        </w:rPr>
        <w:t>Table of Contents</w:t>
      </w:r>
    </w:p>
    <w:p w14:paraId="7439F9C2" w14:textId="77777777" w:rsidR="00CC7190" w:rsidRPr="00CC7190" w:rsidRDefault="00CC7190" w:rsidP="00CC7190">
      <w:pPr>
        <w:rPr>
          <w:rFonts w:ascii="Arial" w:hAnsi="Arial" w:cs="Arial"/>
          <w:sz w:val="22"/>
          <w:szCs w:val="22"/>
        </w:rPr>
      </w:pPr>
    </w:p>
    <w:p w14:paraId="6F2F7D09" w14:textId="77777777" w:rsidR="00CC7190" w:rsidRPr="00CC7190" w:rsidRDefault="00CC7190" w:rsidP="00CC7190">
      <w:pPr>
        <w:rPr>
          <w:rFonts w:ascii="Arial" w:hAnsi="Arial" w:cs="Arial"/>
          <w:sz w:val="22"/>
          <w:szCs w:val="22"/>
        </w:rPr>
      </w:pPr>
      <w:r w:rsidRPr="00CC7190">
        <w:rPr>
          <w:rFonts w:ascii="Arial" w:hAnsi="Arial" w:cs="Arial"/>
          <w:sz w:val="22"/>
          <w:szCs w:val="22"/>
        </w:rPr>
        <w:t>Introduction</w:t>
      </w:r>
    </w:p>
    <w:p w14:paraId="2F17ADF7" w14:textId="77777777" w:rsidR="00CC7190" w:rsidRPr="00CC7190" w:rsidRDefault="00CC7190" w:rsidP="00CC7190">
      <w:pPr>
        <w:rPr>
          <w:rFonts w:ascii="Arial" w:hAnsi="Arial" w:cs="Arial"/>
          <w:sz w:val="22"/>
          <w:szCs w:val="22"/>
        </w:rPr>
      </w:pPr>
      <w:r w:rsidRPr="00CC7190">
        <w:rPr>
          <w:rFonts w:ascii="Arial" w:hAnsi="Arial" w:cs="Arial"/>
          <w:sz w:val="22"/>
          <w:szCs w:val="22"/>
        </w:rPr>
        <w:t>Impact of Internal and External Forces on L&amp;D Design and Implementation</w:t>
      </w:r>
    </w:p>
    <w:p w14:paraId="3A799EF8" w14:textId="77777777" w:rsidR="00CC7190" w:rsidRPr="00CC7190" w:rsidRDefault="00CC7190" w:rsidP="00CC7190">
      <w:pPr>
        <w:rPr>
          <w:rFonts w:ascii="Arial" w:hAnsi="Arial" w:cs="Arial"/>
          <w:sz w:val="22"/>
          <w:szCs w:val="22"/>
        </w:rPr>
      </w:pPr>
      <w:r w:rsidRPr="00CC7190">
        <w:rPr>
          <w:rFonts w:ascii="Arial" w:hAnsi="Arial" w:cs="Arial"/>
          <w:sz w:val="22"/>
          <w:szCs w:val="22"/>
        </w:rPr>
        <w:t> 2.1 Internal Forces</w:t>
      </w:r>
    </w:p>
    <w:p w14:paraId="66D45972" w14:textId="77777777" w:rsidR="00CC7190" w:rsidRPr="00CC7190" w:rsidRDefault="00CC7190" w:rsidP="00CC7190">
      <w:pPr>
        <w:rPr>
          <w:rFonts w:ascii="Arial" w:hAnsi="Arial" w:cs="Arial"/>
          <w:sz w:val="22"/>
          <w:szCs w:val="22"/>
        </w:rPr>
      </w:pPr>
      <w:r w:rsidRPr="00CC7190">
        <w:rPr>
          <w:rFonts w:ascii="Arial" w:hAnsi="Arial" w:cs="Arial"/>
          <w:sz w:val="22"/>
          <w:szCs w:val="22"/>
        </w:rPr>
        <w:t> 2.2 External Forces</w:t>
      </w:r>
    </w:p>
    <w:p w14:paraId="549F2C94" w14:textId="77777777" w:rsidR="00CC7190" w:rsidRPr="00CC7190" w:rsidRDefault="00CC7190" w:rsidP="00CC7190">
      <w:pPr>
        <w:rPr>
          <w:rFonts w:ascii="Arial" w:hAnsi="Arial" w:cs="Arial"/>
          <w:sz w:val="22"/>
          <w:szCs w:val="22"/>
        </w:rPr>
      </w:pPr>
      <w:r w:rsidRPr="00CC7190">
        <w:rPr>
          <w:rFonts w:ascii="Arial" w:hAnsi="Arial" w:cs="Arial"/>
          <w:sz w:val="22"/>
          <w:szCs w:val="22"/>
        </w:rPr>
        <w:t>L&amp;D Supporting Adaptation to Environmental Factors</w:t>
      </w:r>
    </w:p>
    <w:p w14:paraId="7587BE82" w14:textId="77777777" w:rsidR="00CC7190" w:rsidRPr="00CC7190" w:rsidRDefault="00CC7190" w:rsidP="00CC7190">
      <w:pPr>
        <w:rPr>
          <w:rFonts w:ascii="Arial" w:hAnsi="Arial" w:cs="Arial"/>
          <w:sz w:val="22"/>
          <w:szCs w:val="22"/>
        </w:rPr>
      </w:pPr>
      <w:r w:rsidRPr="00CC7190">
        <w:rPr>
          <w:rFonts w:ascii="Arial" w:hAnsi="Arial" w:cs="Arial"/>
          <w:sz w:val="22"/>
          <w:szCs w:val="22"/>
        </w:rPr>
        <w:t>L&amp;D as a Tool for Maintaining Competitive Advantage</w:t>
      </w:r>
    </w:p>
    <w:p w14:paraId="0745BEE3" w14:textId="77777777" w:rsidR="00CC7190" w:rsidRPr="00CC7190" w:rsidRDefault="00CC7190" w:rsidP="00CC7190">
      <w:pPr>
        <w:rPr>
          <w:rFonts w:ascii="Arial" w:hAnsi="Arial" w:cs="Arial"/>
          <w:sz w:val="22"/>
          <w:szCs w:val="22"/>
        </w:rPr>
      </w:pPr>
      <w:r w:rsidRPr="00CC7190">
        <w:rPr>
          <w:rFonts w:ascii="Arial" w:hAnsi="Arial" w:cs="Arial"/>
          <w:sz w:val="22"/>
          <w:szCs w:val="22"/>
        </w:rPr>
        <w:t>Supporting Employees from Diverse Backgrounds</w:t>
      </w:r>
    </w:p>
    <w:p w14:paraId="5EF41CE0" w14:textId="77777777" w:rsidR="00CC7190" w:rsidRPr="00CC7190" w:rsidRDefault="00CC7190" w:rsidP="00CC7190">
      <w:pPr>
        <w:rPr>
          <w:rFonts w:ascii="Arial" w:hAnsi="Arial" w:cs="Arial"/>
          <w:sz w:val="22"/>
          <w:szCs w:val="22"/>
        </w:rPr>
      </w:pPr>
      <w:r w:rsidRPr="00CC7190">
        <w:rPr>
          <w:rFonts w:ascii="Arial" w:hAnsi="Arial" w:cs="Arial"/>
          <w:sz w:val="22"/>
          <w:szCs w:val="22"/>
        </w:rPr>
        <w:t>Application of a Relevant L&amp;D Model – Kirkpatrick’s Four Levels</w:t>
      </w:r>
    </w:p>
    <w:p w14:paraId="0E14F203" w14:textId="77777777" w:rsidR="00CC7190" w:rsidRPr="00CC7190" w:rsidRDefault="00CC7190" w:rsidP="00CC7190">
      <w:pPr>
        <w:rPr>
          <w:rFonts w:ascii="Arial" w:hAnsi="Arial" w:cs="Arial"/>
          <w:sz w:val="22"/>
          <w:szCs w:val="22"/>
        </w:rPr>
      </w:pPr>
      <w:r w:rsidRPr="00CC7190">
        <w:rPr>
          <w:rFonts w:ascii="Arial" w:hAnsi="Arial" w:cs="Arial"/>
          <w:sz w:val="22"/>
          <w:szCs w:val="22"/>
        </w:rPr>
        <w:t>Challenges and Recommendations</w:t>
      </w:r>
    </w:p>
    <w:p w14:paraId="754D607C" w14:textId="77777777" w:rsidR="00CC7190" w:rsidRPr="00CC7190" w:rsidRDefault="00CC7190" w:rsidP="00CC7190">
      <w:pPr>
        <w:rPr>
          <w:rFonts w:ascii="Arial" w:hAnsi="Arial" w:cs="Arial"/>
          <w:sz w:val="22"/>
          <w:szCs w:val="22"/>
        </w:rPr>
      </w:pPr>
      <w:r w:rsidRPr="00CC7190">
        <w:rPr>
          <w:rFonts w:ascii="Arial" w:hAnsi="Arial" w:cs="Arial"/>
          <w:sz w:val="22"/>
          <w:szCs w:val="22"/>
        </w:rPr>
        <w:t>Conclusion</w:t>
      </w:r>
    </w:p>
    <w:p w14:paraId="1A727710" w14:textId="7C00D004" w:rsidR="009A3BE0" w:rsidRPr="00CC7190" w:rsidRDefault="00CC7190" w:rsidP="00CC7190">
      <w:pPr>
        <w:rPr>
          <w:rFonts w:ascii="Arial" w:hAnsi="Arial" w:cs="Arial"/>
          <w:sz w:val="22"/>
          <w:szCs w:val="22"/>
        </w:rPr>
      </w:pPr>
      <w:r w:rsidRPr="00CC7190">
        <w:rPr>
          <w:rFonts w:ascii="Arial" w:hAnsi="Arial" w:cs="Arial"/>
          <w:sz w:val="22"/>
          <w:szCs w:val="22"/>
        </w:rPr>
        <w:t>References</w:t>
      </w:r>
    </w:p>
    <w:p w14:paraId="40235D18" w14:textId="77777777" w:rsidR="009A3BE0" w:rsidRDefault="009A3BE0"/>
    <w:p w14:paraId="38F3AB76" w14:textId="77777777" w:rsidR="009A3BE0" w:rsidRDefault="009A3BE0"/>
    <w:p w14:paraId="2EAC402D" w14:textId="77777777" w:rsidR="009A3BE0" w:rsidRDefault="009A3BE0"/>
    <w:p w14:paraId="6ADBB420" w14:textId="77777777" w:rsidR="009A3BE0" w:rsidRDefault="009A3BE0"/>
    <w:p w14:paraId="767DDF8F" w14:textId="77777777" w:rsidR="009A3BE0" w:rsidRDefault="009A3BE0"/>
    <w:p w14:paraId="698DE06E" w14:textId="77777777" w:rsidR="009A3BE0" w:rsidRDefault="009A3BE0"/>
    <w:p w14:paraId="0F52DE58" w14:textId="77777777" w:rsidR="009A3BE0" w:rsidRDefault="009A3BE0"/>
    <w:p w14:paraId="25360BAF" w14:textId="77777777" w:rsidR="009A3BE0" w:rsidRDefault="009A3BE0"/>
    <w:p w14:paraId="13BA6BB5" w14:textId="77777777" w:rsidR="009A3BE0" w:rsidRDefault="009A3BE0"/>
    <w:p w14:paraId="5417204C" w14:textId="77777777" w:rsidR="009A3BE0" w:rsidRDefault="009A3BE0"/>
    <w:p w14:paraId="0471DA13" w14:textId="77777777" w:rsidR="009A3BE0" w:rsidRDefault="009A3BE0"/>
    <w:p w14:paraId="6FD9A12B" w14:textId="77777777" w:rsidR="009A3BE0" w:rsidRDefault="009A3BE0"/>
    <w:p w14:paraId="6C2A1B29" w14:textId="77777777" w:rsidR="009A3BE0" w:rsidRDefault="009A3BE0"/>
    <w:p w14:paraId="707E5508" w14:textId="77777777" w:rsidR="009A3BE0" w:rsidRDefault="009A3BE0"/>
    <w:p w14:paraId="0AA10BD2" w14:textId="77777777" w:rsidR="009A3BE0" w:rsidRDefault="009A3BE0"/>
    <w:p w14:paraId="1754FD7C" w14:textId="77777777" w:rsidR="009F06CE" w:rsidRDefault="009F06CE" w:rsidP="009A3BE0"/>
    <w:p w14:paraId="0B5D896E" w14:textId="2E5BEB0C" w:rsidR="009A3BE0" w:rsidRPr="00A92BFD" w:rsidRDefault="009A3BE0" w:rsidP="009A3BE0">
      <w:pPr>
        <w:rPr>
          <w:rFonts w:ascii="Arial" w:hAnsi="Arial" w:cs="Arial"/>
          <w:b/>
          <w:bCs/>
          <w:sz w:val="22"/>
          <w:szCs w:val="22"/>
        </w:rPr>
      </w:pPr>
      <w:r w:rsidRPr="00A92BFD">
        <w:rPr>
          <w:rFonts w:ascii="Arial" w:hAnsi="Arial" w:cs="Arial"/>
          <w:b/>
          <w:bCs/>
          <w:sz w:val="22"/>
          <w:szCs w:val="22"/>
        </w:rPr>
        <w:t>1. Introduction</w:t>
      </w:r>
    </w:p>
    <w:p w14:paraId="1E6DE96D" w14:textId="77777777" w:rsidR="009A3BE0" w:rsidRPr="009A3BE0" w:rsidRDefault="009A3BE0" w:rsidP="009A3BE0">
      <w:pPr>
        <w:rPr>
          <w:rFonts w:ascii="Arial" w:hAnsi="Arial" w:cs="Arial"/>
          <w:sz w:val="22"/>
          <w:szCs w:val="22"/>
        </w:rPr>
      </w:pPr>
    </w:p>
    <w:p w14:paraId="79A0B15E" w14:textId="77777777" w:rsidR="009A3BE0" w:rsidRPr="009A3BE0" w:rsidRDefault="009A3BE0" w:rsidP="009A3BE0">
      <w:pPr>
        <w:rPr>
          <w:rFonts w:ascii="Arial" w:hAnsi="Arial" w:cs="Arial"/>
          <w:sz w:val="22"/>
          <w:szCs w:val="22"/>
        </w:rPr>
      </w:pPr>
      <w:r w:rsidRPr="009A3BE0">
        <w:rPr>
          <w:rFonts w:ascii="Arial" w:hAnsi="Arial" w:cs="Arial"/>
          <w:sz w:val="22"/>
          <w:szCs w:val="22"/>
        </w:rPr>
        <w:t>Learning and Development (L&amp;D) represents a core Human Resource Management practice focused on improving employees’ knowledge, skills and abilities so that they can meet organisational goals more effectively. In today’s highly dynamic and competitive global environment, L&amp;D plays a crucial role in helping organisations remain adaptable, innovative and resilient. Continuous learning allows companies to respond to technological disruption, demographic changes, new consumer expectations and the growing need for diversity and inclusion.</w:t>
      </w:r>
    </w:p>
    <w:p w14:paraId="28C87422" w14:textId="77777777" w:rsidR="009A3BE0" w:rsidRPr="009A3BE0" w:rsidRDefault="009A3BE0" w:rsidP="009A3BE0">
      <w:pPr>
        <w:rPr>
          <w:rFonts w:ascii="Arial" w:hAnsi="Arial" w:cs="Arial"/>
          <w:sz w:val="22"/>
          <w:szCs w:val="22"/>
        </w:rPr>
      </w:pPr>
      <w:r w:rsidRPr="009A3BE0">
        <w:rPr>
          <w:rFonts w:ascii="Arial" w:hAnsi="Arial" w:cs="Arial"/>
          <w:sz w:val="22"/>
          <w:szCs w:val="22"/>
        </w:rPr>
        <w:t>Google, one of the world’s leading technology companies, is widely recognised for its strong learning culture and long-term investment in employee development. The organisation provides extensive training programmes, leadership development initiatives and digital learning platforms to ensure that employees remain up to date with emerging technologies such as artificial intelligence, data analytics and cloud computing. To evaluate the effectiveness of such initiatives, the Kirkpatrick Four-Level Evaluation Model is often used. This model examines employee reaction, knowledge gained, behavioural changes and the final organisational results.</w:t>
      </w:r>
    </w:p>
    <w:p w14:paraId="5D3C6F04" w14:textId="269DE93B" w:rsidR="009A3BE0" w:rsidRDefault="009A3BE0" w:rsidP="009A3BE0">
      <w:pPr>
        <w:rPr>
          <w:rFonts w:ascii="Arial" w:hAnsi="Arial" w:cs="Arial"/>
          <w:sz w:val="22"/>
          <w:szCs w:val="22"/>
        </w:rPr>
      </w:pPr>
      <w:r w:rsidRPr="009A3BE0">
        <w:rPr>
          <w:rFonts w:ascii="Arial" w:hAnsi="Arial" w:cs="Arial"/>
          <w:sz w:val="22"/>
          <w:szCs w:val="22"/>
        </w:rPr>
        <w:t>This report discusses the significance of L&amp;D within Google, analyses the internal and external forces that influence programme design, evaluates how L&amp;D supports adaptability and competitive advantage, and explores how these initiatives help employees from diverse backgrounds. The report also applies the Kirkpatrick model to Google’s L&amp;D practices and provides key challenges and recommendations.</w:t>
      </w:r>
    </w:p>
    <w:p w14:paraId="62A52DA2" w14:textId="77777777" w:rsidR="009A3BE0" w:rsidRDefault="009A3BE0" w:rsidP="009A3BE0">
      <w:pPr>
        <w:rPr>
          <w:rFonts w:ascii="Arial" w:hAnsi="Arial" w:cs="Arial"/>
          <w:sz w:val="22"/>
          <w:szCs w:val="22"/>
        </w:rPr>
      </w:pPr>
    </w:p>
    <w:p w14:paraId="76B445C9" w14:textId="77777777" w:rsidR="009A3BE0" w:rsidRDefault="009A3BE0" w:rsidP="009A3BE0">
      <w:pPr>
        <w:rPr>
          <w:rFonts w:ascii="Arial" w:hAnsi="Arial" w:cs="Arial"/>
          <w:sz w:val="22"/>
          <w:szCs w:val="22"/>
        </w:rPr>
      </w:pPr>
    </w:p>
    <w:p w14:paraId="707992D2" w14:textId="77777777" w:rsidR="00D82379" w:rsidRDefault="00D82379" w:rsidP="009A3BE0">
      <w:pPr>
        <w:rPr>
          <w:rFonts w:ascii="Arial" w:hAnsi="Arial" w:cs="Arial"/>
          <w:sz w:val="22"/>
          <w:szCs w:val="22"/>
        </w:rPr>
      </w:pPr>
    </w:p>
    <w:p w14:paraId="6E24AE2D" w14:textId="77777777" w:rsidR="009F06CE" w:rsidRDefault="009F06CE" w:rsidP="009A3BE0">
      <w:pPr>
        <w:rPr>
          <w:rFonts w:ascii="Arial" w:hAnsi="Arial" w:cs="Arial"/>
          <w:b/>
          <w:bCs/>
          <w:sz w:val="22"/>
          <w:szCs w:val="22"/>
        </w:rPr>
      </w:pPr>
    </w:p>
    <w:p w14:paraId="3EFE6B67" w14:textId="77777777" w:rsidR="009F06CE" w:rsidRDefault="009F06CE" w:rsidP="009A3BE0">
      <w:pPr>
        <w:rPr>
          <w:rFonts w:ascii="Arial" w:hAnsi="Arial" w:cs="Arial"/>
          <w:b/>
          <w:bCs/>
          <w:sz w:val="22"/>
          <w:szCs w:val="22"/>
        </w:rPr>
      </w:pPr>
    </w:p>
    <w:p w14:paraId="47C61435" w14:textId="77777777" w:rsidR="009F06CE" w:rsidRDefault="009F06CE" w:rsidP="009A3BE0">
      <w:pPr>
        <w:rPr>
          <w:rFonts w:ascii="Arial" w:hAnsi="Arial" w:cs="Arial"/>
          <w:b/>
          <w:bCs/>
          <w:sz w:val="22"/>
          <w:szCs w:val="22"/>
        </w:rPr>
      </w:pPr>
    </w:p>
    <w:p w14:paraId="0BE173B2" w14:textId="77777777" w:rsidR="009F06CE" w:rsidRDefault="009F06CE" w:rsidP="009A3BE0">
      <w:pPr>
        <w:rPr>
          <w:rFonts w:ascii="Arial" w:hAnsi="Arial" w:cs="Arial"/>
          <w:b/>
          <w:bCs/>
          <w:sz w:val="22"/>
          <w:szCs w:val="22"/>
        </w:rPr>
      </w:pPr>
    </w:p>
    <w:p w14:paraId="6325C646" w14:textId="77777777" w:rsidR="009F06CE" w:rsidRDefault="009F06CE" w:rsidP="009A3BE0">
      <w:pPr>
        <w:rPr>
          <w:rFonts w:ascii="Arial" w:hAnsi="Arial" w:cs="Arial"/>
          <w:b/>
          <w:bCs/>
          <w:sz w:val="22"/>
          <w:szCs w:val="22"/>
        </w:rPr>
      </w:pPr>
    </w:p>
    <w:p w14:paraId="639F2834" w14:textId="77777777" w:rsidR="009F06CE" w:rsidRDefault="009F06CE" w:rsidP="009A3BE0">
      <w:pPr>
        <w:rPr>
          <w:rFonts w:ascii="Arial" w:hAnsi="Arial" w:cs="Arial"/>
          <w:b/>
          <w:bCs/>
          <w:sz w:val="22"/>
          <w:szCs w:val="22"/>
        </w:rPr>
      </w:pPr>
    </w:p>
    <w:p w14:paraId="175B7B9C" w14:textId="77777777" w:rsidR="009F06CE" w:rsidRDefault="009F06CE" w:rsidP="009A3BE0">
      <w:pPr>
        <w:rPr>
          <w:rFonts w:ascii="Arial" w:hAnsi="Arial" w:cs="Arial"/>
          <w:b/>
          <w:bCs/>
          <w:sz w:val="22"/>
          <w:szCs w:val="22"/>
        </w:rPr>
      </w:pPr>
    </w:p>
    <w:p w14:paraId="7A85BAEB" w14:textId="77777777" w:rsidR="009F06CE" w:rsidRDefault="009F06CE" w:rsidP="009A3BE0">
      <w:pPr>
        <w:rPr>
          <w:rFonts w:ascii="Arial" w:hAnsi="Arial" w:cs="Arial"/>
          <w:b/>
          <w:bCs/>
          <w:sz w:val="22"/>
          <w:szCs w:val="22"/>
        </w:rPr>
      </w:pPr>
    </w:p>
    <w:p w14:paraId="55DA2CE4" w14:textId="77777777" w:rsidR="009F06CE" w:rsidRDefault="009F06CE" w:rsidP="009A3BE0">
      <w:pPr>
        <w:rPr>
          <w:rFonts w:ascii="Arial" w:hAnsi="Arial" w:cs="Arial"/>
          <w:b/>
          <w:bCs/>
          <w:sz w:val="22"/>
          <w:szCs w:val="22"/>
        </w:rPr>
      </w:pPr>
    </w:p>
    <w:p w14:paraId="4702961E" w14:textId="77777777" w:rsidR="009F06CE" w:rsidRDefault="009F06CE" w:rsidP="009A3BE0">
      <w:pPr>
        <w:rPr>
          <w:rFonts w:ascii="Arial" w:hAnsi="Arial" w:cs="Arial"/>
          <w:b/>
          <w:bCs/>
          <w:sz w:val="22"/>
          <w:szCs w:val="22"/>
        </w:rPr>
      </w:pPr>
    </w:p>
    <w:p w14:paraId="174BE256" w14:textId="77777777" w:rsidR="009F06CE" w:rsidRDefault="009F06CE" w:rsidP="009A3BE0">
      <w:pPr>
        <w:rPr>
          <w:rFonts w:ascii="Arial" w:hAnsi="Arial" w:cs="Arial"/>
          <w:b/>
          <w:bCs/>
          <w:sz w:val="22"/>
          <w:szCs w:val="22"/>
        </w:rPr>
      </w:pPr>
    </w:p>
    <w:p w14:paraId="2E15154B" w14:textId="77777777" w:rsidR="009F06CE" w:rsidRDefault="009F06CE" w:rsidP="009A3BE0">
      <w:pPr>
        <w:rPr>
          <w:rFonts w:ascii="Arial" w:hAnsi="Arial" w:cs="Arial"/>
          <w:b/>
          <w:bCs/>
          <w:sz w:val="22"/>
          <w:szCs w:val="22"/>
        </w:rPr>
      </w:pPr>
    </w:p>
    <w:p w14:paraId="61F9BF19" w14:textId="5536B044" w:rsidR="009A3BE0" w:rsidRPr="00A92BFD" w:rsidRDefault="009A3BE0" w:rsidP="009A3BE0">
      <w:pPr>
        <w:rPr>
          <w:rFonts w:ascii="Arial" w:hAnsi="Arial" w:cs="Arial"/>
          <w:b/>
          <w:bCs/>
          <w:sz w:val="22"/>
          <w:szCs w:val="22"/>
        </w:rPr>
      </w:pPr>
      <w:r w:rsidRPr="00A92BFD">
        <w:rPr>
          <w:rFonts w:ascii="Arial" w:hAnsi="Arial" w:cs="Arial"/>
          <w:b/>
          <w:bCs/>
          <w:sz w:val="22"/>
          <w:szCs w:val="22"/>
        </w:rPr>
        <w:t xml:space="preserve">2. Impact of Internal and External Forces on L&amp;D Design and Implementation </w:t>
      </w:r>
    </w:p>
    <w:p w14:paraId="452504B0" w14:textId="374961F9" w:rsidR="009A3BE0" w:rsidRPr="009A3BE0" w:rsidRDefault="009A3BE0" w:rsidP="009A3BE0">
      <w:pPr>
        <w:rPr>
          <w:rFonts w:ascii="Arial" w:hAnsi="Arial" w:cs="Arial"/>
          <w:sz w:val="22"/>
          <w:szCs w:val="22"/>
        </w:rPr>
      </w:pPr>
      <w:r w:rsidRPr="00A92BFD">
        <w:rPr>
          <w:rFonts w:ascii="Arial" w:hAnsi="Arial" w:cs="Arial"/>
          <w:b/>
          <w:bCs/>
          <w:sz w:val="22"/>
          <w:szCs w:val="22"/>
        </w:rPr>
        <w:t>2.1 Internal Forces</w:t>
      </w:r>
      <w:r w:rsidRPr="009A3BE0">
        <w:rPr>
          <w:rFonts w:ascii="Arial" w:hAnsi="Arial" w:cs="Arial"/>
          <w:sz w:val="22"/>
          <w:szCs w:val="22"/>
        </w:rPr>
        <w:t xml:space="preserve"> </w:t>
      </w:r>
    </w:p>
    <w:p w14:paraId="651DFA60" w14:textId="77777777" w:rsidR="009A3BE0" w:rsidRPr="009A3BE0" w:rsidRDefault="009A3BE0" w:rsidP="009A3BE0">
      <w:pPr>
        <w:rPr>
          <w:rFonts w:ascii="Arial" w:hAnsi="Arial" w:cs="Arial"/>
          <w:sz w:val="22"/>
          <w:szCs w:val="22"/>
        </w:rPr>
      </w:pPr>
      <w:r w:rsidRPr="009A3BE0">
        <w:rPr>
          <w:rFonts w:ascii="Arial" w:hAnsi="Arial" w:cs="Arial"/>
          <w:sz w:val="22"/>
          <w:szCs w:val="22"/>
        </w:rPr>
        <w:t>Internal forces play a central role in shaping how Google designs, delivers and evaluates its Learning and Development (L&amp;D) programmes. One of the most significant internal influences is the company’s organisational culture, which is widely recognised as one of the strongest “learning cultures” in the technology industry. Google promotes openness, curiosity and experimentation through practices such as “20% time,” where employees are encouraged to dedicate part of their working hours to learning, innovation and personal projects. This cultural mindset reinforces the idea that continuous learning is not only encouraged but expected. As a result, employees naturally engage with L&amp;D initiatives because they see them as an integral part of their daily work rather than as a separate HR activity.</w:t>
      </w:r>
    </w:p>
    <w:p w14:paraId="0FE45C8C" w14:textId="77777777" w:rsidR="009A3BE0" w:rsidRPr="009A3BE0" w:rsidRDefault="009A3BE0" w:rsidP="009A3BE0">
      <w:pPr>
        <w:rPr>
          <w:rFonts w:ascii="Arial" w:hAnsi="Arial" w:cs="Arial"/>
          <w:sz w:val="22"/>
          <w:szCs w:val="22"/>
        </w:rPr>
      </w:pPr>
      <w:r w:rsidRPr="009A3BE0">
        <w:rPr>
          <w:rFonts w:ascii="Arial" w:hAnsi="Arial" w:cs="Arial"/>
          <w:sz w:val="22"/>
          <w:szCs w:val="22"/>
        </w:rPr>
        <w:t>Leadership commitment further reinforces the importance of L&amp;D. Google’s executives strongly prioritise talent development and invest significantly in training initiatives that enhance both technical and soft skills. Programmes like Project Oxygen and Project Aristotle emerged from Google’s deep research into effective workplace behaviours, leading to structured L&amp;D interventions that aim to improve managerial performance, team dynamics and communication. When leaders model learning behaviour and allocate resources to training, employees perceive development as a strategic organisational priority.</w:t>
      </w:r>
    </w:p>
    <w:p w14:paraId="2B37345E" w14:textId="77777777" w:rsidR="009A3BE0" w:rsidRPr="009A3BE0" w:rsidRDefault="009A3BE0" w:rsidP="009A3BE0">
      <w:pPr>
        <w:rPr>
          <w:rFonts w:ascii="Arial" w:hAnsi="Arial" w:cs="Arial"/>
          <w:sz w:val="22"/>
          <w:szCs w:val="22"/>
        </w:rPr>
      </w:pPr>
      <w:r w:rsidRPr="009A3BE0">
        <w:rPr>
          <w:rFonts w:ascii="Arial" w:hAnsi="Arial" w:cs="Arial"/>
          <w:sz w:val="22"/>
          <w:szCs w:val="22"/>
        </w:rPr>
        <w:t>Another internal factor is the organisation’s ongoing need to address skills gaps. Because Google operates in sectors that evolve rapidly, employees must constantly update their knowledge to remain competent. AI, machine learning, cybersecurity and cloud technologies require continuous upskilling. Google therefore provides specialised academies, technical bootcamps and internal certification pathways to ensure that employees maintain cutting-edge expertise. Skill gap analysis is regularly performed to identify emerging competency needs and align training content with strategic goals.</w:t>
      </w:r>
    </w:p>
    <w:p w14:paraId="31BD12D3" w14:textId="3D880663" w:rsidR="00A92BFD" w:rsidRDefault="009A3BE0" w:rsidP="009A3BE0">
      <w:pPr>
        <w:rPr>
          <w:rFonts w:ascii="Arial" w:hAnsi="Arial" w:cs="Arial"/>
          <w:sz w:val="22"/>
          <w:szCs w:val="22"/>
        </w:rPr>
      </w:pPr>
      <w:r w:rsidRPr="009A3BE0">
        <w:rPr>
          <w:rFonts w:ascii="Arial" w:hAnsi="Arial" w:cs="Arial"/>
          <w:sz w:val="22"/>
          <w:szCs w:val="22"/>
        </w:rPr>
        <w:t>Lastly, Google’s technological infrastructure enables large-scale, high-quality L&amp;D delivery. The company has created advanced digital learning platforms such as “Google Grow,” along with internal libraries, mobile learning tools, self-paced modules and virtual training systems. These allow employees from different countries to access learning materials anytime and personalise their training experience. Technology also enables data-driven evaluation of L&amp;D effectiveness, giving Google insights into participation rates, skill improvements and behavioural changes</w:t>
      </w:r>
      <w:r w:rsidR="00A92BFD">
        <w:rPr>
          <w:rFonts w:ascii="Arial" w:hAnsi="Arial" w:cs="Arial"/>
          <w:sz w:val="22"/>
          <w:szCs w:val="22"/>
        </w:rPr>
        <w:t>.</w:t>
      </w:r>
    </w:p>
    <w:p w14:paraId="0687505B" w14:textId="3EB49B78" w:rsidR="009A3BE0" w:rsidRPr="00A92BFD" w:rsidRDefault="009A3BE0" w:rsidP="009A3BE0">
      <w:pPr>
        <w:rPr>
          <w:rFonts w:ascii="Arial" w:hAnsi="Arial" w:cs="Arial"/>
          <w:sz w:val="22"/>
          <w:szCs w:val="22"/>
        </w:rPr>
      </w:pPr>
      <w:r w:rsidRPr="00A92BFD">
        <w:rPr>
          <w:rFonts w:ascii="Arial" w:hAnsi="Arial" w:cs="Arial"/>
          <w:b/>
          <w:bCs/>
          <w:sz w:val="22"/>
          <w:szCs w:val="22"/>
        </w:rPr>
        <w:t xml:space="preserve">2.2 External Forces </w:t>
      </w:r>
    </w:p>
    <w:p w14:paraId="380FE79F" w14:textId="77777777" w:rsidR="00A92BFD" w:rsidRDefault="009A3BE0" w:rsidP="009A3BE0">
      <w:pPr>
        <w:rPr>
          <w:rFonts w:ascii="Arial" w:hAnsi="Arial" w:cs="Arial"/>
          <w:sz w:val="22"/>
          <w:szCs w:val="22"/>
        </w:rPr>
      </w:pPr>
      <w:r w:rsidRPr="009A3BE0">
        <w:rPr>
          <w:rFonts w:ascii="Arial" w:hAnsi="Arial" w:cs="Arial"/>
          <w:sz w:val="22"/>
          <w:szCs w:val="22"/>
        </w:rPr>
        <w:t>External forces also shape Google’s L&amp;D strategies, as the company must respond to global trends, competitive pressures and regulatory expectations. One major influence is globalisation, which requires Google to deliver training that is accessible and relevant across numerous languages, time zones and cultural contexts. This means creating inclusive learning content, adapting communication styles and ensuring trainers understand cultural</w:t>
      </w:r>
    </w:p>
    <w:p w14:paraId="135FA076" w14:textId="0A108D78" w:rsidR="009A3BE0" w:rsidRPr="009A3BE0" w:rsidRDefault="009A3BE0" w:rsidP="009A3BE0">
      <w:pPr>
        <w:rPr>
          <w:rFonts w:ascii="Arial" w:hAnsi="Arial" w:cs="Arial"/>
          <w:sz w:val="22"/>
          <w:szCs w:val="22"/>
        </w:rPr>
      </w:pPr>
      <w:r w:rsidRPr="009A3BE0">
        <w:rPr>
          <w:rFonts w:ascii="Arial" w:hAnsi="Arial" w:cs="Arial"/>
          <w:sz w:val="22"/>
          <w:szCs w:val="22"/>
        </w:rPr>
        <w:lastRenderedPageBreak/>
        <w:t>differences. Globalisation also increases the need for cross-cultural competence, prompting Google to include diversity, equity and inclusion (DEI) modules in its learning programmes.</w:t>
      </w:r>
    </w:p>
    <w:p w14:paraId="569B8989" w14:textId="77777777" w:rsidR="009A3BE0" w:rsidRPr="009A3BE0" w:rsidRDefault="009A3BE0" w:rsidP="009A3BE0">
      <w:pPr>
        <w:rPr>
          <w:rFonts w:ascii="Arial" w:hAnsi="Arial" w:cs="Arial"/>
          <w:sz w:val="22"/>
          <w:szCs w:val="22"/>
        </w:rPr>
      </w:pPr>
    </w:p>
    <w:p w14:paraId="27F82F3A" w14:textId="77777777" w:rsidR="009A3BE0" w:rsidRPr="009A3BE0" w:rsidRDefault="009A3BE0" w:rsidP="009A3BE0">
      <w:pPr>
        <w:rPr>
          <w:rFonts w:ascii="Arial" w:hAnsi="Arial" w:cs="Arial"/>
          <w:sz w:val="22"/>
          <w:szCs w:val="22"/>
        </w:rPr>
      </w:pPr>
      <w:r w:rsidRPr="009A3BE0">
        <w:rPr>
          <w:rFonts w:ascii="Arial" w:hAnsi="Arial" w:cs="Arial"/>
          <w:sz w:val="22"/>
          <w:szCs w:val="22"/>
        </w:rPr>
        <w:t>Technological disruption is another powerful external factor. Because new technologies emerge at an unprecedented pace, Google must continuously update its development programmes to ensure employees are equipped with the latest skills. This includes training related to AI ethics, machine learning models, cloud services, automation and digital security. If Google fails to keep up with technological change, the organisation risks losing its competitive edge. Therefore, L&amp;D must evolve in parallel with external innovation.</w:t>
      </w:r>
    </w:p>
    <w:p w14:paraId="77389178" w14:textId="77777777" w:rsidR="009A3BE0" w:rsidRPr="009A3BE0" w:rsidRDefault="009A3BE0" w:rsidP="009A3BE0">
      <w:pPr>
        <w:rPr>
          <w:rFonts w:ascii="Arial" w:hAnsi="Arial" w:cs="Arial"/>
          <w:sz w:val="22"/>
          <w:szCs w:val="22"/>
        </w:rPr>
      </w:pPr>
    </w:p>
    <w:p w14:paraId="50319AC9" w14:textId="77777777" w:rsidR="009A3BE0" w:rsidRPr="009A3BE0" w:rsidRDefault="009A3BE0" w:rsidP="009A3BE0">
      <w:pPr>
        <w:rPr>
          <w:rFonts w:ascii="Arial" w:hAnsi="Arial" w:cs="Arial"/>
          <w:sz w:val="22"/>
          <w:szCs w:val="22"/>
        </w:rPr>
      </w:pPr>
      <w:r w:rsidRPr="009A3BE0">
        <w:rPr>
          <w:rFonts w:ascii="Arial" w:hAnsi="Arial" w:cs="Arial"/>
          <w:sz w:val="22"/>
          <w:szCs w:val="22"/>
        </w:rPr>
        <w:t>Changes in regulation and compliance also affect L&amp;D design. For example, data protection laws such as the General Data Protection Regulation (GDPR) require employees to complete mandatory compliance training. These programmes help employees understand issues such as consumer privacy, cybersecurity responsibilities and data governance. The global nature of Google’s operations means that regulations differ across regions, so L&amp;D must adapt to each legal environment.</w:t>
      </w:r>
    </w:p>
    <w:p w14:paraId="1A0BE3F8" w14:textId="77777777" w:rsidR="009A3BE0" w:rsidRPr="009A3BE0" w:rsidRDefault="009A3BE0" w:rsidP="009A3BE0">
      <w:pPr>
        <w:rPr>
          <w:rFonts w:ascii="Arial" w:hAnsi="Arial" w:cs="Arial"/>
          <w:sz w:val="22"/>
          <w:szCs w:val="22"/>
        </w:rPr>
      </w:pPr>
    </w:p>
    <w:p w14:paraId="503E9591" w14:textId="5535577E" w:rsidR="009A3BE0" w:rsidRDefault="009A3BE0" w:rsidP="009A3BE0">
      <w:pPr>
        <w:rPr>
          <w:rFonts w:ascii="Arial" w:hAnsi="Arial" w:cs="Arial"/>
          <w:sz w:val="22"/>
          <w:szCs w:val="22"/>
        </w:rPr>
      </w:pPr>
      <w:r w:rsidRPr="009A3BE0">
        <w:rPr>
          <w:rFonts w:ascii="Arial" w:hAnsi="Arial" w:cs="Arial"/>
          <w:sz w:val="22"/>
          <w:szCs w:val="22"/>
        </w:rPr>
        <w:t>Finally, labour market competition puts pressure on Google to maintain highly attractive development opportunities. The technology industry is extremely competitive, with companies like Amazon, Meta, Apple and Microsoft actively competing for top talent. Employees increasingly choose employers based on access to career development and clear pathways for progression. As a result, Google invests heavily in innovative and personalised learning opportunities to remain an “employer of choice.” L&amp;D thus becomes a strategic tool for attracting, motivating and retaining high-performing employees.</w:t>
      </w:r>
    </w:p>
    <w:p w14:paraId="7C4C1FF5" w14:textId="77777777" w:rsidR="00CB4ED8" w:rsidRDefault="00CB4ED8" w:rsidP="009A3BE0">
      <w:pPr>
        <w:rPr>
          <w:rFonts w:ascii="Arial" w:hAnsi="Arial" w:cs="Arial"/>
          <w:sz w:val="22"/>
          <w:szCs w:val="22"/>
        </w:rPr>
      </w:pPr>
    </w:p>
    <w:p w14:paraId="45E7B82D" w14:textId="77777777" w:rsidR="00CB4ED8" w:rsidRDefault="00CB4ED8" w:rsidP="009A3BE0">
      <w:pPr>
        <w:rPr>
          <w:rFonts w:ascii="Arial" w:hAnsi="Arial" w:cs="Arial"/>
          <w:sz w:val="22"/>
          <w:szCs w:val="22"/>
        </w:rPr>
      </w:pPr>
    </w:p>
    <w:p w14:paraId="15712DB1" w14:textId="77777777" w:rsidR="00D82379" w:rsidRDefault="00D82379" w:rsidP="00CB4ED8">
      <w:pPr>
        <w:rPr>
          <w:rFonts w:ascii="Arial" w:hAnsi="Arial" w:cs="Arial"/>
          <w:sz w:val="22"/>
          <w:szCs w:val="22"/>
        </w:rPr>
      </w:pPr>
    </w:p>
    <w:p w14:paraId="6E2C8DFA" w14:textId="77777777" w:rsidR="009F06CE" w:rsidRDefault="009F06CE" w:rsidP="00CB4ED8">
      <w:pPr>
        <w:rPr>
          <w:rFonts w:ascii="Arial" w:hAnsi="Arial" w:cs="Arial"/>
          <w:b/>
          <w:bCs/>
          <w:sz w:val="22"/>
          <w:szCs w:val="22"/>
        </w:rPr>
      </w:pPr>
    </w:p>
    <w:p w14:paraId="0D74DDBB" w14:textId="77777777" w:rsidR="009F06CE" w:rsidRDefault="009F06CE" w:rsidP="00CB4ED8">
      <w:pPr>
        <w:rPr>
          <w:rFonts w:ascii="Arial" w:hAnsi="Arial" w:cs="Arial"/>
          <w:b/>
          <w:bCs/>
          <w:sz w:val="22"/>
          <w:szCs w:val="22"/>
        </w:rPr>
      </w:pPr>
    </w:p>
    <w:p w14:paraId="3E767142" w14:textId="77777777" w:rsidR="009F06CE" w:rsidRDefault="009F06CE" w:rsidP="00CB4ED8">
      <w:pPr>
        <w:rPr>
          <w:rFonts w:ascii="Arial" w:hAnsi="Arial" w:cs="Arial"/>
          <w:b/>
          <w:bCs/>
          <w:sz w:val="22"/>
          <w:szCs w:val="22"/>
        </w:rPr>
      </w:pPr>
    </w:p>
    <w:p w14:paraId="1CEE70DA" w14:textId="77777777" w:rsidR="009F06CE" w:rsidRDefault="009F06CE" w:rsidP="00CB4ED8">
      <w:pPr>
        <w:rPr>
          <w:rFonts w:ascii="Arial" w:hAnsi="Arial" w:cs="Arial"/>
          <w:b/>
          <w:bCs/>
          <w:sz w:val="22"/>
          <w:szCs w:val="22"/>
        </w:rPr>
      </w:pPr>
    </w:p>
    <w:p w14:paraId="0867380C" w14:textId="77777777" w:rsidR="009F06CE" w:rsidRDefault="009F06CE" w:rsidP="00CB4ED8">
      <w:pPr>
        <w:rPr>
          <w:rFonts w:ascii="Arial" w:hAnsi="Arial" w:cs="Arial"/>
          <w:b/>
          <w:bCs/>
          <w:sz w:val="22"/>
          <w:szCs w:val="22"/>
        </w:rPr>
      </w:pPr>
    </w:p>
    <w:p w14:paraId="297D8EA1" w14:textId="77777777" w:rsidR="009F06CE" w:rsidRDefault="009F06CE" w:rsidP="00CB4ED8">
      <w:pPr>
        <w:rPr>
          <w:rFonts w:ascii="Arial" w:hAnsi="Arial" w:cs="Arial"/>
          <w:b/>
          <w:bCs/>
          <w:sz w:val="22"/>
          <w:szCs w:val="22"/>
        </w:rPr>
      </w:pPr>
    </w:p>
    <w:p w14:paraId="280F663B" w14:textId="77777777" w:rsidR="009F06CE" w:rsidRDefault="009F06CE" w:rsidP="00CB4ED8">
      <w:pPr>
        <w:rPr>
          <w:rFonts w:ascii="Arial" w:hAnsi="Arial" w:cs="Arial"/>
          <w:b/>
          <w:bCs/>
          <w:sz w:val="22"/>
          <w:szCs w:val="22"/>
        </w:rPr>
      </w:pPr>
    </w:p>
    <w:p w14:paraId="1237250F" w14:textId="77777777" w:rsidR="009F06CE" w:rsidRDefault="009F06CE" w:rsidP="00CB4ED8">
      <w:pPr>
        <w:rPr>
          <w:rFonts w:ascii="Arial" w:hAnsi="Arial" w:cs="Arial"/>
          <w:b/>
          <w:bCs/>
          <w:sz w:val="22"/>
          <w:szCs w:val="22"/>
        </w:rPr>
      </w:pPr>
    </w:p>
    <w:p w14:paraId="47F33814" w14:textId="77777777" w:rsidR="009F06CE" w:rsidRDefault="009F06CE" w:rsidP="00CB4ED8">
      <w:pPr>
        <w:rPr>
          <w:rFonts w:ascii="Arial" w:hAnsi="Arial" w:cs="Arial"/>
          <w:b/>
          <w:bCs/>
          <w:sz w:val="22"/>
          <w:szCs w:val="22"/>
        </w:rPr>
      </w:pPr>
    </w:p>
    <w:p w14:paraId="1F3277AD" w14:textId="77777777" w:rsidR="009F06CE" w:rsidRDefault="009F06CE" w:rsidP="00CB4ED8">
      <w:pPr>
        <w:rPr>
          <w:rFonts w:ascii="Arial" w:hAnsi="Arial" w:cs="Arial"/>
          <w:b/>
          <w:bCs/>
          <w:sz w:val="22"/>
          <w:szCs w:val="22"/>
        </w:rPr>
      </w:pPr>
    </w:p>
    <w:p w14:paraId="3D0B5472" w14:textId="77777777" w:rsidR="009F06CE" w:rsidRDefault="009F06CE" w:rsidP="00CB4ED8">
      <w:pPr>
        <w:rPr>
          <w:rFonts w:ascii="Arial" w:hAnsi="Arial" w:cs="Arial"/>
          <w:b/>
          <w:bCs/>
          <w:sz w:val="22"/>
          <w:szCs w:val="22"/>
        </w:rPr>
      </w:pPr>
    </w:p>
    <w:p w14:paraId="5D595649" w14:textId="77777777" w:rsidR="009F06CE" w:rsidRDefault="009F06CE" w:rsidP="00CB4ED8">
      <w:pPr>
        <w:rPr>
          <w:rFonts w:ascii="Arial" w:hAnsi="Arial" w:cs="Arial"/>
          <w:b/>
          <w:bCs/>
          <w:sz w:val="22"/>
          <w:szCs w:val="22"/>
        </w:rPr>
      </w:pPr>
    </w:p>
    <w:p w14:paraId="4E219169" w14:textId="76B37340" w:rsidR="00CB4ED8" w:rsidRPr="00CB4ED8" w:rsidRDefault="00CB4ED8" w:rsidP="00CB4ED8">
      <w:pPr>
        <w:rPr>
          <w:rFonts w:ascii="Arial" w:hAnsi="Arial" w:cs="Arial"/>
          <w:sz w:val="22"/>
          <w:szCs w:val="22"/>
        </w:rPr>
      </w:pPr>
      <w:r w:rsidRPr="00CB4ED8">
        <w:rPr>
          <w:rFonts w:ascii="Arial" w:hAnsi="Arial" w:cs="Arial"/>
          <w:b/>
          <w:bCs/>
          <w:sz w:val="22"/>
          <w:szCs w:val="22"/>
        </w:rPr>
        <w:t xml:space="preserve">3. Learning and Development Supporting Adaptation to Environmental Factors </w:t>
      </w:r>
    </w:p>
    <w:p w14:paraId="78D4368B" w14:textId="77777777" w:rsidR="00CB4ED8" w:rsidRPr="00CB4ED8" w:rsidRDefault="00CB4ED8" w:rsidP="00CB4ED8">
      <w:pPr>
        <w:rPr>
          <w:rFonts w:ascii="Arial" w:hAnsi="Arial" w:cs="Arial"/>
          <w:sz w:val="22"/>
          <w:szCs w:val="22"/>
        </w:rPr>
      </w:pPr>
    </w:p>
    <w:p w14:paraId="003D64B1" w14:textId="77777777" w:rsidR="00CB4ED8" w:rsidRPr="00CB4ED8" w:rsidRDefault="00CB4ED8" w:rsidP="00CB4ED8">
      <w:pPr>
        <w:rPr>
          <w:rFonts w:ascii="Arial" w:hAnsi="Arial" w:cs="Arial"/>
          <w:sz w:val="22"/>
          <w:szCs w:val="22"/>
        </w:rPr>
      </w:pPr>
      <w:r w:rsidRPr="00CB4ED8">
        <w:rPr>
          <w:rFonts w:ascii="Arial" w:hAnsi="Arial" w:cs="Arial"/>
          <w:sz w:val="22"/>
          <w:szCs w:val="22"/>
        </w:rPr>
        <w:t>Learning and Development (L&amp;D) plays a crucial role in helping Google adapt to rapidly changing environmental factors, particularly those driven by technological innovation, digital transformation and shifting workforce expectations. As a global technology leader, Google operates in an environment characterised by constant disruption, where new tools, systems and methodologies emerge at a fast pace. For this reason, the company relies heavily on continuous learning to maintain organisational agility and ensure employees remain capable of responding effectively to external challenges.</w:t>
      </w:r>
    </w:p>
    <w:p w14:paraId="68DF68DD" w14:textId="77777777" w:rsidR="00CB4ED8" w:rsidRPr="00CB4ED8" w:rsidRDefault="00CB4ED8" w:rsidP="00CB4ED8">
      <w:pPr>
        <w:rPr>
          <w:rFonts w:ascii="Arial" w:hAnsi="Arial" w:cs="Arial"/>
          <w:sz w:val="22"/>
          <w:szCs w:val="22"/>
        </w:rPr>
      </w:pPr>
      <w:r w:rsidRPr="00CB4ED8">
        <w:rPr>
          <w:rFonts w:ascii="Arial" w:hAnsi="Arial" w:cs="Arial"/>
          <w:sz w:val="22"/>
          <w:szCs w:val="22"/>
        </w:rPr>
        <w:t>One of the key environmental changes affecting Google is the acceleration of digital transformation. Advancements in artificial intelligence, machine learning, cloud computing and cybersecurity require employees to constantly update their knowledge. Google supports this adaptation by offering specialised training academies, hands-on technical workshops and advanced certification programmes, such as the Google Cloud Certification pathways. These initiatives allow employees to develop both foundational and cutting-edge skills, enabling them to contribute to innovation and product development more effectively.</w:t>
      </w:r>
    </w:p>
    <w:p w14:paraId="2E2F8D01" w14:textId="77777777" w:rsidR="00CB4ED8" w:rsidRPr="00CB4ED8" w:rsidRDefault="00CB4ED8" w:rsidP="00CB4ED8">
      <w:pPr>
        <w:rPr>
          <w:rFonts w:ascii="Arial" w:hAnsi="Arial" w:cs="Arial"/>
          <w:sz w:val="22"/>
          <w:szCs w:val="22"/>
        </w:rPr>
      </w:pPr>
      <w:r w:rsidRPr="00CB4ED8">
        <w:rPr>
          <w:rFonts w:ascii="Arial" w:hAnsi="Arial" w:cs="Arial"/>
          <w:sz w:val="22"/>
          <w:szCs w:val="22"/>
        </w:rPr>
        <w:t>Another major factor is the shift toward remote and hybrid work models, which became more prominent after the COVID-19 pandemic. To adapt to this change, Google redesigned many of its L&amp;D offerings to be virtual, flexible and globally accessible. The organisation implemented online learning platforms, virtual classrooms, self-paced modules and digital collaboration tools. These resources ensure that employees can access training from any location, regardless of time zone, while maintaining high levels of engagement. Virtual learning also enhances inclusivity by making training available to employees who may have previously faced geographic or logistical barriers.</w:t>
      </w:r>
    </w:p>
    <w:p w14:paraId="6B1775C5" w14:textId="77777777" w:rsidR="00CB4ED8" w:rsidRPr="00CB4ED8" w:rsidRDefault="00CB4ED8" w:rsidP="00CB4ED8">
      <w:pPr>
        <w:rPr>
          <w:rFonts w:ascii="Arial" w:hAnsi="Arial" w:cs="Arial"/>
          <w:sz w:val="22"/>
          <w:szCs w:val="22"/>
        </w:rPr>
      </w:pPr>
      <w:r w:rsidRPr="00CB4ED8">
        <w:rPr>
          <w:rFonts w:ascii="Arial" w:hAnsi="Arial" w:cs="Arial"/>
          <w:sz w:val="22"/>
          <w:szCs w:val="22"/>
        </w:rPr>
        <w:t>L&amp;D further supports Google’s adaptation to environmental factors through its focus on continuous learning culture. Employees are encouraged to develop new competencies proactively, experiment with new technologies and share knowledge across teams. This mindset helps Google stay resilient in the face of market uncertainty and industry disruption.</w:t>
      </w:r>
    </w:p>
    <w:p w14:paraId="7B8E00A7" w14:textId="77777777" w:rsidR="00CB4ED8" w:rsidRPr="00CB4ED8" w:rsidRDefault="00CB4ED8" w:rsidP="00CB4ED8">
      <w:pPr>
        <w:rPr>
          <w:rFonts w:ascii="Arial" w:hAnsi="Arial" w:cs="Arial"/>
          <w:sz w:val="22"/>
          <w:szCs w:val="22"/>
        </w:rPr>
      </w:pPr>
      <w:r w:rsidRPr="00CB4ED8">
        <w:rPr>
          <w:rFonts w:ascii="Arial" w:hAnsi="Arial" w:cs="Arial"/>
          <w:sz w:val="22"/>
          <w:szCs w:val="22"/>
        </w:rPr>
        <w:t>Finally, environmental changes such as regulatory shifts, consumer expectations regarding ethical AI, and global competition require employees to remain informed and compliant. Google integrates mandatory compliance training, ethical decision-making modules and data protection courses to address these emerging issues.</w:t>
      </w:r>
    </w:p>
    <w:p w14:paraId="62AE9456" w14:textId="7720D695" w:rsidR="00CB4ED8" w:rsidRDefault="00CB4ED8" w:rsidP="00CB4ED8">
      <w:pPr>
        <w:rPr>
          <w:rFonts w:ascii="Arial" w:hAnsi="Arial" w:cs="Arial"/>
          <w:sz w:val="22"/>
          <w:szCs w:val="22"/>
        </w:rPr>
      </w:pPr>
      <w:r w:rsidRPr="00CB4ED8">
        <w:rPr>
          <w:rFonts w:ascii="Arial" w:hAnsi="Arial" w:cs="Arial"/>
          <w:sz w:val="22"/>
          <w:szCs w:val="22"/>
        </w:rPr>
        <w:t>Overall, L&amp;D enables Google to remain flexible, innovative and responsive to external pressures by equipping employees with the skills, knowledge and behaviours needed to succeed in a rapidly evolving business environment.</w:t>
      </w:r>
    </w:p>
    <w:p w14:paraId="575CBD91" w14:textId="77777777" w:rsidR="00CB4ED8" w:rsidRDefault="00CB4ED8" w:rsidP="00CB4ED8">
      <w:pPr>
        <w:rPr>
          <w:rFonts w:ascii="Arial" w:hAnsi="Arial" w:cs="Arial"/>
          <w:sz w:val="22"/>
          <w:szCs w:val="22"/>
        </w:rPr>
      </w:pPr>
    </w:p>
    <w:p w14:paraId="2E549C59" w14:textId="77777777" w:rsidR="00CB4ED8" w:rsidRDefault="00CB4ED8" w:rsidP="00CB4ED8">
      <w:pPr>
        <w:rPr>
          <w:rFonts w:ascii="Arial" w:hAnsi="Arial" w:cs="Arial"/>
          <w:sz w:val="22"/>
          <w:szCs w:val="22"/>
        </w:rPr>
      </w:pPr>
    </w:p>
    <w:p w14:paraId="0DAB4B33" w14:textId="77777777" w:rsidR="00CB4ED8" w:rsidRDefault="00CB4ED8" w:rsidP="00CB4ED8">
      <w:pPr>
        <w:rPr>
          <w:rFonts w:ascii="Arial" w:hAnsi="Arial" w:cs="Arial"/>
          <w:sz w:val="22"/>
          <w:szCs w:val="22"/>
        </w:rPr>
      </w:pPr>
    </w:p>
    <w:p w14:paraId="20043484" w14:textId="77777777" w:rsidR="00CB4ED8" w:rsidRDefault="00CB4ED8" w:rsidP="00CB4ED8">
      <w:pPr>
        <w:rPr>
          <w:rFonts w:ascii="Arial" w:hAnsi="Arial" w:cs="Arial"/>
          <w:sz w:val="22"/>
          <w:szCs w:val="22"/>
        </w:rPr>
      </w:pPr>
    </w:p>
    <w:p w14:paraId="7985CF26" w14:textId="77777777" w:rsidR="00CB4ED8" w:rsidRDefault="00CB4ED8" w:rsidP="00CB4ED8">
      <w:pPr>
        <w:rPr>
          <w:rFonts w:ascii="Arial" w:hAnsi="Arial" w:cs="Arial"/>
          <w:sz w:val="22"/>
          <w:szCs w:val="22"/>
        </w:rPr>
      </w:pPr>
    </w:p>
    <w:p w14:paraId="47083906" w14:textId="3AC234E1" w:rsidR="00CB4ED8" w:rsidRPr="00CB4ED8" w:rsidRDefault="00CB4ED8" w:rsidP="00CB4ED8">
      <w:pPr>
        <w:rPr>
          <w:rFonts w:ascii="Arial" w:hAnsi="Arial" w:cs="Arial"/>
          <w:sz w:val="22"/>
          <w:szCs w:val="22"/>
        </w:rPr>
      </w:pPr>
      <w:r w:rsidRPr="00CB4ED8">
        <w:rPr>
          <w:rFonts w:ascii="Arial" w:hAnsi="Arial" w:cs="Arial"/>
          <w:b/>
          <w:bCs/>
          <w:sz w:val="22"/>
          <w:szCs w:val="22"/>
        </w:rPr>
        <w:t>4. Learning and Development as a Tool for Maintaining Competitive Advantage</w:t>
      </w:r>
      <w:r w:rsidRPr="00CB4ED8">
        <w:rPr>
          <w:rFonts w:ascii="Arial" w:hAnsi="Arial" w:cs="Arial"/>
          <w:sz w:val="22"/>
          <w:szCs w:val="22"/>
        </w:rPr>
        <w:t xml:space="preserve"> </w:t>
      </w:r>
    </w:p>
    <w:p w14:paraId="6CF775F8" w14:textId="77777777" w:rsidR="00A92BFD" w:rsidRPr="00A92BFD" w:rsidRDefault="00A92BFD" w:rsidP="00A92BFD">
      <w:pPr>
        <w:rPr>
          <w:rFonts w:ascii="Arial" w:hAnsi="Arial" w:cs="Arial"/>
          <w:sz w:val="22"/>
          <w:szCs w:val="22"/>
        </w:rPr>
      </w:pPr>
      <w:r w:rsidRPr="00A92BFD">
        <w:rPr>
          <w:rFonts w:ascii="Arial" w:hAnsi="Arial" w:cs="Arial"/>
          <w:sz w:val="22"/>
          <w:szCs w:val="22"/>
        </w:rPr>
        <w:t xml:space="preserve">Learning and development are central to Google’s competitive advantage. High-quality training improves employee engagement, productivity and retention. Google’s investment in learning demonstrates to employees that the organisation values their growth, which strengthens loyalty and reduces turnover. Leadership development programmes such as Project Oxygen and </w:t>
      </w:r>
      <w:proofErr w:type="spellStart"/>
      <w:r w:rsidRPr="00A92BFD">
        <w:rPr>
          <w:rFonts w:ascii="Arial" w:hAnsi="Arial" w:cs="Arial"/>
          <w:sz w:val="22"/>
          <w:szCs w:val="22"/>
        </w:rPr>
        <w:t>gCoach</w:t>
      </w:r>
      <w:proofErr w:type="spellEnd"/>
      <w:r w:rsidRPr="00A92BFD">
        <w:rPr>
          <w:rFonts w:ascii="Arial" w:hAnsi="Arial" w:cs="Arial"/>
          <w:sz w:val="22"/>
          <w:szCs w:val="22"/>
        </w:rPr>
        <w:t xml:space="preserve"> prepare future leaders and improve management effectiveness, which directly contributes to team performance.</w:t>
      </w:r>
    </w:p>
    <w:p w14:paraId="6C75A6B9" w14:textId="77777777" w:rsidR="00A92BFD" w:rsidRPr="00A92BFD" w:rsidRDefault="00A92BFD" w:rsidP="00A92BFD">
      <w:pPr>
        <w:rPr>
          <w:rFonts w:ascii="Arial" w:hAnsi="Arial" w:cs="Arial"/>
          <w:sz w:val="22"/>
          <w:szCs w:val="22"/>
        </w:rPr>
      </w:pPr>
    </w:p>
    <w:p w14:paraId="2180825C" w14:textId="7889FC51" w:rsidR="00CB4ED8" w:rsidRDefault="00A92BFD" w:rsidP="00A92BFD">
      <w:pPr>
        <w:rPr>
          <w:rFonts w:ascii="Arial" w:hAnsi="Arial" w:cs="Arial"/>
          <w:sz w:val="22"/>
          <w:szCs w:val="22"/>
        </w:rPr>
      </w:pPr>
      <w:r w:rsidRPr="00A92BFD">
        <w:rPr>
          <w:rFonts w:ascii="Arial" w:hAnsi="Arial" w:cs="Arial"/>
          <w:sz w:val="22"/>
          <w:szCs w:val="22"/>
        </w:rPr>
        <w:t>Moreover, strong L&amp;D practices help Google innovate faster than competitors like Microsoft, Amazon or Meta. Employees who stay updated with the latest technologies can create new products, improve existing services and respond quickly to consumer needs. Therefore, L&amp;D is not only a support function but a strategic tool that maintains Google’s long-term market leadership.</w:t>
      </w:r>
    </w:p>
    <w:p w14:paraId="35518B72" w14:textId="77777777" w:rsidR="00A92BFD" w:rsidRDefault="00A92BFD" w:rsidP="00A92BFD">
      <w:pPr>
        <w:rPr>
          <w:rFonts w:ascii="Arial" w:hAnsi="Arial" w:cs="Arial"/>
          <w:sz w:val="22"/>
          <w:szCs w:val="22"/>
        </w:rPr>
      </w:pPr>
    </w:p>
    <w:p w14:paraId="2835D1E8" w14:textId="77777777" w:rsidR="00A92BFD" w:rsidRDefault="00A92BFD" w:rsidP="00A92BFD">
      <w:pPr>
        <w:rPr>
          <w:rFonts w:ascii="Arial" w:hAnsi="Arial" w:cs="Arial"/>
          <w:sz w:val="22"/>
          <w:szCs w:val="22"/>
        </w:rPr>
      </w:pPr>
    </w:p>
    <w:p w14:paraId="43E814EA" w14:textId="77777777" w:rsidR="00A92BFD" w:rsidRDefault="00A92BFD" w:rsidP="00A92BFD">
      <w:pPr>
        <w:rPr>
          <w:rFonts w:ascii="Arial" w:hAnsi="Arial" w:cs="Arial"/>
          <w:sz w:val="22"/>
          <w:szCs w:val="22"/>
        </w:rPr>
      </w:pPr>
    </w:p>
    <w:p w14:paraId="2E0A9876" w14:textId="77777777" w:rsidR="00A92BFD" w:rsidRDefault="00A92BFD" w:rsidP="00A92BFD">
      <w:pPr>
        <w:rPr>
          <w:rFonts w:ascii="Arial" w:hAnsi="Arial" w:cs="Arial"/>
          <w:sz w:val="22"/>
          <w:szCs w:val="22"/>
        </w:rPr>
      </w:pPr>
    </w:p>
    <w:p w14:paraId="5A2A3D44" w14:textId="77777777" w:rsidR="00A92BFD" w:rsidRDefault="00A92BFD" w:rsidP="00A92BFD">
      <w:pPr>
        <w:rPr>
          <w:rFonts w:ascii="Arial" w:hAnsi="Arial" w:cs="Arial"/>
          <w:sz w:val="22"/>
          <w:szCs w:val="22"/>
        </w:rPr>
      </w:pPr>
    </w:p>
    <w:p w14:paraId="5D823265" w14:textId="77777777" w:rsidR="00A92BFD" w:rsidRDefault="00A92BFD" w:rsidP="00A92BFD">
      <w:pPr>
        <w:rPr>
          <w:rFonts w:ascii="Arial" w:hAnsi="Arial" w:cs="Arial"/>
          <w:sz w:val="22"/>
          <w:szCs w:val="22"/>
        </w:rPr>
      </w:pPr>
    </w:p>
    <w:p w14:paraId="7829AF49" w14:textId="77777777" w:rsidR="00A92BFD" w:rsidRPr="00CB4ED8" w:rsidRDefault="00A92BFD" w:rsidP="00A92BFD">
      <w:pPr>
        <w:rPr>
          <w:rFonts w:ascii="Arial" w:hAnsi="Arial" w:cs="Arial"/>
          <w:sz w:val="22"/>
          <w:szCs w:val="22"/>
        </w:rPr>
      </w:pPr>
    </w:p>
    <w:p w14:paraId="324D4DA1" w14:textId="77777777" w:rsidR="00CB4ED8" w:rsidRDefault="00CB4ED8" w:rsidP="00CB4ED8">
      <w:pPr>
        <w:rPr>
          <w:rFonts w:ascii="Arial" w:hAnsi="Arial" w:cs="Arial"/>
          <w:sz w:val="22"/>
          <w:szCs w:val="22"/>
        </w:rPr>
      </w:pPr>
    </w:p>
    <w:p w14:paraId="3794498C" w14:textId="77777777" w:rsidR="00D82379" w:rsidRDefault="00D82379" w:rsidP="00CB4ED8">
      <w:pPr>
        <w:rPr>
          <w:rFonts w:ascii="Arial" w:hAnsi="Arial" w:cs="Arial"/>
          <w:sz w:val="22"/>
          <w:szCs w:val="22"/>
        </w:rPr>
      </w:pPr>
    </w:p>
    <w:p w14:paraId="6452039C" w14:textId="77777777" w:rsidR="009F06CE" w:rsidRDefault="009F06CE" w:rsidP="00CB4ED8">
      <w:pPr>
        <w:rPr>
          <w:rFonts w:ascii="Arial" w:hAnsi="Arial" w:cs="Arial"/>
          <w:b/>
          <w:bCs/>
          <w:sz w:val="22"/>
          <w:szCs w:val="22"/>
        </w:rPr>
      </w:pPr>
    </w:p>
    <w:p w14:paraId="67E80495" w14:textId="77777777" w:rsidR="009F06CE" w:rsidRDefault="009F06CE" w:rsidP="00CB4ED8">
      <w:pPr>
        <w:rPr>
          <w:rFonts w:ascii="Arial" w:hAnsi="Arial" w:cs="Arial"/>
          <w:b/>
          <w:bCs/>
          <w:sz w:val="22"/>
          <w:szCs w:val="22"/>
        </w:rPr>
      </w:pPr>
    </w:p>
    <w:p w14:paraId="1186368E" w14:textId="77777777" w:rsidR="009F06CE" w:rsidRDefault="009F06CE" w:rsidP="00CB4ED8">
      <w:pPr>
        <w:rPr>
          <w:rFonts w:ascii="Arial" w:hAnsi="Arial" w:cs="Arial"/>
          <w:b/>
          <w:bCs/>
          <w:sz w:val="22"/>
          <w:szCs w:val="22"/>
        </w:rPr>
      </w:pPr>
    </w:p>
    <w:p w14:paraId="23D68D43" w14:textId="77777777" w:rsidR="009F06CE" w:rsidRDefault="009F06CE" w:rsidP="00CB4ED8">
      <w:pPr>
        <w:rPr>
          <w:rFonts w:ascii="Arial" w:hAnsi="Arial" w:cs="Arial"/>
          <w:b/>
          <w:bCs/>
          <w:sz w:val="22"/>
          <w:szCs w:val="22"/>
        </w:rPr>
      </w:pPr>
    </w:p>
    <w:p w14:paraId="12ADD7B3" w14:textId="77777777" w:rsidR="009F06CE" w:rsidRDefault="009F06CE" w:rsidP="00CB4ED8">
      <w:pPr>
        <w:rPr>
          <w:rFonts w:ascii="Arial" w:hAnsi="Arial" w:cs="Arial"/>
          <w:b/>
          <w:bCs/>
          <w:sz w:val="22"/>
          <w:szCs w:val="22"/>
        </w:rPr>
      </w:pPr>
    </w:p>
    <w:p w14:paraId="42AC971F" w14:textId="77777777" w:rsidR="009F06CE" w:rsidRDefault="009F06CE" w:rsidP="00CB4ED8">
      <w:pPr>
        <w:rPr>
          <w:rFonts w:ascii="Arial" w:hAnsi="Arial" w:cs="Arial"/>
          <w:b/>
          <w:bCs/>
          <w:sz w:val="22"/>
          <w:szCs w:val="22"/>
        </w:rPr>
      </w:pPr>
    </w:p>
    <w:p w14:paraId="75663E95" w14:textId="77777777" w:rsidR="009F06CE" w:rsidRDefault="009F06CE" w:rsidP="00CB4ED8">
      <w:pPr>
        <w:rPr>
          <w:rFonts w:ascii="Arial" w:hAnsi="Arial" w:cs="Arial"/>
          <w:b/>
          <w:bCs/>
          <w:sz w:val="22"/>
          <w:szCs w:val="22"/>
        </w:rPr>
      </w:pPr>
    </w:p>
    <w:p w14:paraId="1F6B4C87" w14:textId="77777777" w:rsidR="009F06CE" w:rsidRDefault="009F06CE" w:rsidP="00CB4ED8">
      <w:pPr>
        <w:rPr>
          <w:rFonts w:ascii="Arial" w:hAnsi="Arial" w:cs="Arial"/>
          <w:b/>
          <w:bCs/>
          <w:sz w:val="22"/>
          <w:szCs w:val="22"/>
        </w:rPr>
      </w:pPr>
    </w:p>
    <w:p w14:paraId="70165E5D" w14:textId="77777777" w:rsidR="009F06CE" w:rsidRDefault="009F06CE" w:rsidP="00CB4ED8">
      <w:pPr>
        <w:rPr>
          <w:rFonts w:ascii="Arial" w:hAnsi="Arial" w:cs="Arial"/>
          <w:b/>
          <w:bCs/>
          <w:sz w:val="22"/>
          <w:szCs w:val="22"/>
        </w:rPr>
      </w:pPr>
    </w:p>
    <w:p w14:paraId="1A545DB2" w14:textId="77777777" w:rsidR="009F06CE" w:rsidRDefault="009F06CE" w:rsidP="00CB4ED8">
      <w:pPr>
        <w:rPr>
          <w:rFonts w:ascii="Arial" w:hAnsi="Arial" w:cs="Arial"/>
          <w:b/>
          <w:bCs/>
          <w:sz w:val="22"/>
          <w:szCs w:val="22"/>
        </w:rPr>
      </w:pPr>
    </w:p>
    <w:p w14:paraId="28B139D0" w14:textId="77777777" w:rsidR="009F06CE" w:rsidRDefault="009F06CE" w:rsidP="00CB4ED8">
      <w:pPr>
        <w:rPr>
          <w:rFonts w:ascii="Arial" w:hAnsi="Arial" w:cs="Arial"/>
          <w:b/>
          <w:bCs/>
          <w:sz w:val="22"/>
          <w:szCs w:val="22"/>
        </w:rPr>
      </w:pPr>
    </w:p>
    <w:p w14:paraId="507DDC58" w14:textId="77777777" w:rsidR="009F06CE" w:rsidRDefault="009F06CE" w:rsidP="00CB4ED8">
      <w:pPr>
        <w:rPr>
          <w:rFonts w:ascii="Arial" w:hAnsi="Arial" w:cs="Arial"/>
          <w:b/>
          <w:bCs/>
          <w:sz w:val="22"/>
          <w:szCs w:val="22"/>
        </w:rPr>
      </w:pPr>
    </w:p>
    <w:p w14:paraId="193C8538" w14:textId="3203A280" w:rsidR="00CB4ED8" w:rsidRPr="00CB4ED8" w:rsidRDefault="00CB4ED8" w:rsidP="00CB4ED8">
      <w:pPr>
        <w:rPr>
          <w:rFonts w:ascii="Arial" w:hAnsi="Arial" w:cs="Arial"/>
          <w:sz w:val="22"/>
          <w:szCs w:val="22"/>
        </w:rPr>
      </w:pPr>
      <w:r w:rsidRPr="00CB4ED8">
        <w:rPr>
          <w:rFonts w:ascii="Arial" w:hAnsi="Arial" w:cs="Arial"/>
          <w:b/>
          <w:bCs/>
          <w:sz w:val="22"/>
          <w:szCs w:val="22"/>
        </w:rPr>
        <w:t>5. Supporting Employees from Diverse Backgrounds</w:t>
      </w:r>
      <w:r w:rsidRPr="00CB4ED8">
        <w:rPr>
          <w:rFonts w:ascii="Arial" w:hAnsi="Arial" w:cs="Arial"/>
          <w:sz w:val="22"/>
          <w:szCs w:val="22"/>
        </w:rPr>
        <w:t xml:space="preserve"> </w:t>
      </w:r>
    </w:p>
    <w:p w14:paraId="28794605" w14:textId="77777777" w:rsidR="00A92BFD" w:rsidRPr="00A92BFD" w:rsidRDefault="00A92BFD" w:rsidP="00A92BFD">
      <w:pPr>
        <w:rPr>
          <w:rFonts w:ascii="Arial" w:hAnsi="Arial" w:cs="Arial"/>
          <w:sz w:val="22"/>
          <w:szCs w:val="22"/>
        </w:rPr>
      </w:pPr>
      <w:r w:rsidRPr="00A92BFD">
        <w:rPr>
          <w:rFonts w:ascii="Arial" w:hAnsi="Arial" w:cs="Arial"/>
          <w:sz w:val="22"/>
          <w:szCs w:val="22"/>
        </w:rPr>
        <w:t>Google employs people from a wide range of nationalities, cultures, languages and identities. Inclusive L&amp;D programmes are therefore essential. The organisation offers diversity and cultural sensitivity training to promote understanding and collaboration among employees. Google also provides language support, accessible learning materials and remote training options to accommodate global teams.</w:t>
      </w:r>
    </w:p>
    <w:p w14:paraId="5FFA1748" w14:textId="77777777" w:rsidR="00A92BFD" w:rsidRDefault="00A92BFD" w:rsidP="00A92BFD">
      <w:pPr>
        <w:rPr>
          <w:rFonts w:ascii="Arial" w:hAnsi="Arial" w:cs="Arial"/>
          <w:sz w:val="22"/>
          <w:szCs w:val="22"/>
        </w:rPr>
      </w:pPr>
    </w:p>
    <w:p w14:paraId="41CF800C" w14:textId="47DC0D61" w:rsidR="00CB4ED8" w:rsidRPr="00CB4ED8" w:rsidRDefault="00A92BFD" w:rsidP="00A92BFD">
      <w:pPr>
        <w:rPr>
          <w:rFonts w:ascii="Arial" w:hAnsi="Arial" w:cs="Arial"/>
          <w:sz w:val="22"/>
          <w:szCs w:val="22"/>
        </w:rPr>
      </w:pPr>
      <w:r w:rsidRPr="00A92BFD">
        <w:rPr>
          <w:rFonts w:ascii="Arial" w:hAnsi="Arial" w:cs="Arial"/>
          <w:sz w:val="22"/>
          <w:szCs w:val="22"/>
        </w:rPr>
        <w:t>The company operates several Employee Resource Groups (ERGs) that support learning for underrepresented groups, such as women in technology, LGBTQ+ employees and minority communities. Mentorship programmes help employees from diverse backgrounds access career development opportunities and build confidence. By offering various learning styles—visual, experiential, collaborative—Google ensures that its training programmes are inclusive and equitable.</w:t>
      </w:r>
    </w:p>
    <w:p w14:paraId="069D7005" w14:textId="77777777" w:rsidR="00CB4ED8" w:rsidRDefault="00CB4ED8" w:rsidP="00CB4ED8">
      <w:pPr>
        <w:rPr>
          <w:rFonts w:ascii="Arial" w:hAnsi="Arial" w:cs="Arial"/>
          <w:sz w:val="22"/>
          <w:szCs w:val="22"/>
        </w:rPr>
      </w:pPr>
    </w:p>
    <w:p w14:paraId="6BE3BFB5" w14:textId="77777777" w:rsidR="00CB4ED8" w:rsidRDefault="00CB4ED8" w:rsidP="00CB4ED8">
      <w:pPr>
        <w:rPr>
          <w:rFonts w:ascii="Arial" w:hAnsi="Arial" w:cs="Arial"/>
          <w:sz w:val="22"/>
          <w:szCs w:val="22"/>
        </w:rPr>
      </w:pPr>
    </w:p>
    <w:p w14:paraId="473B8DDF" w14:textId="77777777" w:rsidR="00CB4ED8" w:rsidRDefault="00CB4ED8" w:rsidP="00CB4ED8">
      <w:pPr>
        <w:rPr>
          <w:rFonts w:ascii="Arial" w:hAnsi="Arial" w:cs="Arial"/>
          <w:sz w:val="22"/>
          <w:szCs w:val="22"/>
        </w:rPr>
      </w:pPr>
    </w:p>
    <w:p w14:paraId="7347AAD6" w14:textId="77777777" w:rsidR="00CB4ED8" w:rsidRDefault="00CB4ED8" w:rsidP="00CB4ED8">
      <w:pPr>
        <w:rPr>
          <w:rFonts w:ascii="Arial" w:hAnsi="Arial" w:cs="Arial"/>
          <w:sz w:val="22"/>
          <w:szCs w:val="22"/>
        </w:rPr>
      </w:pPr>
    </w:p>
    <w:p w14:paraId="6A337B62" w14:textId="77777777" w:rsidR="00CB4ED8" w:rsidRDefault="00CB4ED8" w:rsidP="00CB4ED8">
      <w:pPr>
        <w:rPr>
          <w:rFonts w:ascii="Arial" w:hAnsi="Arial" w:cs="Arial"/>
          <w:sz w:val="22"/>
          <w:szCs w:val="22"/>
        </w:rPr>
      </w:pPr>
    </w:p>
    <w:p w14:paraId="3858030E" w14:textId="77777777" w:rsidR="00CB4ED8" w:rsidRDefault="00CB4ED8" w:rsidP="00CB4ED8">
      <w:pPr>
        <w:rPr>
          <w:rFonts w:ascii="Arial" w:hAnsi="Arial" w:cs="Arial"/>
          <w:sz w:val="22"/>
          <w:szCs w:val="22"/>
        </w:rPr>
      </w:pPr>
    </w:p>
    <w:p w14:paraId="1874A1F5" w14:textId="77777777" w:rsidR="00CB4ED8" w:rsidRDefault="00CB4ED8" w:rsidP="00CB4ED8">
      <w:pPr>
        <w:rPr>
          <w:rFonts w:ascii="Arial" w:hAnsi="Arial" w:cs="Arial"/>
          <w:sz w:val="22"/>
          <w:szCs w:val="22"/>
        </w:rPr>
      </w:pPr>
    </w:p>
    <w:p w14:paraId="4254A7CA" w14:textId="77777777" w:rsidR="00CB4ED8" w:rsidRDefault="00CB4ED8" w:rsidP="00CB4ED8">
      <w:pPr>
        <w:rPr>
          <w:rFonts w:ascii="Arial" w:hAnsi="Arial" w:cs="Arial"/>
          <w:sz w:val="22"/>
          <w:szCs w:val="22"/>
        </w:rPr>
      </w:pPr>
    </w:p>
    <w:p w14:paraId="501B2E97" w14:textId="77777777" w:rsidR="00CC7190" w:rsidRDefault="00CC7190" w:rsidP="00CB4ED8">
      <w:pPr>
        <w:rPr>
          <w:rFonts w:ascii="Arial" w:hAnsi="Arial" w:cs="Arial"/>
          <w:sz w:val="22"/>
          <w:szCs w:val="22"/>
        </w:rPr>
      </w:pPr>
    </w:p>
    <w:p w14:paraId="14AD66EF" w14:textId="77777777" w:rsidR="009F06CE" w:rsidRDefault="009F06CE" w:rsidP="00CB4ED8">
      <w:pPr>
        <w:rPr>
          <w:rFonts w:ascii="Arial" w:hAnsi="Arial" w:cs="Arial"/>
          <w:b/>
          <w:bCs/>
          <w:sz w:val="22"/>
          <w:szCs w:val="22"/>
        </w:rPr>
      </w:pPr>
    </w:p>
    <w:p w14:paraId="0947CB36" w14:textId="77777777" w:rsidR="009F06CE" w:rsidRDefault="009F06CE" w:rsidP="00CB4ED8">
      <w:pPr>
        <w:rPr>
          <w:rFonts w:ascii="Arial" w:hAnsi="Arial" w:cs="Arial"/>
          <w:b/>
          <w:bCs/>
          <w:sz w:val="22"/>
          <w:szCs w:val="22"/>
        </w:rPr>
      </w:pPr>
    </w:p>
    <w:p w14:paraId="44BBC663" w14:textId="77777777" w:rsidR="009F06CE" w:rsidRDefault="009F06CE" w:rsidP="00CB4ED8">
      <w:pPr>
        <w:rPr>
          <w:rFonts w:ascii="Arial" w:hAnsi="Arial" w:cs="Arial"/>
          <w:b/>
          <w:bCs/>
          <w:sz w:val="22"/>
          <w:szCs w:val="22"/>
        </w:rPr>
      </w:pPr>
    </w:p>
    <w:p w14:paraId="6066B550" w14:textId="77777777" w:rsidR="009F06CE" w:rsidRDefault="009F06CE" w:rsidP="00CB4ED8">
      <w:pPr>
        <w:rPr>
          <w:rFonts w:ascii="Arial" w:hAnsi="Arial" w:cs="Arial"/>
          <w:b/>
          <w:bCs/>
          <w:sz w:val="22"/>
          <w:szCs w:val="22"/>
        </w:rPr>
      </w:pPr>
    </w:p>
    <w:p w14:paraId="32BCC4E7" w14:textId="77777777" w:rsidR="009F06CE" w:rsidRDefault="009F06CE" w:rsidP="00CB4ED8">
      <w:pPr>
        <w:rPr>
          <w:rFonts w:ascii="Arial" w:hAnsi="Arial" w:cs="Arial"/>
          <w:b/>
          <w:bCs/>
          <w:sz w:val="22"/>
          <w:szCs w:val="22"/>
        </w:rPr>
      </w:pPr>
    </w:p>
    <w:p w14:paraId="71BD7408" w14:textId="77777777" w:rsidR="009F06CE" w:rsidRDefault="009F06CE" w:rsidP="00CB4ED8">
      <w:pPr>
        <w:rPr>
          <w:rFonts w:ascii="Arial" w:hAnsi="Arial" w:cs="Arial"/>
          <w:b/>
          <w:bCs/>
          <w:sz w:val="22"/>
          <w:szCs w:val="22"/>
        </w:rPr>
      </w:pPr>
    </w:p>
    <w:p w14:paraId="40D9B9D2" w14:textId="77777777" w:rsidR="009F06CE" w:rsidRDefault="009F06CE" w:rsidP="00CB4ED8">
      <w:pPr>
        <w:rPr>
          <w:rFonts w:ascii="Arial" w:hAnsi="Arial" w:cs="Arial"/>
          <w:b/>
          <w:bCs/>
          <w:sz w:val="22"/>
          <w:szCs w:val="22"/>
        </w:rPr>
      </w:pPr>
    </w:p>
    <w:p w14:paraId="3B130EDD" w14:textId="77777777" w:rsidR="009F06CE" w:rsidRDefault="009F06CE" w:rsidP="00CB4ED8">
      <w:pPr>
        <w:rPr>
          <w:rFonts w:ascii="Arial" w:hAnsi="Arial" w:cs="Arial"/>
          <w:b/>
          <w:bCs/>
          <w:sz w:val="22"/>
          <w:szCs w:val="22"/>
        </w:rPr>
      </w:pPr>
    </w:p>
    <w:p w14:paraId="315F84A1" w14:textId="77777777" w:rsidR="009F06CE" w:rsidRDefault="009F06CE" w:rsidP="00CB4ED8">
      <w:pPr>
        <w:rPr>
          <w:rFonts w:ascii="Arial" w:hAnsi="Arial" w:cs="Arial"/>
          <w:b/>
          <w:bCs/>
          <w:sz w:val="22"/>
          <w:szCs w:val="22"/>
        </w:rPr>
      </w:pPr>
    </w:p>
    <w:p w14:paraId="358A870E" w14:textId="77777777" w:rsidR="009F06CE" w:rsidRDefault="009F06CE" w:rsidP="00CB4ED8">
      <w:pPr>
        <w:rPr>
          <w:rFonts w:ascii="Arial" w:hAnsi="Arial" w:cs="Arial"/>
          <w:b/>
          <w:bCs/>
          <w:sz w:val="22"/>
          <w:szCs w:val="22"/>
        </w:rPr>
      </w:pPr>
    </w:p>
    <w:p w14:paraId="2F97832B" w14:textId="77777777" w:rsidR="009F06CE" w:rsidRDefault="009F06CE" w:rsidP="00CB4ED8">
      <w:pPr>
        <w:rPr>
          <w:rFonts w:ascii="Arial" w:hAnsi="Arial" w:cs="Arial"/>
          <w:b/>
          <w:bCs/>
          <w:sz w:val="22"/>
          <w:szCs w:val="22"/>
        </w:rPr>
      </w:pPr>
    </w:p>
    <w:p w14:paraId="42DEB256" w14:textId="77777777" w:rsidR="009F06CE" w:rsidRDefault="009F06CE" w:rsidP="00CB4ED8">
      <w:pPr>
        <w:rPr>
          <w:rFonts w:ascii="Arial" w:hAnsi="Arial" w:cs="Arial"/>
          <w:b/>
          <w:bCs/>
          <w:sz w:val="22"/>
          <w:szCs w:val="22"/>
        </w:rPr>
      </w:pPr>
    </w:p>
    <w:p w14:paraId="4F7149DC" w14:textId="628FD4AC" w:rsidR="00CB4ED8" w:rsidRPr="00CB4ED8" w:rsidRDefault="00CB4ED8" w:rsidP="00CB4ED8">
      <w:pPr>
        <w:rPr>
          <w:rFonts w:ascii="Arial" w:hAnsi="Arial" w:cs="Arial"/>
          <w:sz w:val="22"/>
          <w:szCs w:val="22"/>
        </w:rPr>
      </w:pPr>
      <w:r w:rsidRPr="00CB4ED8">
        <w:rPr>
          <w:rFonts w:ascii="Arial" w:hAnsi="Arial" w:cs="Arial"/>
          <w:b/>
          <w:bCs/>
          <w:sz w:val="22"/>
          <w:szCs w:val="22"/>
        </w:rPr>
        <w:t>6. Application of a Relevant L&amp;D Model – Kirkpatrick’s Four Levels</w:t>
      </w:r>
      <w:r w:rsidRPr="00CB4ED8">
        <w:rPr>
          <w:rFonts w:ascii="Arial" w:hAnsi="Arial" w:cs="Arial"/>
          <w:sz w:val="22"/>
          <w:szCs w:val="22"/>
        </w:rPr>
        <w:t xml:space="preserve"> </w:t>
      </w:r>
    </w:p>
    <w:p w14:paraId="451EC0CF" w14:textId="77777777" w:rsidR="00CB4ED8" w:rsidRPr="00CB4ED8" w:rsidRDefault="00CB4ED8" w:rsidP="00CB4ED8">
      <w:pPr>
        <w:rPr>
          <w:rFonts w:ascii="Arial" w:hAnsi="Arial" w:cs="Arial"/>
          <w:sz w:val="22"/>
          <w:szCs w:val="22"/>
        </w:rPr>
      </w:pPr>
      <w:r w:rsidRPr="00CB4ED8">
        <w:rPr>
          <w:rFonts w:ascii="Arial" w:hAnsi="Arial" w:cs="Arial"/>
          <w:sz w:val="22"/>
          <w:szCs w:val="22"/>
        </w:rPr>
        <w:t>The Kirkpatrick Four-Level Evaluation Model is a widely used framework for assessing the effectiveness of Learning and Development (L&amp;D) programmes. It is highly appropriate for Google because the organisation delivers training on a large scale and requires systematic evaluation to ensure that learning initiatives produce measurable results.</w:t>
      </w:r>
    </w:p>
    <w:p w14:paraId="47D79F6A" w14:textId="77777777" w:rsidR="00CB4ED8" w:rsidRPr="00CB4ED8" w:rsidRDefault="00CB4ED8" w:rsidP="00CB4ED8">
      <w:pPr>
        <w:rPr>
          <w:rFonts w:ascii="Arial" w:hAnsi="Arial" w:cs="Arial"/>
          <w:sz w:val="22"/>
          <w:szCs w:val="22"/>
        </w:rPr>
      </w:pPr>
    </w:p>
    <w:p w14:paraId="360B73A9" w14:textId="77777777" w:rsidR="00CB4ED8" w:rsidRPr="00CB4ED8" w:rsidRDefault="00CB4ED8" w:rsidP="00CB4ED8">
      <w:pPr>
        <w:rPr>
          <w:rFonts w:ascii="Arial" w:hAnsi="Arial" w:cs="Arial"/>
          <w:b/>
          <w:bCs/>
          <w:sz w:val="22"/>
          <w:szCs w:val="22"/>
        </w:rPr>
      </w:pPr>
      <w:r w:rsidRPr="00CB4ED8">
        <w:rPr>
          <w:rFonts w:ascii="Arial" w:hAnsi="Arial" w:cs="Arial"/>
          <w:b/>
          <w:bCs/>
          <w:sz w:val="22"/>
          <w:szCs w:val="22"/>
        </w:rPr>
        <w:t>Level 1: Reaction</w:t>
      </w:r>
    </w:p>
    <w:p w14:paraId="4F5EB7CF" w14:textId="77777777" w:rsidR="00CB4ED8" w:rsidRPr="00CB4ED8" w:rsidRDefault="00CB4ED8" w:rsidP="00CB4ED8">
      <w:pPr>
        <w:rPr>
          <w:rFonts w:ascii="Arial" w:hAnsi="Arial" w:cs="Arial"/>
          <w:sz w:val="22"/>
          <w:szCs w:val="22"/>
        </w:rPr>
      </w:pPr>
      <w:r w:rsidRPr="00CB4ED8">
        <w:rPr>
          <w:rFonts w:ascii="Arial" w:hAnsi="Arial" w:cs="Arial"/>
          <w:sz w:val="22"/>
          <w:szCs w:val="22"/>
        </w:rPr>
        <w:t>Google routinely collects feedback from employees immediately after training sessions. Surveys, rating scales and short questionnaires measure how satisfied participants were with the content, delivery and relevance of the training. This helps Google understand whether the programme met employee expectations and whether adjustments are needed.</w:t>
      </w:r>
    </w:p>
    <w:p w14:paraId="7FBE60C7" w14:textId="77777777" w:rsidR="00CB4ED8" w:rsidRPr="00CB4ED8" w:rsidRDefault="00CB4ED8" w:rsidP="00CB4ED8">
      <w:pPr>
        <w:rPr>
          <w:rFonts w:ascii="Arial" w:hAnsi="Arial" w:cs="Arial"/>
          <w:sz w:val="22"/>
          <w:szCs w:val="22"/>
        </w:rPr>
      </w:pPr>
    </w:p>
    <w:p w14:paraId="4593B7AA" w14:textId="77777777" w:rsidR="00CB4ED8" w:rsidRPr="00CB4ED8" w:rsidRDefault="00CB4ED8" w:rsidP="00CB4ED8">
      <w:pPr>
        <w:rPr>
          <w:rFonts w:ascii="Arial" w:hAnsi="Arial" w:cs="Arial"/>
          <w:b/>
          <w:bCs/>
          <w:sz w:val="22"/>
          <w:szCs w:val="22"/>
        </w:rPr>
      </w:pPr>
      <w:r w:rsidRPr="00CB4ED8">
        <w:rPr>
          <w:rFonts w:ascii="Arial" w:hAnsi="Arial" w:cs="Arial"/>
          <w:b/>
          <w:bCs/>
          <w:sz w:val="22"/>
          <w:szCs w:val="22"/>
        </w:rPr>
        <w:t>Level 2: Learning</w:t>
      </w:r>
    </w:p>
    <w:p w14:paraId="624F000B" w14:textId="77777777" w:rsidR="00CB4ED8" w:rsidRPr="00CB4ED8" w:rsidRDefault="00CB4ED8" w:rsidP="00CB4ED8">
      <w:pPr>
        <w:rPr>
          <w:rFonts w:ascii="Arial" w:hAnsi="Arial" w:cs="Arial"/>
          <w:sz w:val="22"/>
          <w:szCs w:val="22"/>
        </w:rPr>
      </w:pPr>
      <w:r w:rsidRPr="00CB4ED8">
        <w:rPr>
          <w:rFonts w:ascii="Arial" w:hAnsi="Arial" w:cs="Arial"/>
          <w:sz w:val="22"/>
          <w:szCs w:val="22"/>
        </w:rPr>
        <w:t xml:space="preserve">At this stage, Google evaluates what knowledge or skills employees </w:t>
      </w:r>
      <w:proofErr w:type="gramStart"/>
      <w:r w:rsidRPr="00CB4ED8">
        <w:rPr>
          <w:rFonts w:ascii="Arial" w:hAnsi="Arial" w:cs="Arial"/>
          <w:sz w:val="22"/>
          <w:szCs w:val="22"/>
        </w:rPr>
        <w:t>actually gained</w:t>
      </w:r>
      <w:proofErr w:type="gramEnd"/>
      <w:r w:rsidRPr="00CB4ED8">
        <w:rPr>
          <w:rFonts w:ascii="Arial" w:hAnsi="Arial" w:cs="Arial"/>
          <w:sz w:val="22"/>
          <w:szCs w:val="22"/>
        </w:rPr>
        <w:t>. This is done through quizzes, coding tasks, simulations and practical assessments. For technical teams, Google often uses challenges or real-case exercises to check whether employees can apply new skills related to AI, cloud technologies or data analysis.</w:t>
      </w:r>
    </w:p>
    <w:p w14:paraId="0BC18E13" w14:textId="77777777" w:rsidR="00CB4ED8" w:rsidRPr="00CB4ED8" w:rsidRDefault="00CB4ED8" w:rsidP="00CB4ED8">
      <w:pPr>
        <w:rPr>
          <w:rFonts w:ascii="Arial" w:hAnsi="Arial" w:cs="Arial"/>
          <w:sz w:val="22"/>
          <w:szCs w:val="22"/>
        </w:rPr>
      </w:pPr>
    </w:p>
    <w:p w14:paraId="1B742DD8" w14:textId="77777777" w:rsidR="00CB4ED8" w:rsidRPr="00CB4ED8" w:rsidRDefault="00CB4ED8" w:rsidP="00CB4ED8">
      <w:pPr>
        <w:rPr>
          <w:rFonts w:ascii="Arial" w:hAnsi="Arial" w:cs="Arial"/>
          <w:b/>
          <w:bCs/>
          <w:sz w:val="22"/>
          <w:szCs w:val="22"/>
        </w:rPr>
      </w:pPr>
      <w:r w:rsidRPr="00CB4ED8">
        <w:rPr>
          <w:rFonts w:ascii="Arial" w:hAnsi="Arial" w:cs="Arial"/>
          <w:b/>
          <w:bCs/>
          <w:sz w:val="22"/>
          <w:szCs w:val="22"/>
        </w:rPr>
        <w:t>Level 3: Behaviour</w:t>
      </w:r>
    </w:p>
    <w:p w14:paraId="14D9714F" w14:textId="77777777" w:rsidR="00CB4ED8" w:rsidRPr="00CB4ED8" w:rsidRDefault="00CB4ED8" w:rsidP="00CB4ED8">
      <w:pPr>
        <w:rPr>
          <w:rFonts w:ascii="Arial" w:hAnsi="Arial" w:cs="Arial"/>
          <w:sz w:val="22"/>
          <w:szCs w:val="22"/>
        </w:rPr>
      </w:pPr>
      <w:r w:rsidRPr="00CB4ED8">
        <w:rPr>
          <w:rFonts w:ascii="Arial" w:hAnsi="Arial" w:cs="Arial"/>
          <w:sz w:val="22"/>
          <w:szCs w:val="22"/>
        </w:rPr>
        <w:t>This level focuses on whether employees apply what they learned in their daily work. Managers at Google observe changes in behaviour, such as improved collaboration, better problem-solving or enhanced leadership practices. Programmes like Project Oxygen rely heavily on this stage, as they aim to improve managerial behaviours across teams.</w:t>
      </w:r>
    </w:p>
    <w:p w14:paraId="74DC9E84" w14:textId="77777777" w:rsidR="00CB4ED8" w:rsidRPr="00CB4ED8" w:rsidRDefault="00CB4ED8" w:rsidP="00CB4ED8">
      <w:pPr>
        <w:rPr>
          <w:rFonts w:ascii="Arial" w:hAnsi="Arial" w:cs="Arial"/>
          <w:sz w:val="22"/>
          <w:szCs w:val="22"/>
        </w:rPr>
      </w:pPr>
    </w:p>
    <w:p w14:paraId="4EBA1E58" w14:textId="77777777" w:rsidR="00CB4ED8" w:rsidRPr="00CB4ED8" w:rsidRDefault="00CB4ED8" w:rsidP="00CB4ED8">
      <w:pPr>
        <w:rPr>
          <w:rFonts w:ascii="Arial" w:hAnsi="Arial" w:cs="Arial"/>
          <w:b/>
          <w:bCs/>
          <w:sz w:val="22"/>
          <w:szCs w:val="22"/>
        </w:rPr>
      </w:pPr>
      <w:r w:rsidRPr="00CB4ED8">
        <w:rPr>
          <w:rFonts w:ascii="Arial" w:hAnsi="Arial" w:cs="Arial"/>
          <w:b/>
          <w:bCs/>
          <w:sz w:val="22"/>
          <w:szCs w:val="22"/>
        </w:rPr>
        <w:t>Level 4: Results</w:t>
      </w:r>
    </w:p>
    <w:p w14:paraId="6DE50B59" w14:textId="77777777" w:rsidR="00CB4ED8" w:rsidRPr="00CB4ED8" w:rsidRDefault="00CB4ED8" w:rsidP="00CB4ED8">
      <w:pPr>
        <w:rPr>
          <w:rFonts w:ascii="Arial" w:hAnsi="Arial" w:cs="Arial"/>
          <w:sz w:val="22"/>
          <w:szCs w:val="22"/>
        </w:rPr>
      </w:pPr>
      <w:r w:rsidRPr="00CB4ED8">
        <w:rPr>
          <w:rFonts w:ascii="Arial" w:hAnsi="Arial" w:cs="Arial"/>
          <w:sz w:val="22"/>
          <w:szCs w:val="22"/>
        </w:rPr>
        <w:t>Finally, Google assesses the organisational outcomes of its L&amp;D programmes. These may include increased productivity, improved product quality, higher innovation rates, reduced turnover or better customer satisfaction. Because Google operates in fast-moving technology markets, linking training to performance metrics is essential for strategic decision-making.</w:t>
      </w:r>
    </w:p>
    <w:p w14:paraId="06F1479A" w14:textId="77777777" w:rsidR="00CB4ED8" w:rsidRPr="00CB4ED8" w:rsidRDefault="00CB4ED8" w:rsidP="00CB4ED8">
      <w:pPr>
        <w:rPr>
          <w:rFonts w:ascii="Arial" w:hAnsi="Arial" w:cs="Arial"/>
          <w:sz w:val="22"/>
          <w:szCs w:val="22"/>
        </w:rPr>
      </w:pPr>
    </w:p>
    <w:p w14:paraId="71549291" w14:textId="77777777" w:rsidR="00CB4ED8" w:rsidRPr="00CB4ED8" w:rsidRDefault="00CB4ED8" w:rsidP="00CB4ED8">
      <w:pPr>
        <w:rPr>
          <w:rFonts w:ascii="Arial" w:hAnsi="Arial" w:cs="Arial"/>
          <w:b/>
          <w:bCs/>
          <w:sz w:val="22"/>
          <w:szCs w:val="22"/>
        </w:rPr>
      </w:pPr>
      <w:r w:rsidRPr="00CB4ED8">
        <w:rPr>
          <w:rFonts w:ascii="Arial" w:hAnsi="Arial" w:cs="Arial"/>
          <w:b/>
          <w:bCs/>
          <w:sz w:val="22"/>
          <w:szCs w:val="22"/>
        </w:rPr>
        <w:t>Strengths and Limitations</w:t>
      </w:r>
    </w:p>
    <w:p w14:paraId="73D06694" w14:textId="78761373" w:rsidR="00CB4ED8" w:rsidRDefault="00CB4ED8" w:rsidP="00CB4ED8">
      <w:pPr>
        <w:rPr>
          <w:rFonts w:ascii="Arial" w:hAnsi="Arial" w:cs="Arial"/>
          <w:sz w:val="22"/>
          <w:szCs w:val="22"/>
        </w:rPr>
      </w:pPr>
      <w:r w:rsidRPr="00CB4ED8">
        <w:rPr>
          <w:rFonts w:ascii="Arial" w:hAnsi="Arial" w:cs="Arial"/>
          <w:sz w:val="22"/>
          <w:szCs w:val="22"/>
        </w:rPr>
        <w:t xml:space="preserve">The Kirkpatrick model helps Google evaluate L&amp;D in a structured and consistent way. However, the main limitation is that it can be challenging to directly connect training to business results in a large global organisation where many factors influence performance. </w:t>
      </w:r>
      <w:r w:rsidRPr="00CB4ED8">
        <w:rPr>
          <w:rFonts w:ascii="Arial" w:hAnsi="Arial" w:cs="Arial"/>
          <w:sz w:val="22"/>
          <w:szCs w:val="22"/>
        </w:rPr>
        <w:lastRenderedPageBreak/>
        <w:t>Despite this, the model remains a valuable tool for ensuring continuous improvement in Google’s learning strategy.</w:t>
      </w:r>
    </w:p>
    <w:p w14:paraId="045CE691" w14:textId="77777777" w:rsidR="00A92BFD" w:rsidRDefault="00A92BFD" w:rsidP="00CB4ED8">
      <w:pPr>
        <w:rPr>
          <w:rFonts w:ascii="Arial" w:hAnsi="Arial" w:cs="Arial"/>
          <w:sz w:val="22"/>
          <w:szCs w:val="22"/>
        </w:rPr>
      </w:pPr>
    </w:p>
    <w:p w14:paraId="38E2ED27" w14:textId="77777777" w:rsidR="00A92BFD" w:rsidRPr="00A92BFD" w:rsidRDefault="00A92BFD" w:rsidP="00A92BFD">
      <w:pPr>
        <w:rPr>
          <w:rFonts w:ascii="Arial" w:hAnsi="Arial" w:cs="Arial"/>
          <w:b/>
          <w:bCs/>
          <w:sz w:val="22"/>
          <w:szCs w:val="22"/>
        </w:rPr>
      </w:pPr>
      <w:r w:rsidRPr="00A92BFD">
        <w:rPr>
          <w:rFonts w:ascii="Arial" w:hAnsi="Arial" w:cs="Arial"/>
          <w:b/>
          <w:bCs/>
          <w:sz w:val="22"/>
          <w:szCs w:val="22"/>
        </w:rPr>
        <w:t>7. Challenges and Recommendations</w:t>
      </w:r>
    </w:p>
    <w:p w14:paraId="74B0C71C" w14:textId="77777777" w:rsidR="00A92BFD" w:rsidRPr="00A92BFD" w:rsidRDefault="00A92BFD" w:rsidP="00A92BFD">
      <w:pPr>
        <w:rPr>
          <w:rFonts w:ascii="Arial" w:hAnsi="Arial" w:cs="Arial"/>
          <w:b/>
          <w:bCs/>
          <w:sz w:val="22"/>
          <w:szCs w:val="22"/>
        </w:rPr>
      </w:pPr>
      <w:r w:rsidRPr="00A92BFD">
        <w:rPr>
          <w:rFonts w:ascii="Arial" w:hAnsi="Arial" w:cs="Arial"/>
          <w:b/>
          <w:bCs/>
          <w:sz w:val="22"/>
          <w:szCs w:val="22"/>
        </w:rPr>
        <w:t>Challenges</w:t>
      </w:r>
    </w:p>
    <w:p w14:paraId="14B4E948" w14:textId="77777777" w:rsidR="00A92BFD" w:rsidRPr="00A92BFD" w:rsidRDefault="00A92BFD" w:rsidP="00A92BFD">
      <w:pPr>
        <w:rPr>
          <w:rFonts w:ascii="Arial" w:hAnsi="Arial" w:cs="Arial"/>
          <w:sz w:val="22"/>
          <w:szCs w:val="22"/>
        </w:rPr>
      </w:pPr>
      <w:r w:rsidRPr="00A92BFD">
        <w:rPr>
          <w:rFonts w:ascii="Arial" w:hAnsi="Arial" w:cs="Arial"/>
          <w:sz w:val="22"/>
          <w:szCs w:val="22"/>
        </w:rPr>
        <w:t>Rapid technological changes require constant updates to training materials</w:t>
      </w:r>
    </w:p>
    <w:p w14:paraId="1B78EDED" w14:textId="77777777" w:rsidR="00A92BFD" w:rsidRPr="00A92BFD" w:rsidRDefault="00A92BFD" w:rsidP="00A92BFD">
      <w:pPr>
        <w:rPr>
          <w:rFonts w:ascii="Arial" w:hAnsi="Arial" w:cs="Arial"/>
          <w:sz w:val="22"/>
          <w:szCs w:val="22"/>
        </w:rPr>
      </w:pPr>
      <w:r w:rsidRPr="00A92BFD">
        <w:rPr>
          <w:rFonts w:ascii="Arial" w:hAnsi="Arial" w:cs="Arial"/>
          <w:sz w:val="22"/>
          <w:szCs w:val="22"/>
        </w:rPr>
        <w:t>High costs associated with global training programmes</w:t>
      </w:r>
    </w:p>
    <w:p w14:paraId="53200204" w14:textId="77777777" w:rsidR="00A92BFD" w:rsidRPr="00A92BFD" w:rsidRDefault="00A92BFD" w:rsidP="00A92BFD">
      <w:pPr>
        <w:rPr>
          <w:rFonts w:ascii="Arial" w:hAnsi="Arial" w:cs="Arial"/>
          <w:sz w:val="22"/>
          <w:szCs w:val="22"/>
        </w:rPr>
      </w:pPr>
      <w:r w:rsidRPr="00A92BFD">
        <w:rPr>
          <w:rFonts w:ascii="Arial" w:hAnsi="Arial" w:cs="Arial"/>
          <w:sz w:val="22"/>
          <w:szCs w:val="22"/>
        </w:rPr>
        <w:t>Differences in time zones and cultures may reduce consistency</w:t>
      </w:r>
    </w:p>
    <w:p w14:paraId="54CD43B5" w14:textId="77777777" w:rsidR="00A92BFD" w:rsidRPr="00A92BFD" w:rsidRDefault="00A92BFD" w:rsidP="00A92BFD">
      <w:pPr>
        <w:rPr>
          <w:rFonts w:ascii="Arial" w:hAnsi="Arial" w:cs="Arial"/>
          <w:sz w:val="22"/>
          <w:szCs w:val="22"/>
        </w:rPr>
      </w:pPr>
      <w:r w:rsidRPr="00A92BFD">
        <w:rPr>
          <w:rFonts w:ascii="Arial" w:hAnsi="Arial" w:cs="Arial"/>
          <w:sz w:val="22"/>
          <w:szCs w:val="22"/>
        </w:rPr>
        <w:t>Resistance to change among some employees who prefer traditional learning methods</w:t>
      </w:r>
    </w:p>
    <w:p w14:paraId="61AB4D25" w14:textId="77777777" w:rsidR="00A92BFD" w:rsidRPr="00A92BFD" w:rsidRDefault="00A92BFD" w:rsidP="00A92BFD">
      <w:pPr>
        <w:rPr>
          <w:rFonts w:ascii="Arial" w:hAnsi="Arial" w:cs="Arial"/>
          <w:sz w:val="22"/>
          <w:szCs w:val="22"/>
        </w:rPr>
      </w:pPr>
    </w:p>
    <w:p w14:paraId="03BB6ED8" w14:textId="77777777" w:rsidR="00A92BFD" w:rsidRPr="00A92BFD" w:rsidRDefault="00A92BFD" w:rsidP="00A92BFD">
      <w:pPr>
        <w:rPr>
          <w:rFonts w:ascii="Arial" w:hAnsi="Arial" w:cs="Arial"/>
          <w:b/>
          <w:bCs/>
          <w:sz w:val="22"/>
          <w:szCs w:val="22"/>
        </w:rPr>
      </w:pPr>
      <w:r w:rsidRPr="00A92BFD">
        <w:rPr>
          <w:rFonts w:ascii="Arial" w:hAnsi="Arial" w:cs="Arial"/>
          <w:b/>
          <w:bCs/>
          <w:sz w:val="22"/>
          <w:szCs w:val="22"/>
        </w:rPr>
        <w:t>Recommendations</w:t>
      </w:r>
    </w:p>
    <w:p w14:paraId="0B0E253F" w14:textId="77777777" w:rsidR="00A92BFD" w:rsidRPr="00A92BFD" w:rsidRDefault="00A92BFD" w:rsidP="00A92BFD">
      <w:pPr>
        <w:rPr>
          <w:rFonts w:ascii="Arial" w:hAnsi="Arial" w:cs="Arial"/>
          <w:sz w:val="22"/>
          <w:szCs w:val="22"/>
        </w:rPr>
      </w:pPr>
      <w:r w:rsidRPr="00A92BFD">
        <w:rPr>
          <w:rFonts w:ascii="Arial" w:hAnsi="Arial" w:cs="Arial"/>
          <w:sz w:val="22"/>
          <w:szCs w:val="22"/>
        </w:rPr>
        <w:t>Integrate artificial intelligence to personalise learning paths</w:t>
      </w:r>
    </w:p>
    <w:p w14:paraId="75152C06" w14:textId="77777777" w:rsidR="00A92BFD" w:rsidRPr="00A92BFD" w:rsidRDefault="00A92BFD" w:rsidP="00A92BFD">
      <w:pPr>
        <w:rPr>
          <w:rFonts w:ascii="Arial" w:hAnsi="Arial" w:cs="Arial"/>
          <w:sz w:val="22"/>
          <w:szCs w:val="22"/>
        </w:rPr>
      </w:pPr>
      <w:r w:rsidRPr="00A92BFD">
        <w:rPr>
          <w:rFonts w:ascii="Arial" w:hAnsi="Arial" w:cs="Arial"/>
          <w:sz w:val="22"/>
          <w:szCs w:val="22"/>
        </w:rPr>
        <w:t>Use micro-learning and short training modules that are easier to update</w:t>
      </w:r>
    </w:p>
    <w:p w14:paraId="620B9F7C" w14:textId="77777777" w:rsidR="00A92BFD" w:rsidRPr="00A92BFD" w:rsidRDefault="00A92BFD" w:rsidP="00A92BFD">
      <w:pPr>
        <w:rPr>
          <w:rFonts w:ascii="Arial" w:hAnsi="Arial" w:cs="Arial"/>
          <w:sz w:val="22"/>
          <w:szCs w:val="22"/>
        </w:rPr>
      </w:pPr>
      <w:r w:rsidRPr="00A92BFD">
        <w:rPr>
          <w:rFonts w:ascii="Arial" w:hAnsi="Arial" w:cs="Arial"/>
          <w:sz w:val="22"/>
          <w:szCs w:val="22"/>
        </w:rPr>
        <w:t>Expand accessibility for remote, international teams</w:t>
      </w:r>
    </w:p>
    <w:p w14:paraId="2ECCBFAC" w14:textId="53EE9AEA" w:rsidR="00A92BFD" w:rsidRDefault="00A92BFD" w:rsidP="00A92BFD">
      <w:pPr>
        <w:rPr>
          <w:rFonts w:ascii="Arial" w:hAnsi="Arial" w:cs="Arial"/>
          <w:sz w:val="22"/>
          <w:szCs w:val="22"/>
        </w:rPr>
      </w:pPr>
      <w:r w:rsidRPr="00A92BFD">
        <w:rPr>
          <w:rFonts w:ascii="Arial" w:hAnsi="Arial" w:cs="Arial"/>
          <w:sz w:val="22"/>
          <w:szCs w:val="22"/>
        </w:rPr>
        <w:t>Strengthen data analytics to better measure training impact</w:t>
      </w:r>
    </w:p>
    <w:p w14:paraId="0FB2DBF8" w14:textId="77777777" w:rsidR="00A92BFD" w:rsidRDefault="00A92BFD" w:rsidP="00A92BFD">
      <w:pPr>
        <w:rPr>
          <w:rFonts w:ascii="Arial" w:hAnsi="Arial" w:cs="Arial"/>
          <w:sz w:val="22"/>
          <w:szCs w:val="22"/>
        </w:rPr>
      </w:pPr>
    </w:p>
    <w:p w14:paraId="27087044" w14:textId="77777777" w:rsidR="00A92BFD" w:rsidRDefault="00A92BFD" w:rsidP="00A92BFD">
      <w:pPr>
        <w:rPr>
          <w:rFonts w:ascii="Arial" w:hAnsi="Arial" w:cs="Arial"/>
          <w:sz w:val="22"/>
          <w:szCs w:val="22"/>
        </w:rPr>
      </w:pPr>
    </w:p>
    <w:p w14:paraId="4A24A805" w14:textId="77777777" w:rsidR="00A92BFD" w:rsidRDefault="00A92BFD" w:rsidP="00A92BFD">
      <w:pPr>
        <w:rPr>
          <w:rFonts w:ascii="Arial" w:hAnsi="Arial" w:cs="Arial"/>
          <w:sz w:val="22"/>
          <w:szCs w:val="22"/>
        </w:rPr>
      </w:pPr>
    </w:p>
    <w:p w14:paraId="11158D4B" w14:textId="77777777" w:rsidR="00A92BFD" w:rsidRDefault="00A92BFD" w:rsidP="00A92BFD">
      <w:pPr>
        <w:rPr>
          <w:rFonts w:ascii="Arial" w:hAnsi="Arial" w:cs="Arial"/>
          <w:sz w:val="22"/>
          <w:szCs w:val="22"/>
        </w:rPr>
      </w:pPr>
    </w:p>
    <w:p w14:paraId="09F4C80D" w14:textId="77777777" w:rsidR="00A92BFD" w:rsidRDefault="00A92BFD" w:rsidP="00A92BFD">
      <w:pPr>
        <w:rPr>
          <w:rFonts w:ascii="Arial" w:hAnsi="Arial" w:cs="Arial"/>
          <w:sz w:val="22"/>
          <w:szCs w:val="22"/>
        </w:rPr>
      </w:pPr>
    </w:p>
    <w:p w14:paraId="5C5429A8" w14:textId="77777777" w:rsidR="00A92BFD" w:rsidRDefault="00A92BFD" w:rsidP="00A92BFD">
      <w:pPr>
        <w:rPr>
          <w:rFonts w:ascii="Arial" w:hAnsi="Arial" w:cs="Arial"/>
          <w:sz w:val="22"/>
          <w:szCs w:val="22"/>
        </w:rPr>
      </w:pPr>
    </w:p>
    <w:p w14:paraId="3CB7056D" w14:textId="77777777" w:rsidR="00CC7190" w:rsidRDefault="00CC7190" w:rsidP="00A92BFD">
      <w:pPr>
        <w:rPr>
          <w:rFonts w:ascii="Arial" w:hAnsi="Arial" w:cs="Arial"/>
          <w:sz w:val="22"/>
          <w:szCs w:val="22"/>
        </w:rPr>
      </w:pPr>
    </w:p>
    <w:p w14:paraId="04AD403E" w14:textId="77777777" w:rsidR="00CC7190" w:rsidRDefault="00CC7190" w:rsidP="00A92BFD">
      <w:pPr>
        <w:rPr>
          <w:rFonts w:ascii="Arial" w:hAnsi="Arial" w:cs="Arial"/>
          <w:b/>
          <w:bCs/>
          <w:sz w:val="22"/>
          <w:szCs w:val="22"/>
        </w:rPr>
      </w:pPr>
    </w:p>
    <w:p w14:paraId="0BA0652F" w14:textId="77777777" w:rsidR="00CC7190" w:rsidRDefault="00CC7190" w:rsidP="00A92BFD">
      <w:pPr>
        <w:rPr>
          <w:rFonts w:ascii="Arial" w:hAnsi="Arial" w:cs="Arial"/>
          <w:b/>
          <w:bCs/>
          <w:sz w:val="22"/>
          <w:szCs w:val="22"/>
        </w:rPr>
      </w:pPr>
    </w:p>
    <w:p w14:paraId="43DD3E99" w14:textId="77777777" w:rsidR="00CC7190" w:rsidRDefault="00CC7190" w:rsidP="00A92BFD">
      <w:pPr>
        <w:rPr>
          <w:rFonts w:ascii="Arial" w:hAnsi="Arial" w:cs="Arial"/>
          <w:b/>
          <w:bCs/>
          <w:sz w:val="22"/>
          <w:szCs w:val="22"/>
        </w:rPr>
      </w:pPr>
    </w:p>
    <w:p w14:paraId="254ABAA1" w14:textId="77777777" w:rsidR="00CC7190" w:rsidRDefault="00CC7190" w:rsidP="00A92BFD">
      <w:pPr>
        <w:rPr>
          <w:rFonts w:ascii="Arial" w:hAnsi="Arial" w:cs="Arial"/>
          <w:b/>
          <w:bCs/>
          <w:sz w:val="22"/>
          <w:szCs w:val="22"/>
        </w:rPr>
      </w:pPr>
    </w:p>
    <w:p w14:paraId="28D6DB69" w14:textId="77777777" w:rsidR="00CC7190" w:rsidRDefault="00CC7190" w:rsidP="00A92BFD">
      <w:pPr>
        <w:rPr>
          <w:rFonts w:ascii="Arial" w:hAnsi="Arial" w:cs="Arial"/>
          <w:b/>
          <w:bCs/>
          <w:sz w:val="22"/>
          <w:szCs w:val="22"/>
        </w:rPr>
      </w:pPr>
    </w:p>
    <w:p w14:paraId="4741D2A9" w14:textId="77777777" w:rsidR="00CC7190" w:rsidRDefault="00CC7190" w:rsidP="00A92BFD">
      <w:pPr>
        <w:rPr>
          <w:rFonts w:ascii="Arial" w:hAnsi="Arial" w:cs="Arial"/>
          <w:b/>
          <w:bCs/>
          <w:sz w:val="22"/>
          <w:szCs w:val="22"/>
        </w:rPr>
      </w:pPr>
    </w:p>
    <w:p w14:paraId="5A5FF5B8" w14:textId="77777777" w:rsidR="00CC7190" w:rsidRDefault="00CC7190" w:rsidP="00A92BFD">
      <w:pPr>
        <w:rPr>
          <w:rFonts w:ascii="Arial" w:hAnsi="Arial" w:cs="Arial"/>
          <w:b/>
          <w:bCs/>
          <w:sz w:val="22"/>
          <w:szCs w:val="22"/>
        </w:rPr>
      </w:pPr>
    </w:p>
    <w:p w14:paraId="13022E22" w14:textId="77777777" w:rsidR="00CC7190" w:rsidRDefault="00CC7190" w:rsidP="00A92BFD">
      <w:pPr>
        <w:rPr>
          <w:rFonts w:ascii="Arial" w:hAnsi="Arial" w:cs="Arial"/>
          <w:b/>
          <w:bCs/>
          <w:sz w:val="22"/>
          <w:szCs w:val="22"/>
        </w:rPr>
      </w:pPr>
    </w:p>
    <w:p w14:paraId="7300AAB0" w14:textId="77777777" w:rsidR="00CC7190" w:rsidRDefault="00CC7190" w:rsidP="00A92BFD">
      <w:pPr>
        <w:rPr>
          <w:rFonts w:ascii="Arial" w:hAnsi="Arial" w:cs="Arial"/>
          <w:b/>
          <w:bCs/>
          <w:sz w:val="22"/>
          <w:szCs w:val="22"/>
        </w:rPr>
      </w:pPr>
    </w:p>
    <w:p w14:paraId="6F48B52A" w14:textId="77777777" w:rsidR="00CC7190" w:rsidRDefault="00CC7190" w:rsidP="00A92BFD">
      <w:pPr>
        <w:rPr>
          <w:rFonts w:ascii="Arial" w:hAnsi="Arial" w:cs="Arial"/>
          <w:b/>
          <w:bCs/>
          <w:sz w:val="22"/>
          <w:szCs w:val="22"/>
        </w:rPr>
      </w:pPr>
    </w:p>
    <w:p w14:paraId="66646356" w14:textId="77777777" w:rsidR="00CC7190" w:rsidRDefault="00CC7190" w:rsidP="00A92BFD">
      <w:pPr>
        <w:rPr>
          <w:rFonts w:ascii="Arial" w:hAnsi="Arial" w:cs="Arial"/>
          <w:b/>
          <w:bCs/>
          <w:sz w:val="22"/>
          <w:szCs w:val="22"/>
        </w:rPr>
      </w:pPr>
    </w:p>
    <w:p w14:paraId="28B8C941" w14:textId="77777777" w:rsidR="00CC7190" w:rsidRDefault="00CC7190" w:rsidP="00A92BFD">
      <w:pPr>
        <w:rPr>
          <w:rFonts w:ascii="Arial" w:hAnsi="Arial" w:cs="Arial"/>
          <w:b/>
          <w:bCs/>
          <w:sz w:val="22"/>
          <w:szCs w:val="22"/>
        </w:rPr>
      </w:pPr>
    </w:p>
    <w:p w14:paraId="57B366D9" w14:textId="3443D114" w:rsidR="00A92BFD" w:rsidRPr="00A92BFD" w:rsidRDefault="00A92BFD" w:rsidP="00A92BFD">
      <w:pPr>
        <w:rPr>
          <w:rFonts w:ascii="Arial" w:hAnsi="Arial" w:cs="Arial"/>
          <w:b/>
          <w:bCs/>
          <w:sz w:val="22"/>
          <w:szCs w:val="22"/>
        </w:rPr>
      </w:pPr>
      <w:r w:rsidRPr="00A92BFD">
        <w:rPr>
          <w:rFonts w:ascii="Arial" w:hAnsi="Arial" w:cs="Arial"/>
          <w:b/>
          <w:bCs/>
          <w:sz w:val="22"/>
          <w:szCs w:val="22"/>
        </w:rPr>
        <w:t>8. Conclusion</w:t>
      </w:r>
    </w:p>
    <w:p w14:paraId="381FF844" w14:textId="77777777" w:rsidR="00A92BFD" w:rsidRPr="00A92BFD" w:rsidRDefault="00A92BFD" w:rsidP="00A92BFD">
      <w:pPr>
        <w:rPr>
          <w:rFonts w:ascii="Arial" w:hAnsi="Arial" w:cs="Arial"/>
          <w:sz w:val="22"/>
          <w:szCs w:val="22"/>
        </w:rPr>
      </w:pPr>
      <w:r w:rsidRPr="00A92BFD">
        <w:rPr>
          <w:rFonts w:ascii="Arial" w:hAnsi="Arial" w:cs="Arial"/>
          <w:sz w:val="22"/>
          <w:szCs w:val="22"/>
        </w:rPr>
        <w:t>In conclusion, Learning and Development (L&amp;D) plays a vital strategic role in Google’s continued success as a global technology leader. The company’s strong learning culture, investment in employee development and commitment to innovation demonstrate that L&amp;D is not simply an HR function, but a driving force behind organisational performance. Internal factors such as leadership support, advanced technological infrastructure and a focus on closing skills gaps allow Google to implement highly effective development programmes. At the same time, external influences—including globalisation, rapid technological change and competitive labour markets—require Google to adapt its learning initiatives continuously.</w:t>
      </w:r>
    </w:p>
    <w:p w14:paraId="0EAFDCE2" w14:textId="77777777" w:rsidR="00A92BFD" w:rsidRPr="00A92BFD" w:rsidRDefault="00A92BFD" w:rsidP="00A92BFD">
      <w:pPr>
        <w:rPr>
          <w:rFonts w:ascii="Arial" w:hAnsi="Arial" w:cs="Arial"/>
          <w:sz w:val="22"/>
          <w:szCs w:val="22"/>
        </w:rPr>
      </w:pPr>
      <w:r w:rsidRPr="00A92BFD">
        <w:rPr>
          <w:rFonts w:ascii="Arial" w:hAnsi="Arial" w:cs="Arial"/>
          <w:sz w:val="22"/>
          <w:szCs w:val="22"/>
        </w:rPr>
        <w:t>L&amp;D also enables Google to remain flexible and responsive to environmental changes by equipping employees with the skills needed for digital transformation, remote work, regulatory compliance and ethical decision-making. Furthermore, by integrating inclusive and accessible learning opportunities, Google ensures that employees from diverse backgrounds feel supported and able to progress within the organisation. The application of the Kirkpatrick Model highlights Google’s structured approach to evaluating training impact, ensuring that learning produces measurable behavioural and organisational results.</w:t>
      </w:r>
    </w:p>
    <w:p w14:paraId="7CC4AAC6" w14:textId="6521F34D" w:rsidR="00A92BFD" w:rsidRDefault="00A92BFD" w:rsidP="00A92BFD">
      <w:pPr>
        <w:rPr>
          <w:rFonts w:ascii="Arial" w:hAnsi="Arial" w:cs="Arial"/>
          <w:sz w:val="22"/>
          <w:szCs w:val="22"/>
        </w:rPr>
      </w:pPr>
      <w:r w:rsidRPr="00A92BFD">
        <w:rPr>
          <w:rFonts w:ascii="Arial" w:hAnsi="Arial" w:cs="Arial"/>
          <w:sz w:val="22"/>
          <w:szCs w:val="22"/>
        </w:rPr>
        <w:t xml:space="preserve">Overall, Google’s commitment to learning and development strengthens its competitive advantage, fosters innovation and supports long-term sustainability. By prioritising continuous learning and adapting L&amp;D strategies to both internal needs and external pressures, Google </w:t>
      </w:r>
      <w:proofErr w:type="gramStart"/>
      <w:r w:rsidRPr="00A92BFD">
        <w:rPr>
          <w:rFonts w:ascii="Arial" w:hAnsi="Arial" w:cs="Arial"/>
          <w:sz w:val="22"/>
          <w:szCs w:val="22"/>
        </w:rPr>
        <w:t>is able to</w:t>
      </w:r>
      <w:proofErr w:type="gramEnd"/>
      <w:r w:rsidRPr="00A92BFD">
        <w:rPr>
          <w:rFonts w:ascii="Arial" w:hAnsi="Arial" w:cs="Arial"/>
          <w:sz w:val="22"/>
          <w:szCs w:val="22"/>
        </w:rPr>
        <w:t xml:space="preserve"> maintain its position as one of the most innovative and forward-thinking organisations in the world.</w:t>
      </w:r>
    </w:p>
    <w:p w14:paraId="1892D421" w14:textId="77777777" w:rsidR="00CC7190" w:rsidRDefault="00CC7190" w:rsidP="00A92BFD">
      <w:pPr>
        <w:rPr>
          <w:rFonts w:ascii="Arial" w:hAnsi="Arial" w:cs="Arial"/>
          <w:sz w:val="22"/>
          <w:szCs w:val="22"/>
        </w:rPr>
      </w:pPr>
    </w:p>
    <w:p w14:paraId="70728221" w14:textId="77777777" w:rsidR="00CC7190" w:rsidRDefault="00CC7190" w:rsidP="00A92BFD">
      <w:pPr>
        <w:rPr>
          <w:rFonts w:ascii="Arial" w:hAnsi="Arial" w:cs="Arial"/>
          <w:sz w:val="22"/>
          <w:szCs w:val="22"/>
        </w:rPr>
      </w:pPr>
    </w:p>
    <w:p w14:paraId="6853B46A" w14:textId="77777777" w:rsidR="00CC7190" w:rsidRDefault="00CC7190" w:rsidP="00A92BFD">
      <w:pPr>
        <w:rPr>
          <w:rFonts w:ascii="Arial" w:hAnsi="Arial" w:cs="Arial"/>
          <w:sz w:val="22"/>
          <w:szCs w:val="22"/>
        </w:rPr>
      </w:pPr>
    </w:p>
    <w:p w14:paraId="0DB0E33F" w14:textId="77777777" w:rsidR="00CC7190" w:rsidRDefault="00CC7190" w:rsidP="00A92BFD">
      <w:pPr>
        <w:rPr>
          <w:rFonts w:ascii="Arial" w:hAnsi="Arial" w:cs="Arial"/>
          <w:sz w:val="22"/>
          <w:szCs w:val="22"/>
        </w:rPr>
      </w:pPr>
    </w:p>
    <w:p w14:paraId="25DC667C" w14:textId="77777777" w:rsidR="00CC7190" w:rsidRDefault="00CC7190" w:rsidP="00CC7190">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26263D3E" w14:textId="77777777" w:rsidR="00CC7190" w:rsidRDefault="00CC7190" w:rsidP="00CC7190">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6842D75E" w14:textId="77777777" w:rsidR="00CC7190" w:rsidRDefault="00CC7190" w:rsidP="00CC7190">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1506D6EB" w14:textId="77777777" w:rsidR="00CC7190" w:rsidRDefault="00CC7190" w:rsidP="00CC7190">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4FECC72B" w14:textId="77777777" w:rsidR="00CC7190" w:rsidRDefault="00CC7190" w:rsidP="00CC7190">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58271240" w14:textId="77777777" w:rsidR="00CC7190" w:rsidRDefault="00CC7190" w:rsidP="00CC7190">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48751F2B" w14:textId="77777777" w:rsidR="00CC7190" w:rsidRDefault="00CC7190" w:rsidP="00CC7190">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4A9C9C3B" w14:textId="77777777" w:rsidR="00CC7190" w:rsidRDefault="00CC7190" w:rsidP="00CC7190">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40BD6AFC" w14:textId="77777777" w:rsidR="00CC7190" w:rsidRDefault="00CC7190" w:rsidP="00CC7190">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3FE4005D" w14:textId="77777777" w:rsidR="00CC7190" w:rsidRDefault="00CC7190" w:rsidP="00CC7190">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4620A4D6" w14:textId="3DBE12CC" w:rsidR="00CC7190" w:rsidRPr="00CC7190" w:rsidRDefault="00CC7190" w:rsidP="00CC7190">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r w:rsidRPr="00CC7190">
        <w:rPr>
          <w:rFonts w:ascii="Arial" w:eastAsia="Times New Roman" w:hAnsi="Arial" w:cs="Arial"/>
          <w:b/>
          <w:bCs/>
          <w:kern w:val="36"/>
          <w:sz w:val="22"/>
          <w:szCs w:val="22"/>
          <w:lang w:eastAsia="en-GB"/>
          <w14:ligatures w14:val="none"/>
        </w:rPr>
        <w:t xml:space="preserve">References </w:t>
      </w:r>
    </w:p>
    <w:p w14:paraId="6D608B31" w14:textId="77777777" w:rsidR="00CC7190" w:rsidRPr="00CC7190" w:rsidRDefault="00CC7190" w:rsidP="00CC7190">
      <w:pPr>
        <w:spacing w:before="100" w:beforeAutospacing="1" w:after="100" w:afterAutospacing="1" w:line="240" w:lineRule="auto"/>
        <w:rPr>
          <w:rFonts w:ascii="Times New Roman" w:eastAsia="Times New Roman" w:hAnsi="Times New Roman" w:cs="Times New Roman"/>
          <w:kern w:val="0"/>
          <w:lang w:eastAsia="en-GB"/>
          <w14:ligatures w14:val="none"/>
        </w:rPr>
      </w:pPr>
      <w:r w:rsidRPr="00CC7190">
        <w:rPr>
          <w:rFonts w:ascii="Times New Roman" w:eastAsia="Times New Roman" w:hAnsi="Times New Roman" w:cs="Times New Roman"/>
          <w:kern w:val="0"/>
          <w:lang w:eastAsia="en-GB"/>
          <w14:ligatures w14:val="none"/>
        </w:rPr>
        <w:t xml:space="preserve">Armstrong, M. and Taylor, S. (2020) </w:t>
      </w:r>
      <w:r w:rsidRPr="00CC7190">
        <w:rPr>
          <w:rFonts w:ascii="Times New Roman" w:eastAsia="Times New Roman" w:hAnsi="Times New Roman" w:cs="Times New Roman"/>
          <w:i/>
          <w:iCs/>
          <w:kern w:val="0"/>
          <w:lang w:eastAsia="en-GB"/>
          <w14:ligatures w14:val="none"/>
        </w:rPr>
        <w:t>Armstrong’s Handbook of Human Resource Management Practice</w:t>
      </w:r>
      <w:r w:rsidRPr="00CC7190">
        <w:rPr>
          <w:rFonts w:ascii="Times New Roman" w:eastAsia="Times New Roman" w:hAnsi="Times New Roman" w:cs="Times New Roman"/>
          <w:kern w:val="0"/>
          <w:lang w:eastAsia="en-GB"/>
          <w14:ligatures w14:val="none"/>
        </w:rPr>
        <w:t xml:space="preserve">. 15th </w:t>
      </w:r>
      <w:proofErr w:type="spellStart"/>
      <w:r w:rsidRPr="00CC7190">
        <w:rPr>
          <w:rFonts w:ascii="Times New Roman" w:eastAsia="Times New Roman" w:hAnsi="Times New Roman" w:cs="Times New Roman"/>
          <w:kern w:val="0"/>
          <w:lang w:eastAsia="en-GB"/>
          <w14:ligatures w14:val="none"/>
        </w:rPr>
        <w:t>edn</w:t>
      </w:r>
      <w:proofErr w:type="spellEnd"/>
      <w:r w:rsidRPr="00CC7190">
        <w:rPr>
          <w:rFonts w:ascii="Times New Roman" w:eastAsia="Times New Roman" w:hAnsi="Times New Roman" w:cs="Times New Roman"/>
          <w:kern w:val="0"/>
          <w:lang w:eastAsia="en-GB"/>
          <w14:ligatures w14:val="none"/>
        </w:rPr>
        <w:t>. London: Kogan Page.</w:t>
      </w:r>
    </w:p>
    <w:p w14:paraId="2BC8D4C2" w14:textId="27E27B1C" w:rsidR="00CC7190" w:rsidRPr="00CC7190" w:rsidRDefault="00CC7190" w:rsidP="00CC7190">
      <w:pPr>
        <w:spacing w:before="100" w:beforeAutospacing="1" w:after="100" w:afterAutospacing="1" w:line="240" w:lineRule="auto"/>
        <w:rPr>
          <w:rFonts w:ascii="Times New Roman" w:eastAsia="Times New Roman" w:hAnsi="Times New Roman" w:cs="Times New Roman"/>
          <w:kern w:val="0"/>
          <w:lang w:eastAsia="en-GB"/>
          <w14:ligatures w14:val="none"/>
        </w:rPr>
      </w:pPr>
      <w:r w:rsidRPr="00CC7190">
        <w:rPr>
          <w:rFonts w:ascii="Times New Roman" w:eastAsia="Times New Roman" w:hAnsi="Times New Roman" w:cs="Times New Roman"/>
          <w:kern w:val="0"/>
          <w:lang w:eastAsia="en-GB"/>
          <w14:ligatures w14:val="none"/>
        </w:rPr>
        <w:t xml:space="preserve">CIPD (2023) </w:t>
      </w:r>
      <w:r w:rsidRPr="00CC7190">
        <w:rPr>
          <w:rFonts w:ascii="Times New Roman" w:eastAsia="Times New Roman" w:hAnsi="Times New Roman" w:cs="Times New Roman"/>
          <w:i/>
          <w:iCs/>
          <w:kern w:val="0"/>
          <w:lang w:eastAsia="en-GB"/>
          <w14:ligatures w14:val="none"/>
        </w:rPr>
        <w:t>Learning and Development Annual Survey Report</w:t>
      </w:r>
      <w:r w:rsidRPr="00CC7190">
        <w:rPr>
          <w:rFonts w:ascii="Times New Roman" w:eastAsia="Times New Roman" w:hAnsi="Times New Roman" w:cs="Times New Roman"/>
          <w:kern w:val="0"/>
          <w:lang w:eastAsia="en-GB"/>
          <w14:ligatures w14:val="none"/>
        </w:rPr>
        <w:t xml:space="preserve">. Available at: </w:t>
      </w:r>
      <w:hyperlink r:id="rId7" w:tgtFrame="_new" w:history="1">
        <w:r w:rsidRPr="00CC7190">
          <w:rPr>
            <w:rFonts w:ascii="Times New Roman" w:eastAsia="Times New Roman" w:hAnsi="Times New Roman" w:cs="Times New Roman"/>
            <w:color w:val="0000FF"/>
            <w:kern w:val="0"/>
            <w:u w:val="single"/>
            <w:lang w:eastAsia="en-GB"/>
            <w14:ligatures w14:val="none"/>
          </w:rPr>
          <w:t>https://www.cipd.co.uk</w:t>
        </w:r>
      </w:hyperlink>
      <w:r w:rsidRPr="00CC7190">
        <w:rPr>
          <w:rFonts w:ascii="Times New Roman" w:eastAsia="Times New Roman" w:hAnsi="Times New Roman" w:cs="Times New Roman"/>
          <w:kern w:val="0"/>
          <w:lang w:eastAsia="en-GB"/>
          <w14:ligatures w14:val="none"/>
        </w:rPr>
        <w:t xml:space="preserve"> (Accessed: </w:t>
      </w:r>
      <w:r>
        <w:rPr>
          <w:rFonts w:ascii="Times New Roman" w:eastAsia="Times New Roman" w:hAnsi="Times New Roman" w:cs="Times New Roman"/>
          <w:kern w:val="0"/>
          <w:lang w:eastAsia="en-GB"/>
          <w14:ligatures w14:val="none"/>
        </w:rPr>
        <w:t>14</w:t>
      </w:r>
      <w:r w:rsidRPr="00CC7190">
        <w:rPr>
          <w:rFonts w:ascii="Times New Roman" w:eastAsia="Times New Roman" w:hAnsi="Times New Roman" w:cs="Times New Roman"/>
          <w:kern w:val="0"/>
          <w:lang w:eastAsia="en-GB"/>
          <w14:ligatures w14:val="none"/>
        </w:rPr>
        <w:t xml:space="preserve"> November 2025).</w:t>
      </w:r>
    </w:p>
    <w:p w14:paraId="5296D6FD" w14:textId="4E806323" w:rsidR="00CC7190" w:rsidRPr="00CC7190" w:rsidRDefault="00CC7190" w:rsidP="00CC7190">
      <w:pPr>
        <w:spacing w:before="100" w:beforeAutospacing="1" w:after="100" w:afterAutospacing="1" w:line="240" w:lineRule="auto"/>
        <w:rPr>
          <w:rFonts w:ascii="Times New Roman" w:eastAsia="Times New Roman" w:hAnsi="Times New Roman" w:cs="Times New Roman"/>
          <w:kern w:val="0"/>
          <w:lang w:eastAsia="en-GB"/>
          <w14:ligatures w14:val="none"/>
        </w:rPr>
      </w:pPr>
      <w:r w:rsidRPr="00CC7190">
        <w:rPr>
          <w:rFonts w:ascii="Times New Roman" w:eastAsia="Times New Roman" w:hAnsi="Times New Roman" w:cs="Times New Roman"/>
          <w:kern w:val="0"/>
          <w:lang w:eastAsia="en-GB"/>
          <w14:ligatures w14:val="none"/>
        </w:rPr>
        <w:t xml:space="preserve">Google (2023) </w:t>
      </w:r>
      <w:r w:rsidRPr="00CC7190">
        <w:rPr>
          <w:rFonts w:ascii="Times New Roman" w:eastAsia="Times New Roman" w:hAnsi="Times New Roman" w:cs="Times New Roman"/>
          <w:i/>
          <w:iCs/>
          <w:kern w:val="0"/>
          <w:lang w:eastAsia="en-GB"/>
          <w14:ligatures w14:val="none"/>
        </w:rPr>
        <w:t>Google Careers – Learning and Development</w:t>
      </w:r>
      <w:r w:rsidRPr="00CC7190">
        <w:rPr>
          <w:rFonts w:ascii="Times New Roman" w:eastAsia="Times New Roman" w:hAnsi="Times New Roman" w:cs="Times New Roman"/>
          <w:kern w:val="0"/>
          <w:lang w:eastAsia="en-GB"/>
          <w14:ligatures w14:val="none"/>
        </w:rPr>
        <w:t xml:space="preserve">. Available at: </w:t>
      </w:r>
      <w:hyperlink r:id="rId8" w:tgtFrame="_new" w:history="1">
        <w:r w:rsidRPr="00CC7190">
          <w:rPr>
            <w:rFonts w:ascii="Times New Roman" w:eastAsia="Times New Roman" w:hAnsi="Times New Roman" w:cs="Times New Roman"/>
            <w:color w:val="0000FF"/>
            <w:kern w:val="0"/>
            <w:u w:val="single"/>
            <w:lang w:eastAsia="en-GB"/>
            <w14:ligatures w14:val="none"/>
          </w:rPr>
          <w:t>https://careers.google.com</w:t>
        </w:r>
      </w:hyperlink>
      <w:r w:rsidRPr="00CC7190">
        <w:rPr>
          <w:rFonts w:ascii="Times New Roman" w:eastAsia="Times New Roman" w:hAnsi="Times New Roman" w:cs="Times New Roman"/>
          <w:kern w:val="0"/>
          <w:lang w:eastAsia="en-GB"/>
          <w14:ligatures w14:val="none"/>
        </w:rPr>
        <w:t xml:space="preserve"> (Accessed: </w:t>
      </w:r>
      <w:r>
        <w:rPr>
          <w:rFonts w:ascii="Times New Roman" w:eastAsia="Times New Roman" w:hAnsi="Times New Roman" w:cs="Times New Roman"/>
          <w:kern w:val="0"/>
          <w:lang w:eastAsia="en-GB"/>
          <w14:ligatures w14:val="none"/>
        </w:rPr>
        <w:t>17</w:t>
      </w:r>
      <w:r w:rsidRPr="00CC7190">
        <w:rPr>
          <w:rFonts w:ascii="Times New Roman" w:eastAsia="Times New Roman" w:hAnsi="Times New Roman" w:cs="Times New Roman"/>
          <w:kern w:val="0"/>
          <w:lang w:eastAsia="en-GB"/>
          <w14:ligatures w14:val="none"/>
        </w:rPr>
        <w:t xml:space="preserve"> November 2025).</w:t>
      </w:r>
    </w:p>
    <w:p w14:paraId="7FC290CE" w14:textId="3A691F99" w:rsidR="00CC7190" w:rsidRPr="00CC7190" w:rsidRDefault="00CC7190" w:rsidP="00CC7190">
      <w:pPr>
        <w:spacing w:before="100" w:beforeAutospacing="1" w:after="100" w:afterAutospacing="1" w:line="240" w:lineRule="auto"/>
        <w:rPr>
          <w:rFonts w:ascii="Times New Roman" w:eastAsia="Times New Roman" w:hAnsi="Times New Roman" w:cs="Times New Roman"/>
          <w:kern w:val="0"/>
          <w:lang w:eastAsia="en-GB"/>
          <w14:ligatures w14:val="none"/>
        </w:rPr>
      </w:pPr>
      <w:r w:rsidRPr="00CC7190">
        <w:rPr>
          <w:rFonts w:ascii="Times New Roman" w:eastAsia="Times New Roman" w:hAnsi="Times New Roman" w:cs="Times New Roman"/>
          <w:kern w:val="0"/>
          <w:lang w:eastAsia="en-GB"/>
          <w14:ligatures w14:val="none"/>
        </w:rPr>
        <w:t xml:space="preserve">Google (2022) </w:t>
      </w:r>
      <w:proofErr w:type="spellStart"/>
      <w:proofErr w:type="gramStart"/>
      <w:r w:rsidRPr="00CC7190">
        <w:rPr>
          <w:rFonts w:ascii="Times New Roman" w:eastAsia="Times New Roman" w:hAnsi="Times New Roman" w:cs="Times New Roman"/>
          <w:i/>
          <w:iCs/>
          <w:kern w:val="0"/>
          <w:lang w:eastAsia="en-GB"/>
          <w14:ligatures w14:val="none"/>
        </w:rPr>
        <w:t>re:Work</w:t>
      </w:r>
      <w:proofErr w:type="spellEnd"/>
      <w:proofErr w:type="gramEnd"/>
      <w:r w:rsidRPr="00CC7190">
        <w:rPr>
          <w:rFonts w:ascii="Times New Roman" w:eastAsia="Times New Roman" w:hAnsi="Times New Roman" w:cs="Times New Roman"/>
          <w:i/>
          <w:iCs/>
          <w:kern w:val="0"/>
          <w:lang w:eastAsia="en-GB"/>
          <w14:ligatures w14:val="none"/>
        </w:rPr>
        <w:t xml:space="preserve"> – Manager Development: Project Oxygen</w:t>
      </w:r>
      <w:r w:rsidRPr="00CC7190">
        <w:rPr>
          <w:rFonts w:ascii="Times New Roman" w:eastAsia="Times New Roman" w:hAnsi="Times New Roman" w:cs="Times New Roman"/>
          <w:kern w:val="0"/>
          <w:lang w:eastAsia="en-GB"/>
          <w14:ligatures w14:val="none"/>
        </w:rPr>
        <w:t xml:space="preserve">. Available at: </w:t>
      </w:r>
      <w:hyperlink r:id="rId9" w:tgtFrame="_new" w:history="1">
        <w:r w:rsidRPr="00CC7190">
          <w:rPr>
            <w:rFonts w:ascii="Times New Roman" w:eastAsia="Times New Roman" w:hAnsi="Times New Roman" w:cs="Times New Roman"/>
            <w:color w:val="0000FF"/>
            <w:kern w:val="0"/>
            <w:u w:val="single"/>
            <w:lang w:eastAsia="en-GB"/>
            <w14:ligatures w14:val="none"/>
          </w:rPr>
          <w:t>https://rework.withgoogle.com</w:t>
        </w:r>
      </w:hyperlink>
      <w:r w:rsidRPr="00CC7190">
        <w:rPr>
          <w:rFonts w:ascii="Times New Roman" w:eastAsia="Times New Roman" w:hAnsi="Times New Roman" w:cs="Times New Roman"/>
          <w:kern w:val="0"/>
          <w:lang w:eastAsia="en-GB"/>
          <w14:ligatures w14:val="none"/>
        </w:rPr>
        <w:t xml:space="preserve"> (Accessed: </w:t>
      </w:r>
      <w:r>
        <w:rPr>
          <w:rFonts w:ascii="Times New Roman" w:eastAsia="Times New Roman" w:hAnsi="Times New Roman" w:cs="Times New Roman"/>
          <w:kern w:val="0"/>
          <w:lang w:eastAsia="en-GB"/>
          <w14:ligatures w14:val="none"/>
        </w:rPr>
        <w:t>12</w:t>
      </w:r>
      <w:r w:rsidRPr="00CC7190">
        <w:rPr>
          <w:rFonts w:ascii="Times New Roman" w:eastAsia="Times New Roman" w:hAnsi="Times New Roman" w:cs="Times New Roman"/>
          <w:kern w:val="0"/>
          <w:lang w:eastAsia="en-GB"/>
          <w14:ligatures w14:val="none"/>
        </w:rPr>
        <w:t xml:space="preserve"> November 2025).</w:t>
      </w:r>
    </w:p>
    <w:p w14:paraId="663A3A6D" w14:textId="77777777" w:rsidR="00CC7190" w:rsidRPr="00CC7190" w:rsidRDefault="00CC7190" w:rsidP="00CC7190">
      <w:pPr>
        <w:spacing w:before="100" w:beforeAutospacing="1" w:after="100" w:afterAutospacing="1" w:line="240" w:lineRule="auto"/>
        <w:rPr>
          <w:rFonts w:ascii="Times New Roman" w:eastAsia="Times New Roman" w:hAnsi="Times New Roman" w:cs="Times New Roman"/>
          <w:kern w:val="0"/>
          <w:lang w:eastAsia="en-GB"/>
          <w14:ligatures w14:val="none"/>
        </w:rPr>
      </w:pPr>
      <w:r w:rsidRPr="00CC7190">
        <w:rPr>
          <w:rFonts w:ascii="Times New Roman" w:eastAsia="Times New Roman" w:hAnsi="Times New Roman" w:cs="Times New Roman"/>
          <w:kern w:val="0"/>
          <w:lang w:eastAsia="en-GB"/>
          <w14:ligatures w14:val="none"/>
        </w:rPr>
        <w:t xml:space="preserve">Kirkpatrick, D. and Kirkpatrick, J. (2016) </w:t>
      </w:r>
      <w:r w:rsidRPr="00CC7190">
        <w:rPr>
          <w:rFonts w:ascii="Times New Roman" w:eastAsia="Times New Roman" w:hAnsi="Times New Roman" w:cs="Times New Roman"/>
          <w:i/>
          <w:iCs/>
          <w:kern w:val="0"/>
          <w:lang w:eastAsia="en-GB"/>
          <w14:ligatures w14:val="none"/>
        </w:rPr>
        <w:t>Kirkpatrick’s Four Levels of Training Evaluation</w:t>
      </w:r>
      <w:r w:rsidRPr="00CC7190">
        <w:rPr>
          <w:rFonts w:ascii="Times New Roman" w:eastAsia="Times New Roman" w:hAnsi="Times New Roman" w:cs="Times New Roman"/>
          <w:kern w:val="0"/>
          <w:lang w:eastAsia="en-GB"/>
          <w14:ligatures w14:val="none"/>
        </w:rPr>
        <w:t xml:space="preserve">. 2nd </w:t>
      </w:r>
      <w:proofErr w:type="spellStart"/>
      <w:r w:rsidRPr="00CC7190">
        <w:rPr>
          <w:rFonts w:ascii="Times New Roman" w:eastAsia="Times New Roman" w:hAnsi="Times New Roman" w:cs="Times New Roman"/>
          <w:kern w:val="0"/>
          <w:lang w:eastAsia="en-GB"/>
          <w14:ligatures w14:val="none"/>
        </w:rPr>
        <w:t>edn</w:t>
      </w:r>
      <w:proofErr w:type="spellEnd"/>
      <w:r w:rsidRPr="00CC7190">
        <w:rPr>
          <w:rFonts w:ascii="Times New Roman" w:eastAsia="Times New Roman" w:hAnsi="Times New Roman" w:cs="Times New Roman"/>
          <w:kern w:val="0"/>
          <w:lang w:eastAsia="en-GB"/>
          <w14:ligatures w14:val="none"/>
        </w:rPr>
        <w:t>. Alexandria, VA: ATD Press.</w:t>
      </w:r>
    </w:p>
    <w:p w14:paraId="62E050B8" w14:textId="77777777" w:rsidR="00CC7190" w:rsidRPr="00CC7190" w:rsidRDefault="00CC7190" w:rsidP="00CC7190">
      <w:pPr>
        <w:spacing w:before="100" w:beforeAutospacing="1" w:after="100" w:afterAutospacing="1" w:line="240" w:lineRule="auto"/>
        <w:rPr>
          <w:rFonts w:ascii="Times New Roman" w:eastAsia="Times New Roman" w:hAnsi="Times New Roman" w:cs="Times New Roman"/>
          <w:kern w:val="0"/>
          <w:lang w:eastAsia="en-GB"/>
          <w14:ligatures w14:val="none"/>
        </w:rPr>
      </w:pPr>
      <w:r w:rsidRPr="00CC7190">
        <w:rPr>
          <w:rFonts w:ascii="Times New Roman" w:eastAsia="Times New Roman" w:hAnsi="Times New Roman" w:cs="Times New Roman"/>
          <w:kern w:val="0"/>
          <w:lang w:eastAsia="en-GB"/>
          <w14:ligatures w14:val="none"/>
        </w:rPr>
        <w:t xml:space="preserve">Noe, R.A. (2020) </w:t>
      </w:r>
      <w:r w:rsidRPr="00CC7190">
        <w:rPr>
          <w:rFonts w:ascii="Times New Roman" w:eastAsia="Times New Roman" w:hAnsi="Times New Roman" w:cs="Times New Roman"/>
          <w:i/>
          <w:iCs/>
          <w:kern w:val="0"/>
          <w:lang w:eastAsia="en-GB"/>
          <w14:ligatures w14:val="none"/>
        </w:rPr>
        <w:t>Employee Training and Development</w:t>
      </w:r>
      <w:r w:rsidRPr="00CC7190">
        <w:rPr>
          <w:rFonts w:ascii="Times New Roman" w:eastAsia="Times New Roman" w:hAnsi="Times New Roman" w:cs="Times New Roman"/>
          <w:kern w:val="0"/>
          <w:lang w:eastAsia="en-GB"/>
          <w14:ligatures w14:val="none"/>
        </w:rPr>
        <w:t xml:space="preserve">. 8th </w:t>
      </w:r>
      <w:proofErr w:type="spellStart"/>
      <w:r w:rsidRPr="00CC7190">
        <w:rPr>
          <w:rFonts w:ascii="Times New Roman" w:eastAsia="Times New Roman" w:hAnsi="Times New Roman" w:cs="Times New Roman"/>
          <w:kern w:val="0"/>
          <w:lang w:eastAsia="en-GB"/>
          <w14:ligatures w14:val="none"/>
        </w:rPr>
        <w:t>edn</w:t>
      </w:r>
      <w:proofErr w:type="spellEnd"/>
      <w:r w:rsidRPr="00CC7190">
        <w:rPr>
          <w:rFonts w:ascii="Times New Roman" w:eastAsia="Times New Roman" w:hAnsi="Times New Roman" w:cs="Times New Roman"/>
          <w:kern w:val="0"/>
          <w:lang w:eastAsia="en-GB"/>
          <w14:ligatures w14:val="none"/>
        </w:rPr>
        <w:t>. New York: McGraw-Hill.</w:t>
      </w:r>
    </w:p>
    <w:p w14:paraId="52859CFA" w14:textId="77777777" w:rsidR="00CC7190" w:rsidRPr="00CC7190" w:rsidRDefault="00CC7190" w:rsidP="00CC7190">
      <w:pPr>
        <w:spacing w:before="100" w:beforeAutospacing="1" w:after="100" w:afterAutospacing="1" w:line="240" w:lineRule="auto"/>
        <w:rPr>
          <w:rFonts w:ascii="Times New Roman" w:eastAsia="Times New Roman" w:hAnsi="Times New Roman" w:cs="Times New Roman"/>
          <w:kern w:val="0"/>
          <w:lang w:eastAsia="en-GB"/>
          <w14:ligatures w14:val="none"/>
        </w:rPr>
      </w:pPr>
      <w:r w:rsidRPr="00CC7190">
        <w:rPr>
          <w:rFonts w:ascii="Times New Roman" w:eastAsia="Times New Roman" w:hAnsi="Times New Roman" w:cs="Times New Roman"/>
          <w:kern w:val="0"/>
          <w:lang w:eastAsia="en-GB"/>
          <w14:ligatures w14:val="none"/>
        </w:rPr>
        <w:t xml:space="preserve">Saks, A. and </w:t>
      </w:r>
      <w:proofErr w:type="spellStart"/>
      <w:r w:rsidRPr="00CC7190">
        <w:rPr>
          <w:rFonts w:ascii="Times New Roman" w:eastAsia="Times New Roman" w:hAnsi="Times New Roman" w:cs="Times New Roman"/>
          <w:kern w:val="0"/>
          <w:lang w:eastAsia="en-GB"/>
          <w14:ligatures w14:val="none"/>
        </w:rPr>
        <w:t>Haccoun</w:t>
      </w:r>
      <w:proofErr w:type="spellEnd"/>
      <w:r w:rsidRPr="00CC7190">
        <w:rPr>
          <w:rFonts w:ascii="Times New Roman" w:eastAsia="Times New Roman" w:hAnsi="Times New Roman" w:cs="Times New Roman"/>
          <w:kern w:val="0"/>
          <w:lang w:eastAsia="en-GB"/>
          <w14:ligatures w14:val="none"/>
        </w:rPr>
        <w:t xml:space="preserve">, R. (2019) </w:t>
      </w:r>
      <w:r w:rsidRPr="00CC7190">
        <w:rPr>
          <w:rFonts w:ascii="Times New Roman" w:eastAsia="Times New Roman" w:hAnsi="Times New Roman" w:cs="Times New Roman"/>
          <w:i/>
          <w:iCs/>
          <w:kern w:val="0"/>
          <w:lang w:eastAsia="en-GB"/>
          <w14:ligatures w14:val="none"/>
        </w:rPr>
        <w:t>Managing Performance Through Training and Development</w:t>
      </w:r>
      <w:r w:rsidRPr="00CC7190">
        <w:rPr>
          <w:rFonts w:ascii="Times New Roman" w:eastAsia="Times New Roman" w:hAnsi="Times New Roman" w:cs="Times New Roman"/>
          <w:kern w:val="0"/>
          <w:lang w:eastAsia="en-GB"/>
          <w14:ligatures w14:val="none"/>
        </w:rPr>
        <w:t xml:space="preserve">. 8th </w:t>
      </w:r>
      <w:proofErr w:type="spellStart"/>
      <w:r w:rsidRPr="00CC7190">
        <w:rPr>
          <w:rFonts w:ascii="Times New Roman" w:eastAsia="Times New Roman" w:hAnsi="Times New Roman" w:cs="Times New Roman"/>
          <w:kern w:val="0"/>
          <w:lang w:eastAsia="en-GB"/>
          <w14:ligatures w14:val="none"/>
        </w:rPr>
        <w:t>edn</w:t>
      </w:r>
      <w:proofErr w:type="spellEnd"/>
      <w:r w:rsidRPr="00CC7190">
        <w:rPr>
          <w:rFonts w:ascii="Times New Roman" w:eastAsia="Times New Roman" w:hAnsi="Times New Roman" w:cs="Times New Roman"/>
          <w:kern w:val="0"/>
          <w:lang w:eastAsia="en-GB"/>
          <w14:ligatures w14:val="none"/>
        </w:rPr>
        <w:t>. Boston: Cengage Learning.</w:t>
      </w:r>
    </w:p>
    <w:p w14:paraId="6AE3FF81" w14:textId="77777777" w:rsidR="00CC7190" w:rsidRPr="00CC7190" w:rsidRDefault="00CC7190" w:rsidP="00CC7190">
      <w:pPr>
        <w:spacing w:before="100" w:beforeAutospacing="1" w:after="100" w:afterAutospacing="1" w:line="240" w:lineRule="auto"/>
        <w:rPr>
          <w:rFonts w:ascii="Times New Roman" w:eastAsia="Times New Roman" w:hAnsi="Times New Roman" w:cs="Times New Roman"/>
          <w:kern w:val="0"/>
          <w:lang w:eastAsia="en-GB"/>
          <w14:ligatures w14:val="none"/>
        </w:rPr>
      </w:pPr>
      <w:r w:rsidRPr="00CC7190">
        <w:rPr>
          <w:rFonts w:ascii="Times New Roman" w:eastAsia="Times New Roman" w:hAnsi="Times New Roman" w:cs="Times New Roman"/>
          <w:kern w:val="0"/>
          <w:lang w:eastAsia="en-GB"/>
          <w14:ligatures w14:val="none"/>
        </w:rPr>
        <w:t xml:space="preserve">Senge, P. (2006) </w:t>
      </w:r>
      <w:r w:rsidRPr="00CC7190">
        <w:rPr>
          <w:rFonts w:ascii="Times New Roman" w:eastAsia="Times New Roman" w:hAnsi="Times New Roman" w:cs="Times New Roman"/>
          <w:i/>
          <w:iCs/>
          <w:kern w:val="0"/>
          <w:lang w:eastAsia="en-GB"/>
          <w14:ligatures w14:val="none"/>
        </w:rPr>
        <w:t>The Fifth Discipline: The Art and Practice of the Learning Organization</w:t>
      </w:r>
      <w:r w:rsidRPr="00CC7190">
        <w:rPr>
          <w:rFonts w:ascii="Times New Roman" w:eastAsia="Times New Roman" w:hAnsi="Times New Roman" w:cs="Times New Roman"/>
          <w:kern w:val="0"/>
          <w:lang w:eastAsia="en-GB"/>
          <w14:ligatures w14:val="none"/>
        </w:rPr>
        <w:t>. New York: Doubleday.</w:t>
      </w:r>
    </w:p>
    <w:p w14:paraId="47CDEC27" w14:textId="77777777" w:rsidR="00CC7190" w:rsidRPr="00CC7190" w:rsidRDefault="00CC7190" w:rsidP="00CC7190">
      <w:pPr>
        <w:spacing w:before="100" w:beforeAutospacing="1" w:after="100" w:afterAutospacing="1" w:line="240" w:lineRule="auto"/>
        <w:rPr>
          <w:rFonts w:ascii="Times New Roman" w:eastAsia="Times New Roman" w:hAnsi="Times New Roman" w:cs="Times New Roman"/>
          <w:kern w:val="0"/>
          <w:lang w:eastAsia="en-GB"/>
          <w14:ligatures w14:val="none"/>
        </w:rPr>
      </w:pPr>
      <w:r w:rsidRPr="00CC7190">
        <w:rPr>
          <w:rFonts w:ascii="Times New Roman" w:eastAsia="Times New Roman" w:hAnsi="Times New Roman" w:cs="Times New Roman"/>
          <w:kern w:val="0"/>
          <w:lang w:eastAsia="en-GB"/>
          <w14:ligatures w14:val="none"/>
        </w:rPr>
        <w:t xml:space="preserve">Garvin, D.A., Edmondson, A.C. and Gino, F. (2008) ‘Is yours a learning organization?’ </w:t>
      </w:r>
      <w:r w:rsidRPr="00CC7190">
        <w:rPr>
          <w:rFonts w:ascii="Times New Roman" w:eastAsia="Times New Roman" w:hAnsi="Times New Roman" w:cs="Times New Roman"/>
          <w:i/>
          <w:iCs/>
          <w:kern w:val="0"/>
          <w:lang w:eastAsia="en-GB"/>
          <w14:ligatures w14:val="none"/>
        </w:rPr>
        <w:t>Harvard Business Review</w:t>
      </w:r>
      <w:r w:rsidRPr="00CC7190">
        <w:rPr>
          <w:rFonts w:ascii="Times New Roman" w:eastAsia="Times New Roman" w:hAnsi="Times New Roman" w:cs="Times New Roman"/>
          <w:kern w:val="0"/>
          <w:lang w:eastAsia="en-GB"/>
          <w14:ligatures w14:val="none"/>
        </w:rPr>
        <w:t>, 86(3), pp. 109–116.</w:t>
      </w:r>
    </w:p>
    <w:p w14:paraId="41E96A69" w14:textId="04FFFCC0" w:rsidR="00CC7190" w:rsidRPr="00CC7190" w:rsidRDefault="00CC7190" w:rsidP="00CC7190">
      <w:pPr>
        <w:spacing w:before="100" w:beforeAutospacing="1" w:after="100" w:afterAutospacing="1" w:line="240" w:lineRule="auto"/>
        <w:rPr>
          <w:rFonts w:ascii="Times New Roman" w:eastAsia="Times New Roman" w:hAnsi="Times New Roman" w:cs="Times New Roman"/>
          <w:kern w:val="0"/>
          <w:lang w:eastAsia="en-GB"/>
          <w14:ligatures w14:val="none"/>
        </w:rPr>
      </w:pPr>
      <w:r w:rsidRPr="00CC7190">
        <w:rPr>
          <w:rFonts w:ascii="Times New Roman" w:eastAsia="Times New Roman" w:hAnsi="Times New Roman" w:cs="Times New Roman"/>
          <w:kern w:val="0"/>
          <w:lang w:eastAsia="en-GB"/>
          <w14:ligatures w14:val="none"/>
        </w:rPr>
        <w:t xml:space="preserve">Bersin, J. (2021) </w:t>
      </w:r>
      <w:r w:rsidRPr="00CC7190">
        <w:rPr>
          <w:rFonts w:ascii="Times New Roman" w:eastAsia="Times New Roman" w:hAnsi="Times New Roman" w:cs="Times New Roman"/>
          <w:i/>
          <w:iCs/>
          <w:kern w:val="0"/>
          <w:lang w:eastAsia="en-GB"/>
          <w14:ligatures w14:val="none"/>
        </w:rPr>
        <w:t>The New Corporate Learning Landscape</w:t>
      </w:r>
      <w:r w:rsidRPr="00CC7190">
        <w:rPr>
          <w:rFonts w:ascii="Times New Roman" w:eastAsia="Times New Roman" w:hAnsi="Times New Roman" w:cs="Times New Roman"/>
          <w:kern w:val="0"/>
          <w:lang w:eastAsia="en-GB"/>
          <w14:ligatures w14:val="none"/>
        </w:rPr>
        <w:t xml:space="preserve">. Deloitte Insights. Available at: </w:t>
      </w:r>
      <w:hyperlink r:id="rId10" w:tgtFrame="_new" w:history="1">
        <w:r w:rsidRPr="00CC7190">
          <w:rPr>
            <w:rFonts w:ascii="Times New Roman" w:eastAsia="Times New Roman" w:hAnsi="Times New Roman" w:cs="Times New Roman"/>
            <w:color w:val="0000FF"/>
            <w:kern w:val="0"/>
            <w:u w:val="single"/>
            <w:lang w:eastAsia="en-GB"/>
            <w14:ligatures w14:val="none"/>
          </w:rPr>
          <w:t>https://www2.deloitte.com</w:t>
        </w:r>
      </w:hyperlink>
      <w:r w:rsidRPr="00CC7190">
        <w:rPr>
          <w:rFonts w:ascii="Times New Roman" w:eastAsia="Times New Roman" w:hAnsi="Times New Roman" w:cs="Times New Roman"/>
          <w:kern w:val="0"/>
          <w:lang w:eastAsia="en-GB"/>
          <w14:ligatures w14:val="none"/>
        </w:rPr>
        <w:t xml:space="preserve"> (Accessed: </w:t>
      </w:r>
      <w:r>
        <w:rPr>
          <w:rFonts w:ascii="Times New Roman" w:eastAsia="Times New Roman" w:hAnsi="Times New Roman" w:cs="Times New Roman"/>
          <w:kern w:val="0"/>
          <w:lang w:eastAsia="en-GB"/>
          <w14:ligatures w14:val="none"/>
        </w:rPr>
        <w:t>16</w:t>
      </w:r>
      <w:r w:rsidRPr="00CC7190">
        <w:rPr>
          <w:rFonts w:ascii="Times New Roman" w:eastAsia="Times New Roman" w:hAnsi="Times New Roman" w:cs="Times New Roman"/>
          <w:kern w:val="0"/>
          <w:lang w:eastAsia="en-GB"/>
          <w14:ligatures w14:val="none"/>
        </w:rPr>
        <w:t xml:space="preserve"> November 2025).</w:t>
      </w:r>
    </w:p>
    <w:p w14:paraId="32A41A9B" w14:textId="77777777" w:rsidR="00CC7190" w:rsidRPr="00CC7190" w:rsidRDefault="00CC7190" w:rsidP="00CC7190">
      <w:pPr>
        <w:spacing w:before="100" w:beforeAutospacing="1" w:after="100" w:afterAutospacing="1" w:line="240" w:lineRule="auto"/>
        <w:rPr>
          <w:rFonts w:ascii="Times New Roman" w:eastAsia="Times New Roman" w:hAnsi="Times New Roman" w:cs="Times New Roman"/>
          <w:kern w:val="0"/>
          <w:lang w:eastAsia="en-GB"/>
          <w14:ligatures w14:val="none"/>
        </w:rPr>
      </w:pPr>
      <w:r w:rsidRPr="00CC7190">
        <w:rPr>
          <w:rFonts w:ascii="Times New Roman" w:eastAsia="Times New Roman" w:hAnsi="Times New Roman" w:cs="Times New Roman"/>
          <w:kern w:val="0"/>
          <w:lang w:eastAsia="en-GB"/>
          <w14:ligatures w14:val="none"/>
        </w:rPr>
        <w:t xml:space="preserve">Reynolds, A. (2021) ‘Developing leadership capabilities in global organisations’, </w:t>
      </w:r>
      <w:r w:rsidRPr="00CC7190">
        <w:rPr>
          <w:rFonts w:ascii="Times New Roman" w:eastAsia="Times New Roman" w:hAnsi="Times New Roman" w:cs="Times New Roman"/>
          <w:i/>
          <w:iCs/>
          <w:kern w:val="0"/>
          <w:lang w:eastAsia="en-GB"/>
          <w14:ligatures w14:val="none"/>
        </w:rPr>
        <w:t>Journal of Management Development</w:t>
      </w:r>
      <w:r w:rsidRPr="00CC7190">
        <w:rPr>
          <w:rFonts w:ascii="Times New Roman" w:eastAsia="Times New Roman" w:hAnsi="Times New Roman" w:cs="Times New Roman"/>
          <w:kern w:val="0"/>
          <w:lang w:eastAsia="en-GB"/>
          <w14:ligatures w14:val="none"/>
        </w:rPr>
        <w:t>, 40(5), pp. 321–337.</w:t>
      </w:r>
    </w:p>
    <w:p w14:paraId="5C9D8BB1" w14:textId="41F18D63" w:rsidR="00CC7190" w:rsidRPr="00CC7190" w:rsidRDefault="00CC7190" w:rsidP="00CC7190">
      <w:pPr>
        <w:spacing w:before="100" w:beforeAutospacing="1" w:after="100" w:afterAutospacing="1" w:line="240" w:lineRule="auto"/>
        <w:rPr>
          <w:rFonts w:ascii="Times New Roman" w:eastAsia="Times New Roman" w:hAnsi="Times New Roman" w:cs="Times New Roman"/>
          <w:kern w:val="0"/>
          <w:lang w:eastAsia="en-GB"/>
          <w14:ligatures w14:val="none"/>
        </w:rPr>
      </w:pPr>
      <w:r w:rsidRPr="00CC7190">
        <w:rPr>
          <w:rFonts w:ascii="Times New Roman" w:eastAsia="Times New Roman" w:hAnsi="Times New Roman" w:cs="Times New Roman"/>
          <w:kern w:val="0"/>
          <w:lang w:eastAsia="en-GB"/>
          <w14:ligatures w14:val="none"/>
        </w:rPr>
        <w:t xml:space="preserve">SHRM (2022) </w:t>
      </w:r>
      <w:r w:rsidRPr="00CC7190">
        <w:rPr>
          <w:rFonts w:ascii="Times New Roman" w:eastAsia="Times New Roman" w:hAnsi="Times New Roman" w:cs="Times New Roman"/>
          <w:i/>
          <w:iCs/>
          <w:kern w:val="0"/>
          <w:lang w:eastAsia="en-GB"/>
          <w14:ligatures w14:val="none"/>
        </w:rPr>
        <w:t>The Importance of Learning &amp; Development in the Workplace</w:t>
      </w:r>
      <w:r w:rsidRPr="00CC7190">
        <w:rPr>
          <w:rFonts w:ascii="Times New Roman" w:eastAsia="Times New Roman" w:hAnsi="Times New Roman" w:cs="Times New Roman"/>
          <w:kern w:val="0"/>
          <w:lang w:eastAsia="en-GB"/>
          <w14:ligatures w14:val="none"/>
        </w:rPr>
        <w:t xml:space="preserve">. Available at: </w:t>
      </w:r>
      <w:hyperlink r:id="rId11" w:tgtFrame="_new" w:history="1">
        <w:r w:rsidRPr="00CC7190">
          <w:rPr>
            <w:rFonts w:ascii="Times New Roman" w:eastAsia="Times New Roman" w:hAnsi="Times New Roman" w:cs="Times New Roman"/>
            <w:color w:val="0000FF"/>
            <w:kern w:val="0"/>
            <w:u w:val="single"/>
            <w:lang w:eastAsia="en-GB"/>
            <w14:ligatures w14:val="none"/>
          </w:rPr>
          <w:t>https://www.shrm.org</w:t>
        </w:r>
      </w:hyperlink>
      <w:r w:rsidRPr="00CC7190">
        <w:rPr>
          <w:rFonts w:ascii="Times New Roman" w:eastAsia="Times New Roman" w:hAnsi="Times New Roman" w:cs="Times New Roman"/>
          <w:kern w:val="0"/>
          <w:lang w:eastAsia="en-GB"/>
          <w14:ligatures w14:val="none"/>
        </w:rPr>
        <w:t xml:space="preserve"> (Accessed: </w:t>
      </w:r>
      <w:r>
        <w:rPr>
          <w:rFonts w:ascii="Times New Roman" w:eastAsia="Times New Roman" w:hAnsi="Times New Roman" w:cs="Times New Roman"/>
          <w:kern w:val="0"/>
          <w:lang w:eastAsia="en-GB"/>
          <w14:ligatures w14:val="none"/>
        </w:rPr>
        <w:t>16</w:t>
      </w:r>
      <w:r w:rsidRPr="00CC7190">
        <w:rPr>
          <w:rFonts w:ascii="Times New Roman" w:eastAsia="Times New Roman" w:hAnsi="Times New Roman" w:cs="Times New Roman"/>
          <w:kern w:val="0"/>
          <w:lang w:eastAsia="en-GB"/>
          <w14:ligatures w14:val="none"/>
        </w:rPr>
        <w:t xml:space="preserve"> November 2025).</w:t>
      </w:r>
    </w:p>
    <w:p w14:paraId="72ABD149" w14:textId="77777777" w:rsidR="00CC7190" w:rsidRPr="009A3BE0" w:rsidRDefault="00CC7190" w:rsidP="00A92BFD">
      <w:pPr>
        <w:rPr>
          <w:rFonts w:ascii="Arial" w:hAnsi="Arial" w:cs="Arial"/>
          <w:sz w:val="22"/>
          <w:szCs w:val="22"/>
        </w:rPr>
      </w:pPr>
    </w:p>
    <w:sectPr w:rsidR="00CC7190" w:rsidRPr="009A3B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E0E"/>
    <w:rsid w:val="000F31CA"/>
    <w:rsid w:val="006576CB"/>
    <w:rsid w:val="007035B5"/>
    <w:rsid w:val="00882367"/>
    <w:rsid w:val="00883879"/>
    <w:rsid w:val="009632EF"/>
    <w:rsid w:val="009A3BE0"/>
    <w:rsid w:val="009F06CE"/>
    <w:rsid w:val="00A92BFD"/>
    <w:rsid w:val="00AF1294"/>
    <w:rsid w:val="00CB4ED8"/>
    <w:rsid w:val="00CC7190"/>
    <w:rsid w:val="00D82379"/>
    <w:rsid w:val="00E06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1E824"/>
  <w15:chartTrackingRefBased/>
  <w15:docId w15:val="{3F93A5EE-ED00-41B4-B71D-488C53E35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E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6E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6E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6E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6E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6E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6E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6E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6E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E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6E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6E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6E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6E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6E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6E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6E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6E0E"/>
    <w:rPr>
      <w:rFonts w:eastAsiaTheme="majorEastAsia" w:cstheme="majorBidi"/>
      <w:color w:val="272727" w:themeColor="text1" w:themeTint="D8"/>
    </w:rPr>
  </w:style>
  <w:style w:type="paragraph" w:styleId="Title">
    <w:name w:val="Title"/>
    <w:basedOn w:val="Normal"/>
    <w:next w:val="Normal"/>
    <w:link w:val="TitleChar"/>
    <w:uiPriority w:val="10"/>
    <w:qFormat/>
    <w:rsid w:val="00E06E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6E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6E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6E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6E0E"/>
    <w:pPr>
      <w:spacing w:before="160"/>
      <w:jc w:val="center"/>
    </w:pPr>
    <w:rPr>
      <w:i/>
      <w:iCs/>
      <w:color w:val="404040" w:themeColor="text1" w:themeTint="BF"/>
    </w:rPr>
  </w:style>
  <w:style w:type="character" w:customStyle="1" w:styleId="QuoteChar">
    <w:name w:val="Quote Char"/>
    <w:basedOn w:val="DefaultParagraphFont"/>
    <w:link w:val="Quote"/>
    <w:uiPriority w:val="29"/>
    <w:rsid w:val="00E06E0E"/>
    <w:rPr>
      <w:i/>
      <w:iCs/>
      <w:color w:val="404040" w:themeColor="text1" w:themeTint="BF"/>
    </w:rPr>
  </w:style>
  <w:style w:type="paragraph" w:styleId="ListParagraph">
    <w:name w:val="List Paragraph"/>
    <w:basedOn w:val="Normal"/>
    <w:uiPriority w:val="34"/>
    <w:qFormat/>
    <w:rsid w:val="00E06E0E"/>
    <w:pPr>
      <w:ind w:left="720"/>
      <w:contextualSpacing/>
    </w:pPr>
  </w:style>
  <w:style w:type="character" w:styleId="IntenseEmphasis">
    <w:name w:val="Intense Emphasis"/>
    <w:basedOn w:val="DefaultParagraphFont"/>
    <w:uiPriority w:val="21"/>
    <w:qFormat/>
    <w:rsid w:val="00E06E0E"/>
    <w:rPr>
      <w:i/>
      <w:iCs/>
      <w:color w:val="0F4761" w:themeColor="accent1" w:themeShade="BF"/>
    </w:rPr>
  </w:style>
  <w:style w:type="paragraph" w:styleId="IntenseQuote">
    <w:name w:val="Intense Quote"/>
    <w:basedOn w:val="Normal"/>
    <w:next w:val="Normal"/>
    <w:link w:val="IntenseQuoteChar"/>
    <w:uiPriority w:val="30"/>
    <w:qFormat/>
    <w:rsid w:val="00E06E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6E0E"/>
    <w:rPr>
      <w:i/>
      <w:iCs/>
      <w:color w:val="0F4761" w:themeColor="accent1" w:themeShade="BF"/>
    </w:rPr>
  </w:style>
  <w:style w:type="character" w:styleId="IntenseReference">
    <w:name w:val="Intense Reference"/>
    <w:basedOn w:val="DefaultParagraphFont"/>
    <w:uiPriority w:val="32"/>
    <w:qFormat/>
    <w:rsid w:val="00E06E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google.com"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cipd.co.uk"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hrm.org" TargetMode="External"/><Relationship Id="rId5" Type="http://schemas.openxmlformats.org/officeDocument/2006/relationships/settings" Target="settings.xml"/><Relationship Id="rId10" Type="http://schemas.openxmlformats.org/officeDocument/2006/relationships/hyperlink" Target="https://www2.deloitte.com" TargetMode="External"/><Relationship Id="rId4" Type="http://schemas.openxmlformats.org/officeDocument/2006/relationships/styles" Target="styles.xml"/><Relationship Id="rId9" Type="http://schemas.openxmlformats.org/officeDocument/2006/relationships/hyperlink" Target="https://rework.withgoog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6fa7290d7e44d3b8526ff90bf565943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16aeb4036cc367c3e611f3152845bae1"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4005E40A-064E-4775-9C2A-CCCC3BAFE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D1C015-E55C-4E37-8501-CAB9752CB6D8}">
  <ds:schemaRefs>
    <ds:schemaRef ds:uri="http://schemas.microsoft.com/sharepoint/v3/contenttype/forms"/>
  </ds:schemaRefs>
</ds:datastoreItem>
</file>

<file path=customXml/itemProps3.xml><?xml version="1.0" encoding="utf-8"?>
<ds:datastoreItem xmlns:ds="http://schemas.openxmlformats.org/officeDocument/2006/customXml" ds:itemID="{A1490B95-2614-41DD-8284-35323DA76729}">
  <ds:schemaRefs>
    <ds:schemaRef ds:uri="http://schemas.microsoft.com/office/2006/documentManagement/types"/>
    <ds:schemaRef ds:uri="http://www.w3.org/XML/1998/namespace"/>
    <ds:schemaRef ds:uri="04c7059f-bde8-4ce9-bb0f-e52888740953"/>
    <ds:schemaRef ds:uri="http://purl.org/dc/term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d8e79d84-78fb-44a9-92e9-d04bdd8f0359"/>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2719</Words>
  <Characters>15504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Nicolae</dc:creator>
  <cp:keywords/>
  <dc:description/>
  <cp:lastModifiedBy>Cristina Nicolae (2226305)</cp:lastModifiedBy>
  <cp:revision>2</cp:revision>
  <dcterms:created xsi:type="dcterms:W3CDTF">2025-11-20T01:05:00Z</dcterms:created>
  <dcterms:modified xsi:type="dcterms:W3CDTF">2025-11-20T01:05:00Z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