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AA4031">
      <w:pPr>
        <w:spacing w:after="240"/>
        <w:jc w:val="center"/>
        <w:rPr>
          <w:b/>
          <w:bCs/>
          <w:sz w:val="32"/>
          <w:szCs w:val="32"/>
        </w:rPr>
      </w:pPr>
      <w:r>
        <w:rPr>
          <w:lang w:val="en-US" w:eastAsia="en-US"/>
        </w:rPr>
        <w:drawing>
          <wp:inline distT="0" distB="0" distL="0" distR="0">
            <wp:extent cx="3601720" cy="1503680"/>
            <wp:effectExtent l="0" t="0" r="0" b="1270"/>
            <wp:docPr id="5" name="Picture 5"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610059" cy="1507427"/>
                    </a:xfrm>
                    <a:prstGeom prst="rect">
                      <a:avLst/>
                    </a:prstGeom>
                    <a:noFill/>
                    <a:ln>
                      <a:noFill/>
                    </a:ln>
                  </pic:spPr>
                </pic:pic>
              </a:graphicData>
            </a:graphic>
          </wp:inline>
        </w:drawing>
      </w:r>
    </w:p>
    <w:p w14:paraId="1668755B">
      <w:pPr>
        <w:spacing w:after="240"/>
        <w:jc w:val="center"/>
        <w:rPr>
          <w:b/>
          <w:bCs/>
          <w:sz w:val="32"/>
          <w:szCs w:val="32"/>
        </w:rPr>
      </w:pPr>
      <w:r>
        <w:rPr>
          <w:b/>
          <w:bCs/>
          <w:sz w:val="32"/>
          <w:szCs w:val="32"/>
        </w:rPr>
        <w:t>Module: Human Capital Management</w:t>
      </w:r>
    </w:p>
    <w:p w14:paraId="406AED44">
      <w:pPr>
        <w:spacing w:after="240"/>
        <w:jc w:val="center"/>
        <w:rPr>
          <w:b/>
          <w:bCs/>
          <w:sz w:val="32"/>
          <w:szCs w:val="32"/>
        </w:rPr>
      </w:pPr>
      <w:r>
        <w:rPr>
          <w:b/>
          <w:bCs/>
          <w:sz w:val="32"/>
          <w:szCs w:val="32"/>
        </w:rPr>
        <w:t>Module Code: LCMB7023</w:t>
      </w:r>
    </w:p>
    <w:p w14:paraId="32D2E0BC">
      <w:pPr>
        <w:spacing w:after="240"/>
        <w:jc w:val="center"/>
        <w:rPr>
          <w:b/>
          <w:bCs/>
          <w:sz w:val="32"/>
          <w:szCs w:val="32"/>
        </w:rPr>
      </w:pPr>
      <w:r>
        <w:rPr>
          <w:b/>
          <w:bCs/>
          <w:sz w:val="32"/>
          <w:szCs w:val="32"/>
        </w:rPr>
        <w:t>Assessment Component 1: Individual Report</w:t>
      </w:r>
    </w:p>
    <w:p w14:paraId="2B6465F2">
      <w:pPr>
        <w:spacing w:after="240"/>
        <w:jc w:val="center"/>
        <w:rPr>
          <w:b/>
          <w:bCs/>
          <w:sz w:val="32"/>
          <w:szCs w:val="32"/>
        </w:rPr>
      </w:pPr>
      <w:r>
        <w:rPr>
          <w:b/>
          <w:bCs/>
          <w:sz w:val="32"/>
          <w:szCs w:val="32"/>
        </w:rPr>
        <w:t>Designing a Human Capital Architecture for Strategic Renewal</w:t>
      </w:r>
    </w:p>
    <w:p w14:paraId="5F045414">
      <w:pPr>
        <w:spacing w:after="240"/>
        <w:jc w:val="center"/>
        <w:rPr>
          <w:rFonts w:hint="default"/>
          <w:b/>
          <w:bCs/>
          <w:sz w:val="32"/>
          <w:szCs w:val="32"/>
          <w:lang w:val="en-IN"/>
        </w:rPr>
      </w:pPr>
      <w:r>
        <w:rPr>
          <w:b/>
          <w:bCs/>
          <w:sz w:val="32"/>
          <w:szCs w:val="32"/>
        </w:rPr>
        <w:t xml:space="preserve">Student Name: </w:t>
      </w:r>
      <w:r>
        <w:rPr>
          <w:rFonts w:hint="default"/>
          <w:b/>
          <w:bCs/>
          <w:sz w:val="32"/>
          <w:szCs w:val="32"/>
          <w:lang w:val="en-IN"/>
        </w:rPr>
        <w:t>Ankit Gopalbhai Rabari</w:t>
      </w:r>
    </w:p>
    <w:p w14:paraId="730499DB">
      <w:pPr>
        <w:spacing w:after="240"/>
        <w:jc w:val="center"/>
        <w:rPr>
          <w:rFonts w:hint="default"/>
          <w:b/>
          <w:bCs/>
          <w:sz w:val="32"/>
          <w:szCs w:val="32"/>
          <w:lang w:val="en-IN"/>
        </w:rPr>
      </w:pPr>
      <w:r>
        <w:rPr>
          <w:b/>
          <w:bCs/>
          <w:sz w:val="32"/>
          <w:szCs w:val="32"/>
        </w:rPr>
        <w:t>Student Id:</w:t>
      </w:r>
      <w:r>
        <w:rPr>
          <w:rFonts w:hint="default"/>
          <w:b/>
          <w:bCs/>
          <w:sz w:val="32"/>
          <w:szCs w:val="32"/>
          <w:lang w:val="en-IN"/>
        </w:rPr>
        <w:t>2535776</w:t>
      </w:r>
    </w:p>
    <w:p w14:paraId="47AA1478">
      <w:pPr>
        <w:spacing w:after="240"/>
        <w:jc w:val="center"/>
        <w:rPr>
          <w:rFonts w:hint="default"/>
          <w:b/>
          <w:bCs/>
          <w:sz w:val="32"/>
          <w:szCs w:val="32"/>
          <w:lang w:val="en-IN"/>
        </w:rPr>
      </w:pPr>
    </w:p>
    <w:p w14:paraId="4283E5B4">
      <w:pPr>
        <w:spacing w:after="240"/>
        <w:jc w:val="center"/>
        <w:rPr>
          <w:b/>
          <w:bCs/>
          <w:sz w:val="32"/>
          <w:szCs w:val="32"/>
        </w:rPr>
      </w:pPr>
      <w:r>
        <w:br w:type="page"/>
      </w:r>
    </w:p>
    <w:p w14:paraId="5910116A">
      <w:pPr>
        <w:spacing w:after="240"/>
        <w:jc w:val="center"/>
        <w:rPr>
          <w:b/>
          <w:bCs/>
          <w:sz w:val="28"/>
          <w:szCs w:val="28"/>
        </w:rPr>
      </w:pPr>
      <w:r>
        <w:rPr>
          <w:b/>
          <w:bCs/>
          <w:sz w:val="28"/>
          <w:szCs w:val="28"/>
        </w:rPr>
        <w:t>Executive Summary</w:t>
      </w:r>
      <w:bookmarkStart w:id="38" w:name="_GoBack"/>
      <w:bookmarkEnd w:id="38"/>
    </w:p>
    <w:p w14:paraId="5770724E">
      <w:pPr>
        <w:spacing w:after="240"/>
      </w:pPr>
      <w:r>
        <w:t>In this report, the human capital problems at Helios Urban Mobility are assessed and strategic recommendations to boost organisational performance suggested. It provides a critical comparison of the notion of traditional onboarding and strategic organisational socialisation, and suggests a framework organisation that enhances organisational commitment, engagement, and graduate retention. Also, a unified human capital framework that encompasses creative ways of job design offers workforce flexibility, life-long learning and innovation of the organisation. Thoughts on responsible AI-assisted HR decision-making are also displayed in the report, and a personal approach to developing skills to become a strategic leader in the future. All these suggestions would reinforce ethical human resource management, organisational resilience, adaptability of the workforce and long-term strategic renewal of Helios in a dynamic business environment.</w:t>
      </w:r>
    </w:p>
    <w:p w14:paraId="51E748C4">
      <w:pPr>
        <w:spacing w:after="240"/>
      </w:pPr>
      <w:r>
        <w:br w:type="page"/>
      </w:r>
    </w:p>
    <w:sdt>
      <w:sdtPr>
        <w:rPr>
          <w:rFonts w:ascii="Arial" w:hAnsi="Arial" w:eastAsia="Arial" w:cs="Arial"/>
          <w:b/>
          <w:bCs/>
          <w:color w:val="auto"/>
          <w:sz w:val="28"/>
          <w:szCs w:val="28"/>
          <w:lang w:val="en-GB" w:eastAsia="en-IN"/>
        </w:rPr>
        <w:id w:val="1686019418"/>
        <w:docPartObj>
          <w:docPartGallery w:val="Table of Contents"/>
          <w:docPartUnique/>
        </w:docPartObj>
      </w:sdtPr>
      <w:sdtEndPr>
        <w:rPr>
          <w:rFonts w:ascii="Arial" w:hAnsi="Arial" w:eastAsia="Arial" w:cs="Arial"/>
          <w:b/>
          <w:bCs/>
          <w:color w:val="auto"/>
          <w:sz w:val="24"/>
          <w:szCs w:val="24"/>
          <w:lang w:val="en-GB" w:eastAsia="en-IN"/>
        </w:rPr>
      </w:sdtEndPr>
      <w:sdtContent>
        <w:p w14:paraId="3A01E7FF">
          <w:pPr>
            <w:pStyle w:val="20"/>
            <w:spacing w:after="240" w:line="360" w:lineRule="auto"/>
            <w:jc w:val="center"/>
            <w:rPr>
              <w:rFonts w:ascii="Arial" w:hAnsi="Arial" w:cs="Arial"/>
              <w:b/>
              <w:bCs/>
              <w:color w:val="auto"/>
              <w:sz w:val="28"/>
              <w:szCs w:val="28"/>
              <w:lang w:val="en-GB"/>
            </w:rPr>
          </w:pPr>
          <w:r>
            <w:rPr>
              <w:rFonts w:ascii="Arial" w:hAnsi="Arial" w:cs="Arial"/>
              <w:b/>
              <w:bCs/>
              <w:color w:val="auto"/>
              <w:sz w:val="28"/>
              <w:szCs w:val="28"/>
              <w:lang w:val="en-GB"/>
            </w:rPr>
            <w:t>Table of Contents</w:t>
          </w:r>
        </w:p>
        <w:p w14:paraId="2C4062B6">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TOC \o "1-3" \h \z \u </w:instrText>
          </w:r>
          <w:r>
            <w:fldChar w:fldCharType="separate"/>
          </w:r>
          <w:r>
            <w:fldChar w:fldCharType="begin"/>
          </w:r>
          <w:r>
            <w:instrText xml:space="preserve"> HYPERLINK \l "_Toc235036889" </w:instrText>
          </w:r>
          <w:r>
            <w:fldChar w:fldCharType="separate"/>
          </w:r>
          <w:r>
            <w:rPr>
              <w:rStyle w:val="12"/>
            </w:rPr>
            <w:t>Introduction</w:t>
          </w:r>
          <w:r>
            <w:tab/>
          </w:r>
          <w:r>
            <w:fldChar w:fldCharType="begin"/>
          </w:r>
          <w:r>
            <w:instrText xml:space="preserve"> PAGEREF _Toc235036889 \h </w:instrText>
          </w:r>
          <w:r>
            <w:fldChar w:fldCharType="separate"/>
          </w:r>
          <w:r>
            <w:t>4</w:t>
          </w:r>
          <w:r>
            <w:fldChar w:fldCharType="end"/>
          </w:r>
          <w:r>
            <w:fldChar w:fldCharType="end"/>
          </w:r>
        </w:p>
        <w:p w14:paraId="3D17A547">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"_Toc235036890" </w:instrText>
          </w:r>
          <w:r>
            <w:fldChar w:fldCharType="separate"/>
          </w:r>
          <w:r>
            <w:rPr>
              <w:rStyle w:val="12"/>
            </w:rPr>
            <w:t>Task A: Strategy Organisational Socialisation</w:t>
          </w:r>
          <w:r>
            <w:tab/>
          </w:r>
          <w:r>
            <w:fldChar w:fldCharType="begin"/>
          </w:r>
          <w:r>
            <w:instrText xml:space="preserve"> PAGEREF _Toc235036890 \h </w:instrText>
          </w:r>
          <w:r>
            <w:fldChar w:fldCharType="separate"/>
          </w:r>
          <w:r>
            <w:t>4</w:t>
          </w:r>
          <w:r>
            <w:fldChar w:fldCharType="end"/>
          </w:r>
          <w:r>
            <w:fldChar w:fldCharType="end"/>
          </w:r>
        </w:p>
        <w:p w14:paraId="4F2C615E">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"_Toc235036891" </w:instrText>
          </w:r>
          <w:r>
            <w:fldChar w:fldCharType="separate"/>
          </w:r>
          <w:r>
            <w:rPr>
              <w:rStyle w:val="12"/>
            </w:rPr>
            <w:t>Comparing the Conventional Onboarding versus Strategic Organisational Socialisation</w:t>
          </w:r>
          <w:r>
            <w:tab/>
          </w:r>
          <w:r>
            <w:fldChar w:fldCharType="begin"/>
          </w:r>
          <w:r>
            <w:instrText xml:space="preserve"> PAGEREF _Toc235036891 \h </w:instrText>
          </w:r>
          <w:r>
            <w:fldChar w:fldCharType="separate"/>
          </w:r>
          <w:r>
            <w:t>4</w:t>
          </w:r>
          <w:r>
            <w:fldChar w:fldCharType="end"/>
          </w:r>
          <w:r>
            <w:fldChar w:fldCharType="end"/>
          </w:r>
        </w:p>
        <w:p w14:paraId="74A04569">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"_Toc235036892" </w:instrText>
          </w:r>
          <w:r>
            <w:fldChar w:fldCharType="separate"/>
          </w:r>
          <w:r>
            <w:rPr>
              <w:rStyle w:val="12"/>
            </w:rPr>
            <w:t>Helios Strategic Socialisation Framework</w:t>
          </w:r>
          <w:r>
            <w:tab/>
          </w:r>
          <w:r>
            <w:fldChar w:fldCharType="begin"/>
          </w:r>
          <w:r>
            <w:instrText xml:space="preserve"> PAGEREF _Toc235036892 \h </w:instrText>
          </w:r>
          <w:r>
            <w:fldChar w:fldCharType="separate"/>
          </w:r>
          <w:r>
            <w:t>6</w:t>
          </w:r>
          <w:r>
            <w:fldChar w:fldCharType="end"/>
          </w:r>
          <w:r>
            <w:fldChar w:fldCharType="end"/>
          </w:r>
        </w:p>
        <w:p w14:paraId="4393CD6C">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"_Toc235036893" </w:instrText>
          </w:r>
          <w:r>
            <w:fldChar w:fldCharType="separate"/>
          </w:r>
          <w:r>
            <w:rPr>
              <w:rStyle w:val="12"/>
            </w:rPr>
            <w:t>Creating Organisational Citizens</w:t>
          </w:r>
          <w:r>
            <w:tab/>
          </w:r>
          <w:r>
            <w:fldChar w:fldCharType="begin"/>
          </w:r>
          <w:r>
            <w:instrText xml:space="preserve"> PAGEREF _Toc235036893 \h </w:instrText>
          </w:r>
          <w:r>
            <w:fldChar w:fldCharType="separate"/>
          </w:r>
          <w:r>
            <w:t>8</w:t>
          </w:r>
          <w:r>
            <w:fldChar w:fldCharType="end"/>
          </w:r>
          <w:r>
            <w:fldChar w:fldCharType="end"/>
          </w:r>
        </w:p>
        <w:p w14:paraId="183C80E1">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"_Toc235036894" </w:instrText>
          </w:r>
          <w:r>
            <w:fldChar w:fldCharType="separate"/>
          </w:r>
          <w:r>
            <w:rPr>
              <w:rStyle w:val="12"/>
            </w:rPr>
            <w:t>Task B: Strategic Job Design</w:t>
          </w:r>
          <w:r>
            <w:tab/>
          </w:r>
          <w:r>
            <w:fldChar w:fldCharType="begin"/>
          </w:r>
          <w:r>
            <w:instrText xml:space="preserve"> PAGEREF _Toc235036894 \h </w:instrText>
          </w:r>
          <w:r>
            <w:fldChar w:fldCharType="separate"/>
          </w:r>
          <w:r>
            <w:t>9</w:t>
          </w:r>
          <w:r>
            <w:fldChar w:fldCharType="end"/>
          </w:r>
          <w:r>
            <w:fldChar w:fldCharType="end"/>
          </w:r>
        </w:p>
        <w:p w14:paraId="6428E6A4">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"_Toc235036895" </w:instrText>
          </w:r>
          <w:r>
            <w:fldChar w:fldCharType="separate"/>
          </w:r>
          <w:r>
            <w:rPr>
              <w:rStyle w:val="12"/>
            </w:rPr>
            <w:t>The need to change the present job design</w:t>
          </w:r>
          <w:r>
            <w:tab/>
          </w:r>
          <w:r>
            <w:fldChar w:fldCharType="begin"/>
          </w:r>
          <w:r>
            <w:instrText xml:space="preserve"> PAGEREF _Toc235036895 \h </w:instrText>
          </w:r>
          <w:r>
            <w:fldChar w:fldCharType="separate"/>
          </w:r>
          <w:r>
            <w:t>9</w:t>
          </w:r>
          <w:r>
            <w:fldChar w:fldCharType="end"/>
          </w:r>
          <w:r>
            <w:fldChar w:fldCharType="end"/>
          </w:r>
        </w:p>
        <w:p w14:paraId="1025168B">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"_Toc235036896" </w:instrText>
          </w:r>
          <w:r>
            <w:fldChar w:fldCharType="separate"/>
          </w:r>
          <w:r>
            <w:rPr>
              <w:rStyle w:val="12"/>
            </w:rPr>
            <w:t>Job Design Theories: Critical Evaluation</w:t>
          </w:r>
          <w:r>
            <w:tab/>
          </w:r>
          <w:r>
            <w:fldChar w:fldCharType="begin"/>
          </w:r>
          <w:r>
            <w:instrText xml:space="preserve"> PAGEREF _Toc235036896 \h </w:instrText>
          </w:r>
          <w:r>
            <w:fldChar w:fldCharType="separate"/>
          </w:r>
          <w:r>
            <w:t>9</w:t>
          </w:r>
          <w:r>
            <w:fldChar w:fldCharType="end"/>
          </w:r>
          <w:r>
            <w:fldChar w:fldCharType="end"/>
          </w:r>
        </w:p>
        <w:p w14:paraId="79DE9AB9">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"_Toc235036897" </w:instrText>
          </w:r>
          <w:r>
            <w:fldChar w:fldCharType="separate"/>
          </w:r>
          <w:r>
            <w:rPr>
              <w:rStyle w:val="12"/>
            </w:rPr>
            <w:t>Recommended Human Capital Architecture</w:t>
          </w:r>
          <w:r>
            <w:tab/>
          </w:r>
          <w:r>
            <w:fldChar w:fldCharType="begin"/>
          </w:r>
          <w:r>
            <w:instrText xml:space="preserve"> PAGEREF _Toc235036897 \h </w:instrText>
          </w:r>
          <w:r>
            <w:fldChar w:fldCharType="separate"/>
          </w:r>
          <w:r>
            <w:t>12</w:t>
          </w:r>
          <w:r>
            <w:fldChar w:fldCharType="end"/>
          </w:r>
          <w:r>
            <w:fldChar w:fldCharType="end"/>
          </w:r>
        </w:p>
        <w:p w14:paraId="6BE2AF4E">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"_Toc235036898" </w:instrText>
          </w:r>
          <w:r>
            <w:fldChar w:fldCharType="separate"/>
          </w:r>
          <w:r>
            <w:rPr>
              <w:rStyle w:val="12"/>
            </w:rPr>
            <w:t>The Way the Design Innovates</w:t>
          </w:r>
          <w:r>
            <w:tab/>
          </w:r>
          <w:r>
            <w:fldChar w:fldCharType="begin"/>
          </w:r>
          <w:r>
            <w:instrText xml:space="preserve"> PAGEREF _Toc235036898 \h </w:instrText>
          </w:r>
          <w:r>
            <w:fldChar w:fldCharType="separate"/>
          </w:r>
          <w:r>
            <w:t>13</w:t>
          </w:r>
          <w:r>
            <w:fldChar w:fldCharType="end"/>
          </w:r>
          <w:r>
            <w:fldChar w:fldCharType="end"/>
          </w:r>
        </w:p>
        <w:p w14:paraId="726C262A">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"_Toc235036899" </w:instrText>
          </w:r>
          <w:r>
            <w:fldChar w:fldCharType="separate"/>
          </w:r>
          <w:r>
            <w:rPr>
              <w:rStyle w:val="12"/>
            </w:rPr>
            <w:t>Task C: Reflective Report</w:t>
          </w:r>
          <w:r>
            <w:tab/>
          </w:r>
          <w:r>
            <w:fldChar w:fldCharType="begin"/>
          </w:r>
          <w:r>
            <w:instrText xml:space="preserve"> PAGEREF _Toc235036899 \h </w:instrText>
          </w:r>
          <w:r>
            <w:fldChar w:fldCharType="separate"/>
          </w:r>
          <w:r>
            <w:t>14</w:t>
          </w:r>
          <w:r>
            <w:fldChar w:fldCharType="end"/>
          </w:r>
          <w:r>
            <w:fldChar w:fldCharType="end"/>
          </w:r>
        </w:p>
        <w:p w14:paraId="3A010993">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"_Toc235036900" </w:instrText>
          </w:r>
          <w:r>
            <w:fldChar w:fldCharType="separate"/>
          </w:r>
          <w:r>
            <w:rPr>
              <w:rStyle w:val="12"/>
            </w:rPr>
            <w:t>Ethical Application of AI in HR Decision-Making</w:t>
          </w:r>
          <w:r>
            <w:tab/>
          </w:r>
          <w:r>
            <w:fldChar w:fldCharType="begin"/>
          </w:r>
          <w:r>
            <w:instrText xml:space="preserve"> PAGEREF _Toc235036900 \h </w:instrText>
          </w:r>
          <w:r>
            <w:fldChar w:fldCharType="separate"/>
          </w:r>
          <w:r>
            <w:t>14</w:t>
          </w:r>
          <w:r>
            <w:fldChar w:fldCharType="end"/>
          </w:r>
          <w:r>
            <w:fldChar w:fldCharType="end"/>
          </w:r>
        </w:p>
        <w:p w14:paraId="54D93108">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"_Toc235036901" </w:instrText>
          </w:r>
          <w:r>
            <w:fldChar w:fldCharType="separate"/>
          </w:r>
          <w:r>
            <w:rPr>
              <w:rStyle w:val="12"/>
            </w:rPr>
            <w:t>Personal Capability Development Plan</w:t>
          </w:r>
          <w:r>
            <w:tab/>
          </w:r>
          <w:r>
            <w:fldChar w:fldCharType="begin"/>
          </w:r>
          <w:r>
            <w:instrText xml:space="preserve"> PAGEREF _Toc235036901 \h </w:instrText>
          </w:r>
          <w:r>
            <w:fldChar w:fldCharType="separate"/>
          </w:r>
          <w:r>
            <w:t>14</w:t>
          </w:r>
          <w:r>
            <w:fldChar w:fldCharType="end"/>
          </w:r>
          <w:r>
            <w:fldChar w:fldCharType="end"/>
          </w:r>
        </w:p>
        <w:p w14:paraId="2B3AD793">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"_Toc235036902" </w:instrText>
          </w:r>
          <w:r>
            <w:fldChar w:fldCharType="separate"/>
          </w:r>
          <w:r>
            <w:rPr>
              <w:rStyle w:val="12"/>
            </w:rPr>
            <w:t>Reflection</w:t>
          </w:r>
          <w:r>
            <w:tab/>
          </w:r>
          <w:r>
            <w:fldChar w:fldCharType="begin"/>
          </w:r>
          <w:r>
            <w:instrText xml:space="preserve"> PAGEREF _Toc235036902 \h </w:instrText>
          </w:r>
          <w:r>
            <w:fldChar w:fldCharType="separate"/>
          </w:r>
          <w:r>
            <w:t>15</w:t>
          </w:r>
          <w:r>
            <w:fldChar w:fldCharType="end"/>
          </w:r>
          <w:r>
            <w:fldChar w:fldCharType="end"/>
          </w:r>
        </w:p>
        <w:p w14:paraId="0B6CE9D0">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"_Toc235036903" </w:instrText>
          </w:r>
          <w:r>
            <w:fldChar w:fldCharType="separate"/>
          </w:r>
          <w:r>
            <w:rPr>
              <w:rStyle w:val="12"/>
            </w:rPr>
            <w:t>Conclusion</w:t>
          </w:r>
          <w:r>
            <w:tab/>
          </w:r>
          <w:r>
            <w:fldChar w:fldCharType="begin"/>
          </w:r>
          <w:r>
            <w:instrText xml:space="preserve"> PAGEREF _Toc235036903 \h </w:instrText>
          </w:r>
          <w:r>
            <w:fldChar w:fldCharType="separate"/>
          </w:r>
          <w:r>
            <w:t>16</w:t>
          </w:r>
          <w:r>
            <w:fldChar w:fldCharType="end"/>
          </w:r>
          <w:r>
            <w:fldChar w:fldCharType="end"/>
          </w:r>
        </w:p>
        <w:p w14:paraId="6C528802">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"_Toc235036904" </w:instrText>
          </w:r>
          <w:r>
            <w:fldChar w:fldCharType="separate"/>
          </w:r>
          <w:r>
            <w:rPr>
              <w:rStyle w:val="12"/>
            </w:rPr>
            <w:t>Reference list</w:t>
          </w:r>
          <w:r>
            <w:tab/>
          </w:r>
          <w:r>
            <w:fldChar w:fldCharType="begin"/>
          </w:r>
          <w:r>
            <w:instrText xml:space="preserve"> PAGEREF _Toc235036904 \h </w:instrText>
          </w:r>
          <w:r>
            <w:fldChar w:fldCharType="separate"/>
          </w:r>
          <w:r>
            <w:t>17</w:t>
          </w:r>
          <w:r>
            <w:fldChar w:fldCharType="end"/>
          </w:r>
          <w:r>
            <w:fldChar w:fldCharType="end"/>
          </w:r>
        </w:p>
        <w:p w14:paraId="35389E74">
          <w:pPr>
            <w:pStyle w:val="15"/>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"_Toc235036905" </w:instrText>
          </w:r>
          <w:r>
            <w:fldChar w:fldCharType="separate"/>
          </w:r>
          <w:r>
            <w:rPr>
              <w:rStyle w:val="12"/>
            </w:rPr>
            <w:t>Appendices</w:t>
          </w:r>
          <w:r>
            <w:tab/>
          </w:r>
          <w:r>
            <w:fldChar w:fldCharType="begin"/>
          </w:r>
          <w:r>
            <w:instrText xml:space="preserve"> PAGEREF _Toc235036905 \h </w:instrText>
          </w:r>
          <w:r>
            <w:fldChar w:fldCharType="separate"/>
          </w:r>
          <w:r>
            <w:t>22</w:t>
          </w:r>
          <w:r>
            <w:fldChar w:fldCharType="end"/>
          </w:r>
          <w:r>
            <w:fldChar w:fldCharType="end"/>
          </w:r>
        </w:p>
        <w:p w14:paraId="58238701">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"_Toc235036906" </w:instrText>
          </w:r>
          <w:r>
            <w:fldChar w:fldCharType="separate"/>
          </w:r>
          <w:r>
            <w:rPr>
              <w:rStyle w:val="12"/>
            </w:rPr>
            <w:t>Appendix 1: Strategic Organisational Socialisation Framework for Helios Urban Mobility</w:t>
          </w:r>
          <w:r>
            <w:tab/>
          </w:r>
          <w:r>
            <w:fldChar w:fldCharType="begin"/>
          </w:r>
          <w:r>
            <w:instrText xml:space="preserve"> PAGEREF _Toc235036906 \h </w:instrText>
          </w:r>
          <w:r>
            <w:fldChar w:fldCharType="separate"/>
          </w:r>
          <w:r>
            <w:t>22</w:t>
          </w:r>
          <w:r>
            <w:fldChar w:fldCharType="end"/>
          </w:r>
          <w:r>
            <w:fldChar w:fldCharType="end"/>
          </w:r>
        </w:p>
        <w:p w14:paraId="65FF1A69">
          <w:pPr>
            <w:pStyle w:val="16"/>
            <w:tabs>
              <w:tab w:val="right" w:leader="dot" w:pos="9350"/>
            </w:tabs>
            <w:spacing w:after="0" w:line="240" w:lineRule="auto"/>
            <w:rPr>
              <w:rFonts w:asciiTheme="minorHAnsi" w:hAnsiTheme="minorHAnsi" w:eastAsiaTheme="minorEastAsia" w:cstheme="minorBidi"/>
              <w:sz w:val="22"/>
              <w:szCs w:val="22"/>
              <w:lang w:val="en-US" w:eastAsia="en-US"/>
            </w:rPr>
          </w:pPr>
          <w:r>
            <w:fldChar w:fldCharType="begin"/>
          </w:r>
          <w:r>
            <w:instrText xml:space="preserve"> HYPERLINK \l "_Toc235036907" </w:instrText>
          </w:r>
          <w:r>
            <w:fldChar w:fldCharType="separate"/>
          </w:r>
          <w:r>
            <w:rPr>
              <w:rStyle w:val="12"/>
            </w:rPr>
            <w:t>Appendix 2: SMART Action Plan</w:t>
          </w:r>
          <w:r>
            <w:tab/>
          </w:r>
          <w:r>
            <w:fldChar w:fldCharType="begin"/>
          </w:r>
          <w:r>
            <w:instrText xml:space="preserve"> PAGEREF _Toc235036907 \h </w:instrText>
          </w:r>
          <w:r>
            <w:fldChar w:fldCharType="separate"/>
          </w:r>
          <w:r>
            <w:t>24</w:t>
          </w:r>
          <w:r>
            <w:fldChar w:fldCharType="end"/>
          </w:r>
          <w:r>
            <w:fldChar w:fldCharType="end"/>
          </w:r>
        </w:p>
        <w:p w14:paraId="762DE824">
          <w:pPr>
            <w:spacing w:line="240" w:lineRule="auto"/>
          </w:pPr>
          <w:r>
            <w:rPr>
              <w:b/>
              <w:bCs/>
            </w:rPr>
            <w:fldChar w:fldCharType="end"/>
          </w:r>
        </w:p>
      </w:sdtContent>
    </w:sdt>
    <w:p w14:paraId="58790658">
      <w:pPr>
        <w:spacing w:after="240"/>
      </w:pPr>
      <w:r>
        <w:br w:type="page"/>
      </w:r>
    </w:p>
    <w:p w14:paraId="35F53AF5">
      <w:pPr>
        <w:pStyle w:val="2"/>
        <w:spacing w:after="240"/>
      </w:pPr>
      <w:bookmarkStart w:id="0" w:name="_og5tqph9nmrj" w:colFirst="0" w:colLast="0"/>
      <w:bookmarkEnd w:id="0"/>
      <w:bookmarkStart w:id="1" w:name="_Toc235036889"/>
      <w:r>
        <w:t>Introduction</w:t>
      </w:r>
      <w:bookmarkEnd w:id="1"/>
      <w:r>
        <w:t xml:space="preserve"> </w:t>
      </w:r>
    </w:p>
    <w:p w14:paraId="1BE38C71">
      <w:pPr>
        <w:spacing w:after="240"/>
      </w:pPr>
      <w:r>
        <w:t>Helios Urban Mobility works on AI-powered solutions of smart transportation in London, Berlin, and Singapore. The organisation supports innovative urban mobility, and infrastructure analytics, with 450 employees. Nonetheless, poor onboarding, lengthy ramp-up timeframes, waning engagement, and drop-out rates of graduates are barriers to organisational success. In this report, there is development of strategic socialisation architecture, innovative job designs and development of personal capability solutions. These interrelated human capital issues are critically considered in sequential strategic suggestions as discussed in the following sections.</w:t>
      </w:r>
    </w:p>
    <w:p w14:paraId="038F90D0">
      <w:pPr>
        <w:pStyle w:val="2"/>
        <w:spacing w:after="240"/>
      </w:pPr>
      <w:bookmarkStart w:id="2" w:name="_csufuev50nrl" w:colFirst="0" w:colLast="0"/>
      <w:bookmarkEnd w:id="2"/>
      <w:bookmarkStart w:id="3" w:name="_Toc235036890"/>
      <w:r>
        <w:t>Task A: Strategy Organisational Socialisation</w:t>
      </w:r>
      <w:bookmarkEnd w:id="3"/>
    </w:p>
    <w:p w14:paraId="35B33329">
      <w:pPr>
        <w:pStyle w:val="3"/>
        <w:spacing w:after="240"/>
      </w:pPr>
      <w:bookmarkStart w:id="4" w:name="_pt9teow5mfwf" w:colFirst="0" w:colLast="0"/>
      <w:bookmarkEnd w:id="4"/>
      <w:bookmarkStart w:id="5" w:name="_Toc235036891"/>
      <w:r>
        <w:t>Comparing the Conventional Onboarding versus Strategic Organisational Socialisation</w:t>
      </w:r>
      <w:bookmarkEnd w:id="5"/>
    </w:p>
    <w:p w14:paraId="36BE7D31">
      <w:pPr>
        <w:spacing w:after="240"/>
      </w:pPr>
      <w:r>
        <w:t>The traditional onboarding process is primarily used to present organisational policies and procedures and the immediate job responsibilities (Godinho et al., 2023). This strategy emphasizes administrative effectiveness over long-term integration and dedication of the employees. As a result, Helios will undergo increased adjustment time and substandard labour productivity. Boikanyo (2024) has analysed structured experiences on enhancing employee commitment, identity as well as organisational understanding through strategic organisational socialisation. The framework created by Van Maanen and Schein encourages continuous organisational integration outside the orientation (Obeng et al., 2025). Thus, strategic socialisation produces a greater level of organisational commitment and quicker cultural acclimatisation in comparison with conventional onboarding.</w:t>
      </w:r>
    </w:p>
    <w:p w14:paraId="44D59DB6">
      <w:pPr>
        <w:spacing w:after="240"/>
        <w:jc w:val="center"/>
      </w:pPr>
      <w:r>
        <w:rPr>
          <w:lang w:val="en-US" w:eastAsia="en-US"/>
        </w:rPr>
        <w:drawing>
          <wp:inline distT="114300" distB="114300" distL="114300" distR="114300">
            <wp:extent cx="4696460" cy="3209925"/>
            <wp:effectExtent l="76200" t="76200" r="142240" b="142875"/>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8"/>
                    <a:srcRect/>
                    <a:stretch>
                      <a:fillRect/>
                    </a:stretch>
                  </pic:blipFill>
                  <pic:spPr>
                    <a:xfrm>
                      <a:off x="0" y="0"/>
                      <a:ext cx="4698462" cy="3211694"/>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521031F2">
      <w:pPr>
        <w:spacing w:after="240"/>
        <w:jc w:val="center"/>
        <w:rPr>
          <w:b/>
          <w:bCs/>
        </w:rPr>
      </w:pPr>
      <w:r>
        <w:rPr>
          <w:b/>
          <w:bCs/>
        </w:rPr>
        <w:t>Figure 1: Psychological Contract Theory</w:t>
      </w:r>
    </w:p>
    <w:p w14:paraId="52590128">
      <w:pPr>
        <w:spacing w:after="240"/>
        <w:jc w:val="center"/>
      </w:pPr>
      <w:r>
        <w:t>(Source: Scouting Matters, 2021)</w:t>
      </w:r>
    </w:p>
    <w:p w14:paraId="3B8E391E">
      <w:pPr>
        <w:spacing w:after="240"/>
      </w:pPr>
      <w:r>
        <w:t>Reciprocal relationship development further draws a line between strategic socialisation and conventional onboarding as spelt out by the Psychological Contract Theory (Sarkin Gardi Ibrahim, Binti Yusof and Izwar Bin Ibrahim, 2022). Conventional onboarding often focuses on organisational requirements without considering the changing employee demands. As a result, fulfilment of psychological expectations is usually minimised causing diminution of engagement, trust and organisational commitment. By 2023, employee engagement in the world was still at 23% and dropped to 21% in 2024, indicating that organisations continue to face issues relating to employee commitment (Gallup, 2025). The concept of strategic socialisation supports these issues by strengthening communication, growth prospects and mutual organisational obligations in the process of employment.</w:t>
      </w:r>
    </w:p>
    <w:p w14:paraId="5A3208B7">
      <w:pPr>
        <w:spacing w:after="240"/>
      </w:pPr>
      <w:r>
        <w:t xml:space="preserve">The construction Theory of Identity proves significant disparities between the two approaches as well. The classic onboarding approach usually takes the employees as occupants of roles with predetermined organisational duties (Mitschelen and Kauffeld, 2025). On the other hand, according to Nadeem Ahmed Awan and Abbas (2024) strategic socialisation promotes the workers to build relevant organisational identities by constant interaction, cooperation and organisational values. This point of view gains particular importance in view of the fact that the employee engagement at Helios is lower at only 54% and the turnover of graduates is high </w:t>
      </w:r>
      <w:r>
        <w:rPr>
          <w:b/>
          <w:bCs/>
          <w:i/>
          <w:iCs/>
        </w:rPr>
        <w:t>[Refer to case study]</w:t>
      </w:r>
      <w:r>
        <w:t xml:space="preserve">. </w:t>
      </w:r>
    </w:p>
    <w:p w14:paraId="4C8545FF">
      <w:pPr>
        <w:spacing w:after="240"/>
      </w:pPr>
      <w:r>
        <w:t>Relative to onboarding, traditional onboarding aids temporary operating adaptation, and strategic organisational socialisation generates a long-term psychological commitment, professional identity, and organisational citizenship (Somu and Ali, 2025). Thus, strategic socialisation offers a more sustainable solution to the Helios due to its simultaneous consideration of the prolonged adjustment and decreasing levels of engagement and graduate retention as well as intensifying the long-term organisational performance.</w:t>
      </w:r>
    </w:p>
    <w:p w14:paraId="2FDB2898">
      <w:pPr>
        <w:pStyle w:val="3"/>
        <w:spacing w:after="240"/>
      </w:pPr>
      <w:bookmarkStart w:id="6" w:name="_nd5jbp503280" w:colFirst="0" w:colLast="0"/>
      <w:bookmarkEnd w:id="6"/>
      <w:bookmarkStart w:id="7" w:name="_Toc235036892"/>
      <w:r>
        <w:t>Helios Strategic Socialisation Framework</w:t>
      </w:r>
      <w:bookmarkEnd w:id="7"/>
    </w:p>
    <w:p w14:paraId="05B12AB6">
      <w:pPr>
        <w:spacing w:after="240"/>
      </w:pPr>
      <w:r>
        <w:t xml:space="preserve">Helios needs a formal system of socialisation that goes beyond orientation when joining an organisation through orientation to on-going organisational melting. The simulated method enhances the assimilation of employees and also minimizes the ramped-up length and attrition of graduates. Based on research conducted, onboarding programmes have been shown to enhance retention of new employees by 82%, and productivity by more than 70% which has significant organisational impacts (Zucker, 2021). Consequently, every of the offered stages solves the Helios-specific challenges of the organisation in a strategic manner. </w:t>
      </w:r>
    </w:p>
    <w:p w14:paraId="78C03346">
      <w:pPr>
        <w:spacing w:after="240"/>
        <w:rPr>
          <w:b/>
          <w:bCs/>
          <w:i/>
          <w:iCs/>
        </w:rPr>
      </w:pPr>
      <w:r>
        <w:rPr>
          <w:b/>
          <w:bCs/>
          <w:i/>
          <w:iCs/>
        </w:rPr>
        <w:t>Pre-boarding</w:t>
      </w:r>
    </w:p>
    <w:p w14:paraId="007BF640">
      <w:pPr>
        <w:spacing w:after="240"/>
      </w:pPr>
      <w:r>
        <w:t>The pre-boarding stage ought to entrench good organisational relations prior to the actual employees taking employment (van Giffen et al., 2026). Digital welcoming materials, AI-powered learning tools, and allocating buddies, as well as introductions of managers, minimise these uncertainties and explain organisational expectations. These activities consolidate the psychological contractual development by establishing early communication and establishing trust and mutual commitment. As a result, the employees will turn out to be more self-assured, ready, and connected with the organisation compared to the onboarding techniques of the past.</w:t>
      </w:r>
    </w:p>
    <w:p w14:paraId="2EA2A56E">
      <w:pPr>
        <w:spacing w:after="240"/>
        <w:rPr>
          <w:b/>
          <w:bCs/>
          <w:i/>
          <w:iCs/>
        </w:rPr>
      </w:pPr>
      <w:r>
        <w:rPr>
          <w:b/>
          <w:bCs/>
          <w:i/>
          <w:iCs/>
        </w:rPr>
        <w:t>First Week</w:t>
      </w:r>
    </w:p>
    <w:p w14:paraId="30B13EEF">
      <w:pPr>
        <w:spacing w:after="240"/>
      </w:pPr>
      <w:r>
        <w:t>Strategic priorities and anticipated behaviours at the workplace are communicated through leadership interactions, organisational values workshops, role clarification and culture immersion activities in the first week. Identity Construction Theory implies that long-term social interaction may lead to enhanced organisational identification more permanently compared to remote induction programmes (Sarala et al., 2025). As such, there is more belonging, collaboration and commitment among employees towards long term organisational performance.</w:t>
      </w:r>
    </w:p>
    <w:p w14:paraId="1AC8313A">
      <w:pPr>
        <w:spacing w:after="240"/>
        <w:rPr>
          <w:b/>
          <w:bCs/>
          <w:i/>
          <w:iCs/>
        </w:rPr>
      </w:pPr>
      <w:r>
        <w:rPr>
          <w:b/>
          <w:bCs/>
          <w:i/>
          <w:iCs/>
        </w:rPr>
        <w:t>First 90 Days</w:t>
      </w:r>
    </w:p>
    <w:p w14:paraId="0D154A77">
      <w:pPr>
        <w:spacing w:after="240"/>
      </w:pPr>
      <w:r>
        <w:t>Kanungo (2025) has analysed that mentoring facilitates rapid learning and cross-functional working expands the knowledge base and creativity of an organisation. Frequent development feedback strengthens mutual organisational commitment as any form of agreed contract is in line with Psychological Contract Theory. This will result in progressive levels of competence, participation and flexibility among employees and shorter adjustment durations.</w:t>
      </w:r>
    </w:p>
    <w:p w14:paraId="04D65E89">
      <w:pPr>
        <w:spacing w:after="240"/>
        <w:rPr>
          <w:b/>
          <w:bCs/>
          <w:i/>
          <w:iCs/>
        </w:rPr>
      </w:pPr>
      <w:r>
        <w:rPr>
          <w:b/>
          <w:bCs/>
          <w:i/>
          <w:iCs/>
        </w:rPr>
        <w:t>Year One</w:t>
      </w:r>
    </w:p>
    <w:p w14:paraId="2EF55871">
      <w:pPr>
        <w:spacing w:after="240"/>
      </w:pPr>
      <w:r>
        <w:t xml:space="preserve">The first-year phase must solidify dedication with the aid of leadership creation, experimentation issues, occupational classification, and ongoing performance mentoring. Such initiatives show long-term organisational investment beyond the initial adjustment as stimulating the promotion of professional growth and internal mobility </w:t>
      </w:r>
      <w:r>
        <w:rPr>
          <w:b/>
          <w:bCs/>
          <w:i/>
          <w:iCs/>
        </w:rPr>
        <w:t>[Refer to Appendix 1]</w:t>
      </w:r>
      <w:r>
        <w:t>. In comparison to the conventional onboarding process, the ongoing socialisation but not the old process fosters sustained organisational identification, retention and organisational citizenship. Thus, this holistic system is a strategic redress to the issues of Helios engagement, productivity, and graduate retention.</w:t>
      </w:r>
    </w:p>
    <w:p w14:paraId="154EBEC2">
      <w:pPr>
        <w:pStyle w:val="3"/>
        <w:spacing w:after="240"/>
      </w:pPr>
      <w:bookmarkStart w:id="8" w:name="_wzj5vjf5gx5d" w:colFirst="0" w:colLast="0"/>
      <w:bookmarkEnd w:id="8"/>
      <w:bookmarkStart w:id="9" w:name="_Toc235036893"/>
      <w:r>
        <w:t>Creating Organisational Citizens</w:t>
      </w:r>
      <w:bookmarkEnd w:id="9"/>
      <w:r>
        <w:t xml:space="preserve"> </w:t>
      </w:r>
    </w:p>
    <w:p w14:paraId="08F8D030">
      <w:pPr>
        <w:spacing w:after="240"/>
        <w:rPr>
          <w:b/>
          <w:bCs/>
          <w:i/>
          <w:iCs/>
        </w:rPr>
      </w:pPr>
      <w:r>
        <w:rPr>
          <w:b/>
          <w:bCs/>
          <w:i/>
          <w:iCs/>
        </w:rPr>
        <w:t>Organisational Identification</w:t>
      </w:r>
    </w:p>
    <w:p w14:paraId="4C578A01">
      <w:pPr>
        <w:spacing w:after="240"/>
      </w:pPr>
      <w:r>
        <w:t>The organisational identification emerges as the employees identify with the organisational strategic purpose of Helios. Ongoing communication, learning together, and experiences enhance belonging, commitment, and organisational citizenship behaviours (Khairy et al., 2023). A high organisational identification lessens graduate departure rates and enhances engagement, cooperation and overall organisational performance.</w:t>
      </w:r>
    </w:p>
    <w:p w14:paraId="55563246">
      <w:pPr>
        <w:spacing w:after="240"/>
        <w:rPr>
          <w:b/>
          <w:bCs/>
          <w:i/>
          <w:iCs/>
        </w:rPr>
      </w:pPr>
      <w:r>
        <w:rPr>
          <w:b/>
          <w:bCs/>
          <w:i/>
          <w:iCs/>
        </w:rPr>
        <w:t>Ethical Professionalism</w:t>
      </w:r>
    </w:p>
    <w:p w14:paraId="66D38AC8">
      <w:pPr>
        <w:spacing w:after="240"/>
      </w:pPr>
      <w:r>
        <w:t>Ethical professionalism demands leaders who show integrity, fairness, accountability, responsible organisational decision making (Scholl, Mederer and Scholl, 2023). According to Gupta (2024) human responsiveness requires that human judgement must remain and that responsible AI must bolster transparent recruitment, performance management and employee development. Therefore, ethical leadership enhances the level of trust among employees, professional behaviour and confidence in organisational decision-making, attendance to long term commitment of employees and effectiveness of an organisation in the long-run.</w:t>
      </w:r>
    </w:p>
    <w:p w14:paraId="5C801550">
      <w:pPr>
        <w:spacing w:after="240"/>
        <w:rPr>
          <w:b/>
          <w:bCs/>
          <w:i/>
          <w:iCs/>
        </w:rPr>
      </w:pPr>
      <w:r>
        <w:rPr>
          <w:b/>
          <w:bCs/>
          <w:i/>
          <w:iCs/>
        </w:rPr>
        <w:t>Business Activism</w:t>
      </w:r>
    </w:p>
    <w:p w14:paraId="38BE852A">
      <w:pPr>
        <w:spacing w:after="240"/>
      </w:pPr>
      <w:r>
        <w:t>Business activism helps to increase the contributions of employees beyond the operational duties into larger organisational and societal value-generation (George and Schillebeeckx, 2022). The HR view of Ulrich urges the employees to be strategic partners facilitating organisational change by innovating and working together. Stakeholder Capitalism also enhances a blend between organisational success and the wellbeing of employees, environmental sustainability and societal influence (Mhlanga, 2022). The promotion of employee voice will allow innovative solutions and enhance organisational responsiveness to new business challenges. All of these initiatives build an adaptive organisational culture that helps facilitate innovation, sustainable competitiveness, talent retention, and long-term strategic benefit to Helios.</w:t>
      </w:r>
    </w:p>
    <w:p w14:paraId="000773B4">
      <w:pPr>
        <w:pStyle w:val="2"/>
        <w:spacing w:after="240"/>
      </w:pPr>
      <w:bookmarkStart w:id="10" w:name="_7wjhx25zhhle" w:colFirst="0" w:colLast="0"/>
      <w:bookmarkEnd w:id="10"/>
      <w:bookmarkStart w:id="11" w:name="_Toc235036894"/>
      <w:r>
        <w:t>Task B: Strategic Job Design</w:t>
      </w:r>
      <w:bookmarkEnd w:id="11"/>
    </w:p>
    <w:p w14:paraId="38EE72E5">
      <w:pPr>
        <w:pStyle w:val="3"/>
        <w:spacing w:after="240"/>
      </w:pPr>
      <w:bookmarkStart w:id="12" w:name="_20j5lqdup0q8" w:colFirst="0" w:colLast="0"/>
      <w:bookmarkEnd w:id="12"/>
      <w:bookmarkStart w:id="13" w:name="_Toc235036895"/>
      <w:r>
        <w:t>The need to change the present job design</w:t>
      </w:r>
      <w:bookmarkEnd w:id="13"/>
    </w:p>
    <w:p w14:paraId="2EBA7F01">
      <w:pPr>
        <w:spacing w:after="240"/>
      </w:pPr>
      <w:r>
        <w:t>The current job design at Helios is no longer effective in enabling sustainable engagement, innovation, as well as graduate retention in high-energy business contexts. Long ramps-up times and decreased employee engagement display lack of flexibility, development and learning in roles. Rigid job structures tend to limit knowledge transfer among organisational functions and inhibit autonomy (Bratianu et al., 2023). Accordingly, Helios needs an effective job design that fosters lifelong learning, employee empowerment, and internal employee mobility. This kind of transformation boosts organisational flexibility of the work force as well as increasing competence of innovation and organisational competitiveness over the long term.</w:t>
      </w:r>
    </w:p>
    <w:p w14:paraId="43A7193D">
      <w:pPr>
        <w:pStyle w:val="3"/>
        <w:spacing w:after="240"/>
      </w:pPr>
      <w:bookmarkStart w:id="14" w:name="_gka1wu7nfr7h" w:colFirst="0" w:colLast="0"/>
      <w:bookmarkEnd w:id="14"/>
      <w:bookmarkStart w:id="15" w:name="_Toc235036896"/>
      <w:r>
        <w:t>Job Design Theories: Critical Evaluation</w:t>
      </w:r>
      <w:bookmarkEnd w:id="15"/>
    </w:p>
    <w:p w14:paraId="7C8004C2">
      <w:pPr>
        <w:spacing w:after="240"/>
      </w:pPr>
      <w:r>
        <w:t>The traditional job design focuses on the fixed responsibilities, standardisation of processes and efficiency (Parker and Grote, 2022). Even though these structures enhance consistency, they usually hamper employee autonomy, creativity, and unending capability development. By extension, strict roles result in less engagement and less organisational responsiveness in fast paced industries, such as the technology-driven environment experienced at Helios.</w:t>
      </w:r>
    </w:p>
    <w:p w14:paraId="5643913E">
      <w:pPr>
        <w:spacing w:after="240"/>
        <w:jc w:val="center"/>
      </w:pPr>
      <w:r>
        <w:rPr>
          <w:lang w:val="en-US" w:eastAsia="en-US"/>
        </w:rPr>
        <w:drawing>
          <wp:inline distT="114300" distB="114300" distL="114300" distR="114300">
            <wp:extent cx="4927600" cy="2790190"/>
            <wp:effectExtent l="76200" t="76200" r="139700" b="12446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referRelativeResize="0"/>
                  </pic:nvPicPr>
                  <pic:blipFill>
                    <a:blip r:embed="rId9"/>
                    <a:srcRect/>
                    <a:stretch>
                      <a:fillRect/>
                    </a:stretch>
                  </pic:blipFill>
                  <pic:spPr>
                    <a:xfrm>
                      <a:off x="0" y="0"/>
                      <a:ext cx="4931257" cy="279246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7927E0A5">
      <w:pPr>
        <w:spacing w:after="240"/>
        <w:jc w:val="center"/>
        <w:rPr>
          <w:b/>
          <w:bCs/>
        </w:rPr>
      </w:pPr>
      <w:r>
        <w:rPr>
          <w:b/>
          <w:bCs/>
        </w:rPr>
        <w:t>Figure 2: Job Characteristics</w:t>
      </w:r>
    </w:p>
    <w:p w14:paraId="09E21414">
      <w:pPr>
        <w:spacing w:after="240"/>
        <w:jc w:val="center"/>
      </w:pPr>
      <w:r>
        <w:t>(Source: GeeksforGeeks, 2024)</w:t>
      </w:r>
    </w:p>
    <w:p w14:paraId="4128F9BD">
      <w:pPr>
        <w:spacing w:after="240"/>
      </w:pPr>
      <w:r>
        <w:t>Cotič et al. (2025) have analysed that the Job Characteristics Model attempts to curb these restrictions by making use of skill variety, identification of tasks, importance of tasks, autonomy and feedback to help in increasing intrinsic motivation. The model produces more meaningful work experiences than the traditional job design, enhancing performance and engagement by employees. Nevertheless, job design control at managerial level is a major constraint since workers are not given much control on how to reshape duties to suit emerging organisational needs.</w:t>
      </w:r>
    </w:p>
    <w:p w14:paraId="5C01A385">
      <w:pPr>
        <w:spacing w:after="240"/>
        <w:jc w:val="center"/>
      </w:pPr>
      <w:r>
        <w:rPr>
          <w:lang w:val="en-US" w:eastAsia="en-US"/>
        </w:rPr>
        <w:drawing>
          <wp:inline distT="114300" distB="114300" distL="114300" distR="114300">
            <wp:extent cx="4884420" cy="3573780"/>
            <wp:effectExtent l="76200" t="76200" r="125730" b="14097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0"/>
                    <a:srcRect/>
                    <a:stretch>
                      <a:fillRect/>
                    </a:stretch>
                  </pic:blipFill>
                  <pic:spPr>
                    <a:xfrm>
                      <a:off x="0" y="0"/>
                      <a:ext cx="4884420" cy="357378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45EB19AE">
      <w:pPr>
        <w:spacing w:after="240"/>
        <w:jc w:val="center"/>
        <w:rPr>
          <w:b/>
          <w:bCs/>
        </w:rPr>
      </w:pPr>
      <w:r>
        <w:rPr>
          <w:b/>
          <w:bCs/>
        </w:rPr>
        <w:t>Figure 3: Job Crafting</w:t>
      </w:r>
    </w:p>
    <w:p w14:paraId="6745056B">
      <w:pPr>
        <w:spacing w:after="240"/>
        <w:jc w:val="center"/>
      </w:pPr>
      <w:r>
        <w:t>(Source: Moore, 2019)</w:t>
      </w:r>
    </w:p>
    <w:p w14:paraId="5DEDD893">
      <w:pPr>
        <w:spacing w:after="240"/>
      </w:pPr>
      <w:r>
        <w:t>On the contrary, Job Crafting Theory provides the employees with the power to transform the roles, relations and work perceptions based on their personal strengths as well as the organisational requirements (Yeşilkaya and Yıldız, 2022). This is more ownership-focused, flexible and engages the psychology as compared to manager directed role design. However, it could result in uncoordinated responsibilities due to excessive flexibility that would not be coordinated and governed by effective managers.</w:t>
      </w:r>
    </w:p>
    <w:p w14:paraId="089A5F2A">
      <w:pPr>
        <w:spacing w:after="240"/>
      </w:pPr>
      <w:r>
        <w:t>Skills-Based Architecture expands the organisational flexibility of companies by focusing on the capabilities to work before considering job-descriptions, and enabling the deployment of a capability-based workforce to changing strategic priorities (Aleksandra Müller et al., 2024). Internal Talent Marketplaces further enhance this strategy by aligning employees with cross-functional projects and developmental opportunities, to improve the organisational agility and graduate retention. Nonetheless, the two strategies involve considerable investment in technology, open governance and ongoing capability measurement.</w:t>
      </w:r>
    </w:p>
    <w:p w14:paraId="254186FB">
      <w:pPr>
        <w:spacing w:after="240"/>
      </w:pPr>
      <w:r>
        <w:t>When put together, all these complementary strategies allow Helios to be more agile in its workforce, offer a higher level of engagement and innovation and also long-term retention of talents than using each job design theory individually.</w:t>
      </w:r>
    </w:p>
    <w:p w14:paraId="5DE411EA">
      <w:pPr>
        <w:pStyle w:val="3"/>
        <w:spacing w:after="240"/>
      </w:pPr>
      <w:bookmarkStart w:id="16" w:name="_l9a6xfuiv9ja" w:colFirst="0" w:colLast="0"/>
      <w:bookmarkEnd w:id="16"/>
      <w:bookmarkStart w:id="17" w:name="_Toc235036897"/>
      <w:r>
        <w:t>Recommended Human Capital Architecture</w:t>
      </w:r>
      <w:bookmarkEnd w:id="17"/>
    </w:p>
    <w:p w14:paraId="119029D5">
      <w:pPr>
        <w:spacing w:after="240"/>
      </w:pPr>
      <w:r>
        <w:t>Helios needs to adopt a holistic human capital structure that reflects the workforce competencies and the changes in organisational goals. According to Lee (2024), this architecture fosters institutional learning, internal mobility and strategic use of talent as opposed to the traditional job designs. Both aspects serve to develop sustainable workforce and enhance organisational flexibility and innovativeness.</w:t>
      </w:r>
    </w:p>
    <w:p w14:paraId="62A19277">
      <w:pPr>
        <w:spacing w:after="240"/>
      </w:pPr>
      <w:r>
        <w:t>The structure must commence with recruitment to hire applicants who display learning agility and digital capacity, collaborative behaviours and innovation capacity. The acquisition of flexible talent creates greater bases to the future growth of the organisations in comparison with emphasizing on technical credentials (Jooss et al., 2023).</w:t>
      </w:r>
    </w:p>
    <w:p w14:paraId="6B7CC102">
      <w:pPr>
        <w:spacing w:after="240"/>
      </w:pPr>
      <w:r>
        <w:t>After the recruitment process, thorough skills mapping that will include technical, behavioural, leadership and digital abilities of the employees should be conducted. Visibility of the skills allows achieving workforce planning based on evidence and detecting the gaps in the capacities that need specific development. This leads to alignment of organisational resources to both present and future strategic priorities.</w:t>
      </w:r>
    </w:p>
    <w:p w14:paraId="2C056B81">
      <w:pPr>
        <w:spacing w:after="240"/>
      </w:pPr>
      <w:r>
        <w:t>A skill-based AI-enabled platform must then study the ability profiles and suggest individualised tracks of learning, as well as suggest opposite developmental prospects. In contrast to the conventional learning system, AI constantly adjusts employee capability profiles, enabling informed talent decisions without overturning managerial decisions (Faqihi and Miah, 2023).</w:t>
      </w:r>
    </w:p>
    <w:p w14:paraId="66F9FE6A">
      <w:pPr>
        <w:spacing w:after="240"/>
      </w:pPr>
      <w:r>
        <w:t>The mentioned competencies ought to then provide an internal talent marketplace, allowing employees to have access to cross-functional assignments, innovation projects, and topical developmental opportunities. The mobility that is based on capability enhances the knowledge sharing and minimises the reliance on outside recruitment to meet new organisational demands.</w:t>
      </w:r>
    </w:p>
    <w:p w14:paraId="1FA21E72">
      <w:pPr>
        <w:spacing w:after="240"/>
      </w:pPr>
      <w:r>
        <w:t>Then the employees are expected to participate in job crafting, which will provide opportunities to actively adapt to tasks based on personal strengths and organisational needs. Koeswayo, Haryanto and Handoyo (2024) have elaborated that reduced control promotes ownership, motivation, and purposeful work and enhances responsiveness of the organisation to evolving business needs.</w:t>
      </w:r>
    </w:p>
    <w:p w14:paraId="2976D182">
      <w:pPr>
        <w:spacing w:after="240"/>
      </w:pPr>
      <w:r>
        <w:t>Capability development should be enforced with continuous learning that will be reinforced by mentoring, online learning, professional coaching and leadership programmes. The resulting improvement in capabilities, in turn, spur organisational creativity as it will contribute to better cooperation, innovative problem solving, and integration of knowledge. This is then followed by increased career mobility due to innovation, promoting growth within than out. This composite architecture therefore empowers employee retention as well as creating sustainable competitive advantage through a constantly changing human capital.</w:t>
      </w:r>
    </w:p>
    <w:p w14:paraId="4E5036C0">
      <w:pPr>
        <w:pStyle w:val="3"/>
        <w:spacing w:after="240"/>
      </w:pPr>
      <w:bookmarkStart w:id="18" w:name="_hlmwnpu2cshm" w:colFirst="0" w:colLast="0"/>
      <w:bookmarkEnd w:id="18"/>
      <w:bookmarkStart w:id="19" w:name="_Toc235036898"/>
      <w:r>
        <w:t>The Way the Design Innovates</w:t>
      </w:r>
      <w:bookmarkEnd w:id="19"/>
    </w:p>
    <w:p w14:paraId="76514B5F">
      <w:pPr>
        <w:spacing w:after="240"/>
      </w:pPr>
      <w:r>
        <w:t>The suggested human capital architecture fosters innovation by enhancing intrinsic motivation by fostering autonomy, skill variety, and self-improvement chances. As it is shown in the Job Characteristics Model, enriched jobs enhance motivation, engagement, and innovative performance among employees. Job crafting also promotes proactive problem-solving by allowing the employees to match the tasks with organisational priorities and personal strengths (Abuzaid et al., 2024). At the same time, internal talent markets support the knowledge sharing process by enabling cross-functional cooperation, enhancing the organisational learning and agility in the workforce. The constant ability build-up is critical since 39% of the fundamental skill of employees will be the one that will have to be changed by the year 2030 (World Economic Forum, 2025). Moreover, organisations are spending on employee education to realise increased retention and internal mobility. As a result, the proposed architecture enhances innovation, retention of graduates, involvement of employees and long-lasting organisational competitiveness. Furthermore, improved workforce agility allows the Helios to take a proactive response, responding to technological and market changes. Strategic capability development also enhances organisational resilience through incessant innovation and readiness to lead in the future. Thus, the integrated architecture defines a sustainable advantage of human capital assisting in the long-term organisational development and competitiveness.</w:t>
      </w:r>
    </w:p>
    <w:p w14:paraId="27C583BC">
      <w:pPr>
        <w:pStyle w:val="2"/>
        <w:spacing w:after="240"/>
      </w:pPr>
      <w:bookmarkStart w:id="20" w:name="_zf4a2k4unngy" w:colFirst="0" w:colLast="0"/>
      <w:bookmarkEnd w:id="20"/>
      <w:bookmarkStart w:id="21" w:name="_Toc235036899"/>
      <w:r>
        <w:t>Task C: Reflective Report</w:t>
      </w:r>
      <w:bookmarkEnd w:id="21"/>
    </w:p>
    <w:p w14:paraId="5F5B7F76">
      <w:pPr>
        <w:pStyle w:val="3"/>
        <w:spacing w:after="240"/>
      </w:pPr>
      <w:bookmarkStart w:id="22" w:name="_59zvbbwp3h0v" w:colFirst="0" w:colLast="0"/>
      <w:bookmarkEnd w:id="22"/>
      <w:bookmarkStart w:id="23" w:name="_Toc235036900"/>
      <w:r>
        <w:t>Ethical Application of AI in HR Decision-Making</w:t>
      </w:r>
      <w:bookmarkEnd w:id="23"/>
    </w:p>
    <w:p w14:paraId="5435CC99">
      <w:pPr>
        <w:spacing w:after="240"/>
      </w:pPr>
      <w:r>
        <w:t>I am aware that AI has the potential to make HR decision-making much easier and more efficient, accurate, and evidence-driven. Compared to the conventional method, AIs are able to analyse massive workforce data, determine talent trends, rely on AI to support recruitment decisions, and learn workers on a personalised basis (Lambros Roumbanis, 2025). Nonetheless, overdependence on AI can put in place algorithmic bias, transparency, and other crucial contextual elements affecting human behaviour. In turn, the HR specialists should be more critical about AI-generated recommendations and not blindly follow them. I think that ethical judgement is crucial as employment decisions determine the career, wellbeing and trust of employees to organisations. Moreover, as debated by Olan et al. (2022) open AI mechanisms must be capable of providing proper explanation of how recommendations are developed so that employees may be capable of comprehending the organisational decisions and questioning them when necessary. Instead, AI will be treated as a decision-support tool, rather than a decision-maker to have ongoing human control over recruitment, performance management, and talent development. This moderation fosters transparency, responsibility and responsible organisational decision making and upholds professionalism.</w:t>
      </w:r>
    </w:p>
    <w:p w14:paraId="2EF6F7A7">
      <w:pPr>
        <w:pStyle w:val="3"/>
        <w:spacing w:after="240"/>
      </w:pPr>
      <w:bookmarkStart w:id="24" w:name="_pchocpfjds0j" w:colFirst="0" w:colLast="0"/>
      <w:bookmarkEnd w:id="24"/>
      <w:bookmarkStart w:id="25" w:name="_Toc235036901"/>
      <w:r>
        <w:t>Personal Capability Development Plan</w:t>
      </w:r>
      <w:bookmarkEnd w:id="25"/>
      <w:r>
        <w:t xml:space="preserve"> </w:t>
      </w:r>
    </w:p>
    <w:p w14:paraId="538794FD">
      <w:pPr>
        <w:spacing w:after="240"/>
      </w:pPr>
      <w:r>
        <w:t>My career objective is to become an evidence-based strategic HR professional who leads the organisational transformation by evidence-based human capital practices. To meet this aspiration, lifelong learning as an HR professional means that in many respects analytical skills, digital ability, ethical judgement and global business acumen are combined and refined over time to aid the organisation in competing effectively.</w:t>
      </w:r>
    </w:p>
    <w:p w14:paraId="136B8727">
      <w:pPr>
        <w:spacing w:after="240"/>
      </w:pPr>
      <w:r>
        <w:t xml:space="preserve">The SMART development plan proposed below systematically covers competencies that are in line with my long term career goals. The capabilities of workforce decision-making and strategic planning will be improved by strengthening data literacy and people analytics. Gaining expertise in AI augmentation shall ensure ethical consideration through the use of AI in a responsible manner that does not compromise ethical judgment and human control (Vagan Terziyan et al., 2025). Increasing strategic influencing skills will enhance stakeholder involvement and effectiveness in change management within organisations. The development of international HR knowledge will enhance my capacity to handle multicultural work forces in global situations. Moreover, responsible governance will be enhanced with the help of ethical leadership, as well as digital transformation capabilities that will facilitate innovative HR practices. All SMART goals will focus on a 25% to 35% increase in competencies in achievable timeframes and allow me to increase my professional development in realistic steps and fit me with responsibilities of strategic leader roles </w:t>
      </w:r>
      <w:r>
        <w:rPr>
          <w:b/>
          <w:bCs/>
          <w:i/>
          <w:iCs/>
        </w:rPr>
        <w:t>[Refer to Appendix 2]</w:t>
      </w:r>
      <w:r>
        <w:t>.</w:t>
      </w:r>
    </w:p>
    <w:p w14:paraId="1F2CA375">
      <w:pPr>
        <w:pStyle w:val="3"/>
        <w:spacing w:after="240"/>
      </w:pPr>
      <w:bookmarkStart w:id="26" w:name="_w0fxy8l4d0oy" w:colFirst="0" w:colLast="0"/>
      <w:bookmarkEnd w:id="26"/>
      <w:bookmarkStart w:id="27" w:name="_Toc235036902"/>
      <w:r>
        <w:t>Reflection</w:t>
      </w:r>
      <w:bookmarkEnd w:id="27"/>
    </w:p>
    <w:p w14:paraId="0E879380">
      <w:pPr>
        <w:spacing w:after="240"/>
      </w:pPr>
      <w:r>
        <w:t>The completion of this development plan has reinforced my knowledge of the fact that good HR leaders have to engage in lifelong learning and professional flexibility. I understand that changes in technology, employee diversity, and organisational expectations necessitate continuous growth in capabilities, as well as in my professional life. Hence, I will appraise my professional advancement on a regular basis, renew vital skills, and want to ensure that I practice lifelong learning. This promise will see me contribute strategically, be ethical and generate sustainable organisational value in future job opportunities in the global human resource management.</w:t>
      </w:r>
    </w:p>
    <w:p w14:paraId="023260BB">
      <w:pPr>
        <w:pStyle w:val="2"/>
        <w:spacing w:after="240"/>
      </w:pPr>
      <w:bookmarkStart w:id="28" w:name="_oqysbzljkbtc" w:colFirst="0" w:colLast="0"/>
      <w:bookmarkEnd w:id="28"/>
      <w:bookmarkStart w:id="29" w:name="_Toc235036903"/>
      <w:r>
        <w:t>Conclusion</w:t>
      </w:r>
      <w:bookmarkEnd w:id="29"/>
      <w:r>
        <w:t xml:space="preserve"> </w:t>
      </w:r>
    </w:p>
    <w:p w14:paraId="61B5A77E">
      <w:pPr>
        <w:spacing w:after="240"/>
      </w:pPr>
      <w:r>
        <w:t>This report suggested organisational socialisation strategy, new forms of job structure, AI-enhanced responsible HR practices, and focused capability building of the Helios. These combined suggestions empower employee interactions, organisational commitment, workforce agility, and equitable choices and aids ongoing learning and innovations. Together, the suggested strategies will contribute to the optimal results in graduate retention, organisational flexibility, and leadership potential, which have proven to be the durable human capital base that contributes to the renewal of the long-term strategic framework and sustainable competitive edge of Helios.</w:t>
      </w:r>
      <w:r>
        <w:br w:type="page"/>
      </w:r>
    </w:p>
    <w:p w14:paraId="10E78A82">
      <w:pPr>
        <w:pStyle w:val="2"/>
        <w:spacing w:after="240"/>
      </w:pPr>
      <w:bookmarkStart w:id="30" w:name="_rn5m70lq78z0" w:colFirst="0" w:colLast="0"/>
      <w:bookmarkEnd w:id="30"/>
      <w:bookmarkStart w:id="31" w:name="_Toc235036904"/>
      <w:r>
        <w:t>Reference list</w:t>
      </w:r>
      <w:bookmarkEnd w:id="31"/>
    </w:p>
    <w:p w14:paraId="1DB95FC4">
      <w:pPr>
        <w:spacing w:after="240"/>
      </w:pPr>
      <w:r>
        <w:t xml:space="preserve">Abuzaid, A.N., Ghadi, M.Y., Madadha, Saif-aldeen Marwan and Alateeq, Manal Mohammad (2024). The Effect of Ethical Leadership on Innovative Work Behaviors: A Mediating–Moderating Model of Psychological Empowerment, Job Crafting, Proactive Personality, and Person–Organization Fit. </w:t>
      </w:r>
      <w:r>
        <w:rPr>
          <w:i/>
          <w:iCs/>
        </w:rPr>
        <w:t>Administrative Sciences</w:t>
      </w:r>
      <w:r>
        <w:t>, [online] 14(9), p.191. doi: 10.3390/admsci14090191</w:t>
      </w:r>
    </w:p>
    <w:p w14:paraId="6B9BA111">
      <w:pPr>
        <w:spacing w:after="240"/>
      </w:pPr>
      <w:r>
        <w:t xml:space="preserve">Aleksandra Müller, Wurm, S., Willecke, P., Petrovic, O., Herfs, W. and Brecher, C. (2024). Design of a Flexible Skill-Based Process Control System Considering Process-Relevant Properties. </w:t>
      </w:r>
      <w:r>
        <w:rPr>
          <w:i/>
          <w:iCs/>
        </w:rPr>
        <w:t>Machines</w:t>
      </w:r>
      <w:r>
        <w:t>, 12(2), pp.142–142. doi: 10.3390/machines12020142</w:t>
      </w:r>
    </w:p>
    <w:p w14:paraId="4C7EF23A">
      <w:pPr>
        <w:spacing w:after="240"/>
      </w:pPr>
      <w:r>
        <w:t xml:space="preserve">Boikanyo, D.H. (2024). </w:t>
      </w:r>
      <w:r>
        <w:rPr>
          <w:i/>
          <w:iCs/>
        </w:rPr>
        <w:t>The Role of Employee Behavior and Organizational Culture in Strategy Implementation and Performance in a VUCA World</w:t>
      </w:r>
      <w:r>
        <w:t xml:space="preserve">. [online] Www.intechopen.com. Available at: </w:t>
      </w:r>
      <w:r>
        <w:fldChar w:fldCharType="begin"/>
      </w:r>
      <w:r>
        <w:instrText xml:space="preserve"> HYPERLINK "https://www.intechopen.com/chapters/88691" </w:instrText>
      </w:r>
      <w:r>
        <w:fldChar w:fldCharType="separate"/>
      </w:r>
      <w:r>
        <w:rPr>
          <w:rStyle w:val="12"/>
        </w:rPr>
        <w:t>https://www.intechopen.com/chapters/88691</w:t>
      </w:r>
      <w:r>
        <w:rPr>
          <w:rStyle w:val="12"/>
        </w:rPr>
        <w:fldChar w:fldCharType="end"/>
      </w:r>
      <w:r>
        <w:t xml:space="preserve"> [Accessed 15 July 2026].</w:t>
      </w:r>
    </w:p>
    <w:p w14:paraId="3D1F6806">
      <w:pPr>
        <w:spacing w:after="240"/>
      </w:pPr>
      <w:r>
        <w:t xml:space="preserve">Bratianu, C., Mocanu, R., Stanescu, D.F. and Bejinaru, R. (2023). The Impact of Knowledge Hiding on Entrepreneurial Orientation: The Mediating Role of Factual Autonomy. </w:t>
      </w:r>
      <w:r>
        <w:rPr>
          <w:i/>
          <w:iCs/>
        </w:rPr>
        <w:t>Sustainability</w:t>
      </w:r>
      <w:r>
        <w:t>, [online] 15(17), p.13057. doi: 10.3390/su151713057</w:t>
      </w:r>
    </w:p>
    <w:p w14:paraId="78E6768F">
      <w:pPr>
        <w:spacing w:after="240"/>
      </w:pPr>
      <w:r>
        <w:t xml:space="preserve">Cotič, L.P., Man, M.M.K., Soga, L.R., Konstantopoulou, A. and Lodorfos, G. (2025). Job Characteristics for Work Engagement: Autonomy, Feedback, Skill Variety, Task Identity, and Task Significance. </w:t>
      </w:r>
      <w:r>
        <w:rPr>
          <w:i/>
          <w:iCs/>
        </w:rPr>
        <w:t>Global Business and Organizational Excellence</w:t>
      </w:r>
      <w:r>
        <w:t xml:space="preserve">. doi: 10.1002/joe.22295 </w:t>
      </w:r>
    </w:p>
    <w:p w14:paraId="3C5F379F">
      <w:pPr>
        <w:spacing w:after="240"/>
      </w:pPr>
      <w:r>
        <w:t xml:space="preserve">Faqihi, A. and Miah, S.J. (2023). Artificial Intelligence-Driven Talent Management System: Exploring the Risks and Options for Constructing a Theoretical Foundation. </w:t>
      </w:r>
      <w:r>
        <w:rPr>
          <w:i/>
          <w:iCs/>
        </w:rPr>
        <w:t>Journal of Risk and Financial Management</w:t>
      </w:r>
      <w:r>
        <w:t>, [online] 16(1), p.31. doi: 10.3390/jrfm16010031</w:t>
      </w:r>
    </w:p>
    <w:p w14:paraId="2BE5A95A">
      <w:pPr>
        <w:spacing w:after="240"/>
      </w:pPr>
      <w:r>
        <w:t xml:space="preserve">Gallup, I. (2025). </w:t>
      </w:r>
      <w:r>
        <w:rPr>
          <w:i/>
          <w:iCs/>
        </w:rPr>
        <w:t>Global Employee Engagement Drops for Only the Second Time in 12 Years, Costing the World’s Economy US$438 Billion</w:t>
      </w:r>
      <w:r>
        <w:t xml:space="preserve">. [online] Prnewswire.com. Available at: </w:t>
      </w:r>
      <w:r>
        <w:fldChar w:fldCharType="begin"/>
      </w:r>
      <w:r>
        <w:instrText xml:space="preserve"> HYPERLINK "https://www.prnewswire.com/news-releases/global-employee-engagement-drops-for-only-the-second-time-in-12-years-costing-the-worlds-economy-us438-billion-302434901.html" </w:instrText>
      </w:r>
      <w:r>
        <w:fldChar w:fldCharType="separate"/>
      </w:r>
      <w:r>
        <w:rPr>
          <w:rStyle w:val="12"/>
        </w:rPr>
        <w:t>https://www.prnewswire.com/news-releases/global-employee-engagement-drops-for-only-the-second-time-in-12-years-costing-the-worlds-economy-us438-billion-302434901.html</w:t>
      </w:r>
      <w:r>
        <w:rPr>
          <w:rStyle w:val="12"/>
        </w:rPr>
        <w:fldChar w:fldCharType="end"/>
      </w:r>
      <w:r>
        <w:t xml:space="preserve"> [Accessed 15 July 2026].</w:t>
      </w:r>
    </w:p>
    <w:p w14:paraId="249EAC53">
      <w:pPr>
        <w:spacing w:after="240"/>
      </w:pPr>
      <w:r>
        <w:t xml:space="preserve">GeeksforGeeks (2024). </w:t>
      </w:r>
      <w:r>
        <w:rPr>
          <w:i/>
          <w:iCs/>
        </w:rPr>
        <w:t>Job Diagnostic Survey (JDS) by Hackman and Oldham</w:t>
      </w:r>
      <w:r>
        <w:t xml:space="preserve">. [online] GeeksforGeeks. Available at: </w:t>
      </w:r>
      <w:r>
        <w:fldChar w:fldCharType="begin"/>
      </w:r>
      <w:r>
        <w:instrText xml:space="preserve"> HYPERLINK "https://www.geeksforgeeks.org/hr/job-diagnostic-survey-jds-by-hackman-and-oldham/" </w:instrText>
      </w:r>
      <w:r>
        <w:fldChar w:fldCharType="separate"/>
      </w:r>
      <w:r>
        <w:rPr>
          <w:rStyle w:val="12"/>
        </w:rPr>
        <w:t>https://www.geeksforgeeks.org/hr/job-diagnostic-survey-jds-by-hackman-and-oldham/</w:t>
      </w:r>
      <w:r>
        <w:rPr>
          <w:rStyle w:val="12"/>
        </w:rPr>
        <w:fldChar w:fldCharType="end"/>
      </w:r>
      <w:r>
        <w:t xml:space="preserve"> [Accessed 15 July 2026].</w:t>
      </w:r>
    </w:p>
    <w:p w14:paraId="7645C2B1">
      <w:pPr>
        <w:spacing w:after="240"/>
      </w:pPr>
      <w:r>
        <w:t xml:space="preserve">George, G. and Schillebeeckx, S.J.D. (2022). Digital transformation, sustainability, and purpose in the multinational enterprise. </w:t>
      </w:r>
      <w:r>
        <w:rPr>
          <w:i/>
          <w:iCs/>
        </w:rPr>
        <w:t>Journal of World Business</w:t>
      </w:r>
      <w:r>
        <w:t xml:space="preserve">, 57(3), p.101326. doi: </w:t>
      </w:r>
      <w:r>
        <w:fldChar w:fldCharType="begin"/>
      </w:r>
      <w:r>
        <w:instrText xml:space="preserve"> HYPERLINK "https://doi.org/10.1016/j.jwb.2022.101326" </w:instrText>
      </w:r>
      <w:r>
        <w:fldChar w:fldCharType="separate"/>
      </w:r>
      <w:r>
        <w:rPr>
          <w:rStyle w:val="12"/>
        </w:rPr>
        <w:t>https://doi.org/10.1016/j.jwb.2022.101326</w:t>
      </w:r>
      <w:r>
        <w:rPr>
          <w:rStyle w:val="12"/>
        </w:rPr>
        <w:fldChar w:fldCharType="end"/>
      </w:r>
      <w:r>
        <w:t xml:space="preserve"> </w:t>
      </w:r>
    </w:p>
    <w:p w14:paraId="6D4AF8A2">
      <w:pPr>
        <w:spacing w:after="240"/>
      </w:pPr>
      <w:r>
        <w:t xml:space="preserve">Godinho, T., Reis, I.P., Carvalho, R. and Martinho, F. (2023). Onboarding Handbook: An Indispensable Tool for Onboarding Processes. </w:t>
      </w:r>
      <w:r>
        <w:rPr>
          <w:i/>
          <w:iCs/>
        </w:rPr>
        <w:t>Administrative Sciences</w:t>
      </w:r>
      <w:r>
        <w:t>, 13(3). doi: 10.3390/admsci13030079</w:t>
      </w:r>
    </w:p>
    <w:p w14:paraId="70315443">
      <w:pPr>
        <w:spacing w:after="240"/>
      </w:pPr>
      <w:r>
        <w:t xml:space="preserve">Gupta, R. (2024). Impact of Artificial Intelligence (AI) on Human Resource Management (HRM). </w:t>
      </w:r>
      <w:r>
        <w:rPr>
          <w:i/>
          <w:iCs/>
        </w:rPr>
        <w:t>IJFMR240321444</w:t>
      </w:r>
      <w:r>
        <w:t xml:space="preserve">, [online] 6(3). Available at: </w:t>
      </w:r>
      <w:r>
        <w:fldChar w:fldCharType="begin"/>
      </w:r>
      <w:r>
        <w:instrText xml:space="preserve"> HYPERLINK "https://pdfs.semanticscholar.org/777c/20d96221f47f83130be9c5cf6a9986759917.pdf" </w:instrText>
      </w:r>
      <w:r>
        <w:fldChar w:fldCharType="separate"/>
      </w:r>
      <w:r>
        <w:rPr>
          <w:rStyle w:val="12"/>
        </w:rPr>
        <w:t>https://pdfs.semanticscholar.org/777c/20d96221f47f83130be9c5cf6a9986759917.pdf</w:t>
      </w:r>
      <w:r>
        <w:rPr>
          <w:rStyle w:val="12"/>
        </w:rPr>
        <w:fldChar w:fldCharType="end"/>
      </w:r>
      <w:r>
        <w:t xml:space="preserve"> [Accessed 15 July 2026].</w:t>
      </w:r>
    </w:p>
    <w:p w14:paraId="2F7A8075">
      <w:pPr>
        <w:spacing w:after="240"/>
      </w:pPr>
      <w:r>
        <w:t>Jooss, S., Collings, D.G., McMackin, J. and Dickmann, M. (2023). A skills</w:t>
      </w:r>
      <w:r>
        <w:rPr>
          <w:rFonts w:ascii="Times New Roman" w:hAnsi="Times New Roman" w:eastAsia="Times New Roman" w:cs="Times New Roman"/>
        </w:rPr>
        <w:t>‐</w:t>
      </w:r>
      <w:r>
        <w:t xml:space="preserve">matching perspective on talent management: Developing strategic agility. </w:t>
      </w:r>
      <w:r>
        <w:rPr>
          <w:i/>
          <w:iCs/>
        </w:rPr>
        <w:t>Human Resource Management</w:t>
      </w:r>
      <w:r>
        <w:t>, [online] 63(1), pp.141–157. doi: 10.1002/hrm.22192</w:t>
      </w:r>
    </w:p>
    <w:p w14:paraId="099ED48F">
      <w:pPr>
        <w:spacing w:after="240"/>
      </w:pPr>
      <w:r>
        <w:t xml:space="preserve">Kanungo, D. (2025). Generational Wisdom: A Framework for Leveraging Multigenerational Strengths in Modern Organizations. </w:t>
      </w:r>
      <w:r>
        <w:rPr>
          <w:i/>
          <w:iCs/>
        </w:rPr>
        <w:t>Contemporary Perspectives on Organizational Behaviour [Working Title]</w:t>
      </w:r>
      <w:r>
        <w:t>. [online] doi: 10.5772/intechopen.1009298</w:t>
      </w:r>
    </w:p>
    <w:p w14:paraId="2D4D3370">
      <w:pPr>
        <w:spacing w:after="240"/>
      </w:pPr>
      <w:r>
        <w:t xml:space="preserve">Khairy, H.A., Agina, M.F., Aliane, N. and Hashad, M.E. (2023). Internal Branding in Hotels: Interaction Effects of Employee Engagement, Workplace Friendship, and Organizational Citizenship Behavior. </w:t>
      </w:r>
      <w:r>
        <w:rPr>
          <w:i/>
          <w:iCs/>
        </w:rPr>
        <w:t>Sustainability</w:t>
      </w:r>
      <w:r>
        <w:t>, 15(5), p.4530. doi: 10.3390/su15054530</w:t>
      </w:r>
    </w:p>
    <w:p w14:paraId="05BB2017">
      <w:pPr>
        <w:spacing w:after="240"/>
      </w:pPr>
      <w:r>
        <w:t xml:space="preserve">Koeswayo, P.S., Haryanto, H. and Handoyo, S. (2024). The impact of corporate governance, internal control and corporate reputation on employee engagement: A moderating role of leadership style. </w:t>
      </w:r>
      <w:r>
        <w:rPr>
          <w:i/>
          <w:iCs/>
        </w:rPr>
        <w:t>Cogent Business &amp; Management</w:t>
      </w:r>
      <w:r>
        <w:t>, [online] 11(1). doi: 10.1080/23311975.2023.2296698</w:t>
      </w:r>
    </w:p>
    <w:p w14:paraId="76CAC202">
      <w:pPr>
        <w:spacing w:after="240"/>
      </w:pPr>
      <w:r>
        <w:t xml:space="preserve">Lambros Roumbanis (2025). On the present-future impact of AI technologies on personnel selection and the exponential increase in meta-algorithmic judgments. </w:t>
      </w:r>
      <w:r>
        <w:rPr>
          <w:i/>
          <w:iCs/>
        </w:rPr>
        <w:t>Futures</w:t>
      </w:r>
      <w:r>
        <w:t>, 166(103538), pp.103538–103538. doi: 10.1016/j.futures.2025.103538</w:t>
      </w:r>
    </w:p>
    <w:p w14:paraId="5B81B4A5">
      <w:pPr>
        <w:spacing w:after="240"/>
      </w:pPr>
      <w:r>
        <w:t xml:space="preserve">Lee, J. (2024). The Role of Institutional Logics in Shaping Sustainable Talent Management: A Comparative Study of Two South Korean Conglomerates. </w:t>
      </w:r>
      <w:r>
        <w:rPr>
          <w:i/>
          <w:iCs/>
        </w:rPr>
        <w:t>Systems</w:t>
      </w:r>
      <w:r>
        <w:t>, [online] 12(7), p.227. doi: 10.3390/systems12070227</w:t>
      </w:r>
    </w:p>
    <w:p w14:paraId="19FC09C4">
      <w:pPr>
        <w:spacing w:after="240"/>
      </w:pPr>
      <w:r>
        <w:t xml:space="preserve">Mhlanga, D. (2022). Stakeholder Capitalism, the Fourth Industrial Revolution (4IR), and Sustainable Development: Issues to Be Resolved. </w:t>
      </w:r>
      <w:r>
        <w:rPr>
          <w:i/>
          <w:iCs/>
        </w:rPr>
        <w:t>Sustainability</w:t>
      </w:r>
      <w:r>
        <w:t>, 14(7), p.3902. doi: 10.3390/su14073902</w:t>
      </w:r>
    </w:p>
    <w:p w14:paraId="750F6649">
      <w:pPr>
        <w:spacing w:after="240"/>
      </w:pPr>
      <w:r>
        <w:t xml:space="preserve">Mitschelen, A. and Kauffeld, S. (2025). Workplace learning during organizational onboarding: Integrating formal, informal, and self-regulated workplace learning. </w:t>
      </w:r>
      <w:r>
        <w:rPr>
          <w:i/>
          <w:iCs/>
        </w:rPr>
        <w:t>Frontiers in Organizational Psychology</w:t>
      </w:r>
      <w:r>
        <w:t>, 3. doi: 10.3389/forgp.2025.1569098</w:t>
      </w:r>
    </w:p>
    <w:p w14:paraId="6AD406A9">
      <w:pPr>
        <w:spacing w:after="240"/>
      </w:pPr>
      <w:r>
        <w:t xml:space="preserve">Moore, C. (2019). </w:t>
      </w:r>
      <w:r>
        <w:rPr>
          <w:i/>
          <w:iCs/>
        </w:rPr>
        <w:t>What is Job Crafting? (Incl. 5 Examples and Exercises)</w:t>
      </w:r>
      <w:r>
        <w:t xml:space="preserve">. [online] PositivePsychology.com. Available at: </w:t>
      </w:r>
      <w:r>
        <w:fldChar w:fldCharType="begin"/>
      </w:r>
      <w:r>
        <w:instrText xml:space="preserve"> HYPERLINK "https://positivepsychology.com/job-crafting/" </w:instrText>
      </w:r>
      <w:r>
        <w:fldChar w:fldCharType="separate"/>
      </w:r>
      <w:r>
        <w:rPr>
          <w:rStyle w:val="12"/>
        </w:rPr>
        <w:t>https://positivepsychology.com/job-crafting/</w:t>
      </w:r>
      <w:r>
        <w:rPr>
          <w:rStyle w:val="12"/>
        </w:rPr>
        <w:fldChar w:fldCharType="end"/>
      </w:r>
      <w:r>
        <w:t xml:space="preserve">  [Accessed 15 July 2026].</w:t>
      </w:r>
    </w:p>
    <w:p w14:paraId="6310833E">
      <w:pPr>
        <w:spacing w:after="240"/>
      </w:pPr>
      <w:r>
        <w:t xml:space="preserve">Nadeem Ahmed Awan and Abbas, M. (2024). Organizational socialization strategies and newcomers” identity development: A social identity perspective. </w:t>
      </w:r>
      <w:r>
        <w:rPr>
          <w:i/>
          <w:iCs/>
        </w:rPr>
        <w:t>Human resource development quarterly</w:t>
      </w:r>
      <w:r>
        <w:t>. doi: 10.1002/hrdq.21527</w:t>
      </w:r>
    </w:p>
    <w:p w14:paraId="0B87D97D">
      <w:pPr>
        <w:spacing w:after="240"/>
      </w:pPr>
      <w:r>
        <w:t xml:space="preserve">Obeng, H.A., Arhinful, R., Mensah, L. and Teneng, R.C. (2025). Harmonizing Growth: Leadership Competencies’ Mediation in SMEs’ Organizational Culture and Structure Through Schein’s Model. </w:t>
      </w:r>
      <w:r>
        <w:rPr>
          <w:i/>
          <w:iCs/>
        </w:rPr>
        <w:t>SAGE Open</w:t>
      </w:r>
      <w:r>
        <w:t>, 15(3). doi: 10.1177/21582440251364954</w:t>
      </w:r>
    </w:p>
    <w:p w14:paraId="75AF3C77">
      <w:pPr>
        <w:spacing w:after="240"/>
      </w:pPr>
      <w:r>
        <w:t xml:space="preserve">Olan, F., Arakpogun, E.O., Suklan, J., Nakpodia, F., Damij, N. and Jayawickrama, U. (2022). Artificial Intelligence and Knowledge sharing: Contributing Factors to Organizational Performance. </w:t>
      </w:r>
      <w:r>
        <w:rPr>
          <w:i/>
          <w:iCs/>
        </w:rPr>
        <w:t>Journal of Business Research</w:t>
      </w:r>
      <w:r>
        <w:t>, 145(1), pp.605–615. doi: 10.1016/j.jbusres.2022.03.008</w:t>
      </w:r>
    </w:p>
    <w:p w14:paraId="5EAF99F0">
      <w:pPr>
        <w:spacing w:after="240"/>
      </w:pPr>
      <w:r>
        <w:t xml:space="preserve">Parker, S.K. and Grote, G. (2022). Automation, Algorithms, and Beyond: Why Work Design Matters More than Ever in a Digital World. </w:t>
      </w:r>
      <w:r>
        <w:rPr>
          <w:i/>
          <w:iCs/>
        </w:rPr>
        <w:t>Applied Psychology</w:t>
      </w:r>
      <w:r>
        <w:t>, 71(4), pp.1171–1204. doi: https://doi.org/10.1111/apps.12241</w:t>
      </w:r>
    </w:p>
    <w:p w14:paraId="11B17E02">
      <w:pPr>
        <w:spacing w:after="240"/>
      </w:pPr>
      <w:r>
        <w:t xml:space="preserve">Sarala, R.M., Post, C., Doh, J. and Muzio, D. (2025). Advancing Research on the Future of Work in the Age of Artificial Intelligence (AI). </w:t>
      </w:r>
      <w:r>
        <w:rPr>
          <w:i/>
          <w:iCs/>
        </w:rPr>
        <w:t>Journal of Management Studies</w:t>
      </w:r>
      <w:r>
        <w:t>. doi: 10.1111/joms.13195</w:t>
      </w:r>
    </w:p>
    <w:p w14:paraId="613BC2D4">
      <w:pPr>
        <w:spacing w:after="240"/>
      </w:pPr>
      <w:r>
        <w:t xml:space="preserve">Sarkin Gardi Ibrahim, U., Binti Yusof, R. and Izwar Bin Ibrahim, H. (2022). The Role of Employee Onboarding Training Program in Mitigating Deviant Workplace Behavior: Job Satisfaction as a Mediator. </w:t>
      </w:r>
      <w:r>
        <w:rPr>
          <w:i/>
          <w:iCs/>
        </w:rPr>
        <w:t>An International Journal</w:t>
      </w:r>
      <w:r>
        <w:t xml:space="preserve">, [online] 14(3s). Available at: </w:t>
      </w:r>
      <w:r>
        <w:fldChar w:fldCharType="begin"/>
      </w:r>
      <w:r>
        <w:instrText xml:space="preserve"> HYPERLINK "https://www.gbmrjournal.com/pdf/v14n3s/V14N3s-68.pdf" </w:instrText>
      </w:r>
      <w:r>
        <w:fldChar w:fldCharType="separate"/>
      </w:r>
      <w:r>
        <w:rPr>
          <w:rStyle w:val="12"/>
        </w:rPr>
        <w:t>https://www.gbmrjournal.com/pdf/v14n3s/V14N3s-68.pdf</w:t>
      </w:r>
      <w:r>
        <w:rPr>
          <w:rStyle w:val="12"/>
        </w:rPr>
        <w:fldChar w:fldCharType="end"/>
      </w:r>
      <w:r>
        <w:t xml:space="preserve"> [Accessed 15 July 2026].</w:t>
      </w:r>
    </w:p>
    <w:p w14:paraId="4CAE3062">
      <w:pPr>
        <w:spacing w:after="240"/>
      </w:pPr>
      <w:r>
        <w:t xml:space="preserve">Scholl, J.A., Mederer, H.J. and Scholl, R.W. (2023). Leadership, ethics, and decision-making. </w:t>
      </w:r>
      <w:r>
        <w:rPr>
          <w:i/>
          <w:iCs/>
        </w:rPr>
        <w:t>Global Encyclopedia of Public Administration, Public Policy, and Governance</w:t>
      </w:r>
      <w:r>
        <w:t>, [online] pp.1–11. doi: 10.1007/978-3-319-31816-5_2407-1</w:t>
      </w:r>
    </w:p>
    <w:p w14:paraId="5182F29F">
      <w:pPr>
        <w:spacing w:after="240"/>
      </w:pPr>
      <w:r>
        <w:t xml:space="preserve">Scouting Matters (2021). </w:t>
      </w:r>
      <w:r>
        <w:rPr>
          <w:i/>
          <w:iCs/>
        </w:rPr>
        <w:t>The Psychological Contract – Scouting Matters</w:t>
      </w:r>
      <w:r>
        <w:t xml:space="preserve">. [online] Scoutingmatters.ie. Available at: </w:t>
      </w:r>
      <w:r>
        <w:fldChar w:fldCharType="begin"/>
      </w:r>
      <w:r>
        <w:instrText xml:space="preserve"> HYPERLINK "https://scoutingmatters.ie/2021/04/17/the-psychological-contract/" </w:instrText>
      </w:r>
      <w:r>
        <w:fldChar w:fldCharType="separate"/>
      </w:r>
      <w:r>
        <w:rPr>
          <w:rStyle w:val="12"/>
        </w:rPr>
        <w:t>https://scoutingmatters.ie/2021/04/17/the-psychological-contract/</w:t>
      </w:r>
      <w:r>
        <w:rPr>
          <w:rStyle w:val="12"/>
        </w:rPr>
        <w:fldChar w:fldCharType="end"/>
      </w:r>
      <w:r>
        <w:t xml:space="preserve"> [Accessed 15 July 2026].</w:t>
      </w:r>
    </w:p>
    <w:p w14:paraId="27A2A17E">
      <w:pPr>
        <w:spacing w:after="240"/>
      </w:pPr>
      <w:r>
        <w:t xml:space="preserve">Somu, S. and Ali, N.A. (2025). Remote onboarding and beyond: Fostering organizational citizenship behavior through psychological channels. </w:t>
      </w:r>
      <w:r>
        <w:rPr>
          <w:i/>
          <w:iCs/>
        </w:rPr>
        <w:t>Journal of Economics and Management</w:t>
      </w:r>
      <w:r>
        <w:t>, 47, pp.413–448. doi: 10.22367/jem.2025.47.16</w:t>
      </w:r>
    </w:p>
    <w:p w14:paraId="251A2F8C">
      <w:pPr>
        <w:spacing w:after="240"/>
      </w:pPr>
      <w:r>
        <w:t xml:space="preserve">Vagan Terziyan, Timo Tiihonen, Shukla, A.K., Svitlana Gryshko, Mariia Golovianko, Oleksandr Terziyan and Vitko, O. (2025). Towards ethical evolution: Responsible autonomy of artificial intelligence across generations. </w:t>
      </w:r>
      <w:r>
        <w:rPr>
          <w:i/>
          <w:iCs/>
        </w:rPr>
        <w:t>AI and Ethics</w:t>
      </w:r>
      <w:r>
        <w:t xml:space="preserve">. doi: 10.1007/s43681-025-00759-9 </w:t>
      </w:r>
    </w:p>
    <w:p w14:paraId="789EE05A">
      <w:pPr>
        <w:spacing w:after="240"/>
      </w:pPr>
      <w:r>
        <w:t>van Giffen, B., Müller</w:t>
      </w:r>
      <w:r>
        <w:rPr>
          <w:rFonts w:ascii="Times New Roman" w:hAnsi="Times New Roman" w:eastAsia="Times New Roman" w:cs="Times New Roman"/>
        </w:rPr>
        <w:t>‐</w:t>
      </w:r>
      <w:r>
        <w:t>Wünsch, M., Stalgies, Y., Peppard, J. and Brenner, W. (2026). Continuous Feedback for Data</w:t>
      </w:r>
      <w:r>
        <w:rPr>
          <w:rFonts w:ascii="Times New Roman" w:hAnsi="Times New Roman" w:eastAsia="Times New Roman" w:cs="Times New Roman"/>
        </w:rPr>
        <w:t>‐</w:t>
      </w:r>
      <w:r>
        <w:t xml:space="preserve">Driven Organisational Change: Implementing &lt;scp&gt;OTTO&lt;/scp&gt;“s Digital Heartbeat. </w:t>
      </w:r>
      <w:r>
        <w:rPr>
          <w:i/>
          <w:iCs/>
        </w:rPr>
        <w:t>Information Systems Journal</w:t>
      </w:r>
      <w:r>
        <w:t xml:space="preserve">. doi: 10.1111/isj.70032 </w:t>
      </w:r>
    </w:p>
    <w:p w14:paraId="0211DC61">
      <w:pPr>
        <w:spacing w:after="240"/>
      </w:pPr>
      <w:r>
        <w:t xml:space="preserve">World Economic Forum (2025). </w:t>
      </w:r>
      <w:r>
        <w:rPr>
          <w:i/>
          <w:iCs/>
        </w:rPr>
        <w:t>The Future of Jobs Report 2025</w:t>
      </w:r>
      <w:r>
        <w:t xml:space="preserve">. [online] World Economic Forum. Available at: </w:t>
      </w:r>
      <w:r>
        <w:fldChar w:fldCharType="begin"/>
      </w:r>
      <w:r>
        <w:instrText xml:space="preserve"> HYPERLINK "https://www.weforum.org/publications/the-future-of-jobs-report-2025/in-full/3-skills-outlook/" </w:instrText>
      </w:r>
      <w:r>
        <w:fldChar w:fldCharType="separate"/>
      </w:r>
      <w:r>
        <w:rPr>
          <w:rStyle w:val="12"/>
        </w:rPr>
        <w:t>https://www.weforum.org/publications/the-future-of-jobs-report-2025/in-full/3-skills-outlook/</w:t>
      </w:r>
      <w:r>
        <w:rPr>
          <w:rStyle w:val="12"/>
        </w:rPr>
        <w:fldChar w:fldCharType="end"/>
      </w:r>
      <w:r>
        <w:t xml:space="preserve"> [Accessed 15 July 2026].</w:t>
      </w:r>
    </w:p>
    <w:p w14:paraId="02401623">
      <w:pPr>
        <w:spacing w:after="240"/>
      </w:pPr>
      <w:r>
        <w:t xml:space="preserve">Yeşilkaya, M. and Yıldız, T. (2022). What do expectations change? Optimistic expectations, job crafting, job satisfaction and a new theoretical model. </w:t>
      </w:r>
      <w:r>
        <w:rPr>
          <w:i/>
          <w:iCs/>
        </w:rPr>
        <w:t>International Journal of Organizational Analysis</w:t>
      </w:r>
      <w:r>
        <w:t>. doi: 10.1108/ijoa-01-2022-3111</w:t>
      </w:r>
    </w:p>
    <w:p w14:paraId="6F9DE63A">
      <w:pPr>
        <w:spacing w:after="240"/>
      </w:pPr>
      <w:r>
        <w:t xml:space="preserve">Zucker, R. (2021). </w:t>
      </w:r>
      <w:r>
        <w:rPr>
          <w:i/>
          <w:iCs/>
        </w:rPr>
        <w:t>How to Re-Onboard Employees Who Started Remotely</w:t>
      </w:r>
      <w:r>
        <w:t xml:space="preserve">. [online] Harvard Business Review. Available at: </w:t>
      </w:r>
      <w:r>
        <w:fldChar w:fldCharType="begin"/>
      </w:r>
      <w:r>
        <w:instrText xml:space="preserve"> HYPERLINK "https://hbr.org/2021/06/how-to-re-onboard-employees-who-started-remotely" </w:instrText>
      </w:r>
      <w:r>
        <w:fldChar w:fldCharType="separate"/>
      </w:r>
      <w:r>
        <w:rPr>
          <w:rStyle w:val="12"/>
        </w:rPr>
        <w:t>https://hbr.org/2021/06/how-to-re-onboard-employees-who-started-remotely</w:t>
      </w:r>
      <w:r>
        <w:rPr>
          <w:rStyle w:val="12"/>
        </w:rPr>
        <w:fldChar w:fldCharType="end"/>
      </w:r>
      <w:r>
        <w:t xml:space="preserve"> [Accessed 15 July 2026].</w:t>
      </w:r>
    </w:p>
    <w:p w14:paraId="179621AD">
      <w:pPr>
        <w:spacing w:after="240"/>
      </w:pPr>
      <w:r>
        <w:br w:type="page"/>
      </w:r>
    </w:p>
    <w:p w14:paraId="75969754">
      <w:pPr>
        <w:pStyle w:val="2"/>
        <w:spacing w:after="240"/>
      </w:pPr>
      <w:bookmarkStart w:id="32" w:name="_l1hvv5s7ot7j" w:colFirst="0" w:colLast="0"/>
      <w:bookmarkEnd w:id="32"/>
      <w:bookmarkStart w:id="33" w:name="_Toc235036905"/>
      <w:r>
        <w:t>Appendices</w:t>
      </w:r>
      <w:bookmarkEnd w:id="33"/>
    </w:p>
    <w:p w14:paraId="2D38552C">
      <w:pPr>
        <w:pStyle w:val="3"/>
        <w:spacing w:after="240"/>
      </w:pPr>
      <w:bookmarkStart w:id="34" w:name="_qdm2tl6hq44m" w:colFirst="0" w:colLast="0"/>
      <w:bookmarkEnd w:id="34"/>
      <w:bookmarkStart w:id="35" w:name="_Toc235036906"/>
      <w:r>
        <w:t>Appendix 1: Strategic Organisational Socialisation Framework for Helios Urban Mobility</w:t>
      </w:r>
      <w:bookmarkEnd w:id="35"/>
    </w:p>
    <w:tbl>
      <w:tblPr>
        <w:tblStyle w:val="21"/>
        <w:tblW w:w="5000" w:type="pct"/>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autofit"/>
        <w:tblCellMar>
          <w:top w:w="0" w:type="dxa"/>
          <w:left w:w="108" w:type="dxa"/>
          <w:bottom w:w="0" w:type="dxa"/>
          <w:right w:w="108" w:type="dxa"/>
        </w:tblCellMar>
      </w:tblPr>
      <w:tblGrid>
        <w:gridCol w:w="1447"/>
        <w:gridCol w:w="2469"/>
        <w:gridCol w:w="2758"/>
        <w:gridCol w:w="2902"/>
      </w:tblGrid>
      <w:tr w14:paraId="7E4077BB">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405" w:hRule="atLeast"/>
        </w:trPr>
        <w:tc>
          <w:tcPr>
            <w:tcW w:w="756" w:type="pct"/>
            <w:shd w:val="clear" w:color="auto" w:fill="E5DFEC" w:themeFill="accent4" w:themeFillTint="33"/>
          </w:tcPr>
          <w:p w14:paraId="652842F0">
            <w:pPr>
              <w:spacing w:after="240" w:line="360" w:lineRule="auto"/>
              <w:jc w:val="center"/>
              <w:rPr>
                <w:b/>
                <w:bCs/>
                <w:u w:val="single"/>
              </w:rPr>
            </w:pPr>
            <w:r>
              <w:rPr>
                <w:b/>
                <w:bCs/>
                <w:u w:val="single"/>
              </w:rPr>
              <w:t>Stage</w:t>
            </w:r>
          </w:p>
        </w:tc>
        <w:tc>
          <w:tcPr>
            <w:tcW w:w="1289" w:type="pct"/>
            <w:shd w:val="clear" w:color="auto" w:fill="E5DFEC" w:themeFill="accent4" w:themeFillTint="33"/>
          </w:tcPr>
          <w:p w14:paraId="549CD5BE">
            <w:pPr>
              <w:spacing w:after="240" w:line="360" w:lineRule="auto"/>
              <w:jc w:val="center"/>
              <w:rPr>
                <w:b/>
                <w:bCs/>
                <w:u w:val="single"/>
              </w:rPr>
            </w:pPr>
            <w:r>
              <w:rPr>
                <w:b/>
                <w:bCs/>
                <w:u w:val="single"/>
              </w:rPr>
              <w:t>Key Activities</w:t>
            </w:r>
          </w:p>
        </w:tc>
        <w:tc>
          <w:tcPr>
            <w:tcW w:w="1440" w:type="pct"/>
            <w:shd w:val="clear" w:color="auto" w:fill="E5DFEC" w:themeFill="accent4" w:themeFillTint="33"/>
          </w:tcPr>
          <w:p w14:paraId="1FC0AAB9">
            <w:pPr>
              <w:spacing w:after="240" w:line="360" w:lineRule="auto"/>
              <w:jc w:val="center"/>
              <w:rPr>
                <w:b/>
                <w:bCs/>
                <w:u w:val="single"/>
              </w:rPr>
            </w:pPr>
            <w:r>
              <w:rPr>
                <w:b/>
                <w:bCs/>
                <w:u w:val="single"/>
              </w:rPr>
              <w:t>Strategic Purpose</w:t>
            </w:r>
          </w:p>
        </w:tc>
        <w:tc>
          <w:tcPr>
            <w:tcW w:w="1516" w:type="pct"/>
            <w:shd w:val="clear" w:color="auto" w:fill="E5DFEC" w:themeFill="accent4" w:themeFillTint="33"/>
          </w:tcPr>
          <w:p w14:paraId="3D6246BC">
            <w:pPr>
              <w:spacing w:after="240" w:line="360" w:lineRule="auto"/>
              <w:jc w:val="center"/>
              <w:rPr>
                <w:b/>
                <w:bCs/>
                <w:u w:val="single"/>
              </w:rPr>
            </w:pPr>
            <w:r>
              <w:rPr>
                <w:b/>
                <w:bCs/>
                <w:u w:val="single"/>
              </w:rPr>
              <w:t>Expected Outcomes</w:t>
            </w:r>
          </w:p>
        </w:tc>
      </w:tr>
      <w:tr w14:paraId="00E05953">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590" w:hRule="atLeast"/>
        </w:trPr>
        <w:tc>
          <w:tcPr>
            <w:tcW w:w="756" w:type="pct"/>
            <w:shd w:val="clear" w:color="auto" w:fill="E5DFEC" w:themeFill="accent4" w:themeFillTint="33"/>
          </w:tcPr>
          <w:p w14:paraId="0A3E2E2F">
            <w:pPr>
              <w:spacing w:after="240" w:line="360" w:lineRule="auto"/>
              <w:jc w:val="center"/>
              <w:rPr>
                <w:b/>
                <w:bCs/>
              </w:rPr>
            </w:pPr>
            <w:r>
              <w:rPr>
                <w:b/>
                <w:bCs/>
              </w:rPr>
              <w:t>Pre-boarding</w:t>
            </w:r>
          </w:p>
        </w:tc>
        <w:tc>
          <w:tcPr>
            <w:tcW w:w="1289" w:type="pct"/>
            <w:shd w:val="clear" w:color="auto" w:fill="E5DFEC" w:themeFill="accent4" w:themeFillTint="33"/>
          </w:tcPr>
          <w:p w14:paraId="0E7E6E42">
            <w:pPr>
              <w:spacing w:after="240" w:line="360" w:lineRule="auto"/>
            </w:pPr>
            <w:r>
              <w:t>Digital welcome resources, AI-enabled learning platform, buddy allocation, manager introduction</w:t>
            </w:r>
          </w:p>
        </w:tc>
        <w:tc>
          <w:tcPr>
            <w:tcW w:w="1440" w:type="pct"/>
            <w:shd w:val="clear" w:color="auto" w:fill="E5DFEC" w:themeFill="accent4" w:themeFillTint="33"/>
          </w:tcPr>
          <w:p w14:paraId="2358A1C3">
            <w:pPr>
              <w:spacing w:after="240" w:line="360" w:lineRule="auto"/>
            </w:pPr>
            <w:r>
              <w:t>Reduce uncertainty, establish psychological contracts, communicate organisational expectations, and strengthen early organisational commitment</w:t>
            </w:r>
          </w:p>
        </w:tc>
        <w:tc>
          <w:tcPr>
            <w:tcW w:w="1516" w:type="pct"/>
            <w:shd w:val="clear" w:color="auto" w:fill="E5DFEC" w:themeFill="accent4" w:themeFillTint="33"/>
          </w:tcPr>
          <w:p w14:paraId="1A4269C5">
            <w:pPr>
              <w:spacing w:after="240" w:line="360" w:lineRule="auto"/>
            </w:pPr>
            <w:r>
              <w:t>Improved confidence, faster adjustment, stronger organisational attachment, and enhanced readiness before joining</w:t>
            </w:r>
          </w:p>
        </w:tc>
      </w:tr>
      <w:tr w14:paraId="3F87EB5B">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350" w:hRule="atLeast"/>
        </w:trPr>
        <w:tc>
          <w:tcPr>
            <w:tcW w:w="756" w:type="pct"/>
            <w:shd w:val="clear" w:color="auto" w:fill="E5DFEC" w:themeFill="accent4" w:themeFillTint="33"/>
          </w:tcPr>
          <w:p w14:paraId="39CF85D1">
            <w:pPr>
              <w:spacing w:after="240" w:line="360" w:lineRule="auto"/>
              <w:jc w:val="center"/>
              <w:rPr>
                <w:b/>
                <w:bCs/>
              </w:rPr>
            </w:pPr>
            <w:r>
              <w:rPr>
                <w:b/>
                <w:bCs/>
              </w:rPr>
              <w:t>First Week</w:t>
            </w:r>
          </w:p>
        </w:tc>
        <w:tc>
          <w:tcPr>
            <w:tcW w:w="1289" w:type="pct"/>
            <w:shd w:val="clear" w:color="auto" w:fill="E5DFEC" w:themeFill="accent4" w:themeFillTint="33"/>
          </w:tcPr>
          <w:p w14:paraId="694D7366">
            <w:pPr>
              <w:spacing w:after="240" w:line="360" w:lineRule="auto"/>
            </w:pPr>
            <w:r>
              <w:t>Leadership meetings, culture immersion, organisational values workshops, role clarification</w:t>
            </w:r>
          </w:p>
        </w:tc>
        <w:tc>
          <w:tcPr>
            <w:tcW w:w="1440" w:type="pct"/>
            <w:shd w:val="clear" w:color="auto" w:fill="E5DFEC" w:themeFill="accent4" w:themeFillTint="33"/>
          </w:tcPr>
          <w:p w14:paraId="5B50F881">
            <w:pPr>
              <w:spacing w:after="240" w:line="360" w:lineRule="auto"/>
            </w:pPr>
            <w:r>
              <w:t>Build organisational identification, communicate strategic priorities, reinforce expected behaviours, and encourage collaboration</w:t>
            </w:r>
          </w:p>
        </w:tc>
        <w:tc>
          <w:tcPr>
            <w:tcW w:w="1516" w:type="pct"/>
            <w:shd w:val="clear" w:color="auto" w:fill="E5DFEC" w:themeFill="accent4" w:themeFillTint="33"/>
          </w:tcPr>
          <w:p w14:paraId="4C5A4EA5">
            <w:pPr>
              <w:spacing w:after="240" w:line="360" w:lineRule="auto"/>
            </w:pPr>
            <w:r>
              <w:t>Greater cultural integration, stronger employee commitment, improved teamwork, and enhanced organisational belonging</w:t>
            </w:r>
          </w:p>
        </w:tc>
      </w:tr>
      <w:tr w14:paraId="1C34A012">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590" w:hRule="atLeast"/>
        </w:trPr>
        <w:tc>
          <w:tcPr>
            <w:tcW w:w="756" w:type="pct"/>
            <w:shd w:val="clear" w:color="auto" w:fill="E5DFEC" w:themeFill="accent4" w:themeFillTint="33"/>
          </w:tcPr>
          <w:p w14:paraId="5C5CCC9C">
            <w:pPr>
              <w:spacing w:after="240" w:line="360" w:lineRule="auto"/>
              <w:jc w:val="center"/>
              <w:rPr>
                <w:b/>
                <w:bCs/>
              </w:rPr>
            </w:pPr>
            <w:r>
              <w:rPr>
                <w:b/>
                <w:bCs/>
              </w:rPr>
              <w:t>First 90 Days</w:t>
            </w:r>
          </w:p>
        </w:tc>
        <w:tc>
          <w:tcPr>
            <w:tcW w:w="1289" w:type="pct"/>
            <w:shd w:val="clear" w:color="auto" w:fill="E5DFEC" w:themeFill="accent4" w:themeFillTint="33"/>
          </w:tcPr>
          <w:p w14:paraId="6F22729B">
            <w:pPr>
              <w:spacing w:after="240" w:line="360" w:lineRule="auto"/>
            </w:pPr>
            <w:r>
              <w:t>Mentoring, cross-functional projects, structured feedback sessions, learning milestones</w:t>
            </w:r>
          </w:p>
        </w:tc>
        <w:tc>
          <w:tcPr>
            <w:tcW w:w="1440" w:type="pct"/>
            <w:shd w:val="clear" w:color="auto" w:fill="E5DFEC" w:themeFill="accent4" w:themeFillTint="33"/>
          </w:tcPr>
          <w:p w14:paraId="1793A0C4">
            <w:pPr>
              <w:spacing w:after="240" w:line="360" w:lineRule="auto"/>
            </w:pPr>
            <w:r>
              <w:t>Accelerate capability development, strengthen reciprocal commitment, encourage knowledge sharing, and improve adaptability</w:t>
            </w:r>
          </w:p>
        </w:tc>
        <w:tc>
          <w:tcPr>
            <w:tcW w:w="1516" w:type="pct"/>
            <w:shd w:val="clear" w:color="auto" w:fill="E5DFEC" w:themeFill="accent4" w:themeFillTint="33"/>
          </w:tcPr>
          <w:p w14:paraId="158B4DCE">
            <w:pPr>
              <w:spacing w:after="240" w:line="360" w:lineRule="auto"/>
            </w:pPr>
            <w:r>
              <w:t>Higher competence, increased engagement, stronger innovation capability, and reduced adjustment period</w:t>
            </w:r>
          </w:p>
        </w:tc>
      </w:tr>
      <w:tr w14:paraId="67561326">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590" w:hRule="atLeast"/>
        </w:trPr>
        <w:tc>
          <w:tcPr>
            <w:tcW w:w="756" w:type="pct"/>
            <w:shd w:val="clear" w:color="auto" w:fill="E5DFEC" w:themeFill="accent4" w:themeFillTint="33"/>
          </w:tcPr>
          <w:p w14:paraId="29ED89EA">
            <w:pPr>
              <w:spacing w:after="240" w:line="360" w:lineRule="auto"/>
              <w:jc w:val="center"/>
              <w:rPr>
                <w:b/>
                <w:bCs/>
              </w:rPr>
            </w:pPr>
            <w:r>
              <w:rPr>
                <w:b/>
                <w:bCs/>
              </w:rPr>
              <w:t>Year One</w:t>
            </w:r>
          </w:p>
        </w:tc>
        <w:tc>
          <w:tcPr>
            <w:tcW w:w="1289" w:type="pct"/>
            <w:shd w:val="clear" w:color="auto" w:fill="E5DFEC" w:themeFill="accent4" w:themeFillTint="33"/>
          </w:tcPr>
          <w:p w14:paraId="18D09267">
            <w:pPr>
              <w:spacing w:after="240" w:line="360" w:lineRule="auto"/>
            </w:pPr>
            <w:r>
              <w:t>Leadership development, innovation challenges, career planning, continuous performance coaching</w:t>
            </w:r>
          </w:p>
        </w:tc>
        <w:tc>
          <w:tcPr>
            <w:tcW w:w="1440" w:type="pct"/>
            <w:shd w:val="clear" w:color="auto" w:fill="E5DFEC" w:themeFill="accent4" w:themeFillTint="33"/>
          </w:tcPr>
          <w:p w14:paraId="148D3C55">
            <w:pPr>
              <w:spacing w:after="240" w:line="360" w:lineRule="auto"/>
            </w:pPr>
            <w:r>
              <w:t>Sustain long-term organisational commitment, promote internal mobility, develop leadership capability, and reinforce organisational citizenship</w:t>
            </w:r>
          </w:p>
        </w:tc>
        <w:tc>
          <w:tcPr>
            <w:tcW w:w="1516" w:type="pct"/>
            <w:shd w:val="clear" w:color="auto" w:fill="E5DFEC" w:themeFill="accent4" w:themeFillTint="33"/>
          </w:tcPr>
          <w:p w14:paraId="0950443A">
            <w:pPr>
              <w:spacing w:after="240" w:line="360" w:lineRule="auto"/>
            </w:pPr>
            <w:r>
              <w:t>Improved retention, enhanced productivity, stronger organisational identification, continuous learning, and sustainable workforce performance</w:t>
            </w:r>
          </w:p>
        </w:tc>
      </w:tr>
    </w:tbl>
    <w:p w14:paraId="6C298DD7">
      <w:pPr>
        <w:spacing w:after="240"/>
      </w:pPr>
      <w:r>
        <w:br w:type="page"/>
      </w:r>
    </w:p>
    <w:p w14:paraId="113366AC">
      <w:pPr>
        <w:pStyle w:val="3"/>
        <w:spacing w:after="240"/>
      </w:pPr>
      <w:bookmarkStart w:id="36" w:name="_ar45b35odybw" w:colFirst="0" w:colLast="0"/>
      <w:bookmarkEnd w:id="36"/>
      <w:bookmarkStart w:id="37" w:name="_Toc235036907"/>
      <w:r>
        <w:t>Appendix 2: SMART Action Plan</w:t>
      </w:r>
      <w:bookmarkEnd w:id="37"/>
    </w:p>
    <w:tbl>
      <w:tblPr>
        <w:tblStyle w:val="22"/>
        <w:tblW w:w="5000" w:type="pct"/>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autofit"/>
        <w:tblCellMar>
          <w:top w:w="0" w:type="dxa"/>
          <w:left w:w="108" w:type="dxa"/>
          <w:bottom w:w="0" w:type="dxa"/>
          <w:right w:w="108" w:type="dxa"/>
        </w:tblCellMar>
      </w:tblPr>
      <w:tblGrid>
        <w:gridCol w:w="1778"/>
        <w:gridCol w:w="1508"/>
        <w:gridCol w:w="1779"/>
        <w:gridCol w:w="1159"/>
        <w:gridCol w:w="1611"/>
        <w:gridCol w:w="1741"/>
      </w:tblGrid>
      <w:tr w14:paraId="4A058ED5">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645" w:hRule="atLeast"/>
        </w:trPr>
        <w:tc>
          <w:tcPr>
            <w:tcW w:w="901" w:type="pct"/>
            <w:shd w:val="clear" w:color="auto" w:fill="FDE9D9" w:themeFill="accent6" w:themeFillTint="33"/>
          </w:tcPr>
          <w:p w14:paraId="7BF687CF">
            <w:pPr>
              <w:spacing w:after="240" w:line="360" w:lineRule="auto"/>
              <w:jc w:val="center"/>
              <w:rPr>
                <w:b/>
                <w:bCs/>
                <w:u w:val="single"/>
              </w:rPr>
            </w:pPr>
            <w:r>
              <w:rPr>
                <w:b/>
                <w:bCs/>
                <w:u w:val="single"/>
              </w:rPr>
              <w:t>Capability</w:t>
            </w:r>
          </w:p>
        </w:tc>
        <w:tc>
          <w:tcPr>
            <w:tcW w:w="783" w:type="pct"/>
            <w:shd w:val="clear" w:color="auto" w:fill="FDE9D9" w:themeFill="accent6" w:themeFillTint="33"/>
          </w:tcPr>
          <w:p w14:paraId="3BC4FA4C">
            <w:pPr>
              <w:spacing w:after="240" w:line="360" w:lineRule="auto"/>
              <w:jc w:val="center"/>
              <w:rPr>
                <w:b/>
                <w:bCs/>
                <w:u w:val="single"/>
              </w:rPr>
            </w:pPr>
            <w:r>
              <w:rPr>
                <w:b/>
                <w:bCs/>
                <w:u w:val="single"/>
              </w:rPr>
              <w:t>Current Level</w:t>
            </w:r>
          </w:p>
        </w:tc>
        <w:tc>
          <w:tcPr>
            <w:tcW w:w="960" w:type="pct"/>
            <w:shd w:val="clear" w:color="auto" w:fill="FDE9D9" w:themeFill="accent6" w:themeFillTint="33"/>
          </w:tcPr>
          <w:p w14:paraId="0EC3173F">
            <w:pPr>
              <w:spacing w:after="240" w:line="360" w:lineRule="auto"/>
              <w:jc w:val="center"/>
              <w:rPr>
                <w:b/>
                <w:bCs/>
                <w:u w:val="single"/>
              </w:rPr>
            </w:pPr>
            <w:r>
              <w:rPr>
                <w:b/>
                <w:bCs/>
                <w:u w:val="single"/>
              </w:rPr>
              <w:t>Action</w:t>
            </w:r>
          </w:p>
        </w:tc>
        <w:tc>
          <w:tcPr>
            <w:tcW w:w="572" w:type="pct"/>
            <w:shd w:val="clear" w:color="auto" w:fill="FDE9D9" w:themeFill="accent6" w:themeFillTint="33"/>
          </w:tcPr>
          <w:p w14:paraId="6D5F72FF">
            <w:pPr>
              <w:spacing w:after="240" w:line="360" w:lineRule="auto"/>
              <w:jc w:val="center"/>
              <w:rPr>
                <w:b/>
                <w:bCs/>
                <w:u w:val="single"/>
              </w:rPr>
            </w:pPr>
            <w:r>
              <w:rPr>
                <w:b/>
                <w:bCs/>
                <w:u w:val="single"/>
              </w:rPr>
              <w:t>Timeline</w:t>
            </w:r>
          </w:p>
        </w:tc>
        <w:tc>
          <w:tcPr>
            <w:tcW w:w="892" w:type="pct"/>
            <w:shd w:val="clear" w:color="auto" w:fill="FDE9D9" w:themeFill="accent6" w:themeFillTint="33"/>
          </w:tcPr>
          <w:p w14:paraId="01CB99CD">
            <w:pPr>
              <w:spacing w:after="240" w:line="360" w:lineRule="auto"/>
              <w:jc w:val="center"/>
              <w:rPr>
                <w:b/>
                <w:bCs/>
                <w:u w:val="single"/>
              </w:rPr>
            </w:pPr>
            <w:r>
              <w:rPr>
                <w:b/>
                <w:bCs/>
                <w:u w:val="single"/>
              </w:rPr>
              <w:t>Measurable</w:t>
            </w:r>
          </w:p>
        </w:tc>
        <w:tc>
          <w:tcPr>
            <w:tcW w:w="892" w:type="pct"/>
            <w:shd w:val="clear" w:color="auto" w:fill="FDE9D9" w:themeFill="accent6" w:themeFillTint="33"/>
          </w:tcPr>
          <w:p w14:paraId="7AD7F601">
            <w:pPr>
              <w:spacing w:after="240" w:line="360" w:lineRule="auto"/>
              <w:jc w:val="center"/>
              <w:rPr>
                <w:b/>
                <w:bCs/>
                <w:u w:val="single"/>
              </w:rPr>
            </w:pPr>
            <w:r>
              <w:rPr>
                <w:b/>
                <w:bCs/>
                <w:u w:val="single"/>
              </w:rPr>
              <w:t>Achievable</w:t>
            </w:r>
          </w:p>
        </w:tc>
      </w:tr>
      <w:tr w14:paraId="62278656">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2520" w:hRule="atLeast"/>
        </w:trPr>
        <w:tc>
          <w:tcPr>
            <w:tcW w:w="901" w:type="pct"/>
            <w:shd w:val="clear" w:color="auto" w:fill="FDE9D9" w:themeFill="accent6" w:themeFillTint="33"/>
          </w:tcPr>
          <w:p w14:paraId="524565B5">
            <w:pPr>
              <w:spacing w:after="240" w:line="360" w:lineRule="auto"/>
              <w:jc w:val="center"/>
            </w:pPr>
            <w:r>
              <w:t>Data Literacy</w:t>
            </w:r>
          </w:p>
        </w:tc>
        <w:tc>
          <w:tcPr>
            <w:tcW w:w="783" w:type="pct"/>
            <w:shd w:val="clear" w:color="auto" w:fill="FDE9D9" w:themeFill="accent6" w:themeFillTint="33"/>
          </w:tcPr>
          <w:p w14:paraId="4B5BB2E9">
            <w:pPr>
              <w:spacing w:after="240" w:line="360" w:lineRule="auto"/>
              <w:jc w:val="center"/>
            </w:pPr>
            <w:r>
              <w:t>Intermediate</w:t>
            </w:r>
          </w:p>
        </w:tc>
        <w:tc>
          <w:tcPr>
            <w:tcW w:w="960" w:type="pct"/>
            <w:shd w:val="clear" w:color="auto" w:fill="FDE9D9" w:themeFill="accent6" w:themeFillTint="33"/>
          </w:tcPr>
          <w:p w14:paraId="17EB6C8A">
            <w:pPr>
              <w:spacing w:after="240" w:line="360" w:lineRule="auto"/>
            </w:pPr>
            <w:r>
              <w:t>Complete advanced data analytics courses and practise HR dashboards</w:t>
            </w:r>
          </w:p>
        </w:tc>
        <w:tc>
          <w:tcPr>
            <w:tcW w:w="572" w:type="pct"/>
            <w:shd w:val="clear" w:color="auto" w:fill="FDE9D9" w:themeFill="accent6" w:themeFillTint="33"/>
          </w:tcPr>
          <w:p w14:paraId="3DAFA015">
            <w:pPr>
              <w:spacing w:after="240" w:line="360" w:lineRule="auto"/>
              <w:jc w:val="center"/>
            </w:pPr>
            <w:r>
              <w:t>6 months</w:t>
            </w:r>
          </w:p>
        </w:tc>
        <w:tc>
          <w:tcPr>
            <w:tcW w:w="892" w:type="pct"/>
            <w:shd w:val="clear" w:color="auto" w:fill="FDE9D9" w:themeFill="accent6" w:themeFillTint="33"/>
          </w:tcPr>
          <w:p w14:paraId="159D1714">
            <w:pPr>
              <w:spacing w:after="240" w:line="360" w:lineRule="auto"/>
            </w:pPr>
            <w:r>
              <w:t xml:space="preserve">Improve data analysis proficiency by </w:t>
            </w:r>
            <w:r>
              <w:rPr>
                <w:b/>
                <w:bCs/>
              </w:rPr>
              <w:t>30%</w:t>
            </w:r>
            <w:r>
              <w:t>, evidenced through assessment scores and project completion</w:t>
            </w:r>
          </w:p>
        </w:tc>
        <w:tc>
          <w:tcPr>
            <w:tcW w:w="892" w:type="pct"/>
            <w:shd w:val="clear" w:color="auto" w:fill="FDE9D9" w:themeFill="accent6" w:themeFillTint="33"/>
          </w:tcPr>
          <w:p w14:paraId="468B1EC0">
            <w:pPr>
              <w:spacing w:after="240" w:line="360" w:lineRule="auto"/>
            </w:pPr>
            <w:r>
              <w:t xml:space="preserve">Complete at least </w:t>
            </w:r>
            <w:r>
              <w:rPr>
                <w:b/>
                <w:bCs/>
              </w:rPr>
              <w:t>2 certified courses</w:t>
            </w:r>
            <w:r>
              <w:t xml:space="preserve"> and apply skills in academic projects</w:t>
            </w:r>
          </w:p>
        </w:tc>
      </w:tr>
      <w:tr w14:paraId="40F57975">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815" w:hRule="atLeast"/>
        </w:trPr>
        <w:tc>
          <w:tcPr>
            <w:tcW w:w="901" w:type="pct"/>
            <w:shd w:val="clear" w:color="auto" w:fill="FDE9D9" w:themeFill="accent6" w:themeFillTint="33"/>
          </w:tcPr>
          <w:p w14:paraId="2159823C">
            <w:pPr>
              <w:spacing w:after="240" w:line="360" w:lineRule="auto"/>
              <w:jc w:val="center"/>
            </w:pPr>
            <w:r>
              <w:t>People Analytics</w:t>
            </w:r>
          </w:p>
        </w:tc>
        <w:tc>
          <w:tcPr>
            <w:tcW w:w="783" w:type="pct"/>
            <w:shd w:val="clear" w:color="auto" w:fill="FDE9D9" w:themeFill="accent6" w:themeFillTint="33"/>
          </w:tcPr>
          <w:p w14:paraId="01E60E58">
            <w:pPr>
              <w:spacing w:after="240" w:line="360" w:lineRule="auto"/>
              <w:jc w:val="center"/>
            </w:pPr>
            <w:r>
              <w:t>Basic</w:t>
            </w:r>
          </w:p>
        </w:tc>
        <w:tc>
          <w:tcPr>
            <w:tcW w:w="960" w:type="pct"/>
            <w:shd w:val="clear" w:color="auto" w:fill="FDE9D9" w:themeFill="accent6" w:themeFillTint="33"/>
          </w:tcPr>
          <w:p w14:paraId="71C0F193">
            <w:pPr>
              <w:spacing w:after="240" w:line="360" w:lineRule="auto"/>
            </w:pPr>
            <w:r>
              <w:t>Learn HR analytics tools and workforce metrics</w:t>
            </w:r>
          </w:p>
        </w:tc>
        <w:tc>
          <w:tcPr>
            <w:tcW w:w="572" w:type="pct"/>
            <w:shd w:val="clear" w:color="auto" w:fill="FDE9D9" w:themeFill="accent6" w:themeFillTint="33"/>
          </w:tcPr>
          <w:p w14:paraId="120089AC">
            <w:pPr>
              <w:spacing w:after="240" w:line="360" w:lineRule="auto"/>
              <w:jc w:val="center"/>
            </w:pPr>
            <w:r>
              <w:t>6 months</w:t>
            </w:r>
          </w:p>
        </w:tc>
        <w:tc>
          <w:tcPr>
            <w:tcW w:w="892" w:type="pct"/>
            <w:shd w:val="clear" w:color="auto" w:fill="FDE9D9" w:themeFill="accent6" w:themeFillTint="33"/>
          </w:tcPr>
          <w:p w14:paraId="39AE39DE">
            <w:pPr>
              <w:spacing w:after="240" w:line="360" w:lineRule="auto"/>
            </w:pPr>
            <w:r>
              <w:t xml:space="preserve">Increase analytical competency by </w:t>
            </w:r>
            <w:r>
              <w:rPr>
                <w:b/>
                <w:bCs/>
              </w:rPr>
              <w:t>25%</w:t>
            </w:r>
            <w:r>
              <w:t xml:space="preserve"> through successful practical exercises</w:t>
            </w:r>
          </w:p>
        </w:tc>
        <w:tc>
          <w:tcPr>
            <w:tcW w:w="892" w:type="pct"/>
            <w:shd w:val="clear" w:color="auto" w:fill="FDE9D9" w:themeFill="accent6" w:themeFillTint="33"/>
          </w:tcPr>
          <w:p w14:paraId="6BEEBDD5">
            <w:pPr>
              <w:spacing w:after="240" w:line="360" w:lineRule="auto"/>
              <w:rPr>
                <w:b/>
                <w:bCs/>
              </w:rPr>
            </w:pPr>
            <w:r>
              <w:t xml:space="preserve">Develop and analyse </w:t>
            </w:r>
            <w:r>
              <w:rPr>
                <w:b/>
                <w:bCs/>
              </w:rPr>
              <w:t>3 HR analytics case studies</w:t>
            </w:r>
          </w:p>
        </w:tc>
      </w:tr>
      <w:tr w14:paraId="78ABA28F">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815" w:hRule="atLeast"/>
        </w:trPr>
        <w:tc>
          <w:tcPr>
            <w:tcW w:w="901" w:type="pct"/>
            <w:shd w:val="clear" w:color="auto" w:fill="FDE9D9" w:themeFill="accent6" w:themeFillTint="33"/>
          </w:tcPr>
          <w:p w14:paraId="244158B2">
            <w:pPr>
              <w:spacing w:after="240" w:line="360" w:lineRule="auto"/>
              <w:jc w:val="center"/>
            </w:pPr>
            <w:r>
              <w:t>AI Augmentation</w:t>
            </w:r>
          </w:p>
        </w:tc>
        <w:tc>
          <w:tcPr>
            <w:tcW w:w="783" w:type="pct"/>
            <w:shd w:val="clear" w:color="auto" w:fill="FDE9D9" w:themeFill="accent6" w:themeFillTint="33"/>
          </w:tcPr>
          <w:p w14:paraId="79F45A4F">
            <w:pPr>
              <w:spacing w:after="240" w:line="360" w:lineRule="auto"/>
              <w:jc w:val="center"/>
            </w:pPr>
            <w:r>
              <w:t>Intermediate</w:t>
            </w:r>
          </w:p>
        </w:tc>
        <w:tc>
          <w:tcPr>
            <w:tcW w:w="960" w:type="pct"/>
            <w:shd w:val="clear" w:color="auto" w:fill="FDE9D9" w:themeFill="accent6" w:themeFillTint="33"/>
          </w:tcPr>
          <w:p w14:paraId="2E398B00">
            <w:pPr>
              <w:spacing w:after="240" w:line="360" w:lineRule="auto"/>
            </w:pPr>
            <w:r>
              <w:t>Complete AI in HR training and practise ethical AI applications</w:t>
            </w:r>
          </w:p>
        </w:tc>
        <w:tc>
          <w:tcPr>
            <w:tcW w:w="572" w:type="pct"/>
            <w:shd w:val="clear" w:color="auto" w:fill="FDE9D9" w:themeFill="accent6" w:themeFillTint="33"/>
          </w:tcPr>
          <w:p w14:paraId="7096540A">
            <w:pPr>
              <w:spacing w:after="240" w:line="360" w:lineRule="auto"/>
              <w:jc w:val="center"/>
            </w:pPr>
            <w:r>
              <w:t>4 months</w:t>
            </w:r>
          </w:p>
        </w:tc>
        <w:tc>
          <w:tcPr>
            <w:tcW w:w="892" w:type="pct"/>
            <w:shd w:val="clear" w:color="auto" w:fill="FDE9D9" w:themeFill="accent6" w:themeFillTint="33"/>
          </w:tcPr>
          <w:p w14:paraId="52230A0E">
            <w:pPr>
              <w:spacing w:after="240" w:line="360" w:lineRule="auto"/>
            </w:pPr>
            <w:r>
              <w:t xml:space="preserve">Improve AI application skills by </w:t>
            </w:r>
            <w:r>
              <w:rPr>
                <w:b/>
                <w:bCs/>
              </w:rPr>
              <w:t>35%</w:t>
            </w:r>
            <w:r>
              <w:t xml:space="preserve"> through certification and practical tasks</w:t>
            </w:r>
          </w:p>
        </w:tc>
        <w:tc>
          <w:tcPr>
            <w:tcW w:w="892" w:type="pct"/>
            <w:shd w:val="clear" w:color="auto" w:fill="FDE9D9" w:themeFill="accent6" w:themeFillTint="33"/>
          </w:tcPr>
          <w:p w14:paraId="25458FD5">
            <w:pPr>
              <w:spacing w:after="240" w:line="360" w:lineRule="auto"/>
              <w:rPr>
                <w:b/>
                <w:bCs/>
              </w:rPr>
            </w:pPr>
            <w:r>
              <w:t xml:space="preserve">Successfully complete </w:t>
            </w:r>
            <w:r>
              <w:rPr>
                <w:b/>
                <w:bCs/>
              </w:rPr>
              <w:t>1 professional AI certification</w:t>
            </w:r>
          </w:p>
        </w:tc>
      </w:tr>
      <w:tr w14:paraId="6434757F">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815" w:hRule="atLeast"/>
        </w:trPr>
        <w:tc>
          <w:tcPr>
            <w:tcW w:w="901" w:type="pct"/>
            <w:shd w:val="clear" w:color="auto" w:fill="FDE9D9" w:themeFill="accent6" w:themeFillTint="33"/>
          </w:tcPr>
          <w:p w14:paraId="6B885363">
            <w:pPr>
              <w:spacing w:after="240" w:line="360" w:lineRule="auto"/>
              <w:jc w:val="center"/>
            </w:pPr>
            <w:r>
              <w:t>Strategic Influencing</w:t>
            </w:r>
          </w:p>
        </w:tc>
        <w:tc>
          <w:tcPr>
            <w:tcW w:w="783" w:type="pct"/>
            <w:shd w:val="clear" w:color="auto" w:fill="FDE9D9" w:themeFill="accent6" w:themeFillTint="33"/>
          </w:tcPr>
          <w:p w14:paraId="67F3FE84">
            <w:pPr>
              <w:spacing w:after="240" w:line="360" w:lineRule="auto"/>
              <w:jc w:val="center"/>
            </w:pPr>
            <w:r>
              <w:t>Basic</w:t>
            </w:r>
          </w:p>
        </w:tc>
        <w:tc>
          <w:tcPr>
            <w:tcW w:w="960" w:type="pct"/>
            <w:shd w:val="clear" w:color="auto" w:fill="FDE9D9" w:themeFill="accent6" w:themeFillTint="33"/>
          </w:tcPr>
          <w:p w14:paraId="1677EA0B">
            <w:pPr>
              <w:spacing w:after="240" w:line="360" w:lineRule="auto"/>
            </w:pPr>
            <w:r>
              <w:t>Attend leadership workshops and practise stakeholder communication</w:t>
            </w:r>
          </w:p>
        </w:tc>
        <w:tc>
          <w:tcPr>
            <w:tcW w:w="572" w:type="pct"/>
            <w:shd w:val="clear" w:color="auto" w:fill="FDE9D9" w:themeFill="accent6" w:themeFillTint="33"/>
          </w:tcPr>
          <w:p w14:paraId="115A648B">
            <w:pPr>
              <w:spacing w:after="240" w:line="360" w:lineRule="auto"/>
              <w:jc w:val="center"/>
            </w:pPr>
            <w:r>
              <w:t>8 months</w:t>
            </w:r>
          </w:p>
        </w:tc>
        <w:tc>
          <w:tcPr>
            <w:tcW w:w="892" w:type="pct"/>
            <w:shd w:val="clear" w:color="auto" w:fill="FDE9D9" w:themeFill="accent6" w:themeFillTint="33"/>
          </w:tcPr>
          <w:p w14:paraId="53CFD2FB">
            <w:pPr>
              <w:spacing w:after="240" w:line="360" w:lineRule="auto"/>
            </w:pPr>
            <w:r>
              <w:t xml:space="preserve">Improve influencing capability by </w:t>
            </w:r>
            <w:r>
              <w:rPr>
                <w:b/>
                <w:bCs/>
              </w:rPr>
              <w:t>30%</w:t>
            </w:r>
            <w:r>
              <w:t xml:space="preserve"> based on mentor feedback and presentations</w:t>
            </w:r>
          </w:p>
        </w:tc>
        <w:tc>
          <w:tcPr>
            <w:tcW w:w="892" w:type="pct"/>
            <w:shd w:val="clear" w:color="auto" w:fill="FDE9D9" w:themeFill="accent6" w:themeFillTint="33"/>
          </w:tcPr>
          <w:p w14:paraId="66DDC0A5">
            <w:pPr>
              <w:spacing w:after="240" w:line="360" w:lineRule="auto"/>
            </w:pPr>
            <w:r>
              <w:t xml:space="preserve">Deliver </w:t>
            </w:r>
            <w:r>
              <w:rPr>
                <w:b/>
                <w:bCs/>
              </w:rPr>
              <w:t>4 professional presentations</w:t>
            </w:r>
            <w:r>
              <w:t xml:space="preserve"> with positive feedback</w:t>
            </w:r>
          </w:p>
        </w:tc>
      </w:tr>
      <w:tr w14:paraId="15A3BC36">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1590" w:hRule="atLeast"/>
        </w:trPr>
        <w:tc>
          <w:tcPr>
            <w:tcW w:w="901" w:type="pct"/>
            <w:shd w:val="clear" w:color="auto" w:fill="FDE9D9" w:themeFill="accent6" w:themeFillTint="33"/>
          </w:tcPr>
          <w:p w14:paraId="4B8C7722">
            <w:pPr>
              <w:spacing w:after="240" w:line="360" w:lineRule="auto"/>
              <w:jc w:val="center"/>
            </w:pPr>
            <w:r>
              <w:t>Global HR</w:t>
            </w:r>
          </w:p>
        </w:tc>
        <w:tc>
          <w:tcPr>
            <w:tcW w:w="783" w:type="pct"/>
            <w:shd w:val="clear" w:color="auto" w:fill="FDE9D9" w:themeFill="accent6" w:themeFillTint="33"/>
          </w:tcPr>
          <w:p w14:paraId="66C31FB4">
            <w:pPr>
              <w:spacing w:after="240" w:line="360" w:lineRule="auto"/>
              <w:jc w:val="center"/>
            </w:pPr>
            <w:r>
              <w:t>Basic</w:t>
            </w:r>
          </w:p>
        </w:tc>
        <w:tc>
          <w:tcPr>
            <w:tcW w:w="960" w:type="pct"/>
            <w:shd w:val="clear" w:color="auto" w:fill="FDE9D9" w:themeFill="accent6" w:themeFillTint="33"/>
          </w:tcPr>
          <w:p w14:paraId="66A419C0">
            <w:pPr>
              <w:spacing w:after="240" w:line="360" w:lineRule="auto"/>
            </w:pPr>
            <w:r>
              <w:t>Study international HR practices and employment regulations</w:t>
            </w:r>
          </w:p>
        </w:tc>
        <w:tc>
          <w:tcPr>
            <w:tcW w:w="572" w:type="pct"/>
            <w:shd w:val="clear" w:color="auto" w:fill="FDE9D9" w:themeFill="accent6" w:themeFillTint="33"/>
          </w:tcPr>
          <w:p w14:paraId="407CC107">
            <w:pPr>
              <w:spacing w:after="240" w:line="360" w:lineRule="auto"/>
              <w:jc w:val="center"/>
            </w:pPr>
            <w:r>
              <w:t>8 months</w:t>
            </w:r>
          </w:p>
        </w:tc>
        <w:tc>
          <w:tcPr>
            <w:tcW w:w="892" w:type="pct"/>
            <w:shd w:val="clear" w:color="auto" w:fill="FDE9D9" w:themeFill="accent6" w:themeFillTint="33"/>
          </w:tcPr>
          <w:p w14:paraId="0D060110">
            <w:pPr>
              <w:spacing w:after="240" w:line="360" w:lineRule="auto"/>
            </w:pPr>
            <w:r>
              <w:t xml:space="preserve">Increase knowledge by </w:t>
            </w:r>
            <w:r>
              <w:rPr>
                <w:b/>
                <w:bCs/>
              </w:rPr>
              <w:t>25%</w:t>
            </w:r>
            <w:r>
              <w:t xml:space="preserve"> through coursework and case analyses</w:t>
            </w:r>
          </w:p>
        </w:tc>
        <w:tc>
          <w:tcPr>
            <w:tcW w:w="892" w:type="pct"/>
            <w:shd w:val="clear" w:color="auto" w:fill="FDE9D9" w:themeFill="accent6" w:themeFillTint="33"/>
          </w:tcPr>
          <w:p w14:paraId="3A637C48">
            <w:pPr>
              <w:spacing w:after="240" w:line="360" w:lineRule="auto"/>
              <w:rPr>
                <w:b/>
                <w:bCs/>
              </w:rPr>
            </w:pPr>
            <w:r>
              <w:t xml:space="preserve">Complete </w:t>
            </w:r>
            <w:r>
              <w:rPr>
                <w:b/>
                <w:bCs/>
              </w:rPr>
              <w:t>2 global HR courses</w:t>
            </w:r>
            <w:r>
              <w:t xml:space="preserve"> and analyse </w:t>
            </w:r>
            <w:r>
              <w:rPr>
                <w:b/>
                <w:bCs/>
              </w:rPr>
              <w:t>5 international case studies</w:t>
            </w:r>
          </w:p>
        </w:tc>
      </w:tr>
      <w:tr w14:paraId="452868CA">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2055" w:hRule="atLeast"/>
        </w:trPr>
        <w:tc>
          <w:tcPr>
            <w:tcW w:w="901" w:type="pct"/>
            <w:shd w:val="clear" w:color="auto" w:fill="FDE9D9" w:themeFill="accent6" w:themeFillTint="33"/>
          </w:tcPr>
          <w:p w14:paraId="4578263A">
            <w:pPr>
              <w:spacing w:after="240" w:line="360" w:lineRule="auto"/>
              <w:jc w:val="center"/>
            </w:pPr>
            <w:r>
              <w:t>Ethical Leadership</w:t>
            </w:r>
          </w:p>
        </w:tc>
        <w:tc>
          <w:tcPr>
            <w:tcW w:w="783" w:type="pct"/>
            <w:shd w:val="clear" w:color="auto" w:fill="FDE9D9" w:themeFill="accent6" w:themeFillTint="33"/>
          </w:tcPr>
          <w:p w14:paraId="2D5F6B45">
            <w:pPr>
              <w:spacing w:after="240" w:line="360" w:lineRule="auto"/>
              <w:jc w:val="center"/>
            </w:pPr>
            <w:r>
              <w:t>Intermediate</w:t>
            </w:r>
          </w:p>
        </w:tc>
        <w:tc>
          <w:tcPr>
            <w:tcW w:w="960" w:type="pct"/>
            <w:shd w:val="clear" w:color="auto" w:fill="FDE9D9" w:themeFill="accent6" w:themeFillTint="33"/>
          </w:tcPr>
          <w:p w14:paraId="40A2F4A2">
            <w:pPr>
              <w:spacing w:after="240" w:line="360" w:lineRule="auto"/>
            </w:pPr>
            <w:r>
              <w:t>Undertake ethics training and apply ethical frameworks</w:t>
            </w:r>
          </w:p>
        </w:tc>
        <w:tc>
          <w:tcPr>
            <w:tcW w:w="572" w:type="pct"/>
            <w:shd w:val="clear" w:color="auto" w:fill="FDE9D9" w:themeFill="accent6" w:themeFillTint="33"/>
          </w:tcPr>
          <w:p w14:paraId="468FB807">
            <w:pPr>
              <w:spacing w:after="240" w:line="360" w:lineRule="auto"/>
              <w:jc w:val="center"/>
            </w:pPr>
            <w:r>
              <w:t>6 months</w:t>
            </w:r>
          </w:p>
        </w:tc>
        <w:tc>
          <w:tcPr>
            <w:tcW w:w="892" w:type="pct"/>
            <w:shd w:val="clear" w:color="auto" w:fill="FDE9D9" w:themeFill="accent6" w:themeFillTint="33"/>
          </w:tcPr>
          <w:p w14:paraId="1293C1D5">
            <w:pPr>
              <w:spacing w:after="240" w:line="360" w:lineRule="auto"/>
            </w:pPr>
            <w:r>
              <w:t xml:space="preserve">Improve ethical decision-making capability by </w:t>
            </w:r>
            <w:r>
              <w:rPr>
                <w:b/>
                <w:bCs/>
              </w:rPr>
              <w:t>30%</w:t>
            </w:r>
            <w:r>
              <w:t xml:space="preserve"> through reflective assessments</w:t>
            </w:r>
          </w:p>
        </w:tc>
        <w:tc>
          <w:tcPr>
            <w:tcW w:w="892" w:type="pct"/>
            <w:shd w:val="clear" w:color="auto" w:fill="FDE9D9" w:themeFill="accent6" w:themeFillTint="33"/>
          </w:tcPr>
          <w:p w14:paraId="497FC153">
            <w:pPr>
              <w:spacing w:after="240" w:line="360" w:lineRule="auto"/>
              <w:rPr>
                <w:b/>
                <w:bCs/>
              </w:rPr>
            </w:pPr>
            <w:r>
              <w:t xml:space="preserve">Complete </w:t>
            </w:r>
            <w:r>
              <w:rPr>
                <w:b/>
                <w:bCs/>
              </w:rPr>
              <w:t>1 ethics programme</w:t>
            </w:r>
            <w:r>
              <w:t xml:space="preserve"> and produce </w:t>
            </w:r>
            <w:r>
              <w:rPr>
                <w:b/>
                <w:bCs/>
              </w:rPr>
              <w:t>3 reflective evaluations</w:t>
            </w:r>
          </w:p>
        </w:tc>
      </w:tr>
      <w:tr w14:paraId="34813866">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rPr>
          <w:trHeight w:val="2055" w:hRule="atLeast"/>
        </w:trPr>
        <w:tc>
          <w:tcPr>
            <w:tcW w:w="901" w:type="pct"/>
            <w:shd w:val="clear" w:color="auto" w:fill="FDE9D9" w:themeFill="accent6" w:themeFillTint="33"/>
          </w:tcPr>
          <w:p w14:paraId="3A48ECD8">
            <w:pPr>
              <w:spacing w:after="240" w:line="360" w:lineRule="auto"/>
              <w:jc w:val="center"/>
            </w:pPr>
            <w:r>
              <w:t>Digital Transformation</w:t>
            </w:r>
          </w:p>
        </w:tc>
        <w:tc>
          <w:tcPr>
            <w:tcW w:w="783" w:type="pct"/>
            <w:shd w:val="clear" w:color="auto" w:fill="FDE9D9" w:themeFill="accent6" w:themeFillTint="33"/>
          </w:tcPr>
          <w:p w14:paraId="1AB2DDAF">
            <w:pPr>
              <w:spacing w:after="240" w:line="360" w:lineRule="auto"/>
              <w:jc w:val="center"/>
            </w:pPr>
            <w:r>
              <w:t>Basic</w:t>
            </w:r>
          </w:p>
        </w:tc>
        <w:tc>
          <w:tcPr>
            <w:tcW w:w="960" w:type="pct"/>
            <w:shd w:val="clear" w:color="auto" w:fill="FDE9D9" w:themeFill="accent6" w:themeFillTint="33"/>
          </w:tcPr>
          <w:p w14:paraId="5AEF336D">
            <w:pPr>
              <w:spacing w:after="240" w:line="360" w:lineRule="auto"/>
            </w:pPr>
            <w:r>
              <w:t>Develop knowledge of HRIS and digital HR technologies</w:t>
            </w:r>
          </w:p>
        </w:tc>
        <w:tc>
          <w:tcPr>
            <w:tcW w:w="572" w:type="pct"/>
            <w:shd w:val="clear" w:color="auto" w:fill="FDE9D9" w:themeFill="accent6" w:themeFillTint="33"/>
          </w:tcPr>
          <w:p w14:paraId="2594C6EC">
            <w:pPr>
              <w:spacing w:after="240" w:line="360" w:lineRule="auto"/>
              <w:jc w:val="center"/>
            </w:pPr>
            <w:r>
              <w:t>8 months</w:t>
            </w:r>
          </w:p>
        </w:tc>
        <w:tc>
          <w:tcPr>
            <w:tcW w:w="892" w:type="pct"/>
            <w:shd w:val="clear" w:color="auto" w:fill="FDE9D9" w:themeFill="accent6" w:themeFillTint="33"/>
          </w:tcPr>
          <w:p w14:paraId="57A01BE8">
            <w:pPr>
              <w:spacing w:after="240" w:line="360" w:lineRule="auto"/>
            </w:pPr>
            <w:r>
              <w:t xml:space="preserve">Increase digital HR competency by </w:t>
            </w:r>
            <w:r>
              <w:rPr>
                <w:b/>
                <w:bCs/>
              </w:rPr>
              <w:t>30%</w:t>
            </w:r>
            <w:r>
              <w:t xml:space="preserve"> through practical system simulations</w:t>
            </w:r>
          </w:p>
        </w:tc>
        <w:tc>
          <w:tcPr>
            <w:tcW w:w="892" w:type="pct"/>
            <w:shd w:val="clear" w:color="auto" w:fill="FDE9D9" w:themeFill="accent6" w:themeFillTint="33"/>
          </w:tcPr>
          <w:p w14:paraId="345B7AC2">
            <w:pPr>
              <w:spacing w:after="240" w:line="360" w:lineRule="auto"/>
            </w:pPr>
            <w:r>
              <w:t xml:space="preserve">Complete </w:t>
            </w:r>
            <w:r>
              <w:rPr>
                <w:b/>
                <w:bCs/>
              </w:rPr>
              <w:t>2 digital HR training programmes</w:t>
            </w:r>
            <w:r>
              <w:t xml:space="preserve"> and demonstrate practical application</w:t>
            </w:r>
          </w:p>
        </w:tc>
      </w:tr>
    </w:tbl>
    <w:p w14:paraId="5C5D6550">
      <w:pPr>
        <w:spacing w:after="240"/>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9E3447A6-626C-4C9C-B7ED-6A6F28A4A7F9}"/>
  </w:font>
  <w:font w:name="Arial">
    <w:panose1 w:val="020B0604020202020204"/>
    <w:charset w:val="86"/>
    <w:family w:val="swiss"/>
    <w:pitch w:val="default"/>
    <w:sig w:usb0="E0002EFF" w:usb1="C000785B" w:usb2="00000009" w:usb3="00000000" w:csb0="400001FF" w:csb1="FFFF0000"/>
    <w:embedRegular r:id="rId2" w:fontKey="{9F52819C-2B45-43EB-9CE7-D7DF6BE7AC0B}"/>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A2A7E951-312A-47AC-A690-0816B71E4E3C}"/>
  </w:font>
  <w:font w:name="Wingdings">
    <w:panose1 w:val="05000000000000000000"/>
    <w:charset w:val="02"/>
    <w:family w:val="auto"/>
    <w:pitch w:val="default"/>
    <w:sig w:usb0="00000000" w:usb1="00000000" w:usb2="00000000" w:usb3="00000000" w:csb0="80000000" w:csb1="00000000"/>
    <w:embedRegular r:id="rId4" w:fontKey="{AB8B73E4-D17F-46D7-9320-E78E69A13CAE}"/>
  </w:font>
  <w:font w:name="Calibri">
    <w:panose1 w:val="020F0502020204030204"/>
    <w:charset w:val="00"/>
    <w:family w:val="swiss"/>
    <w:pitch w:val="default"/>
    <w:sig w:usb0="E4002EFF" w:usb1="C200247B" w:usb2="00000009" w:usb3="00000000" w:csb0="200001FF" w:csb1="00000000"/>
    <w:embedRegular r:id="rId5" w:fontKey="{B55423F2-39CA-400F-A7ED-494759841C11}"/>
  </w:font>
  <w:font w:name="Cambria">
    <w:panose1 w:val="02040503050406030204"/>
    <w:charset w:val="00"/>
    <w:family w:val="roman"/>
    <w:pitch w:val="default"/>
    <w:sig w:usb0="E00006FF" w:usb1="420024FF" w:usb2="02000000" w:usb3="00000000" w:csb0="2000019F" w:csb1="00000000"/>
    <w:embedRegular r:id="rId6" w:fontKey="{60436377-7E2E-4500-8A3A-21BCB4FF804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09F27">
    <w:pPr>
      <w:jc w:val="right"/>
      <w:rPr>
        <w:sz w:val="20"/>
        <w:szCs w:val="20"/>
      </w:rPr>
    </w:pPr>
    <w:r>
      <w:rPr>
        <w:sz w:val="20"/>
        <w:szCs w:val="20"/>
      </w:rPr>
      <w:fldChar w:fldCharType="begin"/>
    </w:r>
    <w:r>
      <w:rPr>
        <w:sz w:val="20"/>
        <w:szCs w:val="20"/>
      </w:rPr>
      <w:instrText xml:space="preserve">PAGE</w:instrText>
    </w:r>
    <w:r>
      <w:rPr>
        <w:sz w:val="20"/>
        <w:szCs w:val="20"/>
      </w:rPr>
      <w:fldChar w:fldCharType="separate"/>
    </w:r>
    <w:r>
      <w:rPr>
        <w:sz w:val="20"/>
        <w:szCs w:val="20"/>
      </w:rPr>
      <w:t>6</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removePersonalInformation/>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16D"/>
    <w:rsid w:val="000C0C11"/>
    <w:rsid w:val="001B1D0D"/>
    <w:rsid w:val="00393E5E"/>
    <w:rsid w:val="004570C5"/>
    <w:rsid w:val="00653B97"/>
    <w:rsid w:val="0084716D"/>
    <w:rsid w:val="008C13AF"/>
    <w:rsid w:val="00901710"/>
    <w:rsid w:val="00925DFD"/>
    <w:rsid w:val="00BA7D77"/>
    <w:rsid w:val="00CE1FD8"/>
    <w:rsid w:val="00D019DB"/>
    <w:rsid w:val="00D903E9"/>
    <w:rsid w:val="00E95777"/>
    <w:rsid w:val="00EA2A9D"/>
    <w:rsid w:val="00FB253C"/>
    <w:rsid w:val="056D549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Arial" w:hAnsi="Arial" w:eastAsia="Arial" w:cs="Arial"/>
      <w:sz w:val="24"/>
      <w:szCs w:val="24"/>
      <w:lang w:val="en-GB" w:eastAsia="en-IN" w:bidi="ar-SA"/>
    </w:rPr>
  </w:style>
  <w:style w:type="paragraph" w:styleId="2">
    <w:name w:val="heading 1"/>
    <w:basedOn w:val="1"/>
    <w:next w:val="1"/>
    <w:qFormat/>
    <w:uiPriority w:val="9"/>
    <w:pPr>
      <w:keepNext/>
      <w:keepLines/>
      <w:spacing w:before="120" w:after="120"/>
      <w:outlineLvl w:val="0"/>
    </w:pPr>
    <w:rPr>
      <w:b/>
      <w:bCs/>
      <w:sz w:val="28"/>
      <w:szCs w:val="28"/>
    </w:rPr>
  </w:style>
  <w:style w:type="paragraph" w:styleId="3">
    <w:name w:val="heading 2"/>
    <w:basedOn w:val="1"/>
    <w:next w:val="1"/>
    <w:unhideWhenUsed/>
    <w:qFormat/>
    <w:uiPriority w:val="9"/>
    <w:pPr>
      <w:keepNext/>
      <w:keepLines/>
      <w:spacing w:before="120" w:after="120"/>
      <w:outlineLvl w:val="1"/>
    </w:pPr>
    <w:rPr>
      <w:b/>
      <w:bCs/>
      <w:sz w:val="26"/>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iCs/>
      <w:color w:val="666666"/>
      <w:sz w:val="22"/>
      <w:szCs w:val="22"/>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4"/>
    <w:unhideWhenUsed/>
    <w:qFormat/>
    <w:uiPriority w:val="99"/>
    <w:pPr>
      <w:tabs>
        <w:tab w:val="center" w:pos="4513"/>
        <w:tab w:val="right" w:pos="9026"/>
      </w:tabs>
      <w:spacing w:line="240" w:lineRule="auto"/>
    </w:pPr>
  </w:style>
  <w:style w:type="paragraph" w:styleId="11">
    <w:name w:val="header"/>
    <w:basedOn w:val="1"/>
    <w:link w:val="23"/>
    <w:unhideWhenUsed/>
    <w:qFormat/>
    <w:uiPriority w:val="99"/>
    <w:pPr>
      <w:tabs>
        <w:tab w:val="center" w:pos="4513"/>
        <w:tab w:val="right" w:pos="9026"/>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after="320"/>
    </w:pPr>
    <w:rPr>
      <w:color w:val="666666"/>
      <w:sz w:val="30"/>
      <w:szCs w:val="30"/>
    </w:rPr>
  </w:style>
  <w:style w:type="paragraph" w:styleId="14">
    <w:name w:val="Title"/>
    <w:basedOn w:val="1"/>
    <w:next w:val="1"/>
    <w:qFormat/>
    <w:uiPriority w:val="10"/>
    <w:pPr>
      <w:keepNext/>
      <w:keepLines/>
      <w:spacing w:after="60"/>
    </w:pPr>
    <w:rPr>
      <w:sz w:val="52"/>
      <w:szCs w:val="52"/>
    </w:rPr>
  </w:style>
  <w:style w:type="paragraph" w:styleId="15">
    <w:name w:val="toc 1"/>
    <w:basedOn w:val="1"/>
    <w:next w:val="1"/>
    <w:autoRedefine/>
    <w:unhideWhenUsed/>
    <w:uiPriority w:val="39"/>
    <w:pPr>
      <w:spacing w:after="100"/>
    </w:pPr>
  </w:style>
  <w:style w:type="paragraph" w:styleId="16">
    <w:name w:val="toc 2"/>
    <w:basedOn w:val="1"/>
    <w:next w:val="1"/>
    <w:autoRedefine/>
    <w:unhideWhenUsed/>
    <w:uiPriority w:val="39"/>
    <w:pPr>
      <w:spacing w:after="100"/>
      <w:ind w:left="240"/>
    </w:pPr>
  </w:style>
  <w:style w:type="table" w:customStyle="1" w:styleId="17">
    <w:name w:val="TableNormal"/>
    <w:uiPriority w:val="0"/>
    <w:tblPr>
      <w:tblCellMar>
        <w:top w:w="100" w:type="dxa"/>
        <w:left w:w="100" w:type="dxa"/>
        <w:bottom w:w="100" w:type="dxa"/>
        <w:right w:w="100" w:type="dxa"/>
      </w:tblCellMar>
    </w:tblPr>
  </w:style>
  <w:style w:type="table" w:customStyle="1" w:styleId="18">
    <w:name w:val="_Style 12"/>
    <w:basedOn w:val="17"/>
    <w:qFormat/>
    <w:uiPriority w:val="0"/>
  </w:style>
  <w:style w:type="table" w:customStyle="1" w:styleId="19">
    <w:name w:val="_Style 13"/>
    <w:basedOn w:val="17"/>
    <w:uiPriority w:val="0"/>
  </w:style>
  <w:style w:type="paragraph" w:customStyle="1" w:styleId="20">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bCs w:val="0"/>
      <w:color w:val="376092" w:themeColor="accent1" w:themeShade="BF"/>
      <w:sz w:val="32"/>
      <w:szCs w:val="32"/>
      <w:lang w:val="en-US" w:eastAsia="en-US"/>
    </w:rPr>
  </w:style>
  <w:style w:type="table" w:customStyle="1" w:styleId="21">
    <w:name w:val="Grid Table 5 Dark Accent 4"/>
    <w:basedOn w:val="9"/>
    <w:uiPriority w:val="50"/>
    <w:pPr>
      <w:spacing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5DFEC" w:themeFill="accent4"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064A2" w:themeFill="accent4"/>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064A2" w:themeFill="accent4"/>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8064A2" w:themeFill="accent4"/>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064A2" w:themeFill="accent4"/>
      </w:tcPr>
    </w:tblStylePr>
    <w:tblStylePr w:type="band1Vert">
      <w:tcPr>
        <w:shd w:val="clear" w:color="auto" w:fill="CCC0D9" w:themeFill="accent4" w:themeFillTint="66"/>
      </w:tcPr>
    </w:tblStylePr>
    <w:tblStylePr w:type="band1Horz">
      <w:tcPr>
        <w:shd w:val="clear" w:color="auto" w:fill="CCC0D9" w:themeFill="accent4" w:themeFillTint="66"/>
      </w:tcPr>
    </w:tblStylePr>
  </w:style>
  <w:style w:type="table" w:customStyle="1" w:styleId="22">
    <w:name w:val="Grid Table 5 Dark Accent 6"/>
    <w:basedOn w:val="9"/>
    <w:qFormat/>
    <w:uiPriority w:val="50"/>
    <w:pPr>
      <w:spacing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DE9D9" w:themeFill="accent6"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79646" w:themeFill="accent6"/>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79646" w:themeFill="accent6"/>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F79646" w:themeFill="accent6"/>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79646" w:themeFill="accent6"/>
      </w:tcPr>
    </w:tblStylePr>
    <w:tblStylePr w:type="band1Vert">
      <w:tcPr>
        <w:shd w:val="clear" w:color="auto" w:fill="FBD4B4" w:themeFill="accent6" w:themeFillTint="66"/>
      </w:tcPr>
    </w:tblStylePr>
    <w:tblStylePr w:type="band1Horz">
      <w:tcPr>
        <w:shd w:val="clear" w:color="auto" w:fill="FBD4B4" w:themeFill="accent6" w:themeFillTint="66"/>
      </w:tcPr>
    </w:tblStylePr>
  </w:style>
  <w:style w:type="character" w:customStyle="1" w:styleId="23">
    <w:name w:val="Header Char"/>
    <w:basedOn w:val="8"/>
    <w:link w:val="11"/>
    <w:uiPriority w:val="99"/>
  </w:style>
  <w:style w:type="character" w:customStyle="1" w:styleId="24">
    <w:name w:val="Footer Char"/>
    <w:basedOn w:val="8"/>
    <w:link w:val="10"/>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D670-330E-45FD-A276-A58D0450AB6D}">
  <ds:schemaRefs/>
</ds:datastoreItem>
</file>

<file path=docProps/app.xml><?xml version="1.0" encoding="utf-8"?>
<Properties xmlns="http://schemas.openxmlformats.org/officeDocument/2006/extended-properties" xmlns:vt="http://schemas.openxmlformats.org/officeDocument/2006/docPropsVTypes">
  <Template>Normal</Template>
  <Pages>26</Pages>
  <Words>256</Words>
  <Characters>1632</Characters>
  <Lines>259</Lines>
  <Paragraphs>73</Paragraphs>
  <TotalTime>4</TotalTime>
  <ScaleCrop>false</ScaleCrop>
  <LinksUpToDate>false</LinksUpToDate>
  <CharactersWithSpaces>1899</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2026-07-15T13:56:00Z</dcterms:created>
  <dcterms:modified xsi:type="dcterms:W3CDTF">2026-07-16T10:07:27Z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eyJoZGlkIjoiNjc2Y2I4ZTQ1YjAxMzBjM2UzZDZjMGJkY2U3OTQ2NjAifQ==</vt:lpwstr>
  </property>
  <property fmtid="{D5CDD505-2E9C-101B-9397-08002B2CF9AE}" pid="3" name="KSOProductBuildVer">
    <vt:lpwstr>1033-12.1.0.26880</vt:lpwstr>
  </property>
  <property fmtid="{D5CDD505-2E9C-101B-9397-08002B2CF9AE}" pid="4" name="ICV">
    <vt:lpwstr>953CC14D4101456C9FC320F1300F3D6A_13</vt:lpwstr>
  </property>
</Properties>
</file>