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heme="minorHAnsi" w:hAnsi="Arial" w:cs="Arial"/>
          <w:color w:val="4472C4" w:themeColor="accent1"/>
          <w:sz w:val="24"/>
          <w:szCs w:val="24"/>
        </w:rPr>
        <w:id w:val="533929516"/>
        <w:docPartObj>
          <w:docPartGallery w:val="Cover Pages"/>
          <w:docPartUnique/>
        </w:docPartObj>
      </w:sdtPr>
      <w:sdtEndPr>
        <w:rPr>
          <w:color w:val="auto"/>
        </w:rPr>
      </w:sdtEndPr>
      <w:sdtContent>
        <w:p w14:paraId="2DE313F5" w14:textId="163B0AAB" w:rsidR="00B80C90" w:rsidRPr="00780F4E" w:rsidRDefault="00B80C90" w:rsidP="00801A47">
          <w:pPr>
            <w:pStyle w:val="Heading1"/>
            <w:spacing w:line="360" w:lineRule="auto"/>
            <w:jc w:val="center"/>
            <w:rPr>
              <w:rFonts w:ascii="Arial" w:eastAsia="Times New Roman" w:hAnsi="Arial" w:cs="Arial"/>
              <w:color w:val="000000" w:themeColor="text1"/>
              <w:kern w:val="0"/>
              <w:sz w:val="28"/>
              <w:szCs w:val="28"/>
              <w:lang w:eastAsia="en-GB"/>
              <w14:ligatures w14:val="none"/>
            </w:rPr>
          </w:pPr>
          <w:r w:rsidRPr="00780F4E">
            <w:rPr>
              <w:rFonts w:ascii="Arial" w:eastAsiaTheme="minorHAnsi" w:hAnsi="Arial" w:cs="Arial"/>
              <w:noProof/>
              <w:color w:val="000000" w:themeColor="text1"/>
              <w:sz w:val="28"/>
              <w:szCs w:val="28"/>
            </w:rPr>
            <w:drawing>
              <wp:anchor distT="0" distB="0" distL="114300" distR="114300" simplePos="0" relativeHeight="251659264" behindDoc="0" locked="0" layoutInCell="1" allowOverlap="1" wp14:anchorId="0876709E" wp14:editId="42CB0EC7">
                <wp:simplePos x="0" y="0"/>
                <wp:positionH relativeFrom="column">
                  <wp:posOffset>925797</wp:posOffset>
                </wp:positionH>
                <wp:positionV relativeFrom="paragraph">
                  <wp:posOffset>0</wp:posOffset>
                </wp:positionV>
                <wp:extent cx="3609340" cy="1551305"/>
                <wp:effectExtent l="0" t="0" r="0" b="0"/>
                <wp:wrapTopAndBottom/>
                <wp:docPr id="5693173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9317303" name="Picture 569317303"/>
                        <pic:cNvPicPr/>
                      </pic:nvPicPr>
                      <pic:blipFill rotWithShape="1">
                        <a:blip r:embed="rId8">
                          <a:extLst>
                            <a:ext uri="{28A0092B-C50C-407E-A947-70E740481C1C}">
                              <a14:useLocalDpi xmlns:a14="http://schemas.microsoft.com/office/drawing/2010/main" val="0"/>
                            </a:ext>
                          </a:extLst>
                        </a:blip>
                        <a:srcRect l="8068" t="32736" r="14060" b="31076"/>
                        <a:stretch>
                          <a:fillRect/>
                        </a:stretch>
                      </pic:blipFill>
                      <pic:spPr bwMode="auto">
                        <a:xfrm>
                          <a:off x="0" y="0"/>
                          <a:ext cx="3609340" cy="1551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53F3" w:rsidRPr="00780F4E">
            <w:rPr>
              <w:rFonts w:ascii="Arial" w:eastAsia="Times New Roman" w:hAnsi="Arial" w:cs="Arial"/>
              <w:kern w:val="36"/>
              <w:lang w:eastAsia="en-GB"/>
              <w14:ligatures w14:val="none"/>
            </w:rPr>
            <w:t xml:space="preserve"> </w:t>
          </w:r>
          <w:r w:rsidR="002B44D0" w:rsidRPr="002B44D0">
            <w:rPr>
              <w:rFonts w:ascii="Arial" w:eastAsia="Times New Roman" w:hAnsi="Arial" w:cs="Arial"/>
              <w:b/>
              <w:bCs/>
              <w:color w:val="000000" w:themeColor="text1"/>
              <w:kern w:val="36"/>
              <w:sz w:val="28"/>
              <w:szCs w:val="28"/>
              <w:lang w:eastAsia="en-GB"/>
              <w14:ligatures w14:val="none"/>
            </w:rPr>
            <w:t>Business Development Proposal Outline</w:t>
          </w:r>
          <w:r w:rsidR="008819B8">
            <w:rPr>
              <w:rFonts w:asciiTheme="minorHAnsi" w:eastAsiaTheme="minorHAnsi" w:hAnsiTheme="minorHAnsi" w:cstheme="minorBidi"/>
              <w:color w:val="auto"/>
              <w:sz w:val="24"/>
              <w:szCs w:val="24"/>
            </w:rPr>
          </w:r>
          <w:r w:rsidR="008819B8">
            <w:rPr>
              <w:rFonts w:asciiTheme="minorHAnsi" w:eastAsiaTheme="minorHAnsi" w:hAnsiTheme="minorHAnsi" w:cstheme="minorBidi"/>
              <w:color w:val="auto"/>
              <w:sz w:val="24"/>
              <w:szCs w:val="24"/>
            </w:rPr>
            <w:pict w14:anchorId="367FCB3A">
              <v:rect id="Horizontal Line 1" o:spid="_x0000_s1026" alt="" style="width:451.3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5495D80" w14:textId="0E27FB12" w:rsidR="002B44D0" w:rsidRDefault="00B80C90" w:rsidP="00801A47">
          <w:pPr>
            <w:spacing w:before="100" w:beforeAutospacing="1" w:after="100" w:afterAutospacing="1" w:line="360" w:lineRule="auto"/>
            <w:jc w:val="center"/>
            <w:rPr>
              <w:rFonts w:ascii="Arial" w:eastAsia="Times New Roman" w:hAnsi="Arial" w:cs="Arial"/>
              <w:color w:val="000000" w:themeColor="text1"/>
              <w:kern w:val="0"/>
              <w:lang w:val="en-GB" w:eastAsia="en-GB"/>
              <w14:ligatures w14:val="none"/>
            </w:rPr>
          </w:pPr>
          <w:r w:rsidRPr="00780F4E">
            <w:rPr>
              <w:rFonts w:ascii="Arial" w:eastAsia="Times New Roman" w:hAnsi="Arial" w:cs="Arial"/>
              <w:color w:val="000000" w:themeColor="text1"/>
              <w:kern w:val="0"/>
              <w:lang w:eastAsia="en-GB"/>
              <w14:ligatures w14:val="none"/>
            </w:rPr>
            <w:t xml:space="preserve">Module Name: </w:t>
          </w:r>
          <w:r w:rsidR="002B44D0" w:rsidRPr="002B44D0">
            <w:rPr>
              <w:rFonts w:ascii="Arial" w:eastAsia="Times New Roman" w:hAnsi="Arial" w:cs="Arial"/>
              <w:color w:val="000000" w:themeColor="text1"/>
              <w:kern w:val="0"/>
              <w:lang w:val="en-GB" w:eastAsia="en-GB"/>
              <w14:ligatures w14:val="none"/>
            </w:rPr>
            <w:t>Business Development Proposa</w:t>
          </w:r>
          <w:r w:rsidR="002B44D0">
            <w:rPr>
              <w:rFonts w:ascii="Arial" w:eastAsia="Times New Roman" w:hAnsi="Arial" w:cs="Arial"/>
              <w:color w:val="000000" w:themeColor="text1"/>
              <w:kern w:val="0"/>
              <w:lang w:val="en-GB" w:eastAsia="en-GB"/>
              <w14:ligatures w14:val="none"/>
            </w:rPr>
            <w:t>l</w:t>
          </w:r>
        </w:p>
        <w:p w14:paraId="308F99FE" w14:textId="58CE1FE1" w:rsidR="002B44D0" w:rsidRDefault="002B44D0" w:rsidP="00801A47">
          <w:pPr>
            <w:spacing w:before="100" w:beforeAutospacing="1" w:after="100" w:afterAutospacing="1" w:line="360" w:lineRule="auto"/>
            <w:jc w:val="center"/>
            <w:rPr>
              <w:rFonts w:ascii="Arial" w:eastAsia="Times New Roman" w:hAnsi="Arial" w:cs="Arial"/>
              <w:color w:val="000000" w:themeColor="text1"/>
              <w:kern w:val="0"/>
              <w:lang w:val="en-GB" w:eastAsia="en-GB"/>
              <w14:ligatures w14:val="none"/>
            </w:rPr>
          </w:pPr>
          <w:r w:rsidRPr="002B44D0">
            <w:rPr>
              <w:rFonts w:ascii="Arial" w:eastAsia="Times New Roman" w:hAnsi="Arial" w:cs="Arial"/>
              <w:color w:val="000000" w:themeColor="text1"/>
              <w:kern w:val="0"/>
              <w:lang w:val="en-GB" w:eastAsia="en-GB"/>
              <w14:ligatures w14:val="none"/>
            </w:rPr>
            <w:t>Pathway</w:t>
          </w:r>
          <w:r>
            <w:rPr>
              <w:rFonts w:ascii="Arial" w:eastAsia="Times New Roman" w:hAnsi="Arial" w:cs="Arial"/>
              <w:color w:val="000000" w:themeColor="text1"/>
              <w:kern w:val="0"/>
              <w:lang w:val="en-GB" w:eastAsia="en-GB"/>
              <w14:ligatures w14:val="none"/>
            </w:rPr>
            <w:t xml:space="preserve"> : </w:t>
          </w:r>
          <w:r w:rsidRPr="002B44D0">
            <w:rPr>
              <w:rFonts w:ascii="Arial" w:eastAsia="Times New Roman" w:hAnsi="Arial" w:cs="Arial"/>
              <w:color w:val="000000" w:themeColor="text1"/>
              <w:kern w:val="0"/>
              <w:lang w:val="en-GB" w:eastAsia="en-GB"/>
              <w14:ligatures w14:val="none"/>
            </w:rPr>
            <w:t>Path A</w:t>
          </w:r>
          <w:r>
            <w:rPr>
              <w:rFonts w:ascii="Arial" w:eastAsia="Times New Roman" w:hAnsi="Arial" w:cs="Arial"/>
              <w:color w:val="000000" w:themeColor="text1"/>
              <w:kern w:val="0"/>
              <w:lang w:val="en-GB" w:eastAsia="en-GB"/>
              <w14:ligatures w14:val="none"/>
            </w:rPr>
            <w:t xml:space="preserve"> </w:t>
          </w:r>
          <w:r w:rsidRPr="002B44D0">
            <w:rPr>
              <w:rFonts w:ascii="Arial" w:eastAsia="Times New Roman" w:hAnsi="Arial" w:cs="Arial"/>
              <w:color w:val="000000" w:themeColor="text1"/>
              <w:kern w:val="0"/>
              <w:lang w:val="en-GB" w:eastAsia="en-GB"/>
              <w14:ligatures w14:val="none"/>
            </w:rPr>
            <w:t xml:space="preserve">: Starting </w:t>
          </w:r>
          <w:r>
            <w:rPr>
              <w:rFonts w:ascii="Arial" w:eastAsia="Times New Roman" w:hAnsi="Arial" w:cs="Arial"/>
              <w:color w:val="000000" w:themeColor="text1"/>
              <w:kern w:val="0"/>
              <w:lang w:val="en-GB" w:eastAsia="en-GB"/>
              <w14:ligatures w14:val="none"/>
            </w:rPr>
            <w:t>My</w:t>
          </w:r>
          <w:r w:rsidRPr="002B44D0">
            <w:rPr>
              <w:rFonts w:ascii="Arial" w:eastAsia="Times New Roman" w:hAnsi="Arial" w:cs="Arial"/>
              <w:color w:val="000000" w:themeColor="text1"/>
              <w:kern w:val="0"/>
              <w:lang w:val="en-GB" w:eastAsia="en-GB"/>
              <w14:ligatures w14:val="none"/>
            </w:rPr>
            <w:t xml:space="preserve"> Own Business</w:t>
          </w:r>
        </w:p>
        <w:p w14:paraId="2E6427B9" w14:textId="4274B2BA" w:rsidR="00B80C90" w:rsidRPr="00780F4E" w:rsidRDefault="00B80C9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780F4E">
            <w:rPr>
              <w:rFonts w:ascii="Arial" w:eastAsia="Times New Roman" w:hAnsi="Arial" w:cs="Arial"/>
              <w:color w:val="000000" w:themeColor="text1"/>
              <w:kern w:val="0"/>
              <w:lang w:eastAsia="en-GB"/>
              <w14:ligatures w14:val="none"/>
            </w:rPr>
            <w:t>Module Code: LCMB70</w:t>
          </w:r>
          <w:r w:rsidR="003D53F3" w:rsidRPr="00780F4E">
            <w:rPr>
              <w:rFonts w:ascii="Arial" w:eastAsia="Times New Roman" w:hAnsi="Arial" w:cs="Arial"/>
              <w:color w:val="000000" w:themeColor="text1"/>
              <w:kern w:val="0"/>
              <w:lang w:eastAsia="en-GB"/>
              <w14:ligatures w14:val="none"/>
            </w:rPr>
            <w:t>3</w:t>
          </w:r>
          <w:r w:rsidR="00857B80">
            <w:rPr>
              <w:rFonts w:ascii="Arial" w:eastAsia="Times New Roman" w:hAnsi="Arial" w:cs="Arial"/>
              <w:color w:val="000000" w:themeColor="text1"/>
              <w:kern w:val="0"/>
              <w:lang w:eastAsia="en-GB"/>
              <w14:ligatures w14:val="none"/>
            </w:rPr>
            <w:t>7</w:t>
          </w:r>
        </w:p>
        <w:p w14:paraId="5354B3B5" w14:textId="77777777" w:rsidR="00B80C90" w:rsidRPr="00780F4E" w:rsidRDefault="00B80C9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780F4E">
            <w:rPr>
              <w:rFonts w:ascii="Arial" w:eastAsia="Times New Roman" w:hAnsi="Arial" w:cs="Arial"/>
              <w:color w:val="000000" w:themeColor="text1"/>
              <w:kern w:val="0"/>
              <w:lang w:eastAsia="en-GB"/>
              <w14:ligatures w14:val="none"/>
            </w:rPr>
            <w:t>Student Name: Prince Laurence Sade</w:t>
          </w:r>
        </w:p>
        <w:p w14:paraId="737EF5E0" w14:textId="77777777" w:rsidR="00B80C90" w:rsidRPr="00780F4E" w:rsidRDefault="00B80C9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780F4E">
            <w:rPr>
              <w:rFonts w:ascii="Arial" w:eastAsia="Times New Roman" w:hAnsi="Arial" w:cs="Arial"/>
              <w:color w:val="000000" w:themeColor="text1"/>
              <w:kern w:val="0"/>
              <w:lang w:eastAsia="en-GB"/>
              <w14:ligatures w14:val="none"/>
            </w:rPr>
            <w:t>Student ID: 2525510</w:t>
          </w:r>
        </w:p>
        <w:p w14:paraId="68AB8B62" w14:textId="77777777" w:rsidR="00B80C90" w:rsidRDefault="00B80C9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780F4E">
            <w:rPr>
              <w:rFonts w:ascii="Arial" w:eastAsia="Times New Roman" w:hAnsi="Arial" w:cs="Arial"/>
              <w:color w:val="000000" w:themeColor="text1"/>
              <w:kern w:val="0"/>
              <w:lang w:eastAsia="en-GB"/>
              <w14:ligatures w14:val="none"/>
            </w:rPr>
            <w:t>Programme: Master of Business Administration (MBA)</w:t>
          </w:r>
        </w:p>
        <w:p w14:paraId="529360FF" w14:textId="6EF8E583" w:rsidR="002B44D0" w:rsidRPr="00780F4E" w:rsidRDefault="002B44D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2B44D0">
            <w:rPr>
              <w:rFonts w:ascii="Arial" w:eastAsia="Times New Roman" w:hAnsi="Arial" w:cs="Arial"/>
              <w:color w:val="000000" w:themeColor="text1"/>
              <w:kern w:val="0"/>
              <w:lang w:eastAsia="en-GB"/>
              <w14:ligatures w14:val="none"/>
            </w:rPr>
            <w:t>Working business name</w:t>
          </w:r>
          <w:r>
            <w:rPr>
              <w:rFonts w:ascii="Arial" w:eastAsia="Times New Roman" w:hAnsi="Arial" w:cs="Arial"/>
              <w:color w:val="000000" w:themeColor="text1"/>
              <w:kern w:val="0"/>
              <w:lang w:eastAsia="en-GB"/>
              <w14:ligatures w14:val="none"/>
            </w:rPr>
            <w:t xml:space="preserve"> : Mobile Shop</w:t>
          </w:r>
        </w:p>
        <w:p w14:paraId="180F15EE" w14:textId="77777777" w:rsidR="00B80C90" w:rsidRPr="00780F4E" w:rsidRDefault="00B80C9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780F4E">
            <w:rPr>
              <w:rFonts w:ascii="Arial" w:eastAsia="Times New Roman" w:hAnsi="Arial" w:cs="Arial"/>
              <w:color w:val="000000" w:themeColor="text1"/>
              <w:kern w:val="0"/>
              <w:lang w:eastAsia="en-GB"/>
              <w14:ligatures w14:val="none"/>
            </w:rPr>
            <w:t>University: University of Wales Trinity Saint David</w:t>
          </w:r>
        </w:p>
        <w:p w14:paraId="0FDFE83E" w14:textId="4329707A" w:rsidR="003D53F3" w:rsidRPr="00780F4E" w:rsidRDefault="00B80C90" w:rsidP="00801A47">
          <w:pPr>
            <w:spacing w:line="360" w:lineRule="auto"/>
            <w:jc w:val="center"/>
            <w:rPr>
              <w:rFonts w:ascii="Arial" w:hAnsi="Arial" w:cs="Arial"/>
              <w:color w:val="000000" w:themeColor="text1"/>
              <w:lang w:val="it-IT"/>
            </w:rPr>
          </w:pPr>
          <w:r w:rsidRPr="00780F4E">
            <w:rPr>
              <w:rFonts w:ascii="Arial" w:eastAsia="Times New Roman" w:hAnsi="Arial" w:cs="Arial"/>
              <w:color w:val="000000" w:themeColor="text1"/>
              <w:kern w:val="0"/>
              <w:lang w:eastAsia="en-GB"/>
              <w14:ligatures w14:val="none"/>
            </w:rPr>
            <w:t xml:space="preserve">Lecturer : </w:t>
          </w:r>
          <w:r w:rsidR="002B44D0">
            <w:rPr>
              <w:rFonts w:ascii="Arial" w:hAnsi="Arial" w:cs="Arial"/>
              <w:color w:val="000000" w:themeColor="text1"/>
              <w:lang w:val="it-IT"/>
            </w:rPr>
            <w:t>Vasilios</w:t>
          </w:r>
          <w:r w:rsidR="00857B80">
            <w:rPr>
              <w:rFonts w:ascii="Arial" w:hAnsi="Arial" w:cs="Arial"/>
              <w:color w:val="000000" w:themeColor="text1"/>
              <w:lang w:val="it-IT"/>
            </w:rPr>
            <w:t xml:space="preserve"> Tavlaridis </w:t>
          </w:r>
        </w:p>
        <w:p w14:paraId="15C91172" w14:textId="28841804" w:rsidR="00B80C90" w:rsidRPr="00780F4E" w:rsidRDefault="00857B80" w:rsidP="00801A47">
          <w:pPr>
            <w:spacing w:line="360" w:lineRule="auto"/>
            <w:jc w:val="center"/>
            <w:rPr>
              <w:rFonts w:ascii="Arial" w:hAnsi="Arial" w:cs="Arial"/>
              <w:color w:val="000000" w:themeColor="text1"/>
            </w:rPr>
          </w:pPr>
          <w:r>
            <w:rPr>
              <w:rFonts w:ascii="Arial" w:hAnsi="Arial" w:cs="Arial"/>
              <w:color w:val="000000" w:themeColor="text1"/>
              <w:lang w:val="it-IT"/>
            </w:rPr>
            <w:t>Supervisor:</w:t>
          </w:r>
          <w:r w:rsidR="002B44D0">
            <w:rPr>
              <w:rFonts w:ascii="Arial" w:hAnsi="Arial" w:cs="Arial"/>
              <w:color w:val="000000" w:themeColor="text1"/>
              <w:lang w:val="it-IT"/>
            </w:rPr>
            <w:t xml:space="preserve"> </w:t>
          </w:r>
          <w:r w:rsidR="002B44D0" w:rsidRPr="002B44D0">
            <w:rPr>
              <w:rFonts w:ascii="Arial" w:hAnsi="Arial" w:cs="Arial"/>
              <w:color w:val="000000" w:themeColor="text1"/>
              <w:lang w:val="it-IT"/>
            </w:rPr>
            <w:t>Dr Bentil Oduro</w:t>
          </w:r>
        </w:p>
        <w:p w14:paraId="58B7185F" w14:textId="36F6557A" w:rsidR="00B80C90" w:rsidRPr="00780F4E" w:rsidRDefault="00B80C90" w:rsidP="00801A47">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780F4E">
            <w:rPr>
              <w:rFonts w:ascii="Arial" w:eastAsia="Times New Roman" w:hAnsi="Arial" w:cs="Arial"/>
              <w:color w:val="000000" w:themeColor="text1"/>
              <w:kern w:val="0"/>
              <w:lang w:eastAsia="en-GB"/>
              <w14:ligatures w14:val="none"/>
            </w:rPr>
            <w:t xml:space="preserve">Word Count: </w:t>
          </w:r>
          <w:r w:rsidR="002B44D0">
            <w:rPr>
              <w:rFonts w:ascii="Arial" w:eastAsia="Times New Roman" w:hAnsi="Arial" w:cs="Arial"/>
              <w:kern w:val="36"/>
              <w:lang w:eastAsia="en-GB"/>
              <w14:ligatures w14:val="none"/>
            </w:rPr>
            <w:t>2473</w:t>
          </w:r>
          <w:r w:rsidRPr="00780F4E">
            <w:rPr>
              <w:rFonts w:ascii="Arial" w:eastAsia="Times New Roman" w:hAnsi="Arial" w:cs="Arial"/>
              <w:color w:val="000000" w:themeColor="text1"/>
              <w:kern w:val="0"/>
              <w:lang w:eastAsia="en-GB"/>
              <w14:ligatures w14:val="none"/>
            </w:rPr>
            <w:t xml:space="preserve"> words (excluding references)</w:t>
          </w:r>
        </w:p>
        <w:p w14:paraId="032ECCC8" w14:textId="4A859AAB" w:rsidR="00B80C90" w:rsidRPr="00780F4E" w:rsidRDefault="00B80C90" w:rsidP="00801A47">
          <w:pPr>
            <w:spacing w:line="360" w:lineRule="auto"/>
            <w:jc w:val="center"/>
            <w:rPr>
              <w:rFonts w:ascii="Arial" w:hAnsi="Arial" w:cs="Arial"/>
              <w:color w:val="000000" w:themeColor="text1"/>
              <w:sz w:val="22"/>
              <w:szCs w:val="22"/>
            </w:rPr>
          </w:pPr>
          <w:r w:rsidRPr="00780F4E">
            <w:rPr>
              <w:rFonts w:ascii="Arial" w:eastAsia="Times New Roman" w:hAnsi="Arial" w:cs="Arial"/>
              <w:color w:val="000000" w:themeColor="text1"/>
              <w:kern w:val="0"/>
              <w:lang w:eastAsia="en-GB"/>
              <w14:ligatures w14:val="none"/>
            </w:rPr>
            <w:t xml:space="preserve">Submission Date: </w:t>
          </w:r>
          <w:r w:rsidR="002B44D0">
            <w:rPr>
              <w:rFonts w:ascii="Arial" w:hAnsi="Arial" w:cs="Arial"/>
              <w:color w:val="000000" w:themeColor="text1"/>
            </w:rPr>
            <w:t>Week 5</w:t>
          </w:r>
        </w:p>
        <w:p w14:paraId="3572C715" w14:textId="77777777" w:rsidR="007333F7" w:rsidRPr="00780F4E" w:rsidRDefault="007333F7" w:rsidP="00801A47">
          <w:pPr>
            <w:spacing w:line="360" w:lineRule="auto"/>
            <w:rPr>
              <w:rFonts w:ascii="Arial" w:hAnsi="Arial" w:cs="Arial"/>
            </w:rPr>
          </w:pPr>
        </w:p>
        <w:p w14:paraId="3B0CBEC7" w14:textId="77777777" w:rsidR="002B44D0" w:rsidRDefault="002B44D0" w:rsidP="00801A47">
          <w:pPr>
            <w:spacing w:line="360" w:lineRule="auto"/>
            <w:rPr>
              <w:rFonts w:ascii="Arial" w:hAnsi="Arial" w:cs="Arial"/>
            </w:rPr>
          </w:pPr>
        </w:p>
        <w:p w14:paraId="1D838147" w14:textId="77777777" w:rsidR="008A192A" w:rsidRDefault="00000000" w:rsidP="008A192A">
          <w:pPr>
            <w:spacing w:line="360" w:lineRule="auto"/>
            <w:rPr>
              <w:rFonts w:ascii="Arial" w:hAnsi="Arial" w:cs="Arial"/>
            </w:rPr>
          </w:pPr>
        </w:p>
      </w:sdtContent>
    </w:sdt>
    <w:p w14:paraId="7B7AB3E4" w14:textId="7DAAD392" w:rsidR="008A192A" w:rsidRPr="008A192A" w:rsidRDefault="008A192A" w:rsidP="008A192A">
      <w:pPr>
        <w:spacing w:line="360" w:lineRule="auto"/>
        <w:rPr>
          <w:rFonts w:ascii="Arial" w:hAnsi="Arial" w:cs="Arial"/>
        </w:rPr>
      </w:pPr>
      <w:r w:rsidRPr="008A192A">
        <w:rPr>
          <w:rFonts w:ascii="Arial" w:eastAsia="Times New Roman" w:hAnsi="Arial" w:cs="Arial"/>
          <w:b/>
          <w:bCs/>
          <w:kern w:val="36"/>
          <w:lang w:eastAsia="en-GB"/>
          <w14:ligatures w14:val="none"/>
        </w:rPr>
        <w:lastRenderedPageBreak/>
        <w:t>1. Introduction</w:t>
      </w:r>
    </w:p>
    <w:p w14:paraId="2D5436D4" w14:textId="228B0119"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Smartphones are now the main way in which UK adults go online, accounting for</w:t>
      </w:r>
      <w:r w:rsidR="00595BC3">
        <w:rPr>
          <w:rFonts w:ascii="Arial" w:eastAsia="Times New Roman" w:hAnsi="Arial" w:cs="Arial"/>
          <w:kern w:val="36"/>
          <w:lang w:eastAsia="en-GB"/>
          <w14:ligatures w14:val="none"/>
        </w:rPr>
        <w:t xml:space="preserve"> </w:t>
      </w:r>
      <w:r w:rsidRPr="008A192A">
        <w:rPr>
          <w:rFonts w:ascii="Arial" w:eastAsia="Times New Roman" w:hAnsi="Arial" w:cs="Arial"/>
          <w:kern w:val="36"/>
          <w:lang w:eastAsia="en-GB"/>
          <w14:ligatures w14:val="none"/>
        </w:rPr>
        <w:t>around three-quarters of the time adults spend on the internet each day (Ofcom, 2025). A broken or faulty device therefore disrupts work, study, banking and communication at once. When a fault occurs, the owner has several options: manufacturer repair, independent repair, replacement with a new device, or purchase of a used or refurbished one. Each option carries a different cost, waiting time and level of trust, and the choice is often made under time pressure.</w:t>
      </w:r>
    </w:p>
    <w:p w14:paraId="12C8266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This outline proposes an investigation into a physical shop, operating under the working title Complete Repair, that would combine four connected activities: device repair, device trading, accessory retail and technical support. The concept is deliberately not a stand-alone phone repair shop. Its commercial logic rests on the assumption that the four activities support one another, for example when a repair customer also buys a screen protector, or when a customer trading in an old handset buys a refurbished replacement. Whether this cross-selling occurs often enough to sustain a business is one of the central questions the full Business Development Proposal (BDP) must answer.</w:t>
      </w:r>
    </w:p>
    <w:p w14:paraId="2375160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 proposal follows Path A of the module, starting a new business. It draws on practical experience in mobile repair and retail, but that experience is treated as context for the research rather than as evidence of market demand. The remainder of the outline sets out the research aim and objectives, describes the proposed business, explains the secondary research methodology, identifies the evidence required to validate or challenge the idea, and summarises the main risks and the project timeline.</w:t>
      </w:r>
    </w:p>
    <w:p w14:paraId="5DDAEC9F"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2. Research aim and objectives</w:t>
      </w:r>
    </w:p>
    <w:p w14:paraId="32B4870C"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Research aim</w:t>
      </w:r>
    </w:p>
    <w:p w14:paraId="52ADB7C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To evaluate the commercial feasibility of establishing an independent mobile device repair, device trading and accessory retail business in Birmingham, using secondary research.</w:t>
      </w:r>
    </w:p>
    <w:p w14:paraId="6D70B7D1"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lastRenderedPageBreak/>
        <w:t>Research objectives</w:t>
      </w:r>
    </w:p>
    <w:p w14:paraId="1848BB4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 research objectives below define what the BDP will investigate. They are stated in identical terms in the accompanying ethics application.</w:t>
      </w:r>
    </w:p>
    <w:p w14:paraId="39461B84"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RO1: To examine the size, structure and recent trends of the UK mobile device repair, refurbished device and accessory markets using published secondary sources.</w:t>
      </w:r>
    </w:p>
    <w:p w14:paraId="519A66AD"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RO2: To analyse demographic and device-ownership data in order to identify the most suitable target customer segments for the proposed business in Birmingham.</w:t>
      </w:r>
    </w:p>
    <w:p w14:paraId="2B61DEE1"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RO3: To evaluate the services, published prices, turnaround times, warranties and online reviews of competing repair businesses operating in Birmingham.</w:t>
      </w:r>
    </w:p>
    <w:p w14:paraId="64B02405"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RO4: To compare potential business locations in Birmingham using secondary data on population, competition, rent and business rates.</w:t>
      </w:r>
    </w:p>
    <w:p w14:paraId="5462BC31"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RO5: To assess the financial feasibility of the proposed business by developing an indicative start-up budget and twelve-month cash flow forecast based on published cost data.</w:t>
      </w:r>
    </w:p>
    <w:p w14:paraId="6ADA7E9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These objectives are distinct from the business targets in Table 1, which describe what the proposed business would aim to achieve after launch. The targets are provisional and will be revised once the market and financial research is complete. No revenue or profit target is set at this stage, because a break-even volume derived from evidenced costs (RO5) provides a more defensible basis than an unsupported sales estimate.</w:t>
      </w:r>
    </w:p>
    <w:p w14:paraId="5B382C9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Table 1: Provisional two-year business targets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4138"/>
        <w:gridCol w:w="3700"/>
      </w:tblGrid>
      <w:tr w:rsidR="008A192A" w:rsidRPr="008A192A" w14:paraId="77DC6BD1" w14:textId="77777777" w:rsidTr="007D2C03">
        <w:trPr>
          <w:tblHeader/>
        </w:trPr>
        <w:tc>
          <w:tcPr>
            <w:tcW w:w="18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1512A74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Area</w:t>
            </w:r>
          </w:p>
        </w:tc>
        <w:tc>
          <w:tcPr>
            <w:tcW w:w="4138"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07A8C25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Provisional two-year target</w:t>
            </w:r>
          </w:p>
        </w:tc>
        <w:tc>
          <w:tcPr>
            <w:tcW w:w="37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7033374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Basis</w:t>
            </w:r>
          </w:p>
        </w:tc>
      </w:tr>
      <w:tr w:rsidR="008A192A" w:rsidRPr="008A192A" w14:paraId="45F286BF" w14:textId="77777777" w:rsidTr="007D2C03">
        <w:trPr>
          <w:cantSplit/>
        </w:trPr>
        <w:tc>
          <w:tcPr>
            <w:tcW w:w="18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E2126A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Operating break-even</w:t>
            </w:r>
          </w:p>
        </w:tc>
        <w:tc>
          <w:tcPr>
            <w:tcW w:w="41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8D422D7" w14:textId="1CEA110F"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Monthly cash-flow break-even within 12 months of opening</w:t>
            </w:r>
          </w:p>
        </w:tc>
        <w:tc>
          <w:tcPr>
            <w:tcW w:w="3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D4973F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Break-even volume to be calculated from evidenced costs (RO5)</w:t>
            </w:r>
          </w:p>
        </w:tc>
      </w:tr>
      <w:tr w:rsidR="008A192A" w:rsidRPr="008A192A" w14:paraId="18D49309" w14:textId="77777777" w:rsidTr="007D2C03">
        <w:trPr>
          <w:cantSplit/>
        </w:trPr>
        <w:tc>
          <w:tcPr>
            <w:tcW w:w="18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4283A3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lastRenderedPageBreak/>
              <w:t>Device trading</w:t>
            </w:r>
          </w:p>
        </w:tc>
        <w:tc>
          <w:tcPr>
            <w:tcW w:w="41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64CED0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Around 5 device sales a week by month 12, rising towards 9 by month 24</w:t>
            </w:r>
          </w:p>
        </w:tc>
        <w:tc>
          <w:tcPr>
            <w:tcW w:w="3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02DD1C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Founder's approximate experience of a busy established shop; a new business is expected to start lower</w:t>
            </w:r>
          </w:p>
        </w:tc>
      </w:tr>
      <w:tr w:rsidR="008A192A" w:rsidRPr="008A192A" w14:paraId="2AD430B6" w14:textId="77777777" w:rsidTr="007D2C03">
        <w:trPr>
          <w:cantSplit/>
        </w:trPr>
        <w:tc>
          <w:tcPr>
            <w:tcW w:w="18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E19836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Reputation</w:t>
            </w:r>
          </w:p>
        </w:tc>
        <w:tc>
          <w:tcPr>
            <w:tcW w:w="41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3D2FD0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At least 100 Google reviews with an average rating of 4.5 or above by month 12</w:t>
            </w:r>
          </w:p>
        </w:tc>
        <w:tc>
          <w:tcPr>
            <w:tcW w:w="3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041E3F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Review ratings are a visible basis of comparison with competitors (RO3)</w:t>
            </w:r>
          </w:p>
        </w:tc>
      </w:tr>
      <w:tr w:rsidR="008A192A" w:rsidRPr="008A192A" w14:paraId="3E571A35" w14:textId="77777777" w:rsidTr="007D2C03">
        <w:trPr>
          <w:cantSplit/>
        </w:trPr>
        <w:tc>
          <w:tcPr>
            <w:tcW w:w="18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95D7AD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Accessory sales</w:t>
            </w:r>
          </w:p>
        </w:tc>
        <w:tc>
          <w:tcPr>
            <w:tcW w:w="41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23DE02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An accessory sold in at least one in three repair or trading transactions by month 12</w:t>
            </w:r>
          </w:p>
        </w:tc>
        <w:tc>
          <w:tcPr>
            <w:tcW w:w="3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ACCD01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Working assumption to be tested against the cash-flow forecast</w:t>
            </w:r>
          </w:p>
        </w:tc>
      </w:tr>
      <w:tr w:rsidR="008A192A" w:rsidRPr="008A192A" w14:paraId="1AC94971" w14:textId="77777777" w:rsidTr="007D2C03">
        <w:trPr>
          <w:cantSplit/>
        </w:trPr>
        <w:tc>
          <w:tcPr>
            <w:tcW w:w="18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E9541A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Staffing</w:t>
            </w:r>
          </w:p>
        </w:tc>
        <w:tc>
          <w:tcPr>
            <w:tcW w:w="41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F04EB8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Recruit part-time support once repair volume exceeds one person's capacity</w:t>
            </w:r>
          </w:p>
        </w:tc>
        <w:tc>
          <w:tcPr>
            <w:tcW w:w="3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ACB780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Expected between months 6 and 12, subject to demand</w:t>
            </w:r>
          </w:p>
        </w:tc>
      </w:tr>
      <w:tr w:rsidR="008A192A" w:rsidRPr="008A192A" w14:paraId="04111CF7" w14:textId="77777777" w:rsidTr="007D2C03">
        <w:trPr>
          <w:cantSplit/>
        </w:trPr>
        <w:tc>
          <w:tcPr>
            <w:tcW w:w="18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71328E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Year-two growth</w:t>
            </w:r>
          </w:p>
        </w:tc>
        <w:tc>
          <w:tcPr>
            <w:tcW w:w="41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513F56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Select one growth route, such as business customers or mail-in repairs</w:t>
            </w:r>
          </w:p>
        </w:tc>
        <w:tc>
          <w:tcPr>
            <w:tcW w:w="3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9B9B2E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To be assessed using the Ansoff Matrix in the final BDP</w:t>
            </w:r>
          </w:p>
        </w:tc>
      </w:tr>
    </w:tbl>
    <w:p w14:paraId="1F90E96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i/>
          <w:iCs/>
          <w:kern w:val="36"/>
          <w:lang w:eastAsia="en-GB"/>
          <w14:ligatures w14:val="none"/>
        </w:rPr>
        <w:t>Source: author's own. Targets are provisional and will be revised after the market and financial research.</w:t>
      </w:r>
    </w:p>
    <w:p w14:paraId="1557CF32"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3. Proposed business description</w:t>
      </w:r>
    </w:p>
    <w:p w14:paraId="64B46769"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Concept and services</w:t>
      </w:r>
    </w:p>
    <w:p w14:paraId="77F0147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 proposed business would operate from a medium-sized retail unit with space for stock, a customer counter and an on-site repair bench. Planned services fall into four areas. Repairs would cover smartphones, tablets and MacBooks, including screen, battery and charging-port replacement, keyboard and trackpad faults, software troubleshooting and malware removal. Device trading would involve buying used handsets from the public and selling tested used and refurbished devices. Accessory retail would include cases, tempered glass, chargers, cables, power banks and audio accessories. Technical support would cover device setup, data transfer and data recovery where appropriate.</w:t>
      </w:r>
    </w:p>
    <w:p w14:paraId="504DF39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lastRenderedPageBreak/>
        <w:t>The main commercial focus is expected to be smartphone repair, accessories and device trading, with tablet and MacBook work as additional service lines. The emphasis on Apple and Samsung devices reflects market structure rather than preference: the Competition and Markets Authority reports that Apple's iOS has accounted for between 50% and 60% of active UK smartphones in each year since 2015, and that Apple and Samsung together supplied roughly 80% of new UK smartphones by volume between 2022 and 2024 (Competition and Markets Authority, 2025). Other brands would be accepted where the work is commercially viable.</w:t>
      </w:r>
    </w:p>
    <w:p w14:paraId="5986EA4E"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Vision</w:t>
      </w:r>
    </w:p>
    <w:p w14:paraId="27D7953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 proposed vision is to become a trusted local destination for device repairs, accessories, device trading and technical support within the first two years of trading. The vision is intentionally local and modest, since the evidence reviewed so far does not support wider ambitions at this stage.</w:t>
      </w:r>
    </w:p>
    <w:p w14:paraId="14853C60"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Value proposition</w:t>
      </w:r>
    </w:p>
    <w:p w14:paraId="5669E1F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Published competitor offers cover broadly similar core repairs (iSmash, 2026), so no single feature is likely to provide a lasting advantage. Research on repair behaviour also shows that consumers often see the financial and practical costs of repair as high, and that a preference for novelty pushes many towards replacement instead (Jaeger-Erben, Frick and Hipp, 2021). This suggests that convenience and clear advice may matter as much as price. The proposed value proposition combines three elements. First, the four services would be available in one location. Second, customer communication would be transparent, including advising customers when a repair is not technically or economically worthwhile before any work begins. Third, the business would aim to complete many common repairs within approximately 30 minutes by holding stock of frequently needed parts for popular models, so that work can begin as soon as a device is received.</w:t>
      </w:r>
    </w:p>
    <w:p w14:paraId="370F090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 xml:space="preserve">The 30-minute target is a proposed operational standard, not a proven competitive advantage. iSmash, a national repair chain with a Birmingham centre, already advertises selected fixes "in as little as 30 minutes", although its Birmingham site </w:t>
      </w:r>
      <w:r w:rsidRPr="008A192A">
        <w:rPr>
          <w:rFonts w:ascii="Arial" w:eastAsia="Times New Roman" w:hAnsi="Arial" w:cs="Arial"/>
          <w:kern w:val="36"/>
          <w:lang w:eastAsia="en-GB"/>
          <w14:ligatures w14:val="none"/>
        </w:rPr>
        <w:lastRenderedPageBreak/>
        <w:t>operates by appointment only and is closed at weekends (iSmash, 2026). Speed alone may therefore not differentiate the business, whereas walk-in access and weekend opening could, if the competitor research supports this. The target also depends on parts availability, repair complexity, staffing and the cost of holding stock, all of which will be tested in the final BDP. Board-level faults, liquid damage and less common models would require longer and would be quoted separately.</w:t>
      </w:r>
    </w:p>
    <w:p w14:paraId="56D9A615"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Target market</w:t>
      </w:r>
    </w:p>
    <w:p w14:paraId="76C5665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Birmingham had a resident population of about 1,144,900 at the 2021 Census, with a median age of 34, the lowest in the West Midlands (Office for National Statistics, 2022), and residents under 30 make up 43.8% of the population (Birmingham City Council, 2022). The city's five universities recorded 92,655 higher education enrolments in 2020/21 (Birmingham City Council, n.d.). This profile is relevant because device trading, setup and accessory sales are expected to appeal to younger and more price-conscious customers, although this assumption will be tested under RO2.</w:t>
      </w:r>
    </w:p>
    <w:p w14:paraId="0DF41B5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On this basis, students and young working adults are proposed as the primary segment. Price-sensitive buyers and sellers of used devices are proposed as a secondary segment. Evidence supports this: one in four mobile phones sold in the UK in 2023 was second-hand or refurbished, up from 19% in 2021, with price a key consideration, particularly among buyers over 35, and environmental impact cited by a minority of younger buyers (NielsenIQ, 2024). Consumer research also indicates that warranties and perceived quality are central to acceptance of refurbished phones (van Weelden, Mugge and Bakker, 2016), which supports offering written warranties on traded devices. Brand also matters to resale value: an analysis of around 500,000 used Apple and Samsung listings on eBay found that brand extended a smartphone's economic lifespan by about 12.5 months, while repairability had limited effect (Makov et al., 2019). This supports concentrating trading stock on the leading brands.</w:t>
      </w:r>
    </w:p>
    <w:p w14:paraId="68C94BC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 xml:space="preserve">These figures indicate a large potential customer base, but population size alone does not demonstrate demand for an independent repair business. Repair frequency, willingness to use independents rather than manufacturers, and </w:t>
      </w:r>
      <w:r w:rsidRPr="008A192A">
        <w:rPr>
          <w:rFonts w:ascii="Arial" w:eastAsia="Times New Roman" w:hAnsi="Arial" w:cs="Arial"/>
          <w:kern w:val="36"/>
          <w:lang w:eastAsia="en-GB"/>
          <w14:ligatures w14:val="none"/>
        </w:rPr>
        <w:lastRenderedPageBreak/>
        <w:t>competitor density near a given site all require further assessment under RO2 and RO3.</w:t>
      </w:r>
    </w:p>
    <w:p w14:paraId="0D6D8244"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Location approach</w:t>
      </w:r>
    </w:p>
    <w:p w14:paraId="3D2B242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No site has been selected. One hypothesis is that a unit near mobile network retailers such as EE, O2, Vodafone and Three could attract customers who need services the networks do not provide. EE, for example, operates a store in the Bullring shopping centre (EE, 2026). This proximity does not guarantee that network customers would use the proposed business, and busier locations may carry higher rents, which the location comparison will test. As a benchmark, a 1,503 sq ft retail unit in Kings Heath was advertised at £22,000 a year with a rateable value of £21,500 (PrimeLocation, 2026). That is above the £15,000 ceiling for small business rate relief (GOV.UK, 2024), so rates would add to occupancy costs. Candidate sites will be compared on population, competition, rent, business rates, visibility, accessibility and security.</w:t>
      </w:r>
    </w:p>
    <w:p w14:paraId="3B17920A"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Founder background</w:t>
      </w:r>
    </w:p>
    <w:p w14:paraId="124A4C3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 venture is supported by approximately two years of professional experience in a busy mobile repair and retail business, alongside a longer personal interest in device repair of around eight to nine years. Professional experience is strongest in smartphone repair, with more recent work on tablets and MacBooks. It also covers device trading, accessory sales, customer service, stock control and Excel-based sales and repair records. Board-level repair and micro-soldering skills are limited, so such work would initially be referred to a specialist. Existing contacts with suppliers of parts, used devices and accessories may support future sourcing, subject to commercial evaluation.</w:t>
      </w:r>
    </w:p>
    <w:p w14:paraId="475BD2B8"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4. Research methodology</w:t>
      </w:r>
    </w:p>
    <w:p w14:paraId="28AFC1C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 xml:space="preserve">The study will adopt a secondary research approach, in line with supervisory guidance. Secondary data is appropriate because the research questions concern market size, demographics, competitor offers and costs, all of which are already recorded by public bodies, industry analysts and businesses themselves. It also </w:t>
      </w:r>
      <w:r w:rsidRPr="008A192A">
        <w:rPr>
          <w:rFonts w:ascii="Arial" w:eastAsia="Times New Roman" w:hAnsi="Arial" w:cs="Arial"/>
          <w:kern w:val="36"/>
          <w:lang w:eastAsia="en-GB"/>
          <w14:ligatures w14:val="none"/>
        </w:rPr>
        <w:lastRenderedPageBreak/>
        <w:t>avoids collecting personal data from participants. Secondary data is not neutral, however. It was collected for other purposes and may be dated, aggregated at the wrong geographic level or commercially biased (Saunders, Lewis and Thornhill, 2019). Each source will therefore be assessed for relevance to the objectives, credibility of the publisher, date of collection, method and geographic coverage before it is used (Johnston, 2014).</w:t>
      </w:r>
    </w:p>
    <w:p w14:paraId="79A9961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Sources will be selected according to the objective they serve:</w:t>
      </w:r>
    </w:p>
    <w:p w14:paraId="79F06717"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RO1: industry reports (IBISWorld and, subject to library access, Mintel and Statista) and market research press releases</w:t>
      </w:r>
    </w:p>
    <w:p w14:paraId="16AFE31B"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RO2: ONS Census 2021, Birmingham City Council data and Ofcom research</w:t>
      </w:r>
    </w:p>
    <w:p w14:paraId="74A83F1F"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RO3: competitors' websites, published price lists, warranty terms and Google review ratings</w:t>
      </w:r>
    </w:p>
    <w:p w14:paraId="758A90EE"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RO4: commercial property listings and GOV.UK guidance on business rates</w:t>
      </w:r>
    </w:p>
    <w:p w14:paraId="5FE6E049" w14:textId="77777777" w:rsidR="008A192A" w:rsidRPr="008A192A" w:rsidRDefault="008A192A" w:rsidP="008A192A">
      <w:pPr>
        <w:numPr>
          <w:ilvl w:val="0"/>
          <w:numId w:val="24"/>
        </w:num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RO5: published supplier, insurer and payment-provider prices, combined with the university cash flow template</w:t>
      </w:r>
    </w:p>
    <w:p w14:paraId="37374B0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Competitor data will be recorded in Microsoft Excel using a consistent set of common repairs, so that prices, turnaround claims and warranties can be compared on a like-for-like basis. Review data will be summarised by theme and average rating, without reviewer names, so that recurring complaints such as delays or poor communication can be identified. Locations will be scored against the criteria set out in Section 3, and financial assumptions will be recorded with their source so that sensitivity can be tested.</w:t>
      </w:r>
    </w:p>
    <w:p w14:paraId="5F4624B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The main limitation is that secondary data cannot fully explain why individual customers choose one repair provider over another. Published consumer research and review themes will be used as indirect evidence, and conclusions about customer motivation will be stated cautiously.</w:t>
      </w:r>
    </w:p>
    <w:p w14:paraId="20FB137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No primary data will be collected. In line with UK GDPR and the Data Protection Act 2018, no personal data will be gathered or stored, and confidential records from previous employment will not be used.</w:t>
      </w:r>
    </w:p>
    <w:p w14:paraId="5B2587CD"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lastRenderedPageBreak/>
        <w:t>5. Market research and validation</w:t>
      </w:r>
    </w:p>
    <w:p w14:paraId="49D7B4B0"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Market context</w:t>
      </w:r>
    </w:p>
    <w:p w14:paraId="733BAF6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Early evidence gives a mixed picture. IBISWorld (2026) estimates UK mobile phone repair revenue at £689.1 million across 636 businesses, but reports that revenue has fallen at a compound annual rate of 4.6% over the five years to 2025–26, largely because more durable handsets reduce accidental damage. A business relying only on screen repairs could therefore face a shrinking market. The evidence on device trading is more positive: the growing share of second-hand and refurbished phone sales (NielsenIQ, 2024) suggests demand for trading and refurbishment. Taken together, these findings support combining repairs with trading and accessories, but they also show that the repair component cannot be assumed to grow.</w:t>
      </w:r>
    </w:p>
    <w:p w14:paraId="53C42E93"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Competitor research</w:t>
      </w:r>
    </w:p>
    <w:p w14:paraId="283B8D8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Competitor research will focus on repairs, accessories and device trading rather than handset prices. Birmingham already has a national benchmark competitor. iSmash publishes iPhone 15 screen repair prices of £219 to £279, with a lifetime warranty on workmanship and materials (iSmash, 2025), and offers refurbished devices with a 24-month warranty (iSmash, 2026). Any new business would therefore be measured against an established standard on price, warranty and speed. The research will extend this comparison to independent repairers near candidate locations, recording services, prices for the same repairs, turnaround claims, warranties, opening hours, trading activity and review themes. A market gap will be claimed only where this evidence shows one.</w:t>
      </w:r>
    </w:p>
    <w:p w14:paraId="0FB04803"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Validation criteria</w:t>
      </w:r>
    </w:p>
    <w:p w14:paraId="78C74CC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In this proposal, validation does not mean proving that the idea is good. Following Mullins (2006), the evidence will be assessed against criteria set before the analysis, and the result may support the idea, require changes to it, or suggest a smaller or delayed launch. Table 2 sets out the criteria.</w:t>
      </w:r>
    </w:p>
    <w:p w14:paraId="10D8E57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Table 2: Validation criteria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85"/>
        <w:gridCol w:w="4094"/>
        <w:gridCol w:w="1241"/>
        <w:gridCol w:w="2618"/>
      </w:tblGrid>
      <w:tr w:rsidR="008A192A" w:rsidRPr="008A192A" w14:paraId="3A8280B3" w14:textId="77777777" w:rsidTr="007D2C03">
        <w:trPr>
          <w:tblHeader/>
        </w:trPr>
        <w:tc>
          <w:tcPr>
            <w:tcW w:w="17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6BE75C5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lastRenderedPageBreak/>
              <w:t>Criterion</w:t>
            </w:r>
          </w:p>
        </w:tc>
        <w:tc>
          <w:tcPr>
            <w:tcW w:w="4238"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25CE879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Evidence required</w:t>
            </w:r>
          </w:p>
        </w:tc>
        <w:tc>
          <w:tcPr>
            <w:tcW w:w="10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7F33993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Objective</w:t>
            </w:r>
          </w:p>
        </w:tc>
        <w:tc>
          <w:tcPr>
            <w:tcW w:w="27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7989E77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If not met</w:t>
            </w:r>
          </w:p>
        </w:tc>
      </w:tr>
      <w:tr w:rsidR="008A192A" w:rsidRPr="008A192A" w14:paraId="02E21911"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B90283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Demand</w:t>
            </w:r>
          </w:p>
        </w:tc>
        <w:tc>
          <w:tcPr>
            <w:tcW w:w="42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463DA5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Population, segment and market-trend data indicate enough potential customers near at least one candidate site</w:t>
            </w:r>
          </w:p>
        </w:tc>
        <w:tc>
          <w:tcPr>
            <w:tcW w:w="10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5BC07F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RO1, RO2</w:t>
            </w:r>
          </w:p>
        </w:tc>
        <w:tc>
          <w:tcPr>
            <w:tcW w:w="2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98A1F5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Narrow the service range or delay launch</w:t>
            </w:r>
          </w:p>
        </w:tc>
      </w:tr>
      <w:tr w:rsidR="008A192A" w:rsidRPr="008A192A" w14:paraId="6F678408"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6E8525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Repair margins</w:t>
            </w:r>
          </w:p>
        </w:tc>
        <w:tc>
          <w:tcPr>
            <w:tcW w:w="42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9AB405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Published competitor prices exceed estimated parts, labour and overhead costs for common repairs</w:t>
            </w:r>
          </w:p>
        </w:tc>
        <w:tc>
          <w:tcPr>
            <w:tcW w:w="10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9D0936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RO3, RO5</w:t>
            </w:r>
          </w:p>
        </w:tc>
        <w:tc>
          <w:tcPr>
            <w:tcW w:w="2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1B31CE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Reposition pricing or drop low-margin repairs</w:t>
            </w:r>
          </w:p>
        </w:tc>
      </w:tr>
      <w:tr w:rsidR="008A192A" w:rsidRPr="008A192A" w14:paraId="59B4D8C3"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1410BC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Competitor gap</w:t>
            </w:r>
          </w:p>
        </w:tc>
        <w:tc>
          <w:tcPr>
            <w:tcW w:w="42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76CFE0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Evidence of a consistent weakness among competitors, such as limited opening hours or poor communication in reviews</w:t>
            </w:r>
          </w:p>
        </w:tc>
        <w:tc>
          <w:tcPr>
            <w:tcW w:w="10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B5AF3D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RO3</w:t>
            </w:r>
          </w:p>
        </w:tc>
        <w:tc>
          <w:tcPr>
            <w:tcW w:w="2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B49650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Rely on location and range alone, or reconsider the concept</w:t>
            </w:r>
          </w:p>
        </w:tc>
      </w:tr>
      <w:tr w:rsidR="008A192A" w:rsidRPr="008A192A" w14:paraId="140830C0"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9ECA54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Premises cost</w:t>
            </w:r>
          </w:p>
        </w:tc>
        <w:tc>
          <w:tcPr>
            <w:tcW w:w="42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68D78F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Rent and business rates at a suitable site are affordable within the forecast</w:t>
            </w:r>
          </w:p>
        </w:tc>
        <w:tc>
          <w:tcPr>
            <w:tcW w:w="10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C66BCA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RO4, RO5</w:t>
            </w:r>
          </w:p>
        </w:tc>
        <w:tc>
          <w:tcPr>
            <w:tcW w:w="2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C6118F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Consider a smaller unit or later launch</w:t>
            </w:r>
          </w:p>
        </w:tc>
      </w:tr>
      <w:tr w:rsidR="008A192A" w:rsidRPr="008A192A" w14:paraId="68BBE868"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942E7E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Multiple revenue streams</w:t>
            </w:r>
          </w:p>
        </w:tc>
        <w:tc>
          <w:tcPr>
            <w:tcW w:w="42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6C66A1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Accessory and refurbished-device demand appears stable enough to support more than repairs</w:t>
            </w:r>
          </w:p>
        </w:tc>
        <w:tc>
          <w:tcPr>
            <w:tcW w:w="10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4E00B6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RO1</w:t>
            </w:r>
          </w:p>
        </w:tc>
        <w:tc>
          <w:tcPr>
            <w:tcW w:w="2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221761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Adopt a repair-led model with lower stock</w:t>
            </w:r>
          </w:p>
        </w:tc>
      </w:tr>
      <w:tr w:rsidR="008A192A" w:rsidRPr="008A192A" w14:paraId="13CE4571"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BCFC36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Financial feasibility</w:t>
            </w:r>
          </w:p>
        </w:tc>
        <w:tc>
          <w:tcPr>
            <w:tcW w:w="42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C876C2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Twelve-month cash flow remains positive in the base case and survivable in a downside case</w:t>
            </w:r>
          </w:p>
        </w:tc>
        <w:tc>
          <w:tcPr>
            <w:tcW w:w="10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24C0C8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RO5</w:t>
            </w:r>
          </w:p>
        </w:tc>
        <w:tc>
          <w:tcPr>
            <w:tcW w:w="2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A8A398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Reduce launch scale or delay</w:t>
            </w:r>
          </w:p>
        </w:tc>
      </w:tr>
    </w:tbl>
    <w:p w14:paraId="6B4ABF8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i/>
          <w:iCs/>
          <w:kern w:val="36"/>
          <w:lang w:eastAsia="en-GB"/>
          <w14:ligatures w14:val="none"/>
        </w:rPr>
        <w:t>Source: author's own, informed by Mullins (2006).</w:t>
      </w:r>
    </w:p>
    <w:p w14:paraId="2DA1FF06"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Legal and regulatory considerations</w:t>
      </w:r>
    </w:p>
    <w:p w14:paraId="3AC15B6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 xml:space="preserve">Several regulatory issues will shape operations and costs. Section 49 of the Consumer Rights Act 2015 requires services to be performed with reasonable care and skill, which has implications for repair quality, parts and warranties. Handling customer devices during repair, data transfer and recovery involves personal data, so the business would need a data protection policy consistent with UK GDPR and would be likely to pay the ICO data protection fee (Information Commissioner's Office, 2025). Retailers of electrical equipment also have take-back obligations under </w:t>
      </w:r>
      <w:r w:rsidRPr="008A192A">
        <w:rPr>
          <w:rFonts w:ascii="Arial" w:eastAsia="Times New Roman" w:hAnsi="Arial" w:cs="Arial"/>
          <w:kern w:val="36"/>
          <w:lang w:eastAsia="en-GB"/>
          <w14:ligatures w14:val="none"/>
        </w:rPr>
        <w:lastRenderedPageBreak/>
        <w:t>the Waste Electrical and Electronic Equipment Regulations 2013. Business registration costs (Companies House, 2026) and insurance will be included in the start-up budget. These points identify issues for planning and are not legal advice.</w:t>
      </w:r>
    </w:p>
    <w:p w14:paraId="26DB55AE"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6. Risks</w:t>
      </w:r>
    </w:p>
    <w:p w14:paraId="4772CBF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Table 3 summarises the main risks. The most serious are falling demand for some repair categories and the cost of premises, because both affect the business before a customer base is established.</w:t>
      </w:r>
    </w:p>
    <w:p w14:paraId="1A071E0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Table 3: Principal risks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3"/>
        <w:gridCol w:w="3401"/>
        <w:gridCol w:w="1094"/>
        <w:gridCol w:w="3450"/>
      </w:tblGrid>
      <w:tr w:rsidR="008A192A" w:rsidRPr="008A192A" w14:paraId="5FEFBEBA" w14:textId="77777777" w:rsidTr="007D2C03">
        <w:trPr>
          <w:tblHeader/>
        </w:trPr>
        <w:tc>
          <w:tcPr>
            <w:tcW w:w="17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1E17592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Risk</w:t>
            </w:r>
          </w:p>
        </w:tc>
        <w:tc>
          <w:tcPr>
            <w:tcW w:w="35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00C3A42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Why it matters</w:t>
            </w:r>
          </w:p>
        </w:tc>
        <w:tc>
          <w:tcPr>
            <w:tcW w:w="900"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6C7E33F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Severity</w:t>
            </w:r>
          </w:p>
        </w:tc>
        <w:tc>
          <w:tcPr>
            <w:tcW w:w="3538"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409CF1A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How it will be reduced or tested</w:t>
            </w:r>
          </w:p>
        </w:tc>
      </w:tr>
      <w:tr w:rsidR="008A192A" w:rsidRPr="008A192A" w14:paraId="03CF1CF1"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B74D9B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Competition</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CD0E36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National chains and independents already operate in Birmingham (iSmash, 2026)</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4B18AF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High</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A2BF7D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Competitor audit (RO3); compete on range, access and service rather than price alone</w:t>
            </w:r>
          </w:p>
        </w:tc>
      </w:tr>
      <w:tr w:rsidR="008A192A" w:rsidRPr="008A192A" w14:paraId="6B667DD0"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B96015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Falling repair demand</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4BF7FB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Industry revenue has declined as handsets become more durable (IBISWorld, 2026)</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193600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High</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DD7D07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Test whether trading and accessories can carry a larger share of revenue</w:t>
            </w:r>
          </w:p>
        </w:tc>
      </w:tr>
      <w:tr w:rsidR="008A192A" w:rsidRPr="008A192A" w14:paraId="27F05CAB"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5F5810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Premises and cash flow</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664F6E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Rent, rates, fit-out and opening stock are incurred before income</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A60458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High</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A57DE1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Location comparison (RO4); downside scenario in the cash flow (RO5)</w:t>
            </w:r>
          </w:p>
        </w:tc>
      </w:tr>
      <w:tr w:rsidR="008A192A" w:rsidRPr="008A192A" w14:paraId="3BF94759"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B1FE21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Parts and stock costs</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13066C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Holding parts for a 30-minute target ties up cash; stock may become obsolete</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58E336B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Medium</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FB69ED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Limit stock to high-volume models; review turnover monthly</w:t>
            </w:r>
          </w:p>
        </w:tc>
      </w:tr>
      <w:tr w:rsidR="008A192A" w:rsidRPr="008A192A" w14:paraId="24A82526"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532EA9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Used-device trading</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D5F553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Devices depreciate, and stolen or blocked handsets cannot be resold</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D55D49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Medium</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0C946A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Identity and blacklist checks; stock-age limits</w:t>
            </w:r>
          </w:p>
        </w:tc>
      </w:tr>
      <w:tr w:rsidR="008A192A" w:rsidRPr="008A192A" w14:paraId="28AFD701"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1A5EA4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Data protection</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519D74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Repairs and data recovery involve access to customers' personal data</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B65643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Medium</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BC2512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Written data policy; ICO registration (Information Commissioner's Office, 2025)</w:t>
            </w:r>
          </w:p>
        </w:tc>
      </w:tr>
      <w:tr w:rsidR="008A192A" w:rsidRPr="008A192A" w14:paraId="2CA8F8C5"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CD7FDA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lastRenderedPageBreak/>
              <w:t>Reputation</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52BDE8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Poor reviews can quickly affect a small business</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7F0453C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Medium</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40EF3B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Clear quotes and written terms; prompt complaint handling</w:t>
            </w:r>
          </w:p>
        </w:tc>
      </w:tr>
      <w:tr w:rsidR="008A192A" w:rsidRPr="008A192A" w14:paraId="69BDC9C1"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695C5B0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Skills and suppliers</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171C337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Limited board-level skill; dependence on a few suppliers</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2FEF50F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Medium</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0B0213C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Refer specialist work; compare alternative suppliers</w:t>
            </w:r>
          </w:p>
        </w:tc>
      </w:tr>
      <w:tr w:rsidR="008A192A" w:rsidRPr="008A192A" w14:paraId="483AAA47" w14:textId="77777777" w:rsidTr="007D2C03">
        <w:trPr>
          <w:cantSplit/>
        </w:trPr>
        <w:tc>
          <w:tcPr>
            <w:tcW w:w="17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0F1D2B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Research limitations</w:t>
            </w:r>
          </w:p>
        </w:tc>
        <w:tc>
          <w:tcPr>
            <w:tcW w:w="35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82EB6D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Secondary data may not explain individual customer choices</w:t>
            </w:r>
          </w:p>
        </w:tc>
        <w:tc>
          <w:tcPr>
            <w:tcW w:w="900"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432A0F1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Medium</w:t>
            </w:r>
          </w:p>
        </w:tc>
        <w:tc>
          <w:tcPr>
            <w:tcW w:w="3538" w:type="dxa"/>
            <w:tcBorders>
              <w:top w:val="single" w:sz="4" w:space="0" w:color="BFBFBF"/>
              <w:left w:val="single" w:sz="4" w:space="0" w:color="BFBFBF"/>
              <w:bottom w:val="single" w:sz="4" w:space="0" w:color="BFBFBF"/>
              <w:right w:val="single" w:sz="4" w:space="0" w:color="BFBFBF"/>
            </w:tcBorders>
            <w:tcMar>
              <w:top w:w="40" w:type="dxa"/>
              <w:left w:w="80" w:type="dxa"/>
              <w:bottom w:w="40" w:type="dxa"/>
              <w:right w:w="80" w:type="dxa"/>
            </w:tcMar>
          </w:tcPr>
          <w:p w14:paraId="3F91677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Triangulate sources; state limitations in conclusions</w:t>
            </w:r>
          </w:p>
        </w:tc>
      </w:tr>
    </w:tbl>
    <w:p w14:paraId="0DA3372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i/>
          <w:iCs/>
          <w:kern w:val="36"/>
          <w:lang w:eastAsia="en-GB"/>
          <w14:ligatures w14:val="none"/>
        </w:rPr>
        <w:t>Source: author's own. Severity ratings are initial judgements.</w:t>
      </w:r>
    </w:p>
    <w:p w14:paraId="49882A23"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t>7. Timeline</w:t>
      </w:r>
    </w:p>
    <w:p w14:paraId="07C55F6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Figure 1 shows the project plan from the start of the module to final submission. Week 1 began on 9 September 2026. The outline is submitted in week 5 and presented in week 6, and the final BDP is due on Monday 4 January 2027 at 2:00pm, as communicated in module sessions. The ethics application will be amended and submitted alongside this outline, and analysis will begin only after approval. The final BDP will develop the outline into the required sections, including the Business Model Canvas (Osterwalder and Pigneur, 2010) and the PESTLE, SWOT, competitor analysis, Porter's Five Forces (Porter, 2008) and Ansoff Matrix (Ansoff, 1957) models.</w:t>
      </w:r>
    </w:p>
    <w:p w14:paraId="39EAA2D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Figure 1: Project timeline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28"/>
        <w:gridCol w:w="330"/>
        <w:gridCol w:w="330"/>
        <w:gridCol w:w="330"/>
        <w:gridCol w:w="330"/>
        <w:gridCol w:w="330"/>
        <w:gridCol w:w="330"/>
        <w:gridCol w:w="330"/>
        <w:gridCol w:w="330"/>
        <w:gridCol w:w="330"/>
        <w:gridCol w:w="330"/>
        <w:gridCol w:w="330"/>
        <w:gridCol w:w="330"/>
        <w:gridCol w:w="330"/>
        <w:gridCol w:w="330"/>
        <w:gridCol w:w="330"/>
        <w:gridCol w:w="330"/>
        <w:gridCol w:w="330"/>
      </w:tblGrid>
      <w:tr w:rsidR="008A192A" w:rsidRPr="008A192A" w14:paraId="649B9D73" w14:textId="77777777" w:rsidTr="007D2C03">
        <w:trPr>
          <w:tblHeader/>
        </w:trPr>
        <w:tc>
          <w:tcPr>
            <w:tcW w:w="4028" w:type="dxa"/>
            <w:tcBorders>
              <w:top w:val="single" w:sz="4" w:space="0" w:color="BFBFBF"/>
              <w:left w:val="single" w:sz="4" w:space="0" w:color="BFBFBF"/>
              <w:bottom w:val="single" w:sz="4" w:space="0" w:color="BFBFBF"/>
              <w:right w:val="single" w:sz="4" w:space="0" w:color="BFBFBF"/>
            </w:tcBorders>
            <w:shd w:val="clear" w:color="auto" w:fill="1F3864"/>
            <w:tcMar>
              <w:top w:w="40" w:type="dxa"/>
              <w:left w:w="80" w:type="dxa"/>
              <w:bottom w:w="40" w:type="dxa"/>
              <w:right w:w="80" w:type="dxa"/>
            </w:tcMar>
          </w:tcPr>
          <w:p w14:paraId="79765F4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Task / week</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4D314D8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77790DA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2</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7A0EEF4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3</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29FD740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4</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7B59A55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5</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392897D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6</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655573B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7</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1A44E2D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8</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5FBEFDC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9</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3D1B044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10</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507EEB3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11</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30132A6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12</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6A4F51F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13</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00085DA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14</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5BFE93B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15</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50765DA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16</w:t>
            </w:r>
          </w:p>
        </w:tc>
        <w:tc>
          <w:tcPr>
            <w:tcW w:w="330" w:type="dxa"/>
            <w:tcBorders>
              <w:top w:val="single" w:sz="4" w:space="0" w:color="BFBFBF"/>
              <w:left w:val="single" w:sz="4" w:space="0" w:color="BFBFBF"/>
              <w:bottom w:val="single" w:sz="4" w:space="0" w:color="BFBFBF"/>
              <w:right w:val="single" w:sz="4" w:space="0" w:color="BFBFBF"/>
            </w:tcBorders>
            <w:shd w:val="clear" w:color="auto" w:fill="1F3864"/>
            <w:tcMar>
              <w:top w:w="40" w:type="dxa"/>
              <w:left w:w="6" w:type="dxa"/>
              <w:bottom w:w="40" w:type="dxa"/>
              <w:right w:w="6" w:type="dxa"/>
            </w:tcMar>
          </w:tcPr>
          <w:p w14:paraId="67F2B1C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b/>
                <w:bCs/>
                <w:kern w:val="36"/>
                <w:lang w:eastAsia="en-GB"/>
                <w14:ligatures w14:val="none"/>
              </w:rPr>
              <w:t>17</w:t>
            </w:r>
          </w:p>
        </w:tc>
      </w:tr>
      <w:tr w:rsidR="008A192A" w:rsidRPr="008A192A" w14:paraId="0226EF1D"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40F4236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Idea development and first supervision</w:t>
            </w: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0FF5CC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F97B5E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4A2B51B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AEB972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B13792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51CBFD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AF864A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63B75A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21D46A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82D783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369011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E5B8A9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8E1E99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DCB8BB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4BCC6D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9254FF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779AE7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4188ADCB"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2AAFE3E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Outline drafting, submission and presentation</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8C61F5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3ADD72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5F22C42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53CB409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3778C9F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2FE84FD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E4C89E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954559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3644B8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9B1A94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FB79D3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2186A4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DB2115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34F1D0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D187B4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F3DB9B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E099AE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355C046E"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338013B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lastRenderedPageBreak/>
              <w:t>Ethics application amendments and submission</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38164E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609548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EFB972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4E1A4A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F76886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015D0E8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A0207D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AF4681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D498E7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9EA9AA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83CFB4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68176A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FB137D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CB8DB4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AC1CD6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7F287C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E4F5AD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08A57E6C"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2622B72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Secondary data collection and analysis (RO1–RO2)</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CD8CF5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497590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D40521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79B0F2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2A2401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58166C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051CC5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D1A39B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42242BC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0AFF0B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8B1A51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218628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C892A1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51F912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710BA9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7D2435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86F15D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5C927579"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4FEFBA3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Competitor and location comparison (RO3–RO4)</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AC8C18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2B52C3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B6D069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0A321A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D4DF59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2D4062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AFD3E6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60505B7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5D116A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415FEB2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17CC034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8A61CF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7B24B0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DF646A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C025EF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2014CA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6E7256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30CDDF05"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79B17E5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Business Model Canvas and strategic models</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949CD1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F4CD4D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18D7FB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C6959E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0AA1B1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8DE92C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DB1D08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998DA8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803411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FE4A1A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119D05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565A899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A5E87C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78CD67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10D151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DEDBB4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435D8E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00C62AA5"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64F18DE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Marketing, operations and HR plans</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1DD642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559185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606D2F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ED7102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B93DFF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303F63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A09CD5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51733E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62F390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CAC858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518B9C2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3F1832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1340DE2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A979BE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544613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B52E16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59D5B5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1B5A0D72"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4D5EB01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Financial plan and 12-month cash flow (RO5)</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4964C6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4FD0B5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AA9DEB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1D26DA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0C5383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90B928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C01A74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67A2A6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7B9775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123970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1D6696C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3B32DF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BF6C56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1500D3F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BD1989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2D84A4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EA642B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70A0B5D1"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68C2934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Drafting the full BDP</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B98BB8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D5DD38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388941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9A6437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A76476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69D1B5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42EE75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66DF5C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037AD93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1AEAF6F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4311CE4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1D23647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71D3026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4710E27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6DCCEB6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696F0DF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47827E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467C67AF"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606C036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Supervision meetings</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ACB05E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49ADF19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11B028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743DD85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3A1DB9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7371590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E70B44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24C1397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3C5BDF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741516E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681D616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4A2EAE6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BE61E5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4626661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A2757A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625A463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C4537DA"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r>
      <w:tr w:rsidR="008A192A" w:rsidRPr="008A192A" w14:paraId="1F9C548A" w14:textId="77777777" w:rsidTr="007D2C03">
        <w:trPr>
          <w:cantSplit/>
        </w:trPr>
        <w:tc>
          <w:tcPr>
            <w:tcW w:w="4028" w:type="dxa"/>
            <w:tcBorders>
              <w:top w:val="single" w:sz="4" w:space="0" w:color="BFBFBF"/>
              <w:left w:val="single" w:sz="4" w:space="0" w:color="BFBFBF"/>
              <w:bottom w:val="single" w:sz="4" w:space="0" w:color="BFBFBF"/>
              <w:right w:val="single" w:sz="4" w:space="0" w:color="BFBFBF"/>
            </w:tcBorders>
            <w:tcMar>
              <w:top w:w="25" w:type="dxa"/>
              <w:left w:w="80" w:type="dxa"/>
              <w:bottom w:w="25" w:type="dxa"/>
              <w:right w:w="80" w:type="dxa"/>
            </w:tcMar>
          </w:tcPr>
          <w:p w14:paraId="2DA274F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Final revisions and submission</w:t>
            </w: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4C6E4A7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E2BF1E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6EB0A1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1F028B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557E6E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842ED2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7A9025C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07069A9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3645A9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BF4D36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5A5F3A96"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1257655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3DD83E3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tcMar>
              <w:top w:w="25" w:type="dxa"/>
              <w:left w:w="6" w:type="dxa"/>
              <w:bottom w:w="25" w:type="dxa"/>
              <w:right w:w="6" w:type="dxa"/>
            </w:tcMar>
          </w:tcPr>
          <w:p w14:paraId="2BD8460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230390A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5B9BD5"/>
            <w:tcMar>
              <w:top w:w="25" w:type="dxa"/>
              <w:left w:w="6" w:type="dxa"/>
              <w:bottom w:w="25" w:type="dxa"/>
              <w:right w:w="6" w:type="dxa"/>
            </w:tcMar>
          </w:tcPr>
          <w:p w14:paraId="5AD01D4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p>
        </w:tc>
        <w:tc>
          <w:tcPr>
            <w:tcW w:w="330" w:type="dxa"/>
            <w:tcBorders>
              <w:top w:val="single" w:sz="4" w:space="0" w:color="BFBFBF"/>
              <w:left w:val="single" w:sz="4" w:space="0" w:color="BFBFBF"/>
              <w:bottom w:val="single" w:sz="4" w:space="0" w:color="BFBFBF"/>
              <w:right w:val="single" w:sz="4" w:space="0" w:color="BFBFBF"/>
            </w:tcBorders>
            <w:shd w:val="clear" w:color="auto" w:fill="C00000"/>
            <w:tcMar>
              <w:top w:w="25" w:type="dxa"/>
              <w:left w:w="6" w:type="dxa"/>
              <w:bottom w:w="25" w:type="dxa"/>
              <w:right w:w="6" w:type="dxa"/>
            </w:tcMar>
            <w:vAlign w:val="center"/>
          </w:tcPr>
          <w:p w14:paraId="7D00B7E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Segoe UI Symbol" w:eastAsia="Times New Roman" w:hAnsi="Segoe UI Symbol" w:cs="Segoe UI Symbol"/>
                <w:kern w:val="36"/>
                <w:lang w:eastAsia="en-GB"/>
                <w14:ligatures w14:val="none"/>
              </w:rPr>
              <w:t>◆</w:t>
            </w:r>
          </w:p>
        </w:tc>
      </w:tr>
    </w:tbl>
    <w:p w14:paraId="4B64056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i/>
          <w:iCs/>
          <w:kern w:val="36"/>
          <w:lang w:eastAsia="en-GB"/>
          <w14:ligatures w14:val="none"/>
        </w:rPr>
        <w:t xml:space="preserve">Blue = planned activity; red </w:t>
      </w:r>
      <w:r w:rsidRPr="008A192A">
        <w:rPr>
          <w:rFonts w:ascii="Segoe UI Symbol" w:eastAsia="Times New Roman" w:hAnsi="Segoe UI Symbol" w:cs="Segoe UI Symbol"/>
          <w:i/>
          <w:iCs/>
          <w:kern w:val="36"/>
          <w:lang w:eastAsia="en-GB"/>
          <w14:ligatures w14:val="none"/>
        </w:rPr>
        <w:t>◆</w:t>
      </w:r>
      <w:r w:rsidRPr="008A192A">
        <w:rPr>
          <w:rFonts w:ascii="Arial" w:eastAsia="Times New Roman" w:hAnsi="Arial" w:cs="Arial"/>
          <w:i/>
          <w:iCs/>
          <w:kern w:val="36"/>
          <w:lang w:eastAsia="en-GB"/>
          <w14:ligatures w14:val="none"/>
        </w:rPr>
        <w:t xml:space="preserve"> = milestone. Week 1 = w/c 9 September 2026; week 5 = outline submission (7 October 2026); week 17 includes the final deadline of 4 January 2027. Source: author's own.</w:t>
      </w:r>
    </w:p>
    <w:p w14:paraId="572F2C8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br w:type="page"/>
      </w:r>
    </w:p>
    <w:p w14:paraId="47CB6200" w14:textId="77777777" w:rsidR="008A192A" w:rsidRPr="008A192A" w:rsidRDefault="008A192A" w:rsidP="008A192A">
      <w:pPr>
        <w:spacing w:before="100" w:beforeAutospacing="1" w:after="100" w:afterAutospacing="1" w:line="360" w:lineRule="auto"/>
        <w:rPr>
          <w:rFonts w:ascii="Arial" w:eastAsia="Times New Roman" w:hAnsi="Arial" w:cs="Arial"/>
          <w:b/>
          <w:bCs/>
          <w:kern w:val="36"/>
          <w:lang w:eastAsia="en-GB"/>
          <w14:ligatures w14:val="none"/>
        </w:rPr>
      </w:pPr>
      <w:r w:rsidRPr="008A192A">
        <w:rPr>
          <w:rFonts w:ascii="Arial" w:eastAsia="Times New Roman" w:hAnsi="Arial" w:cs="Arial"/>
          <w:b/>
          <w:bCs/>
          <w:kern w:val="36"/>
          <w:lang w:eastAsia="en-GB"/>
          <w14:ligatures w14:val="none"/>
        </w:rPr>
        <w:lastRenderedPageBreak/>
        <w:t>References</w:t>
      </w:r>
    </w:p>
    <w:p w14:paraId="607B6D9E"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Ansoff, H.I. (1957) 'Strategies for diversification', Harvard Business Review, 35(5), pp. 113–124.</w:t>
      </w:r>
    </w:p>
    <w:p w14:paraId="7A293B8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Birmingham City Council (2022) 2021 Census – first results for Birmingham. Demographic Brief 2022/01. Available at: https://www.birmingham.gov.uk/download/downloads/id/26348/first_results_for_2021_census.pdf (Accessed: 7 October 2026).</w:t>
      </w:r>
    </w:p>
    <w:p w14:paraId="1ADCE6C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Birmingham City Council (n.d.) Understanding the health needs of the student population: using the aged 16 to 24 student population Community Health Profile. Available at: https://www.birmingham.gov.uk/download/downloads/id/29077/age_16_to_24_student_population_health_inequalities_summary_presentation.pdf (Accessed: 7 October 2026).</w:t>
      </w:r>
    </w:p>
    <w:p w14:paraId="278D75F9"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Companies House (2026) Companies House fees. Available at: https://www.gov.uk/government/publications/companies-house-fees/companies-house-fees (Accessed: 7 October 2026).</w:t>
      </w:r>
    </w:p>
    <w:p w14:paraId="78F38E9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Competition and Markets Authority (2025) Appendix A: Market outcomes. Available at: https://assets.publishing.service.gov.uk/media/68f8ae0e25d7d8af156dc27f/Annex_A_-_Market_outcomes.pdf (Accessed: 7 October 2026).</w:t>
      </w:r>
    </w:p>
    <w:p w14:paraId="32B265D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Consumer Rights Act 2015, c. 15. Available at: https://www.legislation.gov.uk/ukpga/2015/15/section/49 (Accessed: 7 October 2026).</w:t>
      </w:r>
    </w:p>
    <w:p w14:paraId="00F8BB8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EE (2026) Birmingham Bull Ring store. Available at: https://ee.co.uk/stores/england/west_midlands/birmingham/birmingham_bull_ring (Accessed: 7 October 2026).</w:t>
      </w:r>
    </w:p>
    <w:p w14:paraId="613DD64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GOV.UK (2024) Small business rate relief. Available at: https://www.gov.uk/apply-for-business-rate-relief/small-business-rate-relief (Accessed: 7 October 2026).</w:t>
      </w:r>
    </w:p>
    <w:p w14:paraId="1C52EF50"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lastRenderedPageBreak/>
        <w:t>IBISWorld (2026) Mobile phone repair in the UK – market research report. Available at: https://www.ibisworld.com/united-kingdom/industry/mobile-phone-repair/5169/ (Accessed: 7 October 2026).</w:t>
      </w:r>
    </w:p>
    <w:p w14:paraId="34B39CD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Information Commissioner's Office (2025) Data protection fee. Available at: https://ico.org.uk/for-organisations/data-protection-fee/data-protection-fee (Accessed: 7 October 2026).</w:t>
      </w:r>
    </w:p>
    <w:p w14:paraId="6995AB17"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iSmash (2025) iPhone screen repair cost in 2025: what to expect. Available at: https://www.ismash.com/blogs/news-reviews/iphone-screen-repair-cost-in-2025-what-to-expect (Accessed: 7 October 2026).</w:t>
      </w:r>
    </w:p>
    <w:p w14:paraId="2DD1854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iSmash (2026) iSmash Birmingham. Available at: https://www.ismash.com/pages/ismash-birmingham (Accessed: 7 October 2026).</w:t>
      </w:r>
    </w:p>
    <w:p w14:paraId="59F281D4"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Jaeger-Erben, M., Frick, V. and Hipp, T. (2021) 'Why do users (not) repair their devices? A study of the predictors of repair practices', Journal of Cleaner Production, 286, 125382. doi: 10.1016/j.jclepro.2020.125382.</w:t>
      </w:r>
    </w:p>
    <w:p w14:paraId="476B931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Johnston, M.P. (2014) 'Secondary data analysis: a method of which the time has come', Qualitative and Quantitative Methods in Libraries, 3(3), pp. 619–626.</w:t>
      </w:r>
    </w:p>
    <w:p w14:paraId="04F66A25"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Makov, T., Fishman, T., Chertow, M.R. and Blass, V. (2019) 'What affects the secondhand value of smartphones: evidence from eBay', Journal of Industrial Ecology, 23(3), pp. 549–559.</w:t>
      </w:r>
    </w:p>
    <w:p w14:paraId="7C52B4E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Mullins, J. (2006) The new business road test: what entrepreneurs and executives should do before writing a business plan. Harlow: FT Prentice Hall.</w:t>
      </w:r>
    </w:p>
    <w:p w14:paraId="0BF3DDB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NielsenIQ (2024) One-quarter of all mobile phones sold in the UK in 2023 were bought secondhand or refurbished. 28 February. Available at: https://nielseniq.com/global/en/news-center/2024/one-quarter-of-all-mobile-phones-sold-in-the-uk-in-2023-were-bought-secondhand-or-refurbished/ (Accessed: 7 October 2026).</w:t>
      </w:r>
    </w:p>
    <w:p w14:paraId="258E55E2"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lastRenderedPageBreak/>
        <w:t>Ofcom (2025) Online Nation 2025 report. London: Ofcom. Available at: https://www.ofcom.org.uk/media-use-and-attitudes/online-habits/online-nation (Accessed: 7 October 2026).</w:t>
      </w:r>
    </w:p>
    <w:p w14:paraId="608177BF"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Office for National Statistics (2022) How life has changed in Birmingham: Census 2021. Available at: https://www.ons.gov.uk/visualisations/censusareachanges/E08000025 (Accessed: 7 October 2026).</w:t>
      </w:r>
    </w:p>
    <w:p w14:paraId="61DBC083"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Osterwalder, A. and Pigneur, Y. (2010) Business model generation. Hoboken, NJ: John Wiley &amp; Sons.</w:t>
      </w:r>
    </w:p>
    <w:p w14:paraId="46755188"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Porter, M.E. (2008) 'The five competitive forces that shape strategy', Harvard Business Review, 86(1), pp. 78–93.</w:t>
      </w:r>
    </w:p>
    <w:p w14:paraId="1DC5B67C"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PrimeLocation (2026) Retail premises to let, Alcester Road South, Kings Heath, Birmingham B14. Available at: https://www.primelocation.com/to-rent/details/72497356/ (Accessed: 7 October 2026).</w:t>
      </w:r>
    </w:p>
    <w:p w14:paraId="44F671FD"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Saunders, M., Lewis, P. and Thornhill, A. (2019) Research methods for business students. 8th edn. Harlow: Pearson.</w:t>
      </w:r>
    </w:p>
    <w:p w14:paraId="3D7FC091"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van Weelden, E., Mugge, R. and Bakker, C. (2016) 'Paving the way towards circular consumption: exploring consumer acceptance of refurbished mobile phones in the Dutch market', Journal of Cleaner Production, 113, pp. 743–754.</w:t>
      </w:r>
    </w:p>
    <w:p w14:paraId="690B435B" w14:textId="77777777" w:rsidR="008A192A" w:rsidRPr="008A192A" w:rsidRDefault="008A192A" w:rsidP="008A192A">
      <w:pPr>
        <w:spacing w:before="100" w:beforeAutospacing="1" w:after="100" w:afterAutospacing="1" w:line="360" w:lineRule="auto"/>
        <w:rPr>
          <w:rFonts w:ascii="Arial" w:eastAsia="Times New Roman" w:hAnsi="Arial" w:cs="Arial"/>
          <w:kern w:val="36"/>
          <w:lang w:eastAsia="en-GB"/>
          <w14:ligatures w14:val="none"/>
        </w:rPr>
      </w:pPr>
      <w:r w:rsidRPr="008A192A">
        <w:rPr>
          <w:rFonts w:ascii="Arial" w:eastAsia="Times New Roman" w:hAnsi="Arial" w:cs="Arial"/>
          <w:kern w:val="36"/>
          <w:lang w:eastAsia="en-GB"/>
          <w14:ligatures w14:val="none"/>
        </w:rPr>
        <w:t>Waste Electrical and Electronic Equipment Regulations 2013, SI 2013/3113. Available at: https://www.legislation.gov.uk/uksi/2013/3113/contents (Accessed: 7 October 2026).</w:t>
      </w:r>
    </w:p>
    <w:p w14:paraId="25AF5EF3" w14:textId="77777777" w:rsidR="008A192A" w:rsidRPr="002B44D0" w:rsidRDefault="008A192A" w:rsidP="002B44D0">
      <w:pPr>
        <w:spacing w:before="100" w:beforeAutospacing="1" w:after="100" w:afterAutospacing="1" w:line="360" w:lineRule="auto"/>
        <w:rPr>
          <w:rFonts w:ascii="Arial" w:eastAsia="Times New Roman" w:hAnsi="Arial" w:cs="Arial"/>
          <w:kern w:val="36"/>
          <w:lang w:eastAsia="en-GB"/>
          <w14:ligatures w14:val="none"/>
        </w:rPr>
      </w:pPr>
    </w:p>
    <w:sectPr w:rsidR="008A192A" w:rsidRPr="002B44D0" w:rsidSect="00B80C90">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D0E5CB" w14:textId="77777777" w:rsidR="008819B8" w:rsidRDefault="008819B8" w:rsidP="00B80C90">
      <w:pPr>
        <w:spacing w:after="0" w:line="240" w:lineRule="auto"/>
      </w:pPr>
      <w:r>
        <w:separator/>
      </w:r>
    </w:p>
  </w:endnote>
  <w:endnote w:type="continuationSeparator" w:id="0">
    <w:p w14:paraId="74424942" w14:textId="77777777" w:rsidR="008819B8" w:rsidRDefault="008819B8" w:rsidP="00B8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46725047"/>
      <w:docPartObj>
        <w:docPartGallery w:val="Page Numbers (Bottom of Page)"/>
        <w:docPartUnique/>
      </w:docPartObj>
    </w:sdtPr>
    <w:sdtContent>
      <w:p w14:paraId="45E56563" w14:textId="77777777"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6F6BAC" w14:textId="77777777" w:rsidR="00B80C90" w:rsidRDefault="00B8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82085085"/>
      <w:docPartObj>
        <w:docPartGallery w:val="Page Numbers (Bottom of Page)"/>
        <w:docPartUnique/>
      </w:docPartObj>
    </w:sdtPr>
    <w:sdtContent>
      <w:p w14:paraId="09539EC4" w14:textId="77777777"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E7D06" w14:textId="77777777" w:rsidR="00B80C90" w:rsidRDefault="00B80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50C20A" w14:textId="77777777" w:rsidR="008819B8" w:rsidRDefault="008819B8" w:rsidP="00B80C90">
      <w:pPr>
        <w:spacing w:after="0" w:line="240" w:lineRule="auto"/>
      </w:pPr>
      <w:r>
        <w:separator/>
      </w:r>
    </w:p>
  </w:footnote>
  <w:footnote w:type="continuationSeparator" w:id="0">
    <w:p w14:paraId="0D1C2FE6" w14:textId="77777777" w:rsidR="008819B8" w:rsidRDefault="008819B8" w:rsidP="00B80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B3FFE"/>
    <w:multiLevelType w:val="multilevel"/>
    <w:tmpl w:val="65C2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F5314C"/>
    <w:multiLevelType w:val="multilevel"/>
    <w:tmpl w:val="FDA0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06D3C"/>
    <w:multiLevelType w:val="multilevel"/>
    <w:tmpl w:val="B502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2235C"/>
    <w:multiLevelType w:val="multilevel"/>
    <w:tmpl w:val="624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85F8C"/>
    <w:multiLevelType w:val="multilevel"/>
    <w:tmpl w:val="ABA0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F46BEB"/>
    <w:multiLevelType w:val="multilevel"/>
    <w:tmpl w:val="DE76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D97BF2"/>
    <w:multiLevelType w:val="multilevel"/>
    <w:tmpl w:val="8CCC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EE50FA"/>
    <w:multiLevelType w:val="multilevel"/>
    <w:tmpl w:val="B3FA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5D34C3"/>
    <w:multiLevelType w:val="hybridMultilevel"/>
    <w:tmpl w:val="D88AB3AA"/>
    <w:lvl w:ilvl="0" w:tplc="0F128328">
      <w:start w:val="1"/>
      <w:numFmt w:val="bullet"/>
      <w:lvlText w:val="•"/>
      <w:lvlJc w:val="left"/>
      <w:pPr>
        <w:ind w:left="540" w:hanging="270"/>
      </w:pPr>
    </w:lvl>
    <w:lvl w:ilvl="1" w:tplc="3F88A46A">
      <w:numFmt w:val="decimal"/>
      <w:lvlText w:val=""/>
      <w:lvlJc w:val="left"/>
    </w:lvl>
    <w:lvl w:ilvl="2" w:tplc="0EC62182">
      <w:numFmt w:val="decimal"/>
      <w:lvlText w:val=""/>
      <w:lvlJc w:val="left"/>
    </w:lvl>
    <w:lvl w:ilvl="3" w:tplc="FEC45784">
      <w:numFmt w:val="decimal"/>
      <w:lvlText w:val=""/>
      <w:lvlJc w:val="left"/>
    </w:lvl>
    <w:lvl w:ilvl="4" w:tplc="F6B4162A">
      <w:numFmt w:val="decimal"/>
      <w:lvlText w:val=""/>
      <w:lvlJc w:val="left"/>
    </w:lvl>
    <w:lvl w:ilvl="5" w:tplc="CE90E4FE">
      <w:numFmt w:val="decimal"/>
      <w:lvlText w:val=""/>
      <w:lvlJc w:val="left"/>
    </w:lvl>
    <w:lvl w:ilvl="6" w:tplc="9B384D5E">
      <w:numFmt w:val="decimal"/>
      <w:lvlText w:val=""/>
      <w:lvlJc w:val="left"/>
    </w:lvl>
    <w:lvl w:ilvl="7" w:tplc="7ED4015E">
      <w:numFmt w:val="decimal"/>
      <w:lvlText w:val=""/>
      <w:lvlJc w:val="left"/>
    </w:lvl>
    <w:lvl w:ilvl="8" w:tplc="B920A3AC">
      <w:numFmt w:val="decimal"/>
      <w:lvlText w:val=""/>
      <w:lvlJc w:val="left"/>
    </w:lvl>
  </w:abstractNum>
  <w:abstractNum w:abstractNumId="9" w15:restartNumberingAfterBreak="0">
    <w:nsid w:val="39A535C7"/>
    <w:multiLevelType w:val="multilevel"/>
    <w:tmpl w:val="C45EF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B923D3"/>
    <w:multiLevelType w:val="multilevel"/>
    <w:tmpl w:val="1BEA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364483"/>
    <w:multiLevelType w:val="multilevel"/>
    <w:tmpl w:val="0C1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A76A2C"/>
    <w:multiLevelType w:val="multilevel"/>
    <w:tmpl w:val="BC3A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E53811"/>
    <w:multiLevelType w:val="multilevel"/>
    <w:tmpl w:val="3936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2264DB"/>
    <w:multiLevelType w:val="multilevel"/>
    <w:tmpl w:val="DF9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38317E"/>
    <w:multiLevelType w:val="multilevel"/>
    <w:tmpl w:val="BFD6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3F397E"/>
    <w:multiLevelType w:val="multilevel"/>
    <w:tmpl w:val="C362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3D5134"/>
    <w:multiLevelType w:val="multilevel"/>
    <w:tmpl w:val="EF9A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8E1401"/>
    <w:multiLevelType w:val="multilevel"/>
    <w:tmpl w:val="317E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965750"/>
    <w:multiLevelType w:val="multilevel"/>
    <w:tmpl w:val="B17E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064050"/>
    <w:multiLevelType w:val="multilevel"/>
    <w:tmpl w:val="00F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8E50D5"/>
    <w:multiLevelType w:val="multilevel"/>
    <w:tmpl w:val="7898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A65601"/>
    <w:multiLevelType w:val="multilevel"/>
    <w:tmpl w:val="6332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F60BF7"/>
    <w:multiLevelType w:val="multilevel"/>
    <w:tmpl w:val="4456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1950887">
    <w:abstractNumId w:val="9"/>
  </w:num>
  <w:num w:numId="2" w16cid:durableId="59795167">
    <w:abstractNumId w:val="22"/>
  </w:num>
  <w:num w:numId="3" w16cid:durableId="1113593183">
    <w:abstractNumId w:val="10"/>
  </w:num>
  <w:num w:numId="4" w16cid:durableId="209343516">
    <w:abstractNumId w:val="3"/>
  </w:num>
  <w:num w:numId="5" w16cid:durableId="1846239781">
    <w:abstractNumId w:val="19"/>
  </w:num>
  <w:num w:numId="6" w16cid:durableId="207228940">
    <w:abstractNumId w:val="0"/>
  </w:num>
  <w:num w:numId="7" w16cid:durableId="2125030375">
    <w:abstractNumId w:val="16"/>
  </w:num>
  <w:num w:numId="8" w16cid:durableId="1683582509">
    <w:abstractNumId w:val="18"/>
  </w:num>
  <w:num w:numId="9" w16cid:durableId="1382513221">
    <w:abstractNumId w:val="23"/>
  </w:num>
  <w:num w:numId="10" w16cid:durableId="1799950354">
    <w:abstractNumId w:val="21"/>
  </w:num>
  <w:num w:numId="11" w16cid:durableId="1346904064">
    <w:abstractNumId w:val="7"/>
  </w:num>
  <w:num w:numId="12" w16cid:durableId="1225680687">
    <w:abstractNumId w:val="15"/>
  </w:num>
  <w:num w:numId="13" w16cid:durableId="487596722">
    <w:abstractNumId w:val="11"/>
  </w:num>
  <w:num w:numId="14" w16cid:durableId="893661454">
    <w:abstractNumId w:val="14"/>
  </w:num>
  <w:num w:numId="15" w16cid:durableId="590940202">
    <w:abstractNumId w:val="6"/>
  </w:num>
  <w:num w:numId="16" w16cid:durableId="1869563419">
    <w:abstractNumId w:val="17"/>
  </w:num>
  <w:num w:numId="17" w16cid:durableId="1678144871">
    <w:abstractNumId w:val="1"/>
  </w:num>
  <w:num w:numId="18" w16cid:durableId="717819250">
    <w:abstractNumId w:val="13"/>
  </w:num>
  <w:num w:numId="19" w16cid:durableId="284433776">
    <w:abstractNumId w:val="4"/>
  </w:num>
  <w:num w:numId="20" w16cid:durableId="754516420">
    <w:abstractNumId w:val="2"/>
  </w:num>
  <w:num w:numId="21" w16cid:durableId="1222329259">
    <w:abstractNumId w:val="20"/>
  </w:num>
  <w:num w:numId="22" w16cid:durableId="1351689165">
    <w:abstractNumId w:val="12"/>
  </w:num>
  <w:num w:numId="23" w16cid:durableId="535509858">
    <w:abstractNumId w:val="5"/>
  </w:num>
  <w:num w:numId="24" w16cid:durableId="2146003061">
    <w:abstractNumId w:val="8"/>
    <w:lvlOverride w:ilvl="0">
      <w:startOverride w:val="1"/>
    </w:lvlOverride>
  </w:num>
  <w:numIdMacAtCleanup w:val="1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AF"/>
    <w:rsid w:val="000444C7"/>
    <w:rsid w:val="000C20ED"/>
    <w:rsid w:val="000E5C04"/>
    <w:rsid w:val="00103A06"/>
    <w:rsid w:val="00156F77"/>
    <w:rsid w:val="00167D9B"/>
    <w:rsid w:val="001E4F3D"/>
    <w:rsid w:val="001F75A0"/>
    <w:rsid w:val="00203CF8"/>
    <w:rsid w:val="0022356A"/>
    <w:rsid w:val="002B44D0"/>
    <w:rsid w:val="002F3D00"/>
    <w:rsid w:val="00310F3C"/>
    <w:rsid w:val="00333D42"/>
    <w:rsid w:val="00337CA1"/>
    <w:rsid w:val="00360EDA"/>
    <w:rsid w:val="003A6BFB"/>
    <w:rsid w:val="003D53F3"/>
    <w:rsid w:val="0040117D"/>
    <w:rsid w:val="004014AA"/>
    <w:rsid w:val="00425911"/>
    <w:rsid w:val="004A63A9"/>
    <w:rsid w:val="004C76B3"/>
    <w:rsid w:val="004D5C01"/>
    <w:rsid w:val="00595BC3"/>
    <w:rsid w:val="005D1B8D"/>
    <w:rsid w:val="005F06C5"/>
    <w:rsid w:val="00610B80"/>
    <w:rsid w:val="006210F4"/>
    <w:rsid w:val="0063154F"/>
    <w:rsid w:val="006411F7"/>
    <w:rsid w:val="006712E6"/>
    <w:rsid w:val="0067348E"/>
    <w:rsid w:val="006F1220"/>
    <w:rsid w:val="006F59BF"/>
    <w:rsid w:val="007168AF"/>
    <w:rsid w:val="007333F7"/>
    <w:rsid w:val="00780F4E"/>
    <w:rsid w:val="007B7AB3"/>
    <w:rsid w:val="00801A47"/>
    <w:rsid w:val="00857B80"/>
    <w:rsid w:val="008712F2"/>
    <w:rsid w:val="008819B8"/>
    <w:rsid w:val="008A0A9F"/>
    <w:rsid w:val="008A192A"/>
    <w:rsid w:val="008C5D84"/>
    <w:rsid w:val="008E0C2A"/>
    <w:rsid w:val="00902B61"/>
    <w:rsid w:val="00994EE1"/>
    <w:rsid w:val="009C47D3"/>
    <w:rsid w:val="00A7562D"/>
    <w:rsid w:val="00AB7C96"/>
    <w:rsid w:val="00B44EBF"/>
    <w:rsid w:val="00B50B79"/>
    <w:rsid w:val="00B50FA4"/>
    <w:rsid w:val="00B80C90"/>
    <w:rsid w:val="00BA7E73"/>
    <w:rsid w:val="00BB55F9"/>
    <w:rsid w:val="00C607BD"/>
    <w:rsid w:val="00C82F14"/>
    <w:rsid w:val="00D41D2F"/>
    <w:rsid w:val="00DB46EA"/>
    <w:rsid w:val="00E24745"/>
    <w:rsid w:val="00E42F8E"/>
    <w:rsid w:val="00E578A3"/>
    <w:rsid w:val="00EF5D2A"/>
    <w:rsid w:val="00F61BA7"/>
    <w:rsid w:val="00F6569D"/>
    <w:rsid w:val="00F92209"/>
    <w:rsid w:val="00FA5A20"/>
    <w:rsid w:val="00FD3E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D3A228"/>
  <w15:chartTrackingRefBased/>
  <w15:docId w15:val="{9E056E18-82E9-4D42-8029-C6BB6644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8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68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68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68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68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6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8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68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68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68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68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6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8AF"/>
    <w:rPr>
      <w:rFonts w:eastAsiaTheme="majorEastAsia" w:cstheme="majorBidi"/>
      <w:color w:val="272727" w:themeColor="text1" w:themeTint="D8"/>
    </w:rPr>
  </w:style>
  <w:style w:type="paragraph" w:styleId="Title">
    <w:name w:val="Title"/>
    <w:basedOn w:val="Normal"/>
    <w:next w:val="Normal"/>
    <w:link w:val="TitleChar"/>
    <w:uiPriority w:val="10"/>
    <w:qFormat/>
    <w:rsid w:val="00716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8AF"/>
    <w:pPr>
      <w:spacing w:before="160"/>
      <w:jc w:val="center"/>
    </w:pPr>
    <w:rPr>
      <w:i/>
      <w:iCs/>
      <w:color w:val="404040" w:themeColor="text1" w:themeTint="BF"/>
    </w:rPr>
  </w:style>
  <w:style w:type="character" w:customStyle="1" w:styleId="QuoteChar">
    <w:name w:val="Quote Char"/>
    <w:basedOn w:val="DefaultParagraphFont"/>
    <w:link w:val="Quote"/>
    <w:uiPriority w:val="29"/>
    <w:rsid w:val="007168AF"/>
    <w:rPr>
      <w:i/>
      <w:iCs/>
      <w:color w:val="404040" w:themeColor="text1" w:themeTint="BF"/>
    </w:rPr>
  </w:style>
  <w:style w:type="paragraph" w:styleId="ListParagraph">
    <w:name w:val="List Paragraph"/>
    <w:basedOn w:val="Normal"/>
    <w:uiPriority w:val="34"/>
    <w:qFormat/>
    <w:rsid w:val="007168AF"/>
    <w:pPr>
      <w:ind w:left="720"/>
      <w:contextualSpacing/>
    </w:pPr>
  </w:style>
  <w:style w:type="character" w:styleId="IntenseEmphasis">
    <w:name w:val="Intense Emphasis"/>
    <w:basedOn w:val="DefaultParagraphFont"/>
    <w:uiPriority w:val="21"/>
    <w:qFormat/>
    <w:rsid w:val="007168AF"/>
    <w:rPr>
      <w:i/>
      <w:iCs/>
      <w:color w:val="2F5496" w:themeColor="accent1" w:themeShade="BF"/>
    </w:rPr>
  </w:style>
  <w:style w:type="paragraph" w:styleId="IntenseQuote">
    <w:name w:val="Intense Quote"/>
    <w:basedOn w:val="Normal"/>
    <w:next w:val="Normal"/>
    <w:link w:val="IntenseQuoteChar"/>
    <w:uiPriority w:val="30"/>
    <w:qFormat/>
    <w:rsid w:val="007168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8AF"/>
    <w:rPr>
      <w:i/>
      <w:iCs/>
      <w:color w:val="2F5496" w:themeColor="accent1" w:themeShade="BF"/>
    </w:rPr>
  </w:style>
  <w:style w:type="character" w:styleId="IntenseReference">
    <w:name w:val="Intense Reference"/>
    <w:basedOn w:val="DefaultParagraphFont"/>
    <w:uiPriority w:val="32"/>
    <w:qFormat/>
    <w:rsid w:val="007168AF"/>
    <w:rPr>
      <w:b/>
      <w:bCs/>
      <w:smallCaps/>
      <w:color w:val="2F5496" w:themeColor="accent1" w:themeShade="BF"/>
      <w:spacing w:val="5"/>
    </w:rPr>
  </w:style>
  <w:style w:type="paragraph" w:styleId="NormalWeb">
    <w:name w:val="Normal (Web)"/>
    <w:basedOn w:val="Normal"/>
    <w:uiPriority w:val="99"/>
    <w:unhideWhenUsed/>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68AF"/>
    <w:rPr>
      <w:b/>
      <w:bCs/>
    </w:rPr>
  </w:style>
  <w:style w:type="character" w:customStyle="1" w:styleId="relative">
    <w:name w:val="relative"/>
    <w:basedOn w:val="DefaultParagraphFont"/>
    <w:rsid w:val="007168AF"/>
  </w:style>
  <w:style w:type="paragraph" w:customStyle="1" w:styleId="not-prose">
    <w:name w:val="not-prose"/>
    <w:basedOn w:val="Normal"/>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168AF"/>
    <w:rPr>
      <w:i/>
      <w:iCs/>
    </w:rPr>
  </w:style>
  <w:style w:type="character" w:styleId="Hyperlink">
    <w:name w:val="Hyperlink"/>
    <w:basedOn w:val="DefaultParagraphFont"/>
    <w:uiPriority w:val="99"/>
    <w:unhideWhenUsed/>
    <w:rsid w:val="007168AF"/>
    <w:rPr>
      <w:color w:val="0000FF"/>
      <w:u w:val="single"/>
    </w:rPr>
  </w:style>
  <w:style w:type="paragraph" w:styleId="TOCHeading">
    <w:name w:val="TOC Heading"/>
    <w:basedOn w:val="Heading1"/>
    <w:next w:val="Normal"/>
    <w:uiPriority w:val="39"/>
    <w:unhideWhenUsed/>
    <w:qFormat/>
    <w:rsid w:val="00B80C9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0C90"/>
    <w:pPr>
      <w:spacing w:before="120" w:after="0"/>
    </w:pPr>
    <w:rPr>
      <w:rFonts w:cstheme="minorHAnsi"/>
      <w:b/>
      <w:bCs/>
      <w:i/>
      <w:iCs/>
    </w:rPr>
  </w:style>
  <w:style w:type="paragraph" w:styleId="TOC2">
    <w:name w:val="toc 2"/>
    <w:basedOn w:val="Normal"/>
    <w:next w:val="Normal"/>
    <w:autoRedefine/>
    <w:uiPriority w:val="39"/>
    <w:unhideWhenUsed/>
    <w:rsid w:val="00B80C90"/>
    <w:pPr>
      <w:spacing w:before="120" w:after="0"/>
      <w:ind w:left="240"/>
    </w:pPr>
    <w:rPr>
      <w:rFonts w:cstheme="minorHAnsi"/>
      <w:b/>
      <w:bCs/>
      <w:sz w:val="22"/>
      <w:szCs w:val="22"/>
    </w:rPr>
  </w:style>
  <w:style w:type="paragraph" w:styleId="TOC3">
    <w:name w:val="toc 3"/>
    <w:basedOn w:val="Normal"/>
    <w:next w:val="Normal"/>
    <w:autoRedefine/>
    <w:uiPriority w:val="39"/>
    <w:unhideWhenUsed/>
    <w:rsid w:val="00B80C90"/>
    <w:pPr>
      <w:spacing w:after="0"/>
      <w:ind w:left="480"/>
    </w:pPr>
    <w:rPr>
      <w:rFonts w:cstheme="minorHAnsi"/>
      <w:sz w:val="20"/>
      <w:szCs w:val="20"/>
    </w:rPr>
  </w:style>
  <w:style w:type="paragraph" w:styleId="TOC4">
    <w:name w:val="toc 4"/>
    <w:basedOn w:val="Normal"/>
    <w:next w:val="Normal"/>
    <w:autoRedefine/>
    <w:uiPriority w:val="39"/>
    <w:semiHidden/>
    <w:unhideWhenUsed/>
    <w:rsid w:val="00B80C90"/>
    <w:pPr>
      <w:spacing w:after="0"/>
      <w:ind w:left="720"/>
    </w:pPr>
    <w:rPr>
      <w:rFonts w:cstheme="minorHAnsi"/>
      <w:sz w:val="20"/>
      <w:szCs w:val="20"/>
    </w:rPr>
  </w:style>
  <w:style w:type="paragraph" w:styleId="TOC5">
    <w:name w:val="toc 5"/>
    <w:basedOn w:val="Normal"/>
    <w:next w:val="Normal"/>
    <w:autoRedefine/>
    <w:uiPriority w:val="39"/>
    <w:semiHidden/>
    <w:unhideWhenUsed/>
    <w:rsid w:val="00B80C90"/>
    <w:pPr>
      <w:spacing w:after="0"/>
      <w:ind w:left="960"/>
    </w:pPr>
    <w:rPr>
      <w:rFonts w:cstheme="minorHAnsi"/>
      <w:sz w:val="20"/>
      <w:szCs w:val="20"/>
    </w:rPr>
  </w:style>
  <w:style w:type="paragraph" w:styleId="TOC6">
    <w:name w:val="toc 6"/>
    <w:basedOn w:val="Normal"/>
    <w:next w:val="Normal"/>
    <w:autoRedefine/>
    <w:uiPriority w:val="39"/>
    <w:semiHidden/>
    <w:unhideWhenUsed/>
    <w:rsid w:val="00B80C90"/>
    <w:pPr>
      <w:spacing w:after="0"/>
      <w:ind w:left="1200"/>
    </w:pPr>
    <w:rPr>
      <w:rFonts w:cstheme="minorHAnsi"/>
      <w:sz w:val="20"/>
      <w:szCs w:val="20"/>
    </w:rPr>
  </w:style>
  <w:style w:type="paragraph" w:styleId="TOC7">
    <w:name w:val="toc 7"/>
    <w:basedOn w:val="Normal"/>
    <w:next w:val="Normal"/>
    <w:autoRedefine/>
    <w:uiPriority w:val="39"/>
    <w:semiHidden/>
    <w:unhideWhenUsed/>
    <w:rsid w:val="00B80C90"/>
    <w:pPr>
      <w:spacing w:after="0"/>
      <w:ind w:left="1440"/>
    </w:pPr>
    <w:rPr>
      <w:rFonts w:cstheme="minorHAnsi"/>
      <w:sz w:val="20"/>
      <w:szCs w:val="20"/>
    </w:rPr>
  </w:style>
  <w:style w:type="paragraph" w:styleId="TOC8">
    <w:name w:val="toc 8"/>
    <w:basedOn w:val="Normal"/>
    <w:next w:val="Normal"/>
    <w:autoRedefine/>
    <w:uiPriority w:val="39"/>
    <w:semiHidden/>
    <w:unhideWhenUsed/>
    <w:rsid w:val="00B80C90"/>
    <w:pPr>
      <w:spacing w:after="0"/>
      <w:ind w:left="1680"/>
    </w:pPr>
    <w:rPr>
      <w:rFonts w:cstheme="minorHAnsi"/>
      <w:sz w:val="20"/>
      <w:szCs w:val="20"/>
    </w:rPr>
  </w:style>
  <w:style w:type="paragraph" w:styleId="TOC9">
    <w:name w:val="toc 9"/>
    <w:basedOn w:val="Normal"/>
    <w:next w:val="Normal"/>
    <w:autoRedefine/>
    <w:uiPriority w:val="39"/>
    <w:semiHidden/>
    <w:unhideWhenUsed/>
    <w:rsid w:val="00B80C90"/>
    <w:pPr>
      <w:spacing w:after="0"/>
      <w:ind w:left="1920"/>
    </w:pPr>
    <w:rPr>
      <w:rFonts w:cstheme="minorHAnsi"/>
      <w:sz w:val="20"/>
      <w:szCs w:val="20"/>
    </w:rPr>
  </w:style>
  <w:style w:type="paragraph" w:styleId="Header">
    <w:name w:val="header"/>
    <w:basedOn w:val="Normal"/>
    <w:link w:val="HeaderChar"/>
    <w:uiPriority w:val="99"/>
    <w:unhideWhenUsed/>
    <w:rsid w:val="00B80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C90"/>
  </w:style>
  <w:style w:type="paragraph" w:styleId="Footer">
    <w:name w:val="footer"/>
    <w:basedOn w:val="Normal"/>
    <w:link w:val="FooterChar"/>
    <w:uiPriority w:val="99"/>
    <w:unhideWhenUsed/>
    <w:rsid w:val="00B80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C90"/>
  </w:style>
  <w:style w:type="paragraph" w:styleId="NoSpacing">
    <w:name w:val="No Spacing"/>
    <w:link w:val="NoSpacingChar"/>
    <w:uiPriority w:val="1"/>
    <w:qFormat/>
    <w:rsid w:val="00B80C9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0C90"/>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B80C90"/>
  </w:style>
  <w:style w:type="character" w:styleId="UnresolvedMention">
    <w:name w:val="Unresolved Mention"/>
    <w:basedOn w:val="DefaultParagraphFont"/>
    <w:uiPriority w:val="99"/>
    <w:semiHidden/>
    <w:unhideWhenUsed/>
    <w:rsid w:val="003D53F3"/>
    <w:rPr>
      <w:color w:val="605E5C"/>
      <w:shd w:val="clear" w:color="auto" w:fill="E1DFDD"/>
    </w:rPr>
  </w:style>
  <w:style w:type="paragraph" w:customStyle="1" w:styleId="msonormal0">
    <w:name w:val="msonormal"/>
    <w:basedOn w:val="Normal"/>
    <w:rsid w:val="006712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671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712E6"/>
    <w:rPr>
      <w:rFonts w:ascii="Courier New" w:eastAsia="Times New Roman" w:hAnsi="Courier New" w:cs="Courier New"/>
      <w:kern w:val="0"/>
      <w:sz w:val="20"/>
      <w:szCs w:val="20"/>
      <w:lang w:eastAsia="en-GB"/>
      <w14:ligatures w14:val="none"/>
    </w:rPr>
  </w:style>
  <w:style w:type="character" w:customStyle="1" w:styleId="text-text-secondary">
    <w:name w:val="text-text-secondary"/>
    <w:basedOn w:val="DefaultParagraphFont"/>
    <w:rsid w:val="006712E6"/>
  </w:style>
  <w:style w:type="character" w:styleId="HTMLCode">
    <w:name w:val="HTML Code"/>
    <w:basedOn w:val="DefaultParagraphFont"/>
    <w:uiPriority w:val="99"/>
    <w:semiHidden/>
    <w:unhideWhenUsed/>
    <w:rsid w:val="006712E6"/>
    <w:rPr>
      <w:rFonts w:ascii="Courier New" w:eastAsia="Times New Roman" w:hAnsi="Courier New" w:cs="Courier New"/>
      <w:sz w:val="20"/>
      <w:szCs w:val="20"/>
    </w:rPr>
  </w:style>
  <w:style w:type="character" w:customStyle="1" w:styleId="line">
    <w:name w:val="line"/>
    <w:basedOn w:val="DefaultParagraphFont"/>
    <w:rsid w:val="006712E6"/>
  </w:style>
  <w:style w:type="character" w:styleId="FollowedHyperlink">
    <w:name w:val="FollowedHyperlink"/>
    <w:basedOn w:val="DefaultParagraphFont"/>
    <w:uiPriority w:val="99"/>
    <w:semiHidden/>
    <w:unhideWhenUsed/>
    <w:rsid w:val="006712E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90FDA-A0F4-F344-8122-2C39ABAB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16</Pages>
  <Words>3848</Words>
  <Characters>21934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Prince Sade (2525510)</cp:lastModifiedBy>
  <cp:revision>26</cp:revision>
  <dcterms:created xsi:type="dcterms:W3CDTF">2026-03-03T21:34:00Z</dcterms:created>
  <dcterms:modified xsi:type="dcterms:W3CDTF">2026-10-09T11:52:00Z</dcterms:modified>
</cp:coreProperties>
</file>