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0" distT="0" distL="0" distR="0">
            <wp:extent cx="2057400" cy="1047750"/>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057400" cy="10477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rPr/>
      </w:pPr>
      <w:r w:rsidDel="00000000" w:rsidR="00000000" w:rsidRPr="00000000">
        <w:rPr>
          <w:rtl w:val="0"/>
        </w:rPr>
        <w:t xml:space="preserve">BMSW4012- PROFESSIONAL CAREER DEVELOPMENT</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jc w:val="center"/>
        <w:rPr>
          <w:b w:val="1"/>
        </w:rPr>
      </w:pPr>
      <w:r w:rsidDel="00000000" w:rsidR="00000000" w:rsidRPr="00000000">
        <w:rPr>
          <w:b w:val="1"/>
          <w:rtl w:val="0"/>
        </w:rPr>
        <w:t xml:space="preserve">STUDENT NAME:Patrik Gabor</w:t>
      </w:r>
    </w:p>
    <w:p w:rsidR="00000000" w:rsidDel="00000000" w:rsidP="00000000" w:rsidRDefault="00000000" w:rsidRPr="00000000" w14:paraId="00000009">
      <w:pPr>
        <w:jc w:val="center"/>
        <w:rPr>
          <w:b w:val="1"/>
        </w:rPr>
      </w:pPr>
      <w:r w:rsidDel="00000000" w:rsidR="00000000" w:rsidRPr="00000000">
        <w:rPr>
          <w:b w:val="1"/>
          <w:rtl w:val="0"/>
        </w:rPr>
        <w:t xml:space="preserve">STUDENT ID: 2408469</w:t>
      </w:r>
    </w:p>
    <w:p w:rsidR="00000000" w:rsidDel="00000000" w:rsidP="00000000" w:rsidRDefault="00000000" w:rsidRPr="00000000" w14:paraId="0000000A">
      <w:pPr>
        <w:jc w:val="center"/>
        <w:rPr>
          <w:b w:val="1"/>
        </w:rPr>
      </w:pPr>
      <w:r w:rsidDel="00000000" w:rsidR="00000000" w:rsidRPr="00000000">
        <w:rPr>
          <w:b w:val="1"/>
          <w:rtl w:val="0"/>
        </w:rPr>
        <w:t xml:space="preserve">LECTURER’S NAME:Muhammad Cassamo </w:t>
      </w:r>
    </w:p>
    <w:p w:rsidR="00000000" w:rsidDel="00000000" w:rsidP="00000000" w:rsidRDefault="00000000" w:rsidRPr="00000000" w14:paraId="0000000B">
      <w:pPr>
        <w:rPr>
          <w:b w:val="1"/>
        </w:r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rtl w:val="0"/>
        </w:rPr>
      </w:r>
    </w:p>
    <w:p w:rsidR="00000000" w:rsidDel="00000000" w:rsidP="00000000" w:rsidRDefault="00000000" w:rsidRPr="00000000" w14:paraId="0000000E">
      <w:pPr>
        <w:rPr>
          <w:b w:val="1"/>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rtl w:val="0"/>
        </w:rPr>
      </w:r>
    </w:p>
    <w:p w:rsidR="00000000" w:rsidDel="00000000" w:rsidP="00000000" w:rsidRDefault="00000000" w:rsidRPr="00000000" w14:paraId="00000012">
      <w:pPr>
        <w:rPr>
          <w:b w:val="1"/>
          <w:sz w:val="28"/>
          <w:szCs w:val="28"/>
        </w:rPr>
      </w:pPr>
      <w:r w:rsidDel="00000000" w:rsidR="00000000" w:rsidRPr="00000000">
        <w:rPr>
          <w:rtl w:val="0"/>
        </w:rPr>
      </w:r>
    </w:p>
    <w:p w:rsidR="00000000" w:rsidDel="00000000" w:rsidP="00000000" w:rsidRDefault="00000000" w:rsidRPr="00000000" w14:paraId="00000013">
      <w:pPr>
        <w:rPr>
          <w:b w:val="1"/>
        </w:rPr>
      </w:pPr>
      <w:r w:rsidDel="00000000" w:rsidR="00000000" w:rsidRPr="00000000">
        <w:rPr>
          <w:b w:val="1"/>
          <w:rtl w:val="0"/>
        </w:rPr>
        <w:t xml:space="preserve">Introduction</w:t>
      </w:r>
    </w:p>
    <w:p w:rsidR="00000000" w:rsidDel="00000000" w:rsidP="00000000" w:rsidRDefault="00000000" w:rsidRPr="00000000" w14:paraId="00000014">
      <w:pPr>
        <w:rPr/>
      </w:pPr>
      <w:r w:rsidDel="00000000" w:rsidR="00000000" w:rsidRPr="00000000">
        <w:rPr>
          <w:rtl w:val="0"/>
        </w:rPr>
        <w:t xml:space="preserve">Professional Career Development is the process which gains insights into individuals' growth in terms of potential, weaknesses, and strengths. Dassanayake and Kularathne (2021) state professional career is a type of management that is applied in an industry to make their employees happier and stress-free in their personal and professional lives. In this, according to Robertson et al. (2021), career development is seen to be a trans-disciplinary field that draws originally from the disciplines. The module on professional career development has given me various gadgets to improve my professional skills. The essay will provide insights through the help of Rolfe's Reflective Cycle by considering What, So What, and Now What, which help in exploring the concepts of the 3 models are SWOT analysis, Johari Window, and Smart Goals, which have developed my understanding and thinking skills. Every model has allowed me to critically reflect on my career skills and the personal development that has also helped me to build strategies for achieving long-term goals. According to Parwanda (2023) the cycle helps in analysing the situation that occurs in the false present and gets reflected on and begins constructing evaluations of the problems that can be addressed.</w:t>
      </w:r>
    </w:p>
    <w:p w:rsidR="00000000" w:rsidDel="00000000" w:rsidP="00000000" w:rsidRDefault="00000000" w:rsidRPr="00000000" w14:paraId="00000015">
      <w:pPr>
        <w:keepNext w:val="1"/>
        <w:jc w:val="center"/>
        <w:rPr/>
      </w:pPr>
      <w:r w:rsidDel="00000000" w:rsidR="00000000" w:rsidRPr="00000000">
        <w:rPr/>
        <w:drawing>
          <wp:inline distB="0" distT="0" distL="0" distR="0">
            <wp:extent cx="5343525" cy="3743325"/>
            <wp:effectExtent b="0" l="0" r="0" t="0"/>
            <wp:docPr id="4" name="image2.png"/>
            <a:graphic>
              <a:graphicData uri="http://schemas.openxmlformats.org/drawingml/2006/picture">
                <pic:pic>
                  <pic:nvPicPr>
                    <pic:cNvPr id="0" name="image2.png"/>
                    <pic:cNvPicPr preferRelativeResize="0"/>
                  </pic:nvPicPr>
                  <pic:blipFill>
                    <a:blip r:embed="rId8"/>
                    <a:srcRect b="8472" l="0" r="0" t="6998"/>
                    <a:stretch>
                      <a:fillRect/>
                    </a:stretch>
                  </pic:blipFill>
                  <pic:spPr>
                    <a:xfrm>
                      <a:off x="0" y="0"/>
                      <a:ext cx="5343525" cy="3743325"/>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Figure 1: Rolfe's Reflective Cycle</w:t>
      </w:r>
    </w:p>
    <w:p w:rsidR="00000000" w:rsidDel="00000000" w:rsidP="00000000" w:rsidRDefault="00000000" w:rsidRPr="00000000" w14:paraId="00000017">
      <w:pPr>
        <w:rPr>
          <w:b w:val="1"/>
        </w:rPr>
      </w:pPr>
      <w:r w:rsidDel="00000000" w:rsidR="00000000" w:rsidRPr="00000000">
        <w:rPr>
          <w:b w:val="1"/>
          <w:rtl w:val="0"/>
        </w:rPr>
        <w:t xml:space="preserve">Reflection on SWOT Analysis</w:t>
      </w:r>
    </w:p>
    <w:p w:rsidR="00000000" w:rsidDel="00000000" w:rsidP="00000000" w:rsidRDefault="00000000" w:rsidRPr="00000000" w14:paraId="00000018">
      <w:pPr>
        <w:rPr/>
      </w:pPr>
      <w:r w:rsidDel="00000000" w:rsidR="00000000" w:rsidRPr="00000000">
        <w:rPr>
          <w:rtl w:val="0"/>
        </w:rPr>
        <w:t xml:space="preserve">According to Benzaghta et al. (2021), SWOT analysis is a type of analysis that has become a fundamental tool for the evaluation of the position of the organisation in the market by which it was widely used to evaluate the internal and external structure of a company.</w:t>
      </w:r>
    </w:p>
    <w:p w:rsidR="00000000" w:rsidDel="00000000" w:rsidP="00000000" w:rsidRDefault="00000000" w:rsidRPr="00000000" w14:paraId="00000019">
      <w:pPr>
        <w:rPr/>
      </w:pPr>
      <w:r w:rsidDel="00000000" w:rsidR="00000000" w:rsidRPr="00000000">
        <w:rPr>
          <w:rtl w:val="0"/>
        </w:rPr>
        <w:t xml:space="preserve">What?</w:t>
      </w:r>
    </w:p>
    <w:p w:rsidR="00000000" w:rsidDel="00000000" w:rsidP="00000000" w:rsidRDefault="00000000" w:rsidRPr="00000000" w14:paraId="0000001A">
      <w:pPr>
        <w:rPr/>
      </w:pPr>
      <w:r w:rsidDel="00000000" w:rsidR="00000000" w:rsidRPr="00000000">
        <w:rPr>
          <w:rtl w:val="0"/>
        </w:rPr>
        <w:t xml:space="preserve">SWOT model was the first model that was introduced to us in the module.  According to Leiber et al. (2020) informed that this model presents an evaluation of external as well as internal influences. I used the learning about the model to conduct a SWOT analysis for my own self. For this purpose, I ascertained my weaknesses and strengths. My strengths are being a good communicator, my weaknesses are procrastination, opportunities are access to free study platforms and networking events, and threats are the strong competition and limited experience. The process of SWOT analysis has helped me to structure a clear picture of where I currently stand in various terms of employability. </w:t>
      </w:r>
    </w:p>
    <w:p w:rsidR="00000000" w:rsidDel="00000000" w:rsidP="00000000" w:rsidRDefault="00000000" w:rsidRPr="00000000" w14:paraId="0000001B">
      <w:pPr>
        <w:rPr/>
      </w:pPr>
      <w:r w:rsidDel="00000000" w:rsidR="00000000" w:rsidRPr="00000000">
        <w:rPr>
          <w:rtl w:val="0"/>
        </w:rPr>
        <w:t xml:space="preserve">So What?</w:t>
      </w:r>
    </w:p>
    <w:p w:rsidR="00000000" w:rsidDel="00000000" w:rsidP="00000000" w:rsidRDefault="00000000" w:rsidRPr="00000000" w14:paraId="0000001C">
      <w:pPr>
        <w:rPr/>
      </w:pPr>
      <w:r w:rsidDel="00000000" w:rsidR="00000000" w:rsidRPr="00000000">
        <w:rPr>
          <w:rtl w:val="0"/>
        </w:rPr>
        <w:t xml:space="preserve">By implementing the exercise, I made it realised how important self-awareness is in planning for growth in a career. For example, by getting feedback from tutors and classmates, I have underestimated the value of high interpersonal skills, which have become evident. However, acknowledging my procrastination has helped me to understand that many times, I used to avoid high-pressure tasks and deadlines. Recognising the external and internal factors has also helped me to gain control over my career direction and gain more confidence. By applying SWOT analysis, I became more open to addressing and began addressing my challenges directly by looking for ways to turn them into learning opportunities. Safonov et al. (2021) state that SWOT analysis is a type of analysis that can be used in building a full and comprehensive strategic analysis of the situation.</w:t>
      </w:r>
    </w:p>
    <w:p w:rsidR="00000000" w:rsidDel="00000000" w:rsidP="00000000" w:rsidRDefault="00000000" w:rsidRPr="00000000" w14:paraId="0000001D">
      <w:pPr>
        <w:rPr/>
      </w:pPr>
      <w:r w:rsidDel="00000000" w:rsidR="00000000" w:rsidRPr="00000000">
        <w:rPr>
          <w:rtl w:val="0"/>
        </w:rPr>
        <w:t xml:space="preserve">Now What?</w:t>
      </w:r>
    </w:p>
    <w:p w:rsidR="00000000" w:rsidDel="00000000" w:rsidP="00000000" w:rsidRDefault="00000000" w:rsidRPr="00000000" w14:paraId="0000001E">
      <w:pPr>
        <w:rPr/>
      </w:pPr>
      <w:r w:rsidDel="00000000" w:rsidR="00000000" w:rsidRPr="00000000">
        <w:rPr>
          <w:rtl w:val="0"/>
        </w:rPr>
        <w:t xml:space="preserve">Now, I want to revise my SWOT analysis every quarter as a part of my growth routine. I have decided that I will start working on the development of my weaknesses by generating daily tasks with the use of productivity tools that stay organised. I also aimed to get the best use of attending workshops and attending workshops by seeking internships. At last, I think to decrease threats that position me more competitively in the job market.</w:t>
      </w:r>
    </w:p>
    <w:p w:rsidR="00000000" w:rsidDel="00000000" w:rsidP="00000000" w:rsidRDefault="00000000" w:rsidRPr="00000000" w14:paraId="0000001F">
      <w:pPr>
        <w:rPr>
          <w:b w:val="1"/>
        </w:rPr>
      </w:pPr>
      <w:r w:rsidDel="00000000" w:rsidR="00000000" w:rsidRPr="00000000">
        <w:rPr>
          <w:b w:val="1"/>
          <w:rtl w:val="0"/>
        </w:rPr>
        <w:t xml:space="preserve">Reflection on the Johari Window</w:t>
      </w:r>
    </w:p>
    <w:p w:rsidR="00000000" w:rsidDel="00000000" w:rsidP="00000000" w:rsidRDefault="00000000" w:rsidRPr="00000000" w14:paraId="00000020">
      <w:pPr>
        <w:rPr/>
      </w:pPr>
      <w:r w:rsidDel="00000000" w:rsidR="00000000" w:rsidRPr="00000000">
        <w:rPr>
          <w:rtl w:val="0"/>
        </w:rPr>
        <w:t xml:space="preserve">According to Lowes (2020) the Johari Window framework is used to help raise awareness of how tutees are being tutored by tutors and give them some strategies for converting the details provided into knowledge.</w:t>
      </w:r>
    </w:p>
    <w:p w:rsidR="00000000" w:rsidDel="00000000" w:rsidP="00000000" w:rsidRDefault="00000000" w:rsidRPr="00000000" w14:paraId="00000021">
      <w:pPr>
        <w:rPr/>
      </w:pPr>
      <w:r w:rsidDel="00000000" w:rsidR="00000000" w:rsidRPr="00000000">
        <w:rPr>
          <w:rtl w:val="0"/>
        </w:rPr>
        <w:t xml:space="preserve">What?</w:t>
      </w:r>
    </w:p>
    <w:p w:rsidR="00000000" w:rsidDel="00000000" w:rsidP="00000000" w:rsidRDefault="00000000" w:rsidRPr="00000000" w14:paraId="00000022">
      <w:pPr>
        <w:rPr/>
      </w:pPr>
      <w:r w:rsidDel="00000000" w:rsidR="00000000" w:rsidRPr="00000000">
        <w:rPr>
          <w:rtl w:val="0"/>
        </w:rPr>
        <w:t xml:space="preserve">The tutor used the Johari Window in the class to explore how others see us versus how we see ourselves. Mukherjee et al. (2023) show that this framework was conceptualised to be a reasoning psychological instrument for self-discovery. For completing the self-assessment, there has been an activity involved to compare it with feedback from classmates. The four areas that helped me in mapping my interpersonal communication and self-awareness are Open, Blind, Hidden, and Unknown.</w:t>
      </w:r>
    </w:p>
    <w:p w:rsidR="00000000" w:rsidDel="00000000" w:rsidP="00000000" w:rsidRDefault="00000000" w:rsidRPr="00000000" w14:paraId="00000023">
      <w:pPr>
        <w:rPr/>
      </w:pPr>
      <w:r w:rsidDel="00000000" w:rsidR="00000000" w:rsidRPr="00000000">
        <w:rPr>
          <w:rtl w:val="0"/>
        </w:rPr>
        <w:t xml:space="preserve">So What?</w:t>
      </w:r>
    </w:p>
    <w:p w:rsidR="00000000" w:rsidDel="00000000" w:rsidP="00000000" w:rsidRDefault="00000000" w:rsidRPr="00000000" w14:paraId="00000024">
      <w:pPr>
        <w:rPr/>
      </w:pPr>
      <w:r w:rsidDel="00000000" w:rsidR="00000000" w:rsidRPr="00000000">
        <w:rPr>
          <w:rtl w:val="0"/>
        </w:rPr>
        <w:t xml:space="preserve">I discovered that this model was used to reveal that my blind spot traits are known by others but not me. It includes a propensity to dominate debates, but not intentionally. However, this surprises me because I have always seen myself as both team-oriented and supportive. The model also helped me to get the good intentions from the intentions that might sometimes bind others' involvement. The realisation that used to remind me to become more mindful during group tasks also encouraged me to pay attention more actively. The exercise that I discovered has helped me to share my career ambitions with others by expanding the Open Area; It is something that I kept hidden because of the fear of judgment. Koca and Eriguc (2020) mentioned that there is an area where free activities happen and affect behaviours that consist of activities known as the Open area.</w:t>
      </w:r>
    </w:p>
    <w:p w:rsidR="00000000" w:rsidDel="00000000" w:rsidP="00000000" w:rsidRDefault="00000000" w:rsidRPr="00000000" w14:paraId="00000025">
      <w:pPr>
        <w:rPr/>
      </w:pPr>
      <w:r w:rsidDel="00000000" w:rsidR="00000000" w:rsidRPr="00000000">
        <w:rPr>
          <w:rtl w:val="0"/>
        </w:rPr>
        <w:t xml:space="preserve">Now What?</w:t>
      </w:r>
    </w:p>
    <w:p w:rsidR="00000000" w:rsidDel="00000000" w:rsidP="00000000" w:rsidRDefault="00000000" w:rsidRPr="00000000" w14:paraId="00000026">
      <w:pPr>
        <w:rPr/>
      </w:pPr>
      <w:r w:rsidDel="00000000" w:rsidR="00000000" w:rsidRPr="00000000">
        <w:rPr>
          <w:rtl w:val="0"/>
        </w:rPr>
        <w:t xml:space="preserve">As a result, by emerging with the Johari Window, I have started taking regular feedback from mentors and peers. I think that it will help me to be a more effective team player and communicator by revealing my blind spots regularly. I aimed and aim to share more of my ideas, goals, and challenges by increasing the open area with trusted team members. The change will give me more confidence and also help me strengthen my ability to build professional associations.</w:t>
      </w:r>
    </w:p>
    <w:p w:rsidR="00000000" w:rsidDel="00000000" w:rsidP="00000000" w:rsidRDefault="00000000" w:rsidRPr="00000000" w14:paraId="00000027">
      <w:pPr>
        <w:rPr>
          <w:b w:val="1"/>
        </w:rPr>
      </w:pPr>
      <w:r w:rsidDel="00000000" w:rsidR="00000000" w:rsidRPr="00000000">
        <w:rPr>
          <w:b w:val="1"/>
          <w:rtl w:val="0"/>
        </w:rPr>
        <w:t xml:space="preserve">Reflection on SMART Goals</w:t>
      </w:r>
    </w:p>
    <w:p w:rsidR="00000000" w:rsidDel="00000000" w:rsidP="00000000" w:rsidRDefault="00000000" w:rsidRPr="00000000" w14:paraId="00000028">
      <w:pPr>
        <w:rPr/>
      </w:pPr>
      <w:r w:rsidDel="00000000" w:rsidR="00000000" w:rsidRPr="00000000">
        <w:rPr>
          <w:rtl w:val="0"/>
        </w:rPr>
        <w:t xml:space="preserve">Ogbeiwi (2021) mentioned that SMART goals are the goals that possess the framework required to satisfy the recommended criteria.</w:t>
      </w:r>
    </w:p>
    <w:p w:rsidR="00000000" w:rsidDel="00000000" w:rsidP="00000000" w:rsidRDefault="00000000" w:rsidRPr="00000000" w14:paraId="00000029">
      <w:pPr>
        <w:rPr/>
      </w:pPr>
      <w:r w:rsidDel="00000000" w:rsidR="00000000" w:rsidRPr="00000000">
        <w:rPr>
          <w:rtl w:val="0"/>
        </w:rPr>
        <w:t xml:space="preserve">What?</w:t>
      </w:r>
    </w:p>
    <w:p w:rsidR="00000000" w:rsidDel="00000000" w:rsidP="00000000" w:rsidRDefault="00000000" w:rsidRPr="00000000" w14:paraId="0000002A">
      <w:pPr>
        <w:rPr/>
      </w:pPr>
      <w:r w:rsidDel="00000000" w:rsidR="00000000" w:rsidRPr="00000000">
        <w:rPr>
          <w:rtl w:val="0"/>
        </w:rPr>
        <w:t xml:space="preserve">Grant (2020) shows that goals can be defined as the measures that play a key role in the transitions to the desired state from the existing state. In our meeting, we looked into the SMART goals framework, which is divided into Specific, Measurable, Achievable, Relevant, and Time-bound elements. During the activity, we needed to establish one SMART goal that relates to our development in either school or at work. I picked time management as my goal because it is a topic I struggle with. What I planned was: "From Monday through Friday, I will study for two hours between 4 PM and 6 PM, not using my phone or having breaks that are not study-related for four weeks in a row." It was intended to make me focus more, cut down on distracting things, and use my time in a better way.</w:t>
      </w:r>
    </w:p>
    <w:p w:rsidR="00000000" w:rsidDel="00000000" w:rsidP="00000000" w:rsidRDefault="00000000" w:rsidRPr="00000000" w14:paraId="0000002B">
      <w:pPr>
        <w:rPr/>
      </w:pPr>
      <w:r w:rsidDel="00000000" w:rsidR="00000000" w:rsidRPr="00000000">
        <w:rPr>
          <w:rtl w:val="0"/>
        </w:rPr>
        <w:t xml:space="preserve">So What?</w:t>
      </w:r>
    </w:p>
    <w:p w:rsidR="00000000" w:rsidDel="00000000" w:rsidP="00000000" w:rsidRDefault="00000000" w:rsidRPr="00000000" w14:paraId="0000002C">
      <w:pPr>
        <w:rPr/>
      </w:pPr>
      <w:r w:rsidDel="00000000" w:rsidR="00000000" w:rsidRPr="00000000">
        <w:rPr>
          <w:rtl w:val="0"/>
        </w:rPr>
        <w:t xml:space="preserve">As a result of this activity, I saw the importance of being sure about my aims. Before, my approach was to just state, "I have to organise myself better" or "I should try to make better use of my time," but these wishes were vague and rarely helped me succeed. This tool made me analyse my goals more carefully, decide how to follow them, and consider if they were practical. I came to understand that goals that are not specific do not hold us responsible. After adjusting my approach to SMART goals, I could tell my tasks were being done with greater clarity. The timetable I made allowed me to keep working regularly and prevented me from putting things off. I also kept an eye on my results each day so that I could decide what needed to be changed. I also learned that accomplishing set targets helps you prepare for wider or bigger goals. </w:t>
      </w:r>
    </w:p>
    <w:p w:rsidR="00000000" w:rsidDel="00000000" w:rsidP="00000000" w:rsidRDefault="00000000" w:rsidRPr="00000000" w14:paraId="0000002D">
      <w:pPr>
        <w:rPr/>
      </w:pPr>
      <w:r w:rsidDel="00000000" w:rsidR="00000000" w:rsidRPr="00000000">
        <w:rPr>
          <w:rtl w:val="0"/>
        </w:rPr>
        <w:t xml:space="preserve">Now What?</w:t>
      </w:r>
    </w:p>
    <w:p w:rsidR="00000000" w:rsidDel="00000000" w:rsidP="00000000" w:rsidRDefault="00000000" w:rsidRPr="00000000" w14:paraId="0000002E">
      <w:pPr>
        <w:rPr/>
      </w:pPr>
      <w:r w:rsidDel="00000000" w:rsidR="00000000" w:rsidRPr="00000000">
        <w:rPr>
          <w:rtl w:val="0"/>
        </w:rPr>
        <w:t xml:space="preserve">From now on, I intend to rely on SMART goals when thinking about my future studies and work, as well as planning. For example, I'm going to join three industry webinars online and summarise each one within the next six weeks so I can gain new knowledge and make more useful contacts. My goal is set in a clear way and is related to my job interests in businesses and hotels. Using the SMART framework all the time helps me follow my growth, remain responsible, and judge the results accurately. In addition, I want to use SMART goals when working, such as setting aims for various projects, enhancing service for customers, and boosting my skills. Thanks to the order and clarity in a curriculum, I am sure I can take care of new duties in a more meaningful way.</w:t>
      </w:r>
    </w:p>
    <w:p w:rsidR="00000000" w:rsidDel="00000000" w:rsidP="00000000" w:rsidRDefault="00000000" w:rsidRPr="00000000" w14:paraId="0000002F">
      <w:pPr>
        <w:spacing w:after="160" w:before="0"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rPr/>
      </w:pPr>
      <w:r w:rsidDel="00000000" w:rsidR="00000000" w:rsidRPr="00000000">
        <w:rPr>
          <w:rtl w:val="0"/>
        </w:rPr>
        <w:t xml:space="preserve">Conclusion</w:t>
      </w:r>
    </w:p>
    <w:p w:rsidR="00000000" w:rsidDel="00000000" w:rsidP="00000000" w:rsidRDefault="00000000" w:rsidRPr="00000000" w14:paraId="00000031">
      <w:pPr>
        <w:rPr/>
      </w:pPr>
      <w:bookmarkStart w:colFirst="0" w:colLast="0" w:name="_heading=h.6si7r0evdnn6" w:id="0"/>
      <w:bookmarkEnd w:id="0"/>
      <w:r w:rsidDel="00000000" w:rsidR="00000000" w:rsidRPr="00000000">
        <w:rPr>
          <w:rtl w:val="0"/>
        </w:rPr>
        <w:t xml:space="preserve">I spent time exploring the Professional Career Development module to improve my understanding of how I have grown on a personal and professional level. Rolfe’s reflective cycle let me study how using the SWOT analysis, Johari Window, and SMART goals has helped me become more aware of myself, make good plans, and be competitive in the job market. Using the SWOT analysis, I realised ways to fix issues and was able to make use of my abilities, and the Johari Window taught me about feedback and how we work together. Setting SMART goals allowed me to follow practical steps that helped my career advancement. They have helped me better manage myself and given me more confidence and clarity about upcoming chances in life. My overall experience assisted me concluding that learning and development are highly significant. I intend to use the obtained knowledge in my future job and education.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spacing w:after="160" w:before="0"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40">
      <w:pPr>
        <w:rPr>
          <w:sz w:val="22"/>
          <w:szCs w:val="22"/>
        </w:rPr>
      </w:pPr>
      <w:r w:rsidDel="00000000" w:rsidR="00000000" w:rsidRPr="00000000">
        <w:rPr>
          <w:b w:val="1"/>
          <w:rtl w:val="0"/>
        </w:rPr>
        <w:t xml:space="preserve">References</w:t>
      </w:r>
      <w:r w:rsidDel="00000000" w:rsidR="00000000" w:rsidRPr="00000000">
        <w:rPr>
          <w:rtl w:val="0"/>
        </w:rPr>
      </w:r>
    </w:p>
    <w:p w:rsidR="00000000" w:rsidDel="00000000" w:rsidP="00000000" w:rsidRDefault="00000000" w:rsidRPr="00000000" w14:paraId="00000041">
      <w:pPr>
        <w:rPr/>
      </w:pPr>
      <w:r w:rsidDel="00000000" w:rsidR="00000000" w:rsidRPr="00000000">
        <w:rPr>
          <w:highlight w:val="white"/>
          <w:rtl w:val="0"/>
        </w:rPr>
        <w:t xml:space="preserve">Benzaghta, M.A., Elwalda, A., Mousa, M.M., Erkan, I. and Rahman, M. (2021) ‘SWOT analysis applications: An integrative literature review.’ </w:t>
      </w:r>
      <w:r w:rsidDel="00000000" w:rsidR="00000000" w:rsidRPr="00000000">
        <w:rPr>
          <w:i w:val="1"/>
          <w:highlight w:val="white"/>
          <w:rtl w:val="0"/>
        </w:rPr>
        <w:t xml:space="preserve">Journal of Global Business Insights</w:t>
      </w:r>
      <w:r w:rsidDel="00000000" w:rsidR="00000000" w:rsidRPr="00000000">
        <w:rPr>
          <w:highlight w:val="white"/>
          <w:rtl w:val="0"/>
        </w:rPr>
        <w:t xml:space="preserve">, </w:t>
      </w:r>
      <w:r w:rsidDel="00000000" w:rsidR="00000000" w:rsidRPr="00000000">
        <w:rPr>
          <w:i w:val="1"/>
          <w:highlight w:val="white"/>
          <w:rtl w:val="0"/>
        </w:rPr>
        <w:t xml:space="preserve">6</w:t>
      </w:r>
      <w:r w:rsidDel="00000000" w:rsidR="00000000" w:rsidRPr="00000000">
        <w:rPr>
          <w:highlight w:val="white"/>
          <w:rtl w:val="0"/>
        </w:rPr>
        <w:t xml:space="preserve">(1), pp.54-72. Available at: https://pdfs.semanticscholar.org/1ce6/a88073a1fedd93547b395c7b1898970736ad.pdf?_gl (Accessed: 10 June 2025).</w:t>
      </w:r>
      <w:r w:rsidDel="00000000" w:rsidR="00000000" w:rsidRPr="00000000">
        <w:rPr>
          <w:rtl w:val="0"/>
        </w:rPr>
      </w:r>
    </w:p>
    <w:p w:rsidR="00000000" w:rsidDel="00000000" w:rsidP="00000000" w:rsidRDefault="00000000" w:rsidRPr="00000000" w14:paraId="00000042">
      <w:pPr>
        <w:rPr>
          <w:highlight w:val="white"/>
        </w:rPr>
      </w:pPr>
      <w:r w:rsidDel="00000000" w:rsidR="00000000" w:rsidRPr="00000000">
        <w:rPr>
          <w:highlight w:val="white"/>
          <w:rtl w:val="0"/>
        </w:rPr>
        <w:t xml:space="preserve">Dassanayake, D.M.C. and Kularathne, H.M.R.D. (2021) ‘What makes employees stay? Employee career planning vs employer career development in star-grade hotels in Colombo, Sri Lanka.’ </w:t>
      </w:r>
      <w:r w:rsidDel="00000000" w:rsidR="00000000" w:rsidRPr="00000000">
        <w:rPr>
          <w:i w:val="1"/>
          <w:highlight w:val="white"/>
          <w:rtl w:val="0"/>
        </w:rPr>
        <w:t xml:space="preserve">Journal of Management Matters</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(2). Available at: https://jmm.sljol.info/articles/29/files/submission/proof/29-1-55-1-10-20220308.pdf (Accessed: 10 June 2025).</w:t>
      </w:r>
    </w:p>
    <w:p w:rsidR="00000000" w:rsidDel="00000000" w:rsidP="00000000" w:rsidRDefault="00000000" w:rsidRPr="00000000" w14:paraId="00000043">
      <w:pPr>
        <w:rPr/>
      </w:pPr>
      <w:r w:rsidDel="00000000" w:rsidR="00000000" w:rsidRPr="00000000">
        <w:rPr>
          <w:highlight w:val="white"/>
          <w:rtl w:val="0"/>
        </w:rPr>
        <w:t xml:space="preserve">Grant, A.M. (2020) ‘An integrated model of goal</w:t>
      </w:r>
      <w:r w:rsidDel="00000000" w:rsidR="00000000" w:rsidRPr="00000000">
        <w:rPr>
          <w:rFonts w:ascii="Cambria Math" w:cs="Cambria Math" w:eastAsia="Cambria Math" w:hAnsi="Cambria Math"/>
          <w:highlight w:val="white"/>
          <w:rtl w:val="0"/>
        </w:rPr>
        <w:t xml:space="preserve">‐</w:t>
      </w:r>
      <w:r w:rsidDel="00000000" w:rsidR="00000000" w:rsidRPr="00000000">
        <w:rPr>
          <w:highlight w:val="white"/>
          <w:rtl w:val="0"/>
        </w:rPr>
        <w:t xml:space="preserve">focused coaching: an evidence</w:t>
      </w:r>
      <w:r w:rsidDel="00000000" w:rsidR="00000000" w:rsidRPr="00000000">
        <w:rPr>
          <w:rFonts w:ascii="Cambria Math" w:cs="Cambria Math" w:eastAsia="Cambria Math" w:hAnsi="Cambria Math"/>
          <w:highlight w:val="white"/>
          <w:rtl w:val="0"/>
        </w:rPr>
        <w:t xml:space="preserve">‐</w:t>
      </w:r>
      <w:r w:rsidDel="00000000" w:rsidR="00000000" w:rsidRPr="00000000">
        <w:rPr>
          <w:highlight w:val="white"/>
          <w:rtl w:val="0"/>
        </w:rPr>
        <w:t xml:space="preserve">based framework for teaching and practice.’ </w:t>
      </w:r>
      <w:r w:rsidDel="00000000" w:rsidR="00000000" w:rsidRPr="00000000">
        <w:rPr>
          <w:i w:val="1"/>
          <w:highlight w:val="white"/>
          <w:rtl w:val="0"/>
        </w:rPr>
        <w:t xml:space="preserve">Coaching research: A coaching psychology reader</w:t>
      </w:r>
      <w:r w:rsidDel="00000000" w:rsidR="00000000" w:rsidRPr="00000000">
        <w:rPr>
          <w:highlight w:val="white"/>
          <w:rtl w:val="0"/>
        </w:rPr>
        <w:t xml:space="preserve">, pp.115-139. Available at: https://www.academia.edu/download/39847618/An_integrated_model_of_goal-focused_coaching__Grant_ICPR_2012.pdf (Accessed: 10 June 2025).</w:t>
      </w:r>
      <w:r w:rsidDel="00000000" w:rsidR="00000000" w:rsidRPr="00000000">
        <w:rPr>
          <w:rtl w:val="0"/>
        </w:rPr>
      </w:r>
    </w:p>
    <w:p w:rsidR="00000000" w:rsidDel="00000000" w:rsidP="00000000" w:rsidRDefault="00000000" w:rsidRPr="00000000" w14:paraId="00000044">
      <w:pPr>
        <w:rPr/>
      </w:pPr>
      <w:r w:rsidDel="00000000" w:rsidR="00000000" w:rsidRPr="00000000">
        <w:rPr>
          <w:highlight w:val="white"/>
          <w:rtl w:val="0"/>
        </w:rPr>
        <w:t xml:space="preserve">Koca, G.Ş. and Eriguc, G. (2020) ‘The effects of communication skills levels of health professionals on the dimensions of the Johari Window model.’ </w:t>
      </w:r>
      <w:r w:rsidDel="00000000" w:rsidR="00000000" w:rsidRPr="00000000">
        <w:rPr>
          <w:i w:val="1"/>
          <w:highlight w:val="white"/>
          <w:rtl w:val="0"/>
        </w:rPr>
        <w:t xml:space="preserve">International Journal of Healthcare Management</w:t>
      </w:r>
      <w:r w:rsidDel="00000000" w:rsidR="00000000" w:rsidRPr="00000000">
        <w:rPr>
          <w:highlight w:val="white"/>
          <w:rtl w:val="0"/>
        </w:rPr>
        <w:t xml:space="preserve">, </w:t>
      </w:r>
      <w:r w:rsidDel="00000000" w:rsidR="00000000" w:rsidRPr="00000000">
        <w:rPr>
          <w:i w:val="1"/>
          <w:highlight w:val="white"/>
          <w:rtl w:val="0"/>
        </w:rPr>
        <w:t xml:space="preserve">13</w:t>
      </w:r>
      <w:r w:rsidDel="00000000" w:rsidR="00000000" w:rsidRPr="00000000">
        <w:rPr>
          <w:highlight w:val="white"/>
          <w:rtl w:val="0"/>
        </w:rPr>
        <w:t xml:space="preserve">(sup1), pp.434-446. https://www.academia.edu/download/96851307/20479700.2019.159639320230105-1-1ozvmox.pdf (Accessed: 10 June 2025).</w:t>
      </w:r>
      <w:r w:rsidDel="00000000" w:rsidR="00000000" w:rsidRPr="00000000">
        <w:rPr>
          <w:rtl w:val="0"/>
        </w:rPr>
      </w:r>
    </w:p>
    <w:p w:rsidR="00000000" w:rsidDel="00000000" w:rsidP="00000000" w:rsidRDefault="00000000" w:rsidRPr="00000000" w14:paraId="00000045">
      <w:pPr>
        <w:rPr>
          <w:highlight w:val="white"/>
        </w:rPr>
      </w:pPr>
      <w:r w:rsidDel="00000000" w:rsidR="00000000" w:rsidRPr="00000000">
        <w:rPr>
          <w:highlight w:val="white"/>
          <w:rtl w:val="0"/>
        </w:rPr>
        <w:t xml:space="preserve">Leiber, T., Stensaker, B. and Harvey, L.C. (2020) ‘Bridging theory and practice of impact evaluation of quality management in higher education institutions: a SWOT analysis.’ In </w:t>
      </w:r>
      <w:r w:rsidDel="00000000" w:rsidR="00000000" w:rsidRPr="00000000">
        <w:rPr>
          <w:i w:val="1"/>
          <w:highlight w:val="white"/>
          <w:rtl w:val="0"/>
        </w:rPr>
        <w:t xml:space="preserve">Impact evaluation of quality management in higher education</w:t>
      </w:r>
      <w:r w:rsidDel="00000000" w:rsidR="00000000" w:rsidRPr="00000000">
        <w:rPr>
          <w:highlight w:val="white"/>
          <w:rtl w:val="0"/>
        </w:rPr>
        <w:t xml:space="preserve"> (pp. 117-132). Routledge. Available at: https://www.academia.edu/download/85671773/21568235.2018.147478220220508-1-ia3yzq.pdf (Accessed: 10 June 2025).</w:t>
      </w:r>
    </w:p>
    <w:p w:rsidR="00000000" w:rsidDel="00000000" w:rsidP="00000000" w:rsidRDefault="00000000" w:rsidRPr="00000000" w14:paraId="00000046">
      <w:pPr>
        <w:rPr/>
      </w:pPr>
      <w:r w:rsidDel="00000000" w:rsidR="00000000" w:rsidRPr="00000000">
        <w:rPr>
          <w:highlight w:val="white"/>
          <w:rtl w:val="0"/>
        </w:rPr>
        <w:t xml:space="preserve">Lowes, R. (2020) ‘Knowing you: Personal tutoring, learning analytics and the Johari Window.’ In </w:t>
      </w:r>
      <w:r w:rsidDel="00000000" w:rsidR="00000000" w:rsidRPr="00000000">
        <w:rPr>
          <w:i w:val="1"/>
          <w:highlight w:val="white"/>
          <w:rtl w:val="0"/>
        </w:rPr>
        <w:t xml:space="preserve">Frontiers in Education</w:t>
      </w:r>
      <w:r w:rsidDel="00000000" w:rsidR="00000000" w:rsidRPr="00000000">
        <w:rPr>
          <w:highlight w:val="white"/>
          <w:rtl w:val="0"/>
        </w:rPr>
        <w:t xml:space="preserve"> (Vol. 5, p. 101). Frontiers Media SA. Available at: https://www.frontiersin.org/journals/education/articles/10.3389/feduc.2020.00101/pdf (Accessed: 10 June 2025).</w:t>
      </w:r>
      <w:r w:rsidDel="00000000" w:rsidR="00000000" w:rsidRPr="00000000">
        <w:rPr>
          <w:rtl w:val="0"/>
        </w:rPr>
      </w:r>
    </w:p>
    <w:p w:rsidR="00000000" w:rsidDel="00000000" w:rsidP="00000000" w:rsidRDefault="00000000" w:rsidRPr="00000000" w14:paraId="00000047">
      <w:pPr>
        <w:rPr/>
      </w:pPr>
      <w:r w:rsidDel="00000000" w:rsidR="00000000" w:rsidRPr="00000000">
        <w:rPr>
          <w:highlight w:val="white"/>
          <w:rtl w:val="0"/>
        </w:rPr>
        <w:t xml:space="preserve">Mukherjee, D., Pahwa, V., Moza, B., Ujjainia, P., Kaur, K., Kaur, K. and Pathak, S. (2023) ‘The influence of personality traits on Johari window perception and self-disclosure in the workplace.’ </w:t>
      </w:r>
      <w:r w:rsidDel="00000000" w:rsidR="00000000" w:rsidRPr="00000000">
        <w:rPr>
          <w:i w:val="1"/>
          <w:highlight w:val="white"/>
          <w:rtl w:val="0"/>
        </w:rPr>
        <w:t xml:space="preserve">International Journal of Forensic Medicine and Toxicological Sciences</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(3), pp.100-107. Available at: https://www.researchgate.net/profile/Shantanu-Pathak-8/publication/374950443_The_influence_of_personality_traits_on_johari_window_perception_and_self-disclosure_in_the_workplace/links/654644d8b1398a779d5b0279/The-influence-of-personality-traits-on-johari-window-perception-and-self-disclosure-in-the-workplace.pdf (Accessed: 10 June 2025).</w:t>
      </w:r>
      <w:r w:rsidDel="00000000" w:rsidR="00000000" w:rsidRPr="00000000">
        <w:rPr>
          <w:rtl w:val="0"/>
        </w:rPr>
      </w:r>
    </w:p>
    <w:p w:rsidR="00000000" w:rsidDel="00000000" w:rsidP="00000000" w:rsidRDefault="00000000" w:rsidRPr="00000000" w14:paraId="00000048">
      <w:pPr>
        <w:rPr/>
      </w:pPr>
      <w:r w:rsidDel="00000000" w:rsidR="00000000" w:rsidRPr="00000000">
        <w:rPr>
          <w:highlight w:val="white"/>
          <w:rtl w:val="0"/>
        </w:rPr>
        <w:t xml:space="preserve">Ogbeiwi, O. (2021) ‘General concepts of goals and goal-setting in healthcare: A narrative review.’ </w:t>
      </w:r>
      <w:r w:rsidDel="00000000" w:rsidR="00000000" w:rsidRPr="00000000">
        <w:rPr>
          <w:i w:val="1"/>
          <w:highlight w:val="white"/>
          <w:rtl w:val="0"/>
        </w:rPr>
        <w:t xml:space="preserve">Journal of Management &amp; Organisation</w:t>
      </w:r>
      <w:r w:rsidDel="00000000" w:rsidR="00000000" w:rsidRPr="00000000">
        <w:rPr>
          <w:highlight w:val="white"/>
          <w:rtl w:val="0"/>
        </w:rPr>
        <w:t xml:space="preserve">, </w:t>
      </w:r>
      <w:r w:rsidDel="00000000" w:rsidR="00000000" w:rsidRPr="00000000">
        <w:rPr>
          <w:i w:val="1"/>
          <w:highlight w:val="white"/>
          <w:rtl w:val="0"/>
        </w:rPr>
        <w:t xml:space="preserve">27</w:t>
      </w:r>
      <w:r w:rsidDel="00000000" w:rsidR="00000000" w:rsidRPr="00000000">
        <w:rPr>
          <w:highlight w:val="white"/>
          <w:rtl w:val="0"/>
        </w:rPr>
        <w:t xml:space="preserve">(2), pp.324-341. Available at: https://www.researchgate.net/profile/Osahon-Ogbeiwi/publication/324162991_General_concepts_of_goals_and_goal-setting_in_healthcare_A_narrative_review/links/5da999c8a6fdccc99d913b0f/General-concepts-of-goals-and-goal-setting-in-healthcare-A-narrative-review.pdf (Accessed: 10 June 2025).</w:t>
      </w:r>
      <w:r w:rsidDel="00000000" w:rsidR="00000000" w:rsidRPr="00000000">
        <w:rPr>
          <w:rtl w:val="0"/>
        </w:rPr>
      </w:r>
    </w:p>
    <w:p w:rsidR="00000000" w:rsidDel="00000000" w:rsidP="00000000" w:rsidRDefault="00000000" w:rsidRPr="00000000" w14:paraId="00000049">
      <w:pPr>
        <w:rPr>
          <w:highlight w:val="white"/>
        </w:rPr>
      </w:pPr>
      <w:r w:rsidDel="00000000" w:rsidR="00000000" w:rsidRPr="00000000">
        <w:rPr>
          <w:highlight w:val="white"/>
          <w:rtl w:val="0"/>
        </w:rPr>
        <w:t xml:space="preserve">Parwanda, G. (2023) ‘Reflective Approaches in Nursing Education and Clinical Practice.’ In </w:t>
      </w:r>
      <w:r w:rsidDel="00000000" w:rsidR="00000000" w:rsidRPr="00000000">
        <w:rPr>
          <w:i w:val="1"/>
          <w:highlight w:val="white"/>
          <w:rtl w:val="0"/>
        </w:rPr>
        <w:t xml:space="preserve">New Research in Nursing-Education and Practice</w:t>
      </w:r>
      <w:r w:rsidDel="00000000" w:rsidR="00000000" w:rsidRPr="00000000">
        <w:rPr>
          <w:highlight w:val="white"/>
          <w:rtl w:val="0"/>
        </w:rPr>
        <w:t xml:space="preserve">. IntechOpen. Available at: https://www.intechopen.com/chapters/87264 (Accessed: 10 June 2025).</w:t>
      </w:r>
    </w:p>
    <w:p w:rsidR="00000000" w:rsidDel="00000000" w:rsidP="00000000" w:rsidRDefault="00000000" w:rsidRPr="00000000" w14:paraId="0000004A">
      <w:pPr>
        <w:rPr/>
      </w:pPr>
      <w:r w:rsidDel="00000000" w:rsidR="00000000" w:rsidRPr="00000000">
        <w:rPr>
          <w:highlight w:val="white"/>
          <w:rtl w:val="0"/>
        </w:rPr>
        <w:t xml:space="preserve">Robertson, P.J., Hooley, T. and McCash, P. (2021) ‘The Oxford handbook of career development.’</w:t>
      </w:r>
      <w:r w:rsidDel="00000000" w:rsidR="00000000" w:rsidRPr="00000000">
        <w:rPr>
          <w:i w:val="1"/>
          <w:highlight w:val="white"/>
          <w:rtl w:val="0"/>
        </w:rPr>
        <w:t xml:space="preserve"> Oxford University Press.</w:t>
      </w:r>
      <w:r w:rsidDel="00000000" w:rsidR="00000000" w:rsidRPr="00000000">
        <w:rPr>
          <w:rtl w:val="0"/>
        </w:rPr>
      </w:r>
    </w:p>
    <w:p w:rsidR="00000000" w:rsidDel="00000000" w:rsidP="00000000" w:rsidRDefault="00000000" w:rsidRPr="00000000" w14:paraId="0000004B">
      <w:pPr>
        <w:rPr>
          <w:highlight w:val="white"/>
        </w:rPr>
      </w:pPr>
      <w:r w:rsidDel="00000000" w:rsidR="00000000" w:rsidRPr="00000000">
        <w:rPr>
          <w:highlight w:val="white"/>
          <w:rtl w:val="0"/>
        </w:rPr>
        <w:t xml:space="preserve">Safonov, M.A., Usov, S.S. and Arkhipov, S.V. (2021) ‘E-learning application effectiveness in higher education. General research based on SWOT analysis.’ In </w:t>
      </w:r>
      <w:r w:rsidDel="00000000" w:rsidR="00000000" w:rsidRPr="00000000">
        <w:rPr>
          <w:i w:val="1"/>
          <w:highlight w:val="white"/>
          <w:rtl w:val="0"/>
        </w:rPr>
        <w:t xml:space="preserve">Proceedings of the 5th International Conference on Education and Multimedia Technology</w:t>
      </w:r>
      <w:r w:rsidDel="00000000" w:rsidR="00000000" w:rsidRPr="00000000">
        <w:rPr>
          <w:highlight w:val="white"/>
          <w:rtl w:val="0"/>
        </w:rPr>
        <w:t xml:space="preserve"> (pp. 207-212). Available at: https://www.researchgate.net/profile/Sergey-Usov/publication/355267595_E-Learning_Application_Effectiveness_in_Higher_Education_General_Research_Based_on_SWOT_Analysis/links/616d9af1b90c512662655ec5/E-Learning-Application-Effectiveness-in-Higher-Education-General-Research-Based-on-SWOT-Analysis.pdf (Accessed: 10 June 2025).</w:t>
      </w:r>
    </w:p>
    <w:p w:rsidR="00000000" w:rsidDel="00000000" w:rsidP="00000000" w:rsidRDefault="00000000" w:rsidRPr="00000000" w14:paraId="0000004C">
      <w:pPr>
        <w:spacing w:after="160" w:before="0" w:line="259" w:lineRule="auto"/>
        <w:jc w:val="left"/>
        <w:rPr>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sectPr>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20" w:before="120" w:line="360" w:lineRule="auto"/>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Pr>
    <w:rPr>
      <w:b w:val="1"/>
    </w:rPr>
  </w:style>
  <w:style w:type="paragraph" w:styleId="Heading2">
    <w:name w:val="heading 2"/>
    <w:basedOn w:val="Normal"/>
    <w:next w:val="Normal"/>
    <w:pPr>
      <w:keepNext w:val="1"/>
      <w:keepLines w:val="1"/>
    </w:pPr>
    <w:rPr>
      <w:b w:val="1"/>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before="0" w:lineRule="auto"/>
      <w:jc w:val="center"/>
    </w:pPr>
    <w:rPr>
      <w:b w:val="1"/>
      <w:smallCaps w:val="1"/>
      <w:sz w:val="56"/>
      <w:szCs w:val="56"/>
      <w:u w:val="single"/>
    </w:rPr>
  </w:style>
  <w:style w:type="paragraph" w:styleId="Normal" w:default="1">
    <w:name w:val="Normal"/>
    <w:qFormat w:val="1"/>
    <w:rsid w:val="00080EDD"/>
    <w:pPr>
      <w:spacing w:after="120" w:before="120" w:line="360" w:lineRule="auto"/>
      <w:jc w:val="both"/>
    </w:pPr>
    <w:rPr>
      <w:rFonts w:ascii="Times New Roman" w:cs="Times New Roman" w:hAnsi="Times New Roman"/>
      <w:sz w:val="24"/>
      <w:szCs w:val="24"/>
      <w:lang w:bidi="ar-SA" w:val="en-GB"/>
    </w:rPr>
  </w:style>
  <w:style w:type="paragraph" w:styleId="Heading1">
    <w:name w:val="heading 1"/>
    <w:basedOn w:val="Normal"/>
    <w:next w:val="Normal"/>
    <w:link w:val="Heading1Char"/>
    <w:autoRedefine w:val="1"/>
    <w:qFormat w:val="1"/>
    <w:rsid w:val="00E54E69"/>
    <w:pPr>
      <w:keepNext w:val="1"/>
      <w:keepLines w:val="1"/>
      <w:outlineLvl w:val="0"/>
    </w:pPr>
    <w:rPr>
      <w:b w:val="1"/>
      <w:bCs w:val="1"/>
      <w:kern w:val="44"/>
      <w:szCs w:val="44"/>
      <w:lang w:val="en-US"/>
    </w:rPr>
  </w:style>
  <w:style w:type="paragraph" w:styleId="Heading2">
    <w:name w:val="heading 2"/>
    <w:basedOn w:val="Normal"/>
    <w:next w:val="Normal"/>
    <w:link w:val="Heading2Char"/>
    <w:autoRedefine w:val="1"/>
    <w:unhideWhenUsed w:val="1"/>
    <w:qFormat w:val="1"/>
    <w:rsid w:val="00472219"/>
    <w:pPr>
      <w:keepNext w:val="1"/>
      <w:keepLines w:val="1"/>
      <w:outlineLvl w:val="1"/>
    </w:pPr>
    <w:rPr>
      <w:b w:val="1"/>
      <w:bCs w:val="1"/>
      <w:sz w:val="26"/>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rsid w:val="00E54E69"/>
    <w:rPr>
      <w:rFonts w:ascii="Times New Roman" w:cs="Times New Roman" w:hAnsi="Times New Roman"/>
      <w:b w:val="1"/>
      <w:bCs w:val="1"/>
      <w:kern w:val="44"/>
      <w:sz w:val="24"/>
      <w:szCs w:val="44"/>
      <w:lang w:bidi="ar-SA"/>
    </w:rPr>
  </w:style>
  <w:style w:type="character" w:styleId="Heading2Char" w:customStyle="1">
    <w:name w:val="Heading 2 Char"/>
    <w:basedOn w:val="DefaultParagraphFont"/>
    <w:link w:val="Heading2"/>
    <w:rsid w:val="00472219"/>
    <w:rPr>
      <w:rFonts w:ascii="Times New Roman" w:hAnsi="Times New Roman" w:eastAsiaTheme="minorEastAsia"/>
      <w:b w:val="1"/>
      <w:bCs w:val="1"/>
      <w:sz w:val="26"/>
      <w:szCs w:val="32"/>
      <w:lang w:bidi="ar-SA" w:eastAsia="zh-CN" w:val="en-GB"/>
    </w:rPr>
  </w:style>
  <w:style w:type="paragraph" w:styleId="Title">
    <w:name w:val="Title"/>
    <w:basedOn w:val="Normal"/>
    <w:next w:val="Normal"/>
    <w:link w:val="TitleChar"/>
    <w:autoRedefine w:val="1"/>
    <w:uiPriority w:val="10"/>
    <w:qFormat w:val="1"/>
    <w:rsid w:val="00EA2055"/>
    <w:pPr>
      <w:spacing w:after="0" w:before="0"/>
      <w:contextualSpacing w:val="1"/>
      <w:jc w:val="center"/>
    </w:pPr>
    <w:rPr>
      <w:rFonts w:cstheme="majorBidi" w:eastAsiaTheme="majorEastAsia"/>
      <w:b w:val="1"/>
      <w:caps w:val="1"/>
      <w:spacing w:val="-10"/>
      <w:kern w:val="28"/>
      <w:sz w:val="56"/>
      <w:szCs w:val="56"/>
      <w:u w:val="single"/>
      <w:lang w:val="en-US"/>
    </w:rPr>
  </w:style>
  <w:style w:type="character" w:styleId="TitleChar" w:customStyle="1">
    <w:name w:val="Title Char"/>
    <w:basedOn w:val="DefaultParagraphFont"/>
    <w:link w:val="Title"/>
    <w:uiPriority w:val="10"/>
    <w:rsid w:val="00EA2055"/>
    <w:rPr>
      <w:rFonts w:ascii="Times New Roman" w:hAnsi="Times New Roman" w:cstheme="majorBidi" w:eastAsiaTheme="majorEastAsia"/>
      <w:b w:val="1"/>
      <w:caps w:val="1"/>
      <w:spacing w:val="-10"/>
      <w:kern w:val="28"/>
      <w:sz w:val="56"/>
      <w:szCs w:val="56"/>
      <w:u w:val="single"/>
      <w:lang w:bidi="ar-SA" w:eastAsia="zh-CN"/>
    </w:rPr>
  </w:style>
  <w:style w:type="paragraph" w:styleId="ListParagraph">
    <w:name w:val="List Paragraph"/>
    <w:basedOn w:val="Normal"/>
    <w:uiPriority w:val="34"/>
    <w:qFormat w:val="1"/>
    <w:rsid w:val="00F13F2C"/>
    <w:pPr>
      <w:ind w:left="720"/>
      <w:contextualSpacing w:val="1"/>
    </w:pPr>
  </w:style>
  <w:style w:type="character" w:styleId="Hyperlink">
    <w:name w:val="Hyperlink"/>
    <w:basedOn w:val="DefaultParagraphFont"/>
    <w:uiPriority w:val="99"/>
    <w:unhideWhenUsed w:val="1"/>
    <w:rsid w:val="00A310D6"/>
    <w:rPr>
      <w:color w:val="0563c1" w:themeColor="hyperlink"/>
      <w:u w:val="single"/>
    </w:rPr>
  </w:style>
  <w:style w:type="paragraph" w:styleId="Caption">
    <w:name w:val="caption"/>
    <w:basedOn w:val="Normal"/>
    <w:next w:val="Normal"/>
    <w:uiPriority w:val="35"/>
    <w:unhideWhenUsed w:val="1"/>
    <w:qFormat w:val="1"/>
    <w:rsid w:val="00A3201E"/>
    <w:pPr>
      <w:spacing w:after="200" w:before="0" w:line="240" w:lineRule="auto"/>
    </w:pPr>
    <w:rPr>
      <w:i w:val="1"/>
      <w:iCs w:val="1"/>
      <w:color w:val="44546a" w:themeColor="text2"/>
      <w:sz w:val="18"/>
      <w:szCs w:val="18"/>
    </w:rPr>
  </w:style>
  <w:style w:type="paragraph" w:styleId="BalloonText">
    <w:name w:val="Balloon Text"/>
    <w:basedOn w:val="Normal"/>
    <w:link w:val="BalloonTextChar"/>
    <w:uiPriority w:val="99"/>
    <w:semiHidden w:val="1"/>
    <w:unhideWhenUsed w:val="1"/>
    <w:rsid w:val="00657EC9"/>
    <w:pPr>
      <w:spacing w:after="0" w:before="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657EC9"/>
    <w:rPr>
      <w:rFonts w:ascii="Tahoma" w:cs="Tahoma" w:hAnsi="Tahoma"/>
      <w:sz w:val="16"/>
      <w:szCs w:val="16"/>
      <w:lang w:bidi="ar-SA" w:val="en-GB"/>
    </w:rPr>
  </w:style>
  <w:style w:type="paragraph" w:styleId="Header">
    <w:name w:val="header"/>
    <w:basedOn w:val="Normal"/>
    <w:link w:val="HeaderChar"/>
    <w:uiPriority w:val="99"/>
    <w:unhideWhenUsed w:val="1"/>
    <w:rsid w:val="00430A15"/>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430A15"/>
    <w:rPr>
      <w:rFonts w:ascii="Times New Roman" w:cs="Times New Roman" w:hAnsi="Times New Roman"/>
      <w:sz w:val="24"/>
      <w:szCs w:val="24"/>
      <w:lang w:bidi="ar-SA" w:val="en-GB"/>
    </w:rPr>
  </w:style>
  <w:style w:type="paragraph" w:styleId="Footer">
    <w:name w:val="footer"/>
    <w:basedOn w:val="Normal"/>
    <w:link w:val="FooterChar"/>
    <w:uiPriority w:val="99"/>
    <w:unhideWhenUsed w:val="1"/>
    <w:rsid w:val="00430A15"/>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430A15"/>
    <w:rPr>
      <w:rFonts w:ascii="Times New Roman" w:cs="Times New Roman" w:hAnsi="Times New Roman"/>
      <w:sz w:val="24"/>
      <w:szCs w:val="24"/>
      <w:lang w:bidi="ar-SA"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69RGbcRoeI4PHw0EOVvB+tjW6w==">CgMxLjAyDmguNnNpN3IwZXZkbm42OAByITFLbk5SOXl5MjdJUzhwRFlGUzd0ZUFDenluV2sxRHdPLQ==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2025-06-10T04:57:00Z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4de593ab-6c86-4786-90a0-eed1e4c1e5f6</vt:lpwstr>
  </property>
</Properties>
</file>