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fontTable.xml.rels" ContentType="application/vnd.openxmlformats-package.relationships+xml"/>
  <Override PartName="/word/_rels/document.xml.rels" ContentType="application/vnd.openxmlformats-package.relationships+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footer2.xml" ContentType="application/vnd.openxmlformats-officedocument.wordprocessingml.footer+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oter3.xml" ContentType="application/vnd.openxmlformats-officedocument.wordprocessingml.footer+xml"/>
  <Override PartName="/word/settings.xml" ContentType="application/vnd.openxmlformats-officedocument.wordprocessingml.settings+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1"/>
        <w:spacing w:lineRule="auto" w:line="360"/>
        <w:jc w:val="center"/>
        <w:rPr>
          <w:rFonts w:ascii="Times New Roman" w:hAnsi="Times New Roman" w:eastAsia="Times New Roman" w:cs="Times New Roman"/>
          <w:b/>
          <w:bCs/>
          <w:sz w:val="28"/>
          <w:szCs w:val="28"/>
        </w:rPr>
      </w:pPr>
      <w:r>
        <w:rPr/>
        <mc:AlternateContent>
          <mc:Choice Requires="wps">
            <w:drawing>
              <wp:inline distT="0" distB="0" distL="0" distR="0">
                <wp:extent cx="4115435" cy="1989455"/>
                <wp:effectExtent l="0" t="0" r="0" b="0"/>
                <wp:docPr id="1" name="image2.png"/>
                <a:graphic xmlns:a="http://schemas.openxmlformats.org/drawingml/2006/main">
                  <a:graphicData uri="http://schemas.openxmlformats.org/drawingml/2006/picture">
                    <pic:pic xmlns:pic="http://schemas.openxmlformats.org/drawingml/2006/picture">
                      <pic:nvPicPr>
                        <pic:cNvPr id="2" name="image2.png" descr=""/>
                        <pic:cNvPicPr/>
                      </pic:nvPicPr>
                      <pic:blipFill>
                        <a:blip r:embed="rId2"/>
                        <a:stretch/>
                      </pic:blipFill>
                      <pic:spPr>
                        <a:xfrm>
                          <a:off x="0" y="0"/>
                          <a:ext cx="4115520" cy="1989360"/>
                        </a:xfrm>
                        <a:prstGeom prst="rect">
                          <a:avLst/>
                        </a:prstGeom>
                        <a:noFill/>
                        <a:ln w="0">
                          <a:noFill/>
                        </a:ln>
                      </pic:spPr>
                    </pic:pic>
                  </a:graphicData>
                </a:graphic>
              </wp:inline>
            </w:drawing>
          </mc:Choice>
        </mc:AlternateContent>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t>Student Name:</w:t>
      </w:r>
      <w:r>
        <w:rPr>
          <w:rFonts w:eastAsia="Times New Roman" w:cs="Times New Roman" w:ascii="Times New Roman" w:hAnsi="Times New Roman"/>
          <w:b/>
          <w:bCs/>
          <w:sz w:val="28"/>
          <w:szCs w:val="28"/>
        </w:rPr>
        <w:t xml:space="preserve"> </w:t>
      </w:r>
      <w:r>
        <w:rPr>
          <w:rFonts w:eastAsia="Times New Roman" w:cs="Times New Roman" w:ascii="Times New Roman" w:hAnsi="Times New Roman"/>
          <w:b/>
          <w:bCs/>
          <w:sz w:val="28"/>
          <w:szCs w:val="28"/>
        </w:rPr>
        <w:t xml:space="preserve">Ishika Christian </w:t>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t xml:space="preserve">Student ID: </w:t>
      </w:r>
      <w:r>
        <w:rPr>
          <w:rFonts w:eastAsia="Times New Roman" w:cs="Times New Roman" w:ascii="Times New Roman" w:hAnsi="Times New Roman"/>
          <w:b/>
          <w:bCs/>
          <w:sz w:val="28"/>
          <w:szCs w:val="28"/>
        </w:rPr>
        <w:t>2530966</w:t>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t>Module Name: Marketing Management</w:t>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t>Module Code: LCMB7024</w:t>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t>Lecturer’s Name: Dr. Tola Odugbesan</w:t>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1"/>
        <w:spacing w:lineRule="auto" w:line="360"/>
        <w:jc w:val="center"/>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1"/>
        <w:spacing w:lineRule="auto" w:line="360"/>
        <w:jc w:val="both"/>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1"/>
        <w:spacing w:lineRule="auto" w:line="360"/>
        <w:jc w:val="center"/>
        <w:rPr>
          <w:rFonts w:ascii="Times New Roman" w:hAnsi="Times New Roman" w:eastAsia="Times New Roman" w:cs="Times New Roman"/>
          <w:b/>
          <w:bCs/>
          <w:sz w:val="36"/>
          <w:szCs w:val="36"/>
        </w:rPr>
      </w:pPr>
      <w:r>
        <w:rPr>
          <w:rFonts w:eastAsia="Times New Roman" w:cs="Times New Roman" w:ascii="Times New Roman" w:hAnsi="Times New Roman"/>
          <w:b/>
          <w:bCs/>
          <w:sz w:val="36"/>
          <w:szCs w:val="36"/>
        </w:rPr>
        <w:t>Marketing Strategies Portfolio</w:t>
      </w:r>
    </w:p>
    <w:p>
      <w:pPr>
        <w:pStyle w:val="normal1"/>
        <w:spacing w:lineRule="auto" w:line="360"/>
        <w:jc w:val="left"/>
        <w:rPr>
          <w:rFonts w:ascii="Times New Roman" w:hAnsi="Times New Roman" w:eastAsia="Times New Roman" w:cs="Times New Roman"/>
          <w:b/>
          <w:bCs/>
          <w:sz w:val="36"/>
          <w:szCs w:val="36"/>
        </w:rPr>
      </w:pPr>
      <w:r>
        <w:rPr>
          <w:rFonts w:eastAsia="Times New Roman" w:cs="Times New Roman" w:ascii="Times New Roman" w:hAnsi="Times New Roman"/>
          <w:b/>
          <w:bCs/>
          <w:sz w:val="36"/>
          <w:szCs w:val="36"/>
        </w:rPr>
      </w:r>
    </w:p>
    <w:p>
      <w:pPr>
        <w:pStyle w:val="normal1"/>
        <w:spacing w:lineRule="auto" w:line="360"/>
        <w:jc w:val="left"/>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1"/>
        <w:spacing w:lineRule="auto" w:line="360"/>
        <w:jc w:val="left"/>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1"/>
        <w:spacing w:lineRule="auto" w:line="360"/>
        <w:jc w:val="left"/>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r>
    </w:p>
    <w:p>
      <w:pPr>
        <w:pStyle w:val="normal1"/>
        <w:spacing w:lineRule="auto" w:line="360"/>
        <w:jc w:val="left"/>
        <w:rPr>
          <w:rFonts w:ascii="Times New Roman" w:hAnsi="Times New Roman" w:eastAsia="Times New Roman" w:cs="Times New Roman"/>
          <w:b/>
          <w:bCs/>
          <w:sz w:val="28"/>
          <w:szCs w:val="28"/>
        </w:rPr>
      </w:pPr>
      <w:r>
        <w:rPr>
          <w:rFonts w:eastAsia="Times New Roman" w:cs="Times New Roman" w:ascii="Times New Roman" w:hAnsi="Times New Roman"/>
          <w:b/>
          <w:bCs/>
          <w:sz w:val="28"/>
          <w:szCs w:val="28"/>
        </w:rPr>
        <w:t>Word Count: 2563</w:t>
      </w:r>
    </w:p>
    <w:p>
      <w:pPr>
        <w:pStyle w:val="normal1"/>
        <w:spacing w:lineRule="auto" w:line="360"/>
        <w:jc w:val="center"/>
        <w:rPr>
          <w:rFonts w:ascii="Times New Roman" w:hAnsi="Times New Roman" w:eastAsia="Times New Roman" w:cs="Times New Roman"/>
          <w:b/>
          <w:bCs/>
        </w:rPr>
      </w:pPr>
      <w:r>
        <w:rPr>
          <w:rFonts w:eastAsia="Times New Roman" w:cs="Times New Roman" w:ascii="Times New Roman" w:hAnsi="Times New Roman"/>
          <w:b/>
          <w:bCs/>
        </w:rPr>
      </w:r>
      <w:r>
        <w:br w:type="page"/>
      </w:r>
    </w:p>
    <w:p>
      <w:pPr>
        <w:pStyle w:val="normal1"/>
        <w:spacing w:lineRule="auto" w:line="360" w:before="0" w:after="0"/>
        <w:jc w:val="center"/>
        <w:rPr>
          <w:rFonts w:ascii="Times New Roman" w:hAnsi="Times New Roman" w:eastAsia="Times New Roman" w:cs="Times New Roman"/>
          <w:sz w:val="24"/>
          <w:szCs w:val="24"/>
        </w:rPr>
      </w:pPr>
      <w:r>
        <w:rPr>
          <w:rFonts w:eastAsia="Times New Roman" w:cs="Times New Roman" w:ascii="Times New Roman" w:hAnsi="Times New Roman"/>
          <w:b/>
          <w:bCs/>
          <w:sz w:val="28"/>
          <w:szCs w:val="28"/>
        </w:rPr>
        <w:t xml:space="preserve">Table of Contents </w:t>
      </w:r>
    </w:p>
    <w:tbl>
      <w:tblPr>
        <w:tblStyle w:val="Table1"/>
        <w:tblW w:w="9000" w:type="dxa"/>
        <w:jc w:val="left"/>
        <w:tblInd w:w="0" w:type="dxa"/>
        <w:tblLayout w:type="fixed"/>
        <w:tblCellMar>
          <w:top w:w="100" w:type="dxa"/>
          <w:left w:w="100" w:type="dxa"/>
          <w:bottom w:w="100" w:type="dxa"/>
          <w:right w:w="100" w:type="dxa"/>
        </w:tblCellMar>
        <w:tblLook w:val="0600"/>
      </w:tblPr>
      <w:tblGrid>
        <w:gridCol w:w="839"/>
        <w:gridCol w:w="6705"/>
        <w:gridCol w:w="1456"/>
      </w:tblGrid>
      <w:tr>
        <w:trPr/>
        <w:tc>
          <w:tcPr>
            <w:tcW w:w="839"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center"/>
              <w:rPr>
                <w:rFonts w:ascii="Times New Roman" w:hAnsi="Times New Roman" w:eastAsia="Times New Roman" w:cs="Times New Roman"/>
                <w:b/>
                <w:bCs/>
                <w:sz w:val="24"/>
                <w:szCs w:val="24"/>
              </w:rPr>
            </w:pPr>
            <w:sdt>
              <w:sdtPr>
                <w:tag w:val="goog_rdk_0"/>
                <w:id w:val="-865121764"/>
                <w:lock w:val="contentLocked"/>
                <w:text/>
              </w:sdtPr>
              <w:sdtContent>
                <w:r>
                  <w:rPr>
                    <w:rFonts w:eastAsia="Times New Roman" w:cs="Times New Roman" w:ascii="Times New Roman" w:hAnsi="Times New Roman"/>
                    <w:b/>
                    <w:bCs/>
                    <w:sz w:val="24"/>
                    <w:szCs w:val="24"/>
                  </w:rPr>
                </w:r>
                <w:r>
                  <w:rPr>
                    <w:rFonts w:eastAsia="Times New Roman" w:cs="Times New Roman" w:ascii="Times New Roman" w:hAnsi="Times New Roman"/>
                    <w:b/>
                    <w:bCs/>
                    <w:sz w:val="24"/>
                    <w:szCs w:val="24"/>
                  </w:rPr>
                  <w:t>S.no</w:t>
                </w:r>
              </w:sdtContent>
            </w:sdt>
          </w:p>
        </w:tc>
        <w:tc>
          <w:tcPr>
            <w:tcW w:w="6705"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Contents</w:t>
            </w:r>
          </w:p>
        </w:tc>
        <w:tc>
          <w:tcPr>
            <w:tcW w:w="1456"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Pg.No.</w:t>
            </w:r>
          </w:p>
        </w:tc>
      </w:tr>
      <w:tr>
        <w:trPr/>
        <w:tc>
          <w:tcPr>
            <w:tcW w:w="839"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1</w:t>
            </w:r>
          </w:p>
        </w:tc>
        <w:tc>
          <w:tcPr>
            <w:tcW w:w="6705"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t>Element 1: Brand Extension Poster Presentation</w:t>
            </w:r>
          </w:p>
        </w:tc>
        <w:tc>
          <w:tcPr>
            <w:tcW w:w="1456"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t>3-4</w:t>
            </w:r>
          </w:p>
        </w:tc>
      </w:tr>
      <w:tr>
        <w:trPr/>
        <w:tc>
          <w:tcPr>
            <w:tcW w:w="839"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2</w:t>
            </w:r>
          </w:p>
        </w:tc>
        <w:tc>
          <w:tcPr>
            <w:tcW w:w="6705"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t>Element 2: Segmentation, Targeting, Differentiation, and Positioning (STDP)</w:t>
            </w:r>
          </w:p>
        </w:tc>
        <w:tc>
          <w:tcPr>
            <w:tcW w:w="1456"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t>4-6</w:t>
            </w:r>
          </w:p>
        </w:tc>
      </w:tr>
      <w:tr>
        <w:trPr/>
        <w:tc>
          <w:tcPr>
            <w:tcW w:w="839"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3</w:t>
            </w:r>
          </w:p>
        </w:tc>
        <w:tc>
          <w:tcPr>
            <w:tcW w:w="6705"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t>Element 3: Marketing Mix (7Ps)</w:t>
            </w:r>
          </w:p>
        </w:tc>
        <w:tc>
          <w:tcPr>
            <w:tcW w:w="1456"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t>6-11</w:t>
            </w:r>
          </w:p>
        </w:tc>
      </w:tr>
      <w:tr>
        <w:trPr/>
        <w:tc>
          <w:tcPr>
            <w:tcW w:w="839"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4</w:t>
            </w:r>
          </w:p>
        </w:tc>
        <w:tc>
          <w:tcPr>
            <w:tcW w:w="6705"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t>Element 4: Reflection</w:t>
            </w:r>
          </w:p>
        </w:tc>
        <w:tc>
          <w:tcPr>
            <w:tcW w:w="1456"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t>11-13</w:t>
            </w:r>
          </w:p>
        </w:tc>
      </w:tr>
      <w:tr>
        <w:trPr/>
        <w:tc>
          <w:tcPr>
            <w:tcW w:w="839"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5</w:t>
            </w:r>
          </w:p>
        </w:tc>
        <w:tc>
          <w:tcPr>
            <w:tcW w:w="6705"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t>References</w:t>
            </w:r>
          </w:p>
        </w:tc>
        <w:tc>
          <w:tcPr>
            <w:tcW w:w="1456" w:type="dxa"/>
            <w:tcBorders>
              <w:top w:val="single" w:sz="8" w:space="0" w:color="000000"/>
              <w:left w:val="single" w:sz="8" w:space="0" w:color="000000"/>
              <w:bottom w:val="single" w:sz="8" w:space="0" w:color="000000"/>
              <w:right w:val="single" w:sz="8" w:space="0" w:color="000000"/>
            </w:tcBorders>
            <w:shd w:fill="auto" w:val="clear"/>
          </w:tcPr>
          <w:p>
            <w:pPr>
              <w:pStyle w:val="normal1"/>
              <w:keepNext w:val="false"/>
              <w:keepLines w:val="false"/>
              <w:widowControl w:val="false"/>
              <w:pBdr/>
              <w:shd w:val="clear" w:fill="auto"/>
              <w:spacing w:lineRule="auto" w:line="240" w:before="0" w:after="0"/>
              <w:ind w:hanging="0" w:left="0" w:right="0"/>
              <w:jc w:val="left"/>
              <w:rPr>
                <w:rFonts w:ascii="Times New Roman" w:hAnsi="Times New Roman" w:eastAsia="Times New Roman" w:cs="Times New Roman"/>
                <w:sz w:val="24"/>
                <w:szCs w:val="24"/>
              </w:rPr>
            </w:pPr>
            <w:r>
              <w:rPr>
                <w:rFonts w:eastAsia="Times New Roman" w:cs="Times New Roman" w:ascii="Times New Roman" w:hAnsi="Times New Roman"/>
                <w:sz w:val="24"/>
                <w:szCs w:val="24"/>
              </w:rPr>
              <w:t>14-17</w:t>
            </w:r>
          </w:p>
        </w:tc>
      </w:tr>
    </w:tbl>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r>
        <w:br w:type="page"/>
      </w:r>
    </w:p>
    <w:p>
      <w:pPr>
        <w:pStyle w:val="Heading1"/>
        <w:spacing w:before="0" w:after="0"/>
        <w:rPr/>
      </w:pPr>
      <w:bookmarkStart w:id="0" w:name="_heading=h.7dq55b66xa4t"/>
      <w:bookmarkEnd w:id="0"/>
      <w:r>
        <w:rPr/>
        <w:t xml:space="preserve">Element 1: Brand Extension Poster Presentation </w:t>
      </w:r>
    </w:p>
    <w:p>
      <w:pPr>
        <w:pStyle w:val="normal1"/>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Appendix A: Poster</w:t>
      </w:r>
    </w:p>
    <w:p>
      <w:pPr>
        <w:pStyle w:val="normal1"/>
        <w:spacing w:lineRule="auto" w:line="360" w:before="0" w:after="200"/>
        <w:jc w:val="both"/>
        <w:rPr>
          <w:rFonts w:ascii="Times New Roman" w:hAnsi="Times New Roman" w:eastAsia="Times New Roman" w:cs="Times New Roman"/>
          <w:sz w:val="24"/>
          <w:szCs w:val="24"/>
        </w:rPr>
      </w:pPr>
      <w:r>
        <w:rPr/>
        <mc:AlternateContent>
          <mc:Choice Requires="wps">
            <w:drawing>
              <wp:inline distT="0" distB="0" distL="0" distR="0">
                <wp:extent cx="5731510" cy="8102600"/>
                <wp:effectExtent l="0" t="0" r="0" b="0"/>
                <wp:docPr id="3" name="image7.png"/>
                <a:graphic xmlns:a="http://schemas.openxmlformats.org/drawingml/2006/main">
                  <a:graphicData uri="http://schemas.openxmlformats.org/drawingml/2006/picture">
                    <pic:pic xmlns:pic="http://schemas.openxmlformats.org/drawingml/2006/picture">
                      <pic:nvPicPr>
                        <pic:cNvPr id="4" name="image7.png" descr=""/>
                        <pic:cNvPicPr/>
                      </pic:nvPicPr>
                      <pic:blipFill>
                        <a:blip r:embed="rId3"/>
                        <a:stretch/>
                      </pic:blipFill>
                      <pic:spPr>
                        <a:xfrm>
                          <a:off x="0" y="0"/>
                          <a:ext cx="5731560" cy="8102520"/>
                        </a:xfrm>
                        <a:prstGeom prst="rect">
                          <a:avLst/>
                        </a:prstGeom>
                        <a:noFill/>
                        <a:ln w="0">
                          <a:noFill/>
                        </a:ln>
                      </pic:spPr>
                    </pic:pic>
                  </a:graphicData>
                </a:graphic>
              </wp:inline>
            </w:drawing>
          </mc:Choice>
        </mc:AlternateContent>
      </w:r>
    </w:p>
    <w:p>
      <w:pPr>
        <w:pStyle w:val="normal1"/>
        <w:spacing w:lineRule="auto" w:line="360" w:before="0" w:after="20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Figure A1: Poster</w:t>
      </w:r>
    </w:p>
    <w:p>
      <w:pPr>
        <w:pStyle w:val="Heading1"/>
        <w:rPr/>
      </w:pPr>
      <w:r>
        <w:rPr/>
      </w:r>
      <w:bookmarkStart w:id="1" w:name="_heading=h.lente15nfi5b"/>
      <w:bookmarkStart w:id="2" w:name="_heading=h.lente15nfi5b"/>
      <w:bookmarkEnd w:id="2"/>
    </w:p>
    <w:p>
      <w:pPr>
        <w:pStyle w:val="Heading1"/>
        <w:rPr/>
      </w:pPr>
      <w:bookmarkStart w:id="3" w:name="_heading=h.cmk7n8n2w5nd"/>
      <w:bookmarkEnd w:id="3"/>
      <w:r>
        <w:rPr/>
        <w:t xml:space="preserve">Element 2: Segmentation, Targeting, Differentiation, and Positioning (STDP) </w:t>
      </w:r>
    </w:p>
    <w:p>
      <w:pPr>
        <w:pStyle w:val="Heading2"/>
        <w:rPr/>
      </w:pPr>
      <w:bookmarkStart w:id="4" w:name="_heading=h.6dgmb1c3rt2k"/>
      <w:bookmarkEnd w:id="4"/>
      <w:r>
        <w:rPr/>
        <w:t>Segmentation</w:t>
      </w:r>
    </w:p>
    <w:p>
      <w:pPr>
        <w:pStyle w:val="Heading3"/>
        <w:rPr/>
      </w:pPr>
      <w:bookmarkStart w:id="5" w:name="_heading=h.dxgznezatzpv"/>
      <w:bookmarkEnd w:id="5"/>
      <w:r>
        <w:rPr/>
        <w:t>Geographic Segmentation</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Mulberry also focuses on high-income metropolitan markets such as the UK, Europe, and other big cities such as London, Paris, and New York (Mulberry, 2025). These are highly fashionable areas, which have a high purchasing power and have advanced digital technology usage. These markets have a higher chance of consumers using technology channels, and more so, consumers enjoying technology-enabled services. Moreover, the growing Asian cities are also of interest because they are showing a surge in high-end consumption and online activities (Svidler and Bijune, 2025).</w:t>
      </w:r>
    </w:p>
    <w:p>
      <w:pPr>
        <w:pStyle w:val="Heading3"/>
        <w:rPr/>
      </w:pPr>
      <w:bookmarkStart w:id="6" w:name="_heading=h.butxk07wwbym"/>
      <w:bookmarkEnd w:id="6"/>
      <w:r>
        <w:rPr/>
        <w:t>Demographic Segmentation</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Demographics show that the target group will be individuals aged between 25 and 45 with average to above-average income levels. With a lot of frequency, these clients are business owners, professionals, and those in creative industries. This segment is financially endowed to purchase costly products, besides expressing a high interest in technology and innovativeness. The younger customers are especially relevant in this market as they are highly influenced by the technological shifts and are more open to digital solutions. </w:t>
      </w:r>
    </w:p>
    <w:p>
      <w:pPr>
        <w:pStyle w:val="Heading3"/>
        <w:rPr/>
      </w:pPr>
      <w:bookmarkStart w:id="7" w:name="_heading=h.i8t1jikpc9k0"/>
      <w:bookmarkEnd w:id="7"/>
      <w:r>
        <w:rPr/>
        <w:t>Psychographic Segmentation</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Psychographic segmentation intends to target demographics by emphasising consumer lifestyles, values, and attitudes (Kumar </w:t>
      </w:r>
      <w:r>
        <w:rPr>
          <w:rFonts w:eastAsia="Times New Roman" w:cs="Times New Roman" w:ascii="Times New Roman" w:hAnsi="Times New Roman"/>
          <w:i/>
          <w:iCs/>
          <w:sz w:val="24"/>
          <w:szCs w:val="24"/>
        </w:rPr>
        <w:t xml:space="preserve">et al. </w:t>
      </w:r>
      <w:r>
        <w:rPr>
          <w:rFonts w:eastAsia="Times New Roman" w:cs="Times New Roman" w:ascii="Times New Roman" w:hAnsi="Times New Roman"/>
          <w:sz w:val="24"/>
          <w:szCs w:val="24"/>
        </w:rPr>
        <w:t>2025). The identified segment attaches the highest focus to ethical manufacturing processes and is very conscious of sustainability. Such customers are after brands that emphasise a sense of social responsibility, authenticity, and openness. They also value legacy and craftsmanship, which can fit well with the established brand name at Mulberry. This is because they have an amalgamation of traditional values and contemporary desires, which makes them very open to a luxury product that is technology-driven.</w:t>
      </w:r>
    </w:p>
    <w:p>
      <w:pPr>
        <w:pStyle w:val="Heading3"/>
        <w:rPr/>
      </w:pPr>
      <w:bookmarkStart w:id="8" w:name="_heading=h.nlo1xxan58t6"/>
      <w:bookmarkEnd w:id="8"/>
      <w:r>
        <w:rPr/>
        <w:t>Behavioural Segmentation</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Behavioural segmentation emphasises the way consumers engage with high-end products and services. The target market purchases luxury items quite often and is becoming increasingly drawn to cyclical methods of fashion, such as resale, repairs, and reuse. They prefer companies that explain their sources of goods and the required duration of usage. They prefer digital platforms extensively, such as e-commerce channels and mobile applications. However, the digital tracking, authentication, and repair services have become valued by customers since they extend the life of products and enhance the overall consumer experience (Jensen, 2025).</w:t>
      </w:r>
    </w:p>
    <w:p>
      <w:pPr>
        <w:pStyle w:val="Heading2"/>
        <w:rPr/>
      </w:pPr>
      <w:bookmarkStart w:id="9" w:name="_heading=h.i6l9dsj9xaqb"/>
      <w:bookmarkEnd w:id="9"/>
      <w:r>
        <w:rPr/>
        <w:t>Targeting</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Mulberry employs a differentiated targeting strategy, as per the segmentation study that targets two key consumer groups. This approach helps the firm in offering a uniform overall strategy and, at the same time, cater for a wide range of consumer needs (Nashiroh </w:t>
      </w:r>
      <w:r>
        <w:rPr>
          <w:rFonts w:eastAsia="Times New Roman" w:cs="Times New Roman" w:ascii="Times New Roman" w:hAnsi="Times New Roman"/>
          <w:i/>
          <w:iCs/>
          <w:sz w:val="24"/>
          <w:szCs w:val="24"/>
        </w:rPr>
        <w:t xml:space="preserve">et al. </w:t>
      </w:r>
      <w:r>
        <w:rPr>
          <w:rFonts w:eastAsia="Times New Roman" w:cs="Times New Roman" w:ascii="Times New Roman" w:hAnsi="Times New Roman"/>
          <w:sz w:val="24"/>
          <w:szCs w:val="24"/>
        </w:rPr>
        <w:t>2024). The main target market will be the young professionals aged over 25-40. They largely depend on their smartphones in carrying out trade and communication, and have a strong presence on the internet. The second target group will be the rich people aged 35-50. Product quality, workmanship, and heritage are the main focuses of this group. In spite of their likely lag in adopting new technology compared to younger customers, they are appreciating the worth of digital services, especially those that enhance the longevity and usability of products.</w:t>
      </w:r>
    </w:p>
    <w:p>
      <w:pPr>
        <w:pStyle w:val="Heading2"/>
        <w:rPr/>
      </w:pPr>
      <w:bookmarkStart w:id="10" w:name="_heading=h.ug8yqr7lxmd1"/>
      <w:bookmarkEnd w:id="10"/>
      <w:r>
        <w:rPr/>
        <w:t>Differentiation</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Mulberry will make its brand extension unique by adding technology, sustainability and accessibility into the brand value chain. The brand will be able to differentiate itself in this competitive luxury apparel industry due to this synergy. Among the primary distinguishing features is digital craftsmanship, the ornamentation of traditional leather workmanship with the help of digital tools (Varisco </w:t>
      </w:r>
      <w:r>
        <w:rPr>
          <w:rFonts w:eastAsia="Times New Roman" w:cs="Times New Roman" w:ascii="Times New Roman" w:hAnsi="Times New Roman"/>
          <w:i/>
          <w:iCs/>
          <w:sz w:val="24"/>
          <w:szCs w:val="24"/>
        </w:rPr>
        <w:t xml:space="preserve">et al. </w:t>
      </w:r>
      <w:r>
        <w:rPr>
          <w:rFonts w:eastAsia="Times New Roman" w:cs="Times New Roman" w:ascii="Times New Roman" w:hAnsi="Times New Roman"/>
          <w:sz w:val="24"/>
          <w:szCs w:val="24"/>
        </w:rPr>
        <w:t xml:space="preserve">2025). Mulberry has also come up with a special product that attracts the new generation of consumers without corrupting its essence by sharing the old with the new. Product life cycle transparency is another aspect that is of significance (Ospital </w:t>
      </w:r>
      <w:r>
        <w:rPr>
          <w:rFonts w:eastAsia="Times New Roman" w:cs="Times New Roman" w:ascii="Times New Roman" w:hAnsi="Times New Roman"/>
          <w:i/>
          <w:iCs/>
          <w:sz w:val="24"/>
          <w:szCs w:val="24"/>
        </w:rPr>
        <w:t xml:space="preserve">et al. </w:t>
      </w:r>
      <w:r>
        <w:rPr>
          <w:rFonts w:eastAsia="Times New Roman" w:cs="Times New Roman" w:ascii="Times New Roman" w:hAnsi="Times New Roman"/>
          <w:sz w:val="24"/>
          <w:szCs w:val="24"/>
        </w:rPr>
        <w:t xml:space="preserve">2023). Consumers can trace the origin, the manufacturing process, and the history of their products with the help of QR codes or NFC technologies. Differentiation is enhanced by the inclusion of concepts of the circular economy (Souza-Piao </w:t>
      </w:r>
      <w:r>
        <w:rPr>
          <w:rFonts w:eastAsia="Times New Roman" w:cs="Times New Roman" w:ascii="Times New Roman" w:hAnsi="Times New Roman"/>
          <w:i/>
          <w:iCs/>
          <w:sz w:val="24"/>
          <w:szCs w:val="24"/>
        </w:rPr>
        <w:t xml:space="preserve">et al. </w:t>
      </w:r>
      <w:r>
        <w:rPr>
          <w:rFonts w:eastAsia="Times New Roman" w:cs="Times New Roman" w:ascii="Times New Roman" w:hAnsi="Times New Roman"/>
          <w:sz w:val="24"/>
          <w:szCs w:val="24"/>
        </w:rPr>
        <w:t>2023). The repair, resale, and exchange tool of Mulberry contributes to extending the lifetime of its brand and promoting the idea of responsible consumption.</w:t>
      </w:r>
    </w:p>
    <w:p>
      <w:pPr>
        <w:pStyle w:val="Heading2"/>
        <w:rPr/>
      </w:pPr>
      <w:bookmarkStart w:id="11" w:name="_heading=h.kqirzjeo76vi"/>
      <w:bookmarkEnd w:id="11"/>
      <w:r>
        <w:rPr/>
        <w:t>Positioning</w:t>
      </w:r>
    </w:p>
    <w:p>
      <w:pPr>
        <w:pStyle w:val="normal1"/>
        <w:spacing w:lineRule="auto" w:line="360"/>
        <w:jc w:val="center"/>
        <w:rPr>
          <w:rFonts w:ascii="Times New Roman" w:hAnsi="Times New Roman" w:eastAsia="Times New Roman" w:cs="Times New Roman"/>
          <w:b/>
          <w:bCs/>
          <w:sz w:val="24"/>
          <w:szCs w:val="24"/>
        </w:rPr>
      </w:pPr>
      <w:r>
        <w:rPr/>
        <mc:AlternateContent>
          <mc:Choice Requires="wps">
            <w:drawing>
              <wp:inline distT="0" distB="0" distL="0" distR="0">
                <wp:extent cx="5022215" cy="3269615"/>
                <wp:effectExtent l="0" t="0" r="0" b="0"/>
                <wp:docPr id="5" name="image5.png"/>
                <a:graphic xmlns:a="http://schemas.openxmlformats.org/drawingml/2006/main">
                  <a:graphicData uri="http://schemas.openxmlformats.org/drawingml/2006/picture">
                    <pic:pic xmlns:pic="http://schemas.openxmlformats.org/drawingml/2006/picture">
                      <pic:nvPicPr>
                        <pic:cNvPr id="6" name="image5.png" descr=""/>
                        <pic:cNvPicPr/>
                      </pic:nvPicPr>
                      <pic:blipFill>
                        <a:blip r:embed="rId4"/>
                        <a:srcRect l="4656" t="5581" r="7709" b="8888"/>
                        <a:stretch/>
                      </pic:blipFill>
                      <pic:spPr>
                        <a:xfrm>
                          <a:off x="0" y="0"/>
                          <a:ext cx="5022360" cy="3269520"/>
                        </a:xfrm>
                        <a:prstGeom prst="rect">
                          <a:avLst/>
                        </a:prstGeom>
                        <a:noFill/>
                        <a:ln w="0">
                          <a:noFill/>
                        </a:ln>
                      </pic:spPr>
                    </pic:pic>
                  </a:graphicData>
                </a:graphic>
              </wp:inline>
            </w:drawing>
          </mc:Choice>
        </mc:AlternateContent>
      </w:r>
    </w:p>
    <w:p>
      <w:pPr>
        <w:pStyle w:val="normal1"/>
        <w:spacing w:lineRule="auto" w:line="36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Figure 1: Positioning map</w:t>
      </w:r>
    </w:p>
    <w:p>
      <w:pPr>
        <w:pStyle w:val="normal1"/>
        <w:spacing w:lineRule="auto" w:line="360"/>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t>(Source: Self-made)</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Mulberry represents its brand extension as a sustainable, luxury brand, which provides personalised and transparent fashion experiences through the fusion of modernised technology with classicality, digital focus, and breakthrough technology. In the positioning plan, three key elements are focused on. Firstly, the adoption of modern digital technologies allows for further customisation and interaction with customers, which puts emphasis on innovation (Aithal, 2023). Second, the brand has a high priority on ethical production and circular economy use, therefore making sustainability the priority of its identity. Third, legacy remains a personality feature and safeguards the long-standing reputation of Mulberry for quality and craftsmanship (Shukla and Mukherjee, 2025). Mulberry has been able to create a distinction with its competitors by blending these elements without a confused brand image. As the luxury products business is constantly evolving, and the customers are becoming more aware of the need to be creative and responsible, the brand can retain its competitiveness.</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Heading1"/>
        <w:rPr/>
      </w:pPr>
      <w:bookmarkStart w:id="12" w:name="_heading=h.1253y4i8vde9"/>
      <w:bookmarkEnd w:id="12"/>
      <w:r>
        <w:rPr/>
        <w:t xml:space="preserve">Element 3: Marketing Mix (7Ps) </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While the 7Ps comprise price, location, promotion, product, processes, physical evidence, and people, the marketing mix approach concentrates mainly on integrating different facets of marketing (Ghabban, 2025).</w:t>
      </w:r>
    </w:p>
    <w:p>
      <w:pPr>
        <w:pStyle w:val="normal1"/>
        <w:spacing w:lineRule="auto" w:line="360"/>
        <w:jc w:val="center"/>
        <w:rPr>
          <w:rFonts w:ascii="Times New Roman" w:hAnsi="Times New Roman" w:eastAsia="Times New Roman" w:cs="Times New Roman"/>
          <w:b/>
          <w:bCs/>
          <w:sz w:val="24"/>
          <w:szCs w:val="24"/>
        </w:rPr>
      </w:pPr>
      <w:r>
        <w:rPr/>
        <mc:AlternateContent>
          <mc:Choice Requires="wps">
            <w:drawing>
              <wp:inline distT="0" distB="0" distL="0" distR="0">
                <wp:extent cx="4556760" cy="3848100"/>
                <wp:effectExtent l="0" t="0" r="0" b="0"/>
                <wp:docPr id="7" name="image6.png"/>
                <a:graphic xmlns:a="http://schemas.openxmlformats.org/drawingml/2006/main">
                  <a:graphicData uri="http://schemas.openxmlformats.org/drawingml/2006/picture">
                    <pic:pic xmlns:pic="http://schemas.openxmlformats.org/drawingml/2006/picture">
                      <pic:nvPicPr>
                        <pic:cNvPr id="8" name="image6.png" descr=""/>
                        <pic:cNvPicPr/>
                      </pic:nvPicPr>
                      <pic:blipFill>
                        <a:blip r:embed="rId5"/>
                        <a:srcRect l="12760" t="9398" r="14570" b="8605"/>
                        <a:stretch/>
                      </pic:blipFill>
                      <pic:spPr>
                        <a:xfrm>
                          <a:off x="0" y="0"/>
                          <a:ext cx="4556880" cy="3848040"/>
                        </a:xfrm>
                        <a:prstGeom prst="rect">
                          <a:avLst/>
                        </a:prstGeom>
                        <a:noFill/>
                        <a:ln w="0">
                          <a:noFill/>
                        </a:ln>
                      </pic:spPr>
                    </pic:pic>
                  </a:graphicData>
                </a:graphic>
              </wp:inline>
            </w:drawing>
          </mc:Choice>
        </mc:AlternateContent>
      </w:r>
    </w:p>
    <w:p>
      <w:pPr>
        <w:pStyle w:val="normal1"/>
        <w:spacing w:lineRule="auto" w:line="36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Figure 2: Marketing Mix (7Ps)</w:t>
      </w:r>
    </w:p>
    <w:p>
      <w:pPr>
        <w:pStyle w:val="normal1"/>
        <w:spacing w:lineRule="auto" w:line="360"/>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t>(Source: Ghabban, 2025)</w:t>
      </w:r>
    </w:p>
    <w:p>
      <w:pPr>
        <w:pStyle w:val="Heading2"/>
        <w:rPr/>
      </w:pPr>
      <w:bookmarkStart w:id="13" w:name="_heading=h.i35o531j1qeo"/>
      <w:bookmarkEnd w:id="13"/>
      <w:r>
        <w:rPr/>
        <w:t>Product</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The Mulberry Smart Luxury Platform is a symbolic representation of the strategic change experienced by Mulberry in shifting its focus from a traditional luxury brand, focused on goods, to one focused on a technology-enabled service-based environment. Also, there will be the introduction of the use of QR/NFC-based identification and tracking to create some form of transparency about the origins of a product, materials used and the lifespan of the product, which dispel the increasing fears about authenticity in the luxury market. The platform will also offer repair and resale services and exchange services as part of the tenets of the circular economy to increase the life of products. Theoretically, this strategy is consistent with a service dominant logic (SDL), where the value is co-created with the consumers through interactive-based contacts and service-based contacts (Barrios </w:t>
      </w:r>
      <w:r>
        <w:rPr>
          <w:rFonts w:eastAsia="Times New Roman" w:cs="Times New Roman" w:ascii="Times New Roman" w:hAnsi="Times New Roman"/>
          <w:i/>
          <w:iCs/>
          <w:sz w:val="24"/>
          <w:szCs w:val="24"/>
        </w:rPr>
        <w:t xml:space="preserve">et al. </w:t>
      </w:r>
      <w:r>
        <w:rPr>
          <w:rFonts w:eastAsia="Times New Roman" w:cs="Times New Roman" w:ascii="Times New Roman" w:hAnsi="Times New Roman"/>
          <w:sz w:val="24"/>
          <w:szCs w:val="24"/>
        </w:rPr>
        <w:t>2023). Thus, the product approach provides a complete, technology-driven, luxurious experience without real objects, which increases brand value and client loyalty.</w:t>
      </w:r>
    </w:p>
    <w:p>
      <w:pPr>
        <w:pStyle w:val="normal1"/>
        <w:spacing w:lineRule="auto" w:line="360"/>
        <w:jc w:val="center"/>
        <w:rPr>
          <w:rFonts w:ascii="Times New Roman" w:hAnsi="Times New Roman" w:eastAsia="Times New Roman" w:cs="Times New Roman"/>
          <w:sz w:val="24"/>
          <w:szCs w:val="24"/>
        </w:rPr>
      </w:pPr>
      <w:r>
        <w:rPr/>
        <mc:AlternateContent>
          <mc:Choice Requires="wps">
            <w:drawing>
              <wp:inline distT="0" distB="0" distL="0" distR="0">
                <wp:extent cx="5038725" cy="3846195"/>
                <wp:effectExtent l="0" t="0" r="0" b="0"/>
                <wp:docPr id="9" name="image4.png"/>
                <a:graphic xmlns:a="http://schemas.openxmlformats.org/drawingml/2006/main">
                  <a:graphicData uri="http://schemas.openxmlformats.org/drawingml/2006/picture">
                    <pic:pic xmlns:pic="http://schemas.openxmlformats.org/drawingml/2006/picture">
                      <pic:nvPicPr>
                        <pic:cNvPr id="10" name="image4.png" descr=""/>
                        <pic:cNvPicPr/>
                      </pic:nvPicPr>
                      <pic:blipFill>
                        <a:blip r:embed="rId6"/>
                        <a:stretch/>
                      </pic:blipFill>
                      <pic:spPr>
                        <a:xfrm>
                          <a:off x="0" y="0"/>
                          <a:ext cx="5038560" cy="3846240"/>
                        </a:xfrm>
                        <a:prstGeom prst="rect">
                          <a:avLst/>
                        </a:prstGeom>
                        <a:noFill/>
                        <a:ln w="0">
                          <a:noFill/>
                        </a:ln>
                      </pic:spPr>
                    </pic:pic>
                  </a:graphicData>
                </a:graphic>
              </wp:inline>
            </w:drawing>
          </mc:Choice>
        </mc:AlternateContent>
      </w:r>
    </w:p>
    <w:p>
      <w:pPr>
        <w:pStyle w:val="normal1"/>
        <w:spacing w:lineRule="auto" w:line="36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Figure 3: SDL</w:t>
      </w:r>
    </w:p>
    <w:p>
      <w:pPr>
        <w:pStyle w:val="normal1"/>
        <w:spacing w:lineRule="auto" w:line="360"/>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(Source: Barrios </w:t>
      </w:r>
      <w:r>
        <w:rPr>
          <w:rFonts w:eastAsia="Times New Roman" w:cs="Times New Roman" w:ascii="Times New Roman" w:hAnsi="Times New Roman"/>
          <w:i/>
          <w:iCs/>
          <w:sz w:val="24"/>
          <w:szCs w:val="24"/>
        </w:rPr>
        <w:t xml:space="preserve">et al. </w:t>
      </w:r>
      <w:r>
        <w:rPr>
          <w:rFonts w:eastAsia="Times New Roman" w:cs="Times New Roman" w:ascii="Times New Roman" w:hAnsi="Times New Roman"/>
          <w:sz w:val="24"/>
          <w:szCs w:val="24"/>
        </w:rPr>
        <w:t>2023)</w:t>
      </w:r>
    </w:p>
    <w:p>
      <w:pPr>
        <w:pStyle w:val="Heading2"/>
        <w:rPr/>
      </w:pPr>
      <w:bookmarkStart w:id="14" w:name="_heading=h.riwat8iepa81"/>
      <w:bookmarkEnd w:id="14"/>
      <w:r>
        <w:rPr/>
        <w:t>Price</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Mulberry will employ a performance strategy that elicits the virtue of a certain level of worth in the performance of its operations, though it remains in the cheap luxury market. Physical products like handbags and accessories still fetch a high price to maintain the luxurious perception of the brand. Nevertheless, the added value of the digital services offers new pricing capabilities. In addition to this, the platform will have a form of subscription-based model of high-quality services such as custom styling, exclusive content, and lifecycle tracking. Strategically, this has aligned with the perceived value theory, which assumes that consumers will be willing to pay an extra price to receive high value, which includes convenience, customisation, and sustainability (Suphasomboon and Vassanadumrongdee, 2022). </w:t>
      </w:r>
    </w:p>
    <w:p>
      <w:pPr>
        <w:pStyle w:val="normal1"/>
        <w:spacing w:lineRule="auto" w:line="360"/>
        <w:jc w:val="center"/>
        <w:rPr>
          <w:color w:val="252525"/>
          <w:sz w:val="23"/>
          <w:szCs w:val="23"/>
        </w:rPr>
      </w:pPr>
      <w:r>
        <w:rPr/>
        <mc:AlternateContent>
          <mc:Choice Requires="wps">
            <w:drawing>
              <wp:inline distT="0" distB="0" distL="0" distR="0">
                <wp:extent cx="4568825" cy="5469890"/>
                <wp:effectExtent l="0" t="0" r="0" b="0"/>
                <wp:docPr id="11" name="image3.png"/>
                <a:graphic xmlns:a="http://schemas.openxmlformats.org/drawingml/2006/main">
                  <a:graphicData uri="http://schemas.openxmlformats.org/drawingml/2006/picture">
                    <pic:pic xmlns:pic="http://schemas.openxmlformats.org/drawingml/2006/picture">
                      <pic:nvPicPr>
                        <pic:cNvPr id="12" name="image3.png" descr=""/>
                        <pic:cNvPicPr/>
                      </pic:nvPicPr>
                      <pic:blipFill>
                        <a:blip r:embed="rId7"/>
                        <a:srcRect l="0" t="0" r="15113" b="2895"/>
                        <a:stretch/>
                      </pic:blipFill>
                      <pic:spPr>
                        <a:xfrm>
                          <a:off x="0" y="0"/>
                          <a:ext cx="4568760" cy="5469840"/>
                        </a:xfrm>
                        <a:prstGeom prst="rect">
                          <a:avLst/>
                        </a:prstGeom>
                        <a:noFill/>
                        <a:ln w="0">
                          <a:noFill/>
                        </a:ln>
                      </pic:spPr>
                    </pic:pic>
                  </a:graphicData>
                </a:graphic>
              </wp:inline>
            </w:drawing>
          </mc:Choice>
        </mc:AlternateContent>
      </w:r>
    </w:p>
    <w:p>
      <w:pPr>
        <w:pStyle w:val="normal1"/>
        <w:spacing w:lineRule="auto" w:line="36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Figure 4: Perceived value theory</w:t>
      </w:r>
    </w:p>
    <w:p>
      <w:pPr>
        <w:pStyle w:val="normal1"/>
        <w:spacing w:lineRule="auto" w:line="360"/>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t>(Source Suphasomboon and Vassanadumrongdee, 2022)</w:t>
      </w:r>
    </w:p>
    <w:p>
      <w:pPr>
        <w:pStyle w:val="Heading2"/>
        <w:rPr/>
      </w:pPr>
      <w:bookmarkStart w:id="15" w:name="_heading=h.v8sha6nx1bwx"/>
      <w:bookmarkEnd w:id="15"/>
      <w:r>
        <w:rPr/>
        <w:t>Place</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 distribution strategy of the Mulberry Smart Luxury Platform is based on the omnichannel strategy, which guarantees seamless transition between real and digital touchpoints. The physical stores that Mulberry has are crucial in providing the tangible luxury, as the clients have an opportunity to feel and view the craftsmanship, as well as get customised service. As stated in the omnichannel theory, seamless integration increases client satisfaction, establishes brand loyalty, and elevates sales opportunities (Tanaka, 2025). Therefore, the omnichannel strategy aligns with the current trends of retailing in which consumers desire uniformity and flexibility in several channels.</w:t>
      </w:r>
    </w:p>
    <w:p>
      <w:pPr>
        <w:pStyle w:val="Heading2"/>
        <w:rPr/>
      </w:pPr>
      <w:bookmarkStart w:id="16" w:name="_heading=h.5mb402nwn8zh"/>
      <w:bookmarkEnd w:id="16"/>
      <w:r>
        <w:rPr/>
        <w:t>Promotion</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In the brand extension, the marketing plan emphasises integrated marketing communications (IMC), digital, and experiential marketing to reach the target consumers effectively. Mulberry also presents its products, highlights its customisation options, and advertises its environment-related activities through social media platforms such as Instagram and TikTok. The venues are especially apt with younger consumers who are digitally active. However, influencer marketing is a necessity that many eco-friendly apparel companies must take into account because it can potentially contribute to brand awareness, increased customer purchases, and the attraction of new clients who believe in the same values as the brand (Chaturvedi and Chatterjee, 2025). In addition, the process of storytelling is presented as one of the major marketing methods, emphasising the history of Mulberry, its craftsmanship, and its environmental policy. </w:t>
      </w:r>
    </w:p>
    <w:p>
      <w:pPr>
        <w:pStyle w:val="Heading2"/>
        <w:rPr/>
      </w:pPr>
      <w:bookmarkStart w:id="17" w:name="_heading=h.5vgk8xi1br48"/>
      <w:bookmarkEnd w:id="17"/>
      <w:r>
        <w:rPr/>
        <w:t>People</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People form an important part of the service marketing mix, especially in a luxury brand, as in the case of Mulberry, where the consumer experience is central. The Smart Luxury Platform will be successful because of the synergy of the professional craftsmen, technology professionals and customer care people. Customer service teams are also essential since they would be interacting with customers directly and creating an idea of the company in their minds. Such employees desire to be trained on how to have an online response and traditional luxury service expectations to deliver a streamlined and personalised experience. Due to the theoretical approach to service marketing, it is evident that the behaviour of employees, as well as the level of skills, is the most important when it comes to brand image and customer satisfaction (Sah </w:t>
      </w:r>
      <w:r>
        <w:rPr>
          <w:rFonts w:eastAsia="Times New Roman" w:cs="Times New Roman" w:ascii="Times New Roman" w:hAnsi="Times New Roman"/>
          <w:i/>
          <w:iCs/>
          <w:sz w:val="24"/>
          <w:szCs w:val="24"/>
        </w:rPr>
        <w:t xml:space="preserve">et al. </w:t>
      </w:r>
      <w:r>
        <w:rPr>
          <w:rFonts w:eastAsia="Times New Roman" w:cs="Times New Roman" w:ascii="Times New Roman" w:hAnsi="Times New Roman"/>
          <w:sz w:val="24"/>
          <w:szCs w:val="24"/>
        </w:rPr>
        <w:t>2025). Mulberry will thus have to invest in training and development programs to impart such skills to the employees to help them provide high-quality services.</w:t>
      </w:r>
    </w:p>
    <w:p>
      <w:pPr>
        <w:pStyle w:val="Heading2"/>
        <w:rPr/>
      </w:pPr>
      <w:bookmarkStart w:id="18" w:name="_heading=h.41hy9l1o08sh"/>
      <w:bookmarkEnd w:id="18"/>
      <w:r>
        <w:rPr/>
        <w:t>Process</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The process component focuses on systems and processes that make efficient delivery of services possible. The process of the Mulberry Smart Luxury Platform is supposed to be customer-centric, seamless, and technology-driven. Moreover, it can be stated that enhancing the effectiveness of the repair and resale operations is the platform, thus enabling consumers be able to easily extend the lifetime of their products. Considering that, real-time tracking of products will be allowed for consumers to follow their orders. In addition to this, digital integration and automation may increase accuracy and efficiency by decreasing operating costs, shortening processing time, and making processes simpler (Ojika </w:t>
      </w:r>
      <w:r>
        <w:rPr>
          <w:rFonts w:eastAsia="Times New Roman" w:cs="Times New Roman" w:ascii="Times New Roman" w:hAnsi="Times New Roman"/>
          <w:i/>
          <w:iCs/>
          <w:sz w:val="24"/>
          <w:szCs w:val="24"/>
        </w:rPr>
        <w:t xml:space="preserve">et al. </w:t>
      </w:r>
      <w:r>
        <w:rPr>
          <w:rFonts w:eastAsia="Times New Roman" w:cs="Times New Roman" w:ascii="Times New Roman" w:hAnsi="Times New Roman"/>
          <w:sz w:val="24"/>
          <w:szCs w:val="24"/>
        </w:rPr>
        <w:t>2022). Hence, a strategically deliberate process improves the efficiency of operations, besides customer satisfaction and thus, Mulberry relies on technology to ensure that its processes are dynamic and can be scaled according to the market needs.</w:t>
      </w:r>
    </w:p>
    <w:p>
      <w:pPr>
        <w:pStyle w:val="Heading2"/>
        <w:rPr/>
      </w:pPr>
      <w:bookmarkStart w:id="19" w:name="_heading=h.67oy1i41103m"/>
      <w:bookmarkEnd w:id="19"/>
      <w:r>
        <w:rPr/>
        <w:t>Physical Evidence</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Physical evidence is indispensable in the luxury industry, where material cues impact the perceptions of customers towards a firm in a major way. Mulberry is high-end oriented, and this trend is reflected in its brick-and-mortar outlets, which feature grand interiors, premium materials, and an emphasis on craftsmanship. Other than physical locations, a significant characteristic of physical evidence is packaging. Besides amplifying the unboxing experience, environmentally friendly and high-quality packaging will send information to the customer about the brand in terms of its environmentally conscious nature. According to service marketing theory, physical evidence gives tangible evidence of the quality of the service and assists in decreasing the perceived risk (Zhou </w:t>
      </w:r>
      <w:r>
        <w:rPr>
          <w:rFonts w:eastAsia="Times New Roman" w:cs="Times New Roman" w:ascii="Times New Roman" w:hAnsi="Times New Roman"/>
          <w:i/>
          <w:iCs/>
          <w:sz w:val="24"/>
          <w:szCs w:val="24"/>
        </w:rPr>
        <w:t xml:space="preserve">et al. </w:t>
      </w:r>
      <w:r>
        <w:rPr>
          <w:rFonts w:eastAsia="Times New Roman" w:cs="Times New Roman" w:ascii="Times New Roman" w:hAnsi="Times New Roman"/>
          <w:sz w:val="24"/>
          <w:szCs w:val="24"/>
        </w:rPr>
        <w:t>2024). Moreover, the online interface of the Smart Luxury Platform provides tangible proof in the context of services.</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Heading1"/>
        <w:rPr/>
      </w:pPr>
      <w:bookmarkStart w:id="20" w:name="_heading=h.gt9hnw15ydgf"/>
      <w:bookmarkEnd w:id="20"/>
      <w:r>
        <w:rPr/>
        <w:t>Element 4: Reflection</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According to the Experiential Learning Theory offered by Kolb, it is known that learning is a continuous process which relies on experience and has four stages: experience, observation, abstract conceptualisation, and practical experimentation (Devi and Thendral, 2023).</w:t>
      </w:r>
    </w:p>
    <w:p>
      <w:pPr>
        <w:pStyle w:val="normal1"/>
        <w:spacing w:lineRule="auto" w:line="360"/>
        <w:jc w:val="center"/>
        <w:rPr>
          <w:rFonts w:ascii="Times New Roman" w:hAnsi="Times New Roman" w:eastAsia="Times New Roman" w:cs="Times New Roman"/>
          <w:sz w:val="24"/>
          <w:szCs w:val="24"/>
        </w:rPr>
      </w:pPr>
      <w:r>
        <w:rPr/>
        <mc:AlternateContent>
          <mc:Choice Requires="wps">
            <w:drawing>
              <wp:inline distT="0" distB="0" distL="0" distR="0">
                <wp:extent cx="4570730" cy="4526915"/>
                <wp:effectExtent l="0" t="0" r="0" b="0"/>
                <wp:docPr id="13" name="image1.png"/>
                <a:graphic xmlns:a="http://schemas.openxmlformats.org/drawingml/2006/main">
                  <a:graphicData uri="http://schemas.openxmlformats.org/drawingml/2006/picture">
                    <pic:pic xmlns:pic="http://schemas.openxmlformats.org/drawingml/2006/picture">
                      <pic:nvPicPr>
                        <pic:cNvPr id="14" name="image1.png" descr=""/>
                        <pic:cNvPicPr/>
                      </pic:nvPicPr>
                      <pic:blipFill>
                        <a:blip r:embed="rId8"/>
                        <a:stretch/>
                      </pic:blipFill>
                      <pic:spPr>
                        <a:xfrm>
                          <a:off x="0" y="0"/>
                          <a:ext cx="4570560" cy="4527000"/>
                        </a:xfrm>
                        <a:prstGeom prst="rect">
                          <a:avLst/>
                        </a:prstGeom>
                        <a:noFill/>
                        <a:ln w="0">
                          <a:noFill/>
                        </a:ln>
                      </pic:spPr>
                    </pic:pic>
                  </a:graphicData>
                </a:graphic>
              </wp:inline>
            </w:drawing>
          </mc:Choice>
        </mc:AlternateContent>
      </w:r>
    </w:p>
    <w:p>
      <w:pPr>
        <w:pStyle w:val="normal1"/>
        <w:spacing w:lineRule="auto" w:line="36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Figure 5: Kolb's Experiential Learning Theory</w:t>
      </w:r>
    </w:p>
    <w:p>
      <w:pPr>
        <w:pStyle w:val="normal1"/>
        <w:spacing w:lineRule="auto" w:line="360"/>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t>(Source: Devi and Thendral, 2023)</w:t>
      </w:r>
    </w:p>
    <w:p>
      <w:pPr>
        <w:pStyle w:val="normal1"/>
        <w:spacing w:lineRule="auto" w:line="360"/>
        <w:jc w:val="both"/>
        <w:rPr>
          <w:rFonts w:ascii="Times New Roman" w:hAnsi="Times New Roman" w:eastAsia="Times New Roman" w:cs="Times New Roman"/>
          <w:b/>
          <w:bCs/>
          <w:i/>
          <w:i/>
          <w:iCs/>
          <w:sz w:val="24"/>
          <w:szCs w:val="24"/>
        </w:rPr>
      </w:pPr>
      <w:r>
        <w:rPr>
          <w:rFonts w:eastAsia="Times New Roman" w:cs="Times New Roman" w:ascii="Times New Roman" w:hAnsi="Times New Roman"/>
          <w:b/>
          <w:bCs/>
          <w:i/>
          <w:iCs/>
          <w:sz w:val="24"/>
          <w:szCs w:val="24"/>
        </w:rPr>
        <w:t>Concrete Experience</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Setting up the brand extension of Mulberry provided the opportunity to practice theoretical knowledge of marketing in a business setting. The objective was to develop a technology-based approach that was in line with the long history of Mulberry as a luxury brand. This implied the addition of artificial intelligence customisation and tracking of products to the business plan, which had, to a large extent, dwelt on artisan talent. In addition, the poster presentation was required to be created, making complex strategic notions simple and making them aesthetically attractive. This experience has made me more proficient in my ability to articulate important marketing theories in simple and succinct form over a small amount of time, thus developing important professional skills.</w:t>
      </w:r>
    </w:p>
    <w:p>
      <w:pPr>
        <w:pStyle w:val="normal1"/>
        <w:spacing w:lineRule="auto" w:line="360"/>
        <w:jc w:val="both"/>
        <w:rPr>
          <w:rFonts w:ascii="Times New Roman" w:hAnsi="Times New Roman" w:eastAsia="Times New Roman" w:cs="Times New Roman"/>
          <w:b/>
          <w:bCs/>
          <w:i/>
          <w:i/>
          <w:iCs/>
          <w:sz w:val="24"/>
          <w:szCs w:val="24"/>
        </w:rPr>
      </w:pPr>
      <w:r>
        <w:rPr>
          <w:rFonts w:eastAsia="Times New Roman" w:cs="Times New Roman" w:ascii="Times New Roman" w:hAnsi="Times New Roman"/>
          <w:b/>
          <w:bCs/>
          <w:i/>
          <w:iCs/>
          <w:sz w:val="24"/>
          <w:szCs w:val="24"/>
        </w:rPr>
        <w:t>Reflective Observation</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Notable benefits and drawbacks I observed in the process of the course are that the introduction of technology into a traditional luxury brand has advantages and disadvantages. However, striking a balance between discovery and tradition was among the biggest problems. In order to incorporate digital elements into the brand identity of Mulberry, which is largely founded on the principle of authenticity and craftsmanship, the importance of preplanning was required in order not to affect its integrity. Additionally, I understood that contemporary consumers gradually demand that the latter resort to digital solutions, hence technological integration can become the necessary measure of maintaining a competitive edge. The need to make a poster instead of a full presentation also stressed the need for visual communication and the ranking of information. </w:t>
      </w:r>
    </w:p>
    <w:p>
      <w:pPr>
        <w:pStyle w:val="normal1"/>
        <w:spacing w:lineRule="auto" w:line="360"/>
        <w:jc w:val="both"/>
        <w:rPr>
          <w:rFonts w:ascii="Times New Roman" w:hAnsi="Times New Roman" w:eastAsia="Times New Roman" w:cs="Times New Roman"/>
          <w:b/>
          <w:bCs/>
          <w:i/>
          <w:i/>
          <w:iCs/>
          <w:sz w:val="24"/>
          <w:szCs w:val="24"/>
        </w:rPr>
      </w:pPr>
      <w:r>
        <w:rPr>
          <w:rFonts w:eastAsia="Times New Roman" w:cs="Times New Roman" w:ascii="Times New Roman" w:hAnsi="Times New Roman"/>
          <w:b/>
          <w:bCs/>
          <w:i/>
          <w:iCs/>
          <w:sz w:val="24"/>
          <w:szCs w:val="24"/>
        </w:rPr>
        <w:t>Abstract Conceptualisation</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This project significantly enhanced my knowledge of major concepts in marketing and their application. Particularly, I learned more about the concept of brand expansion by Sohail (2023) and the determination that comes as a result of applying an already existing brand equity to create a growth strategy. The STP framework was useful as it enabled me to identify and assess the most important client groups and create a targeted marketing plan. However, the use of the 7Ps marketing mix in a digital context, as per Jain </w:t>
      </w:r>
      <w:r>
        <w:rPr>
          <w:rFonts w:eastAsia="Times New Roman" w:cs="Times New Roman" w:ascii="Times New Roman" w:hAnsi="Times New Roman"/>
          <w:i/>
          <w:iCs/>
          <w:sz w:val="24"/>
          <w:szCs w:val="24"/>
        </w:rPr>
        <w:t xml:space="preserve">et al. </w:t>
      </w:r>
      <w:r>
        <w:rPr>
          <w:rFonts w:eastAsia="Times New Roman" w:cs="Times New Roman" w:ascii="Times New Roman" w:hAnsi="Times New Roman"/>
          <w:sz w:val="24"/>
          <w:szCs w:val="24"/>
        </w:rPr>
        <w:t xml:space="preserve">(2022), further helped me learn how to apply the conventional marketing set-ups in updated, technology-intensive scenarios. </w:t>
      </w:r>
    </w:p>
    <w:p>
      <w:pPr>
        <w:pStyle w:val="normal1"/>
        <w:spacing w:lineRule="auto" w:line="360"/>
        <w:jc w:val="both"/>
        <w:rPr>
          <w:rFonts w:ascii="Times New Roman" w:hAnsi="Times New Roman" w:eastAsia="Times New Roman" w:cs="Times New Roman"/>
          <w:b/>
          <w:bCs/>
          <w:i/>
          <w:i/>
          <w:iCs/>
          <w:sz w:val="24"/>
          <w:szCs w:val="24"/>
        </w:rPr>
      </w:pPr>
      <w:r>
        <w:rPr>
          <w:rFonts w:eastAsia="Times New Roman" w:cs="Times New Roman" w:ascii="Times New Roman" w:hAnsi="Times New Roman"/>
          <w:b/>
          <w:bCs/>
          <w:i/>
          <w:iCs/>
          <w:sz w:val="24"/>
          <w:szCs w:val="24"/>
        </w:rPr>
        <w:t>Active Experimentation</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I would also take a few changes in the way I would do such tasks in the future. In order to make my investigation more thorough and credible, I would initially provide more concrete data and cases in the industry. This would help in having an evidence-based decision-making process. Second, to make my poster more effective and concise, I would employ recent digital applications like visualisation software and PowerPoint. In addition, I would also perform a more detailed competitor analysis in order to build a better understanding of the market trends and find additional areas of differentiation.</w:t>
      </w:r>
      <w:r>
        <w:br w:type="page"/>
      </w:r>
    </w:p>
    <w:p>
      <w:pPr>
        <w:pStyle w:val="Heading1"/>
        <w:spacing w:lineRule="auto" w:line="240" w:before="0" w:after="200"/>
        <w:rPr/>
      </w:pPr>
      <w:bookmarkStart w:id="21" w:name="_heading=h.i4yzesdj3v04"/>
      <w:bookmarkEnd w:id="21"/>
      <w:r>
        <w:rPr/>
        <w:t xml:space="preserve">References </w:t>
      </w:r>
    </w:p>
    <w:p>
      <w:pPr>
        <w:pStyle w:val="normal1"/>
        <w:spacing w:lineRule="auto" w:line="360" w:before="0" w:after="200"/>
        <w:jc w:val="both"/>
        <w:rPr>
          <w:rFonts w:ascii="Times New Roman" w:hAnsi="Times New Roman" w:eastAsia="Times New Roman" w:cs="Times New Roman"/>
          <w:b/>
          <w:bCs/>
          <w:i/>
          <w:i/>
          <w:iCs/>
          <w:sz w:val="24"/>
          <w:szCs w:val="24"/>
        </w:rPr>
      </w:pPr>
      <w:r>
        <w:rPr>
          <w:rFonts w:eastAsia="Times New Roman" w:cs="Times New Roman" w:ascii="Times New Roman" w:hAnsi="Times New Roman"/>
          <w:b/>
          <w:bCs/>
          <w:i/>
          <w:iCs/>
          <w:sz w:val="24"/>
          <w:szCs w:val="24"/>
        </w:rPr>
        <w:t>Element 1</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D'Urzo, M. and Campagnaro, C., (2023). Design-led repair &amp; reuse: An approach for an equitable, bottom-up, innovation-driven circular economy. </w:t>
      </w:r>
      <w:r>
        <w:rPr>
          <w:rFonts w:eastAsia="Times New Roman" w:cs="Times New Roman" w:ascii="Times New Roman" w:hAnsi="Times New Roman"/>
          <w:i/>
          <w:iCs/>
          <w:sz w:val="24"/>
          <w:szCs w:val="24"/>
        </w:rPr>
        <w:t>Journal of Cleaner Production</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387</w:t>
      </w:r>
      <w:r>
        <w:rPr>
          <w:rFonts w:eastAsia="Times New Roman" w:cs="Times New Roman" w:ascii="Times New Roman" w:hAnsi="Times New Roman"/>
          <w:sz w:val="24"/>
          <w:szCs w:val="24"/>
        </w:rPr>
        <w:t>, p.135724.</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Global Data, (2025). </w:t>
      </w:r>
      <w:r>
        <w:rPr>
          <w:rFonts w:eastAsia="Times New Roman" w:cs="Times New Roman" w:ascii="Times New Roman" w:hAnsi="Times New Roman"/>
          <w:i/>
          <w:iCs/>
          <w:sz w:val="24"/>
          <w:szCs w:val="24"/>
        </w:rPr>
        <w:t xml:space="preserve">Mulberry Group PLC: Financials. </w:t>
      </w:r>
      <w:r>
        <w:rPr>
          <w:rFonts w:eastAsia="Times New Roman" w:cs="Times New Roman" w:ascii="Times New Roman" w:hAnsi="Times New Roman"/>
          <w:sz w:val="24"/>
          <w:szCs w:val="24"/>
        </w:rPr>
        <w:t xml:space="preserve">[Online]. Available at: </w:t>
      </w:r>
      <w:hyperlink r:id="rId9">
        <w:r>
          <w:rPr>
            <w:rStyle w:val="Style3"/>
            <w:rFonts w:eastAsia="Times New Roman" w:cs="Times New Roman" w:ascii="Times New Roman" w:hAnsi="Times New Roman"/>
            <w:color w:val="1155CC"/>
            <w:sz w:val="24"/>
            <w:szCs w:val="24"/>
            <w:u w:val="single"/>
          </w:rPr>
          <w:t>https://www.globaldata.com/company-profile/mulberry-group-plc/financials/</w:t>
        </w:r>
      </w:hyperlink>
      <w:r>
        <w:rPr>
          <w:rFonts w:eastAsia="Times New Roman" w:cs="Times New Roman" w:ascii="Times New Roman" w:hAnsi="Times New Roman"/>
          <w:sz w:val="24"/>
          <w:szCs w:val="24"/>
        </w:rPr>
        <w:t xml:space="preserve"> [Accessed on 2 April 2026]</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Loken, B., Joiner, C. and Houston, M.J., (2023). Leveraging a brand through brand extension: A review of two decades of research. </w:t>
      </w:r>
      <w:r>
        <w:rPr>
          <w:rFonts w:eastAsia="Times New Roman" w:cs="Times New Roman" w:ascii="Times New Roman" w:hAnsi="Times New Roman"/>
          <w:i/>
          <w:iCs/>
          <w:sz w:val="24"/>
          <w:szCs w:val="24"/>
        </w:rPr>
        <w:t>Brands and brand management</w:t>
      </w:r>
      <w:r>
        <w:rPr>
          <w:rFonts w:eastAsia="Times New Roman" w:cs="Times New Roman" w:ascii="Times New Roman" w:hAnsi="Times New Roman"/>
          <w:sz w:val="24"/>
          <w:szCs w:val="24"/>
        </w:rPr>
        <w:t>, pp.11-42.</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McKinsey, (2025). </w:t>
      </w:r>
      <w:r>
        <w:rPr>
          <w:rFonts w:eastAsia="Times New Roman" w:cs="Times New Roman" w:ascii="Times New Roman" w:hAnsi="Times New Roman"/>
          <w:i/>
          <w:iCs/>
          <w:sz w:val="24"/>
          <w:szCs w:val="24"/>
        </w:rPr>
        <w:t xml:space="preserve">Generative AI: Unlocking the future of fashion. </w:t>
      </w:r>
      <w:r>
        <w:rPr>
          <w:rFonts w:eastAsia="Times New Roman" w:cs="Times New Roman" w:ascii="Times New Roman" w:hAnsi="Times New Roman"/>
          <w:sz w:val="24"/>
          <w:szCs w:val="24"/>
        </w:rPr>
        <w:t xml:space="preserve">[Online]. Available at: </w:t>
      </w:r>
      <w:hyperlink r:id="rId10">
        <w:r>
          <w:rPr>
            <w:rStyle w:val="Style3"/>
            <w:rFonts w:eastAsia="Times New Roman" w:cs="Times New Roman" w:ascii="Times New Roman" w:hAnsi="Times New Roman"/>
            <w:color w:val="1155CC"/>
            <w:sz w:val="24"/>
            <w:szCs w:val="24"/>
            <w:u w:val="single"/>
          </w:rPr>
          <w:t>https://www.mckinsey.com/industries/retail/our-insights/generative-ai-unlocking-the-future-of-fashion</w:t>
        </w:r>
      </w:hyperlink>
      <w:r>
        <w:rPr>
          <w:rFonts w:eastAsia="Times New Roman" w:cs="Times New Roman" w:ascii="Times New Roman" w:hAnsi="Times New Roman"/>
          <w:sz w:val="24"/>
          <w:szCs w:val="24"/>
        </w:rPr>
        <w:t xml:space="preserve"> [Accessed on 2 April 2026]</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Montjean, T., (2025). </w:t>
      </w:r>
      <w:r>
        <w:rPr>
          <w:rFonts w:eastAsia="Times New Roman" w:cs="Times New Roman" w:ascii="Times New Roman" w:hAnsi="Times New Roman"/>
          <w:i/>
          <w:iCs/>
          <w:sz w:val="24"/>
          <w:szCs w:val="24"/>
        </w:rPr>
        <w:t xml:space="preserve">Personalization in 2025: Redefining customer-centric digital marketing. </w:t>
      </w:r>
      <w:r>
        <w:rPr>
          <w:rFonts w:eastAsia="Times New Roman" w:cs="Times New Roman" w:ascii="Times New Roman" w:hAnsi="Times New Roman"/>
          <w:sz w:val="24"/>
          <w:szCs w:val="24"/>
        </w:rPr>
        <w:t xml:space="preserve">[Online]. Available at: </w:t>
      </w:r>
      <w:r>
        <w:fldChar w:fldCharType="begin"/>
      </w:r>
      <w:r>
        <w:rPr>
          <w:rStyle w:val="Style3"/>
          <w:sz w:val="24"/>
          <w:u w:val="single"/>
          <w:szCs w:val="24"/>
          <w:rFonts w:eastAsia="Times New Roman" w:cs="Times New Roman" w:ascii="Times New Roman" w:hAnsi="Times New Roman"/>
          <w:color w:val="1155CC"/>
        </w:rPr>
        <w:instrText xml:space="preserve"> HYPERLINK "https://dotdigital.com/blog/personalization-in-digital-marketing/" \l ":~:text=67%25%20of%20consumers%20expect%20personalized,greater%20customer%20engagement%20and%20satisfaction"</w:instrText>
      </w:r>
      <w:r>
        <w:rPr>
          <w:rStyle w:val="Style3"/>
          <w:sz w:val="24"/>
          <w:u w:val="single"/>
          <w:szCs w:val="24"/>
          <w:rFonts w:eastAsia="Times New Roman" w:cs="Times New Roman" w:ascii="Times New Roman" w:hAnsi="Times New Roman"/>
          <w:color w:val="1155CC"/>
        </w:rPr>
        <w:fldChar w:fldCharType="separate"/>
      </w:r>
      <w:r>
        <w:rPr>
          <w:rStyle w:val="Style3"/>
          <w:rFonts w:eastAsia="Times New Roman" w:cs="Times New Roman" w:ascii="Times New Roman" w:hAnsi="Times New Roman"/>
          <w:color w:val="1155CC"/>
          <w:sz w:val="24"/>
          <w:szCs w:val="24"/>
          <w:u w:val="single"/>
        </w:rPr>
        <w:t>https://dotdigital.com/blog/personalization-in-digital-marketing/#:~:text=67%25%20of%20consumers%20expect%20personalized,greater%20customer%20engagement%20and%20satisfaction</w:t>
      </w:r>
      <w:r>
        <w:rPr>
          <w:rStyle w:val="Style3"/>
          <w:sz w:val="24"/>
          <w:u w:val="single"/>
          <w:szCs w:val="24"/>
          <w:rFonts w:eastAsia="Times New Roman" w:cs="Times New Roman" w:ascii="Times New Roman" w:hAnsi="Times New Roman"/>
          <w:color w:val="1155CC"/>
        </w:rPr>
        <w:fldChar w:fldCharType="end"/>
      </w:r>
      <w:r>
        <w:rPr>
          <w:rFonts w:eastAsia="Times New Roman" w:cs="Times New Roman" w:ascii="Times New Roman" w:hAnsi="Times New Roman"/>
          <w:sz w:val="24"/>
          <w:szCs w:val="24"/>
        </w:rPr>
        <w:t>. [Accessed on 2 April 2026]</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Mulberry, (2025). </w:t>
      </w:r>
      <w:r>
        <w:rPr>
          <w:rFonts w:eastAsia="Times New Roman" w:cs="Times New Roman" w:ascii="Times New Roman" w:hAnsi="Times New Roman"/>
          <w:i/>
          <w:iCs/>
          <w:sz w:val="24"/>
          <w:szCs w:val="24"/>
        </w:rPr>
        <w:t xml:space="preserve">The Mulberry Story. </w:t>
      </w:r>
      <w:r>
        <w:rPr>
          <w:rFonts w:eastAsia="Times New Roman" w:cs="Times New Roman" w:ascii="Times New Roman" w:hAnsi="Times New Roman"/>
          <w:sz w:val="24"/>
          <w:szCs w:val="24"/>
        </w:rPr>
        <w:t xml:space="preserve">[Online]. Available at: </w:t>
      </w:r>
      <w:hyperlink r:id="rId11">
        <w:r>
          <w:rPr>
            <w:rStyle w:val="Style3"/>
            <w:rFonts w:eastAsia="Times New Roman" w:cs="Times New Roman" w:ascii="Times New Roman" w:hAnsi="Times New Roman"/>
            <w:color w:val="1155CC"/>
            <w:sz w:val="24"/>
            <w:szCs w:val="24"/>
            <w:u w:val="single"/>
          </w:rPr>
          <w:t>https://www.mulberry.com/eu/mulberry-world/about-mulberry/mulberry-story</w:t>
        </w:r>
      </w:hyperlink>
      <w:r>
        <w:rPr>
          <w:rFonts w:eastAsia="Times New Roman" w:cs="Times New Roman" w:ascii="Times New Roman" w:hAnsi="Times New Roman"/>
          <w:sz w:val="24"/>
          <w:szCs w:val="24"/>
        </w:rPr>
        <w:t xml:space="preserve"> [Accessed on 2 April 2026]</w:t>
      </w:r>
    </w:p>
    <w:p>
      <w:pPr>
        <w:pStyle w:val="normal1"/>
        <w:spacing w:lineRule="auto" w:line="360" w:before="12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United Nations, (2025). </w:t>
      </w:r>
      <w:r>
        <w:rPr>
          <w:rFonts w:eastAsia="Times New Roman" w:cs="Times New Roman" w:ascii="Times New Roman" w:hAnsi="Times New Roman"/>
          <w:i/>
          <w:iCs/>
          <w:sz w:val="24"/>
          <w:szCs w:val="24"/>
        </w:rPr>
        <w:t xml:space="preserve">THE 17 GOALS. </w:t>
      </w:r>
      <w:r>
        <w:rPr>
          <w:rFonts w:eastAsia="Times New Roman" w:cs="Times New Roman" w:ascii="Times New Roman" w:hAnsi="Times New Roman"/>
          <w:sz w:val="24"/>
          <w:szCs w:val="24"/>
        </w:rPr>
        <w:t xml:space="preserve">[Online]. Available at: </w:t>
      </w:r>
      <w:hyperlink r:id="rId12">
        <w:r>
          <w:rPr>
            <w:rStyle w:val="Style3"/>
            <w:rFonts w:eastAsia="Times New Roman" w:cs="Times New Roman" w:ascii="Times New Roman" w:hAnsi="Times New Roman"/>
            <w:color w:val="1155CC"/>
            <w:sz w:val="24"/>
            <w:szCs w:val="24"/>
            <w:u w:val="single"/>
          </w:rPr>
          <w:t>https://sdgs.un.org/goals</w:t>
        </w:r>
      </w:hyperlink>
      <w:r>
        <w:rPr>
          <w:rFonts w:eastAsia="Times New Roman" w:cs="Times New Roman" w:ascii="Times New Roman" w:hAnsi="Times New Roman"/>
          <w:sz w:val="24"/>
          <w:szCs w:val="24"/>
        </w:rPr>
        <w:t xml:space="preserve"> [Accessed on 2 April 2026]</w:t>
      </w:r>
    </w:p>
    <w:p>
      <w:pPr>
        <w:pStyle w:val="normal1"/>
        <w:spacing w:lineRule="auto" w:line="360" w:before="0" w:after="200"/>
        <w:jc w:val="both"/>
        <w:rPr>
          <w:rFonts w:ascii="Times New Roman" w:hAnsi="Times New Roman" w:eastAsia="Times New Roman" w:cs="Times New Roman"/>
          <w:b/>
          <w:bCs/>
          <w:i/>
          <w:i/>
          <w:iCs/>
          <w:sz w:val="24"/>
          <w:szCs w:val="24"/>
        </w:rPr>
      </w:pPr>
      <w:r>
        <w:rPr>
          <w:rFonts w:eastAsia="Times New Roman" w:cs="Times New Roman" w:ascii="Times New Roman" w:hAnsi="Times New Roman"/>
          <w:b/>
          <w:bCs/>
          <w:i/>
          <w:iCs/>
          <w:sz w:val="24"/>
          <w:szCs w:val="24"/>
        </w:rPr>
        <w:t>Element 2</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Aithal, P.S., (2023). How to create business value through technological innovations using ICCT underlying technologies. </w:t>
      </w:r>
      <w:r>
        <w:rPr>
          <w:rFonts w:eastAsia="Times New Roman" w:cs="Times New Roman" w:ascii="Times New Roman" w:hAnsi="Times New Roman"/>
          <w:i/>
          <w:iCs/>
          <w:sz w:val="24"/>
          <w:szCs w:val="24"/>
        </w:rPr>
        <w:t>International Journal of Applied Engineering and Management Letters (IJAEML)</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7</w:t>
      </w:r>
      <w:r>
        <w:rPr>
          <w:rFonts w:eastAsia="Times New Roman" w:cs="Times New Roman" w:ascii="Times New Roman" w:hAnsi="Times New Roman"/>
          <w:sz w:val="24"/>
          <w:szCs w:val="24"/>
        </w:rPr>
        <w:t>(2), pp.232-292.</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Jensen, H.H., (2025). Digital Customer Touchpoint. In </w:t>
      </w:r>
      <w:r>
        <w:rPr>
          <w:rFonts w:eastAsia="Times New Roman" w:cs="Times New Roman" w:ascii="Times New Roman" w:hAnsi="Times New Roman"/>
          <w:i/>
          <w:iCs/>
          <w:sz w:val="24"/>
          <w:szCs w:val="24"/>
        </w:rPr>
        <w:t>Circular Economy Opportunities and Pathways for Manufacturers: Manufacturing Renewed</w:t>
      </w:r>
      <w:r>
        <w:rPr>
          <w:rFonts w:eastAsia="Times New Roman" w:cs="Times New Roman" w:ascii="Times New Roman" w:hAnsi="Times New Roman"/>
          <w:sz w:val="24"/>
          <w:szCs w:val="24"/>
        </w:rPr>
        <w:t xml:space="preserve"> (pp. 371-388). Cham: Springer Nature Switzerland.</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Kumar, P., Kashyap, S., Mandal, D.K. and Dhar, S., (2025). The Shift From Demographics to Psychographics: New Era in Market Segmentation. In </w:t>
      </w:r>
      <w:r>
        <w:rPr>
          <w:rFonts w:eastAsia="Times New Roman" w:cs="Times New Roman" w:ascii="Times New Roman" w:hAnsi="Times New Roman"/>
          <w:i/>
          <w:iCs/>
          <w:sz w:val="24"/>
          <w:szCs w:val="24"/>
        </w:rPr>
        <w:t>Multiple-Criteria Decision-Making (MCDM) Techniques and Statistics in Marketing</w:t>
      </w:r>
      <w:r>
        <w:rPr>
          <w:rFonts w:eastAsia="Times New Roman" w:cs="Times New Roman" w:ascii="Times New Roman" w:hAnsi="Times New Roman"/>
          <w:sz w:val="24"/>
          <w:szCs w:val="24"/>
        </w:rPr>
        <w:t xml:space="preserve"> (pp. 547-568). IGI Global Scientific Publishing.</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Mulberry, (2025). </w:t>
      </w:r>
      <w:r>
        <w:rPr>
          <w:rFonts w:eastAsia="Times New Roman" w:cs="Times New Roman" w:ascii="Times New Roman" w:hAnsi="Times New Roman"/>
          <w:i/>
          <w:iCs/>
          <w:sz w:val="24"/>
          <w:szCs w:val="24"/>
        </w:rPr>
        <w:t xml:space="preserve">Mulberry is a British luxury brand founded in Somerset in 1971. </w:t>
      </w:r>
      <w:r>
        <w:rPr>
          <w:rFonts w:eastAsia="Times New Roman" w:cs="Times New Roman" w:ascii="Times New Roman" w:hAnsi="Times New Roman"/>
          <w:sz w:val="24"/>
          <w:szCs w:val="24"/>
        </w:rPr>
        <w:t xml:space="preserve">[Online]. Available at: </w:t>
      </w:r>
      <w:hyperlink r:id="rId13">
        <w:r>
          <w:rPr>
            <w:rStyle w:val="Style3"/>
            <w:rFonts w:eastAsia="Times New Roman" w:cs="Times New Roman" w:ascii="Times New Roman" w:hAnsi="Times New Roman"/>
            <w:color w:val="1155CC"/>
            <w:sz w:val="24"/>
            <w:szCs w:val="24"/>
            <w:u w:val="single"/>
          </w:rPr>
          <w:t>https://www.mulberry.com/eu/investor-relations/company-profile</w:t>
        </w:r>
      </w:hyperlink>
      <w:r>
        <w:rPr>
          <w:rFonts w:eastAsia="Times New Roman" w:cs="Times New Roman" w:ascii="Times New Roman" w:hAnsi="Times New Roman"/>
          <w:sz w:val="24"/>
          <w:szCs w:val="24"/>
        </w:rPr>
        <w:t xml:space="preserve"> [Accessed on 2 April 2026]</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Nashiroh, A.A.S., Shiddiqy, I.A. and Hidayat, M.N., (2024). Exploring the depths of digital marketing: a systematic literature review on segmentation, targeting, differentiation, and positioning strategies. </w:t>
      </w:r>
      <w:r>
        <w:rPr>
          <w:rFonts w:eastAsia="Times New Roman" w:cs="Times New Roman" w:ascii="Times New Roman" w:hAnsi="Times New Roman"/>
          <w:i/>
          <w:iCs/>
          <w:sz w:val="24"/>
          <w:szCs w:val="24"/>
        </w:rPr>
        <w:t>International Journal of Business, Law, and Education</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5</w:t>
      </w:r>
      <w:r>
        <w:rPr>
          <w:rFonts w:eastAsia="Times New Roman" w:cs="Times New Roman" w:ascii="Times New Roman" w:hAnsi="Times New Roman"/>
          <w:sz w:val="24"/>
          <w:szCs w:val="24"/>
        </w:rPr>
        <w:t>(1), pp.1270-1283.</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Ospital, P., Masson, D., Beler, C. and Legardeur, J., (2023). Toward product transparency: communicating traceability information to consumers. </w:t>
      </w:r>
      <w:r>
        <w:rPr>
          <w:rFonts w:eastAsia="Times New Roman" w:cs="Times New Roman" w:ascii="Times New Roman" w:hAnsi="Times New Roman"/>
          <w:i/>
          <w:iCs/>
          <w:sz w:val="24"/>
          <w:szCs w:val="24"/>
        </w:rPr>
        <w:t>International Journal of Fashion Design, Technology and Education</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16</w:t>
      </w:r>
      <w:r>
        <w:rPr>
          <w:rFonts w:eastAsia="Times New Roman" w:cs="Times New Roman" w:ascii="Times New Roman" w:hAnsi="Times New Roman"/>
          <w:sz w:val="24"/>
          <w:szCs w:val="24"/>
        </w:rPr>
        <w:t>(2), pp.186-197.</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Shukla, S.K. and Mukherjee, A., (2025). The Fragrant Legacy: Reviving the Craft of Ittar-making in Kannauj Amidst Modern Challenges. </w:t>
      </w:r>
      <w:r>
        <w:rPr>
          <w:rFonts w:eastAsia="Times New Roman" w:cs="Times New Roman" w:ascii="Times New Roman" w:hAnsi="Times New Roman"/>
          <w:i/>
          <w:iCs/>
          <w:sz w:val="24"/>
          <w:szCs w:val="24"/>
        </w:rPr>
        <w:t>Journal of Heritage Management</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10</w:t>
      </w:r>
      <w:r>
        <w:rPr>
          <w:rFonts w:eastAsia="Times New Roman" w:cs="Times New Roman" w:ascii="Times New Roman" w:hAnsi="Times New Roman"/>
          <w:sz w:val="24"/>
          <w:szCs w:val="24"/>
        </w:rPr>
        <w:t>(1), pp.38-51.</w:t>
      </w:r>
    </w:p>
    <w:p>
      <w:pPr>
        <w:pStyle w:val="normal1"/>
        <w:spacing w:lineRule="auto" w:line="360" w:before="0" w:after="200"/>
        <w:jc w:val="both"/>
        <w:rPr>
          <w:rFonts w:ascii="Times New Roman" w:hAnsi="Times New Roman" w:eastAsia="Times New Roman" w:cs="Times New Roman"/>
          <w:sz w:val="28"/>
          <w:szCs w:val="28"/>
        </w:rPr>
      </w:pPr>
      <w:r>
        <w:rPr>
          <w:rFonts w:eastAsia="Times New Roman" w:cs="Times New Roman" w:ascii="Times New Roman" w:hAnsi="Times New Roman"/>
          <w:sz w:val="24"/>
          <w:szCs w:val="24"/>
        </w:rPr>
        <w:t xml:space="preserve">Souza-Piao, R., de Vincenzi, T.B. and de Carvalho, M.M., (2023). Strategies for social inclusion in circular economy. In </w:t>
      </w:r>
      <w:r>
        <w:rPr>
          <w:rFonts w:eastAsia="Times New Roman" w:cs="Times New Roman" w:ascii="Times New Roman" w:hAnsi="Times New Roman"/>
          <w:i/>
          <w:iCs/>
          <w:sz w:val="24"/>
          <w:szCs w:val="24"/>
        </w:rPr>
        <w:t>The social dimensions of the circular economy</w:t>
      </w:r>
      <w:r>
        <w:rPr>
          <w:rFonts w:eastAsia="Times New Roman" w:cs="Times New Roman" w:ascii="Times New Roman" w:hAnsi="Times New Roman"/>
          <w:sz w:val="24"/>
          <w:szCs w:val="24"/>
        </w:rPr>
        <w:t xml:space="preserve"> (pp. 265-282). Cham: Springer International Publishing.</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Svidler, A., and Bijune, A., (2025). </w:t>
      </w:r>
      <w:r>
        <w:rPr>
          <w:rFonts w:eastAsia="Times New Roman" w:cs="Times New Roman" w:ascii="Times New Roman" w:hAnsi="Times New Roman"/>
          <w:i/>
          <w:iCs/>
          <w:sz w:val="24"/>
          <w:szCs w:val="24"/>
        </w:rPr>
        <w:t xml:space="preserve">Fastest-Growing Cities in Asia Pacific Offer Strategic Business Opportunities. </w:t>
      </w:r>
      <w:r>
        <w:rPr>
          <w:rFonts w:eastAsia="Times New Roman" w:cs="Times New Roman" w:ascii="Times New Roman" w:hAnsi="Times New Roman"/>
          <w:sz w:val="24"/>
          <w:szCs w:val="24"/>
        </w:rPr>
        <w:t xml:space="preserve">[Online]. Available at: </w:t>
      </w:r>
      <w:hyperlink r:id="rId14">
        <w:r>
          <w:rPr>
            <w:rStyle w:val="Style3"/>
            <w:rFonts w:eastAsia="Times New Roman" w:cs="Times New Roman" w:ascii="Times New Roman" w:hAnsi="Times New Roman"/>
            <w:color w:val="1155CC"/>
            <w:sz w:val="24"/>
            <w:szCs w:val="24"/>
            <w:u w:val="single"/>
          </w:rPr>
          <w:t>https://www.euromonitor.com/article/fastest-growing-cities-in-asia-pacific-offer-strategic-business-opportunities</w:t>
        </w:r>
      </w:hyperlink>
      <w:r>
        <w:rPr>
          <w:rFonts w:eastAsia="Times New Roman" w:cs="Times New Roman" w:ascii="Times New Roman" w:hAnsi="Times New Roman"/>
          <w:sz w:val="24"/>
          <w:szCs w:val="24"/>
        </w:rPr>
        <w:t xml:space="preserve"> [Accessed on 2 April 2026]</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Varisco, A., Ponzoni, M. and Suls, D., (2025). “Digital craftsmanship” as a methodology for fashion research. </w:t>
      </w:r>
      <w:r>
        <w:rPr>
          <w:rFonts w:eastAsia="Times New Roman" w:cs="Times New Roman" w:ascii="Times New Roman" w:hAnsi="Times New Roman"/>
          <w:i/>
          <w:iCs/>
          <w:sz w:val="24"/>
          <w:szCs w:val="24"/>
        </w:rPr>
        <w:t>European Journal of Cultural Management and Policy</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15</w:t>
      </w:r>
      <w:r>
        <w:rPr>
          <w:rFonts w:eastAsia="Times New Roman" w:cs="Times New Roman" w:ascii="Times New Roman" w:hAnsi="Times New Roman"/>
          <w:sz w:val="24"/>
          <w:szCs w:val="24"/>
        </w:rPr>
        <w:t>, p.14770.</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b/>
          <w:bCs/>
          <w:i/>
          <w:iCs/>
          <w:sz w:val="24"/>
          <w:szCs w:val="24"/>
        </w:rPr>
        <w:t>Element 3</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Barrios, A., Camacho, S. and Estrada-Mejia, C., (2023). From service to social innovation with a service-dominant logic approach. </w:t>
      </w:r>
      <w:r>
        <w:rPr>
          <w:rFonts w:eastAsia="Times New Roman" w:cs="Times New Roman" w:ascii="Times New Roman" w:hAnsi="Times New Roman"/>
          <w:i/>
          <w:iCs/>
          <w:sz w:val="24"/>
          <w:szCs w:val="24"/>
        </w:rPr>
        <w:t>Journal of Services Marketing</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37</w:t>
      </w:r>
      <w:r>
        <w:rPr>
          <w:rFonts w:eastAsia="Times New Roman" w:cs="Times New Roman" w:ascii="Times New Roman" w:hAnsi="Times New Roman"/>
          <w:sz w:val="24"/>
          <w:szCs w:val="24"/>
        </w:rPr>
        <w:t>(2), pp.201-215.</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Chaturvedi, P. and Chatterjee, J., (2025). The Role of Influencer Marketing in Promoting Sustainable and Eco-Friendly Products. </w:t>
      </w:r>
      <w:r>
        <w:rPr>
          <w:rFonts w:eastAsia="Times New Roman" w:cs="Times New Roman" w:ascii="Times New Roman" w:hAnsi="Times New Roman"/>
          <w:i/>
          <w:iCs/>
          <w:sz w:val="24"/>
          <w:szCs w:val="24"/>
        </w:rPr>
        <w:t>Advances in Consumer Research</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2</w:t>
      </w:r>
      <w:r>
        <w:rPr>
          <w:rFonts w:eastAsia="Times New Roman" w:cs="Times New Roman" w:ascii="Times New Roman" w:hAnsi="Times New Roman"/>
          <w:sz w:val="24"/>
          <w:szCs w:val="24"/>
        </w:rPr>
        <w:t>(3).</w:t>
      </w:r>
    </w:p>
    <w:p>
      <w:pPr>
        <w:pStyle w:val="normal1"/>
        <w:spacing w:lineRule="auto" w:line="360" w:before="0" w:after="200"/>
        <w:jc w:val="both"/>
        <w:rPr>
          <w:rFonts w:ascii="Times New Roman" w:hAnsi="Times New Roman" w:eastAsia="Times New Roman" w:cs="Times New Roman"/>
          <w:sz w:val="28"/>
          <w:szCs w:val="28"/>
        </w:rPr>
      </w:pPr>
      <w:r>
        <w:rPr>
          <w:rFonts w:eastAsia="Times New Roman" w:cs="Times New Roman" w:ascii="Times New Roman" w:hAnsi="Times New Roman"/>
          <w:sz w:val="24"/>
          <w:szCs w:val="24"/>
        </w:rPr>
        <w:t xml:space="preserve">Ghabban, M., (2025). The impact of marketing mix (7Ps) on customer satisfaction in the healthcare sector: A study of demographic and professional correlations. </w:t>
      </w:r>
      <w:r>
        <w:rPr>
          <w:rFonts w:eastAsia="Times New Roman" w:cs="Times New Roman" w:ascii="Times New Roman" w:hAnsi="Times New Roman"/>
          <w:i/>
          <w:iCs/>
          <w:sz w:val="24"/>
          <w:szCs w:val="24"/>
        </w:rPr>
        <w:t>International Journal of Healthcare Information Systems and Informatics (IJHISI)</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20</w:t>
      </w:r>
      <w:r>
        <w:rPr>
          <w:rFonts w:eastAsia="Times New Roman" w:cs="Times New Roman" w:ascii="Times New Roman" w:hAnsi="Times New Roman"/>
          <w:sz w:val="24"/>
          <w:szCs w:val="24"/>
        </w:rPr>
        <w:t>(1), pp.1-30.</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Ojika, F.U., Owobu, W.O., Abieba, O.A., Esan, O.J., Ubamadu, B.C. and Daraojimba, A.I., (2022). The role of artificial intelligence in business process automation: A model for reducing operational costs and enhancing efficiency. </w:t>
      </w:r>
      <w:r>
        <w:rPr>
          <w:rFonts w:eastAsia="Times New Roman" w:cs="Times New Roman" w:ascii="Times New Roman" w:hAnsi="Times New Roman"/>
          <w:i/>
          <w:iCs/>
          <w:sz w:val="24"/>
          <w:szCs w:val="24"/>
        </w:rPr>
        <w:t>International Journal of Multidisciplinary Research and Growth Evaluation</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3</w:t>
      </w:r>
      <w:r>
        <w:rPr>
          <w:rFonts w:eastAsia="Times New Roman" w:cs="Times New Roman" w:ascii="Times New Roman" w:hAnsi="Times New Roman"/>
          <w:sz w:val="24"/>
          <w:szCs w:val="24"/>
        </w:rPr>
        <w:t>(1), pp.842-860.</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Sah, A.K., Hong, Y.M. and Huang, K.C., (2025). Enhancing brand value through circular economy service quality: The mediating roles of customer satisfaction, brand image, and customer loyalty. </w:t>
      </w:r>
      <w:r>
        <w:rPr>
          <w:rFonts w:eastAsia="Times New Roman" w:cs="Times New Roman" w:ascii="Times New Roman" w:hAnsi="Times New Roman"/>
          <w:i/>
          <w:iCs/>
          <w:sz w:val="24"/>
          <w:szCs w:val="24"/>
        </w:rPr>
        <w:t>Sustainability</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17</w:t>
      </w:r>
      <w:r>
        <w:rPr>
          <w:rFonts w:eastAsia="Times New Roman" w:cs="Times New Roman" w:ascii="Times New Roman" w:hAnsi="Times New Roman"/>
          <w:sz w:val="24"/>
          <w:szCs w:val="24"/>
        </w:rPr>
        <w:t>(3), p.1332.</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Suphasomboon, T. and Vassanadumrongdee, S., (2022). Toward sustainable consumption of green cosmetics and personal care products: The role of perceived value and ethical concern. </w:t>
      </w:r>
      <w:r>
        <w:rPr>
          <w:rFonts w:eastAsia="Times New Roman" w:cs="Times New Roman" w:ascii="Times New Roman" w:hAnsi="Times New Roman"/>
          <w:i/>
          <w:iCs/>
          <w:sz w:val="24"/>
          <w:szCs w:val="24"/>
        </w:rPr>
        <w:t>Sustainable Production and Consumption</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33</w:t>
      </w:r>
      <w:r>
        <w:rPr>
          <w:rFonts w:eastAsia="Times New Roman" w:cs="Times New Roman" w:ascii="Times New Roman" w:hAnsi="Times New Roman"/>
          <w:sz w:val="24"/>
          <w:szCs w:val="24"/>
        </w:rPr>
        <w:t xml:space="preserve">, pp.230-243. </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Tanaka, H., (2025). THE ROLE OF OMNICHANNEL MARKETING INTEGRATION IN CONSUMER CHOICE AND BRAND LOYALTY. </w:t>
      </w:r>
      <w:r>
        <w:rPr>
          <w:rFonts w:eastAsia="Times New Roman" w:cs="Times New Roman" w:ascii="Times New Roman" w:hAnsi="Times New Roman"/>
          <w:i/>
          <w:iCs/>
          <w:sz w:val="24"/>
          <w:szCs w:val="24"/>
        </w:rPr>
        <w:t>International Journal of AI Electronics and Nexus Energy</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8</w:t>
      </w:r>
      <w:r>
        <w:rPr>
          <w:rFonts w:eastAsia="Times New Roman" w:cs="Times New Roman" w:ascii="Times New Roman" w:hAnsi="Times New Roman"/>
          <w:sz w:val="24"/>
          <w:szCs w:val="24"/>
        </w:rPr>
        <w:t>(2), pp.17-21.</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Zhou, J., Ho, H.W. and He, W., (2024). Physical evidence, branding, and behavior intention: Differential policy in integrated resorts marketing. </w:t>
      </w:r>
      <w:r>
        <w:rPr>
          <w:rFonts w:eastAsia="Times New Roman" w:cs="Times New Roman" w:ascii="Times New Roman" w:hAnsi="Times New Roman"/>
          <w:i/>
          <w:iCs/>
          <w:sz w:val="24"/>
          <w:szCs w:val="24"/>
        </w:rPr>
        <w:t>Journal of Destination Marketing &amp; Management</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34</w:t>
      </w:r>
      <w:r>
        <w:rPr>
          <w:rFonts w:eastAsia="Times New Roman" w:cs="Times New Roman" w:ascii="Times New Roman" w:hAnsi="Times New Roman"/>
          <w:sz w:val="24"/>
          <w:szCs w:val="24"/>
        </w:rPr>
        <w:t>, p.100930.</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b/>
          <w:bCs/>
          <w:i/>
          <w:iCs/>
          <w:sz w:val="24"/>
          <w:szCs w:val="24"/>
        </w:rPr>
        <w:t>Element 4</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Devi, M.K. and Thendral, M.S., (2023). Using Kolb's Experiential Learning Theory to Improve Student Learning in Theory Course. </w:t>
      </w:r>
      <w:r>
        <w:rPr>
          <w:rFonts w:eastAsia="Times New Roman" w:cs="Times New Roman" w:ascii="Times New Roman" w:hAnsi="Times New Roman"/>
          <w:i/>
          <w:iCs/>
          <w:sz w:val="24"/>
          <w:szCs w:val="24"/>
        </w:rPr>
        <w:t>Journal of Engineering Education Transformations</w:t>
      </w:r>
      <w:r>
        <w:rPr>
          <w:rFonts w:eastAsia="Times New Roman" w:cs="Times New Roman" w:ascii="Times New Roman" w:hAnsi="Times New Roman"/>
          <w:sz w:val="24"/>
          <w:szCs w:val="24"/>
        </w:rPr>
        <w:t>, pp.70-81.</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Jain, R., Jain, S. and Jain, S., (2022). Analyzing and exploring the effectiveness of each element of 7Ps of marketing mix. </w:t>
      </w:r>
      <w:r>
        <w:rPr>
          <w:rFonts w:eastAsia="Times New Roman" w:cs="Times New Roman" w:ascii="Times New Roman" w:hAnsi="Times New Roman"/>
          <w:i/>
          <w:iCs/>
          <w:sz w:val="24"/>
          <w:szCs w:val="24"/>
        </w:rPr>
        <w:t>International Journal of All Research Education and Scientific Methods (IJARESM)</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10</w:t>
      </w:r>
      <w:r>
        <w:rPr>
          <w:rFonts w:eastAsia="Times New Roman" w:cs="Times New Roman" w:ascii="Times New Roman" w:hAnsi="Times New Roman"/>
          <w:sz w:val="24"/>
          <w:szCs w:val="24"/>
        </w:rPr>
        <w:t>(1), pp.2455-6211.</w:t>
      </w:r>
    </w:p>
    <w:p>
      <w:pPr>
        <w:pStyle w:val="normal1"/>
        <w:spacing w:lineRule="auto" w:line="360" w:before="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Sohail, M.S., (2023). Understanding consumer engagement in online brand communities: An application of self-expansion theory. </w:t>
      </w:r>
      <w:r>
        <w:rPr>
          <w:rFonts w:eastAsia="Times New Roman" w:cs="Times New Roman" w:ascii="Times New Roman" w:hAnsi="Times New Roman"/>
          <w:i/>
          <w:iCs/>
          <w:sz w:val="24"/>
          <w:szCs w:val="24"/>
        </w:rPr>
        <w:t>Journal of Marketing Analytics</w:t>
      </w:r>
      <w:r>
        <w:rPr>
          <w:rFonts w:eastAsia="Times New Roman" w:cs="Times New Roman" w:ascii="Times New Roman" w:hAnsi="Times New Roman"/>
          <w:sz w:val="24"/>
          <w:szCs w:val="24"/>
        </w:rPr>
        <w:t xml:space="preserve">, </w:t>
      </w:r>
      <w:r>
        <w:rPr>
          <w:rFonts w:eastAsia="Times New Roman" w:cs="Times New Roman" w:ascii="Times New Roman" w:hAnsi="Times New Roman"/>
          <w:i/>
          <w:iCs/>
          <w:sz w:val="24"/>
          <w:szCs w:val="24"/>
        </w:rPr>
        <w:t>11</w:t>
      </w:r>
      <w:r>
        <w:rPr>
          <w:rFonts w:eastAsia="Times New Roman" w:cs="Times New Roman" w:ascii="Times New Roman" w:hAnsi="Times New Roman"/>
          <w:sz w:val="24"/>
          <w:szCs w:val="24"/>
        </w:rPr>
        <w:t>(1), pp.69-81.</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360" w:before="120" w:after="2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p>
    <w:p>
      <w:pPr>
        <w:pStyle w:val="normal1"/>
        <w:spacing w:lineRule="auto" w:line="36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1"/>
        <w:spacing w:lineRule="auto" w:line="36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sectPr>
      <w:footerReference w:type="even" r:id="rId15"/>
      <w:footerReference w:type="default" r:id="rId16"/>
      <w:footerReference w:type="first" r:id="rId17"/>
      <w:type w:val="nextPage"/>
      <w:pgSz w:w="11906" w:h="16838"/>
      <w:pgMar w:left="1440" w:right="1440" w:gutter="0" w:header="0" w:top="1440" w:footer="720" w:bottom="1440"/>
      <w:pgNumType w:start="1" w:fmt="decimal"/>
      <w:formProt w:val="false"/>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1"/>
    <w:family w:val="roman"/>
    <w:pitch w:val="variable"/>
    <w:embedRegular r:id="rId1" w:fontKey="{01014A78-CABC-4EF0-12AC-5CD89AEFDE01}"/>
    <w:embedBold r:id="rId2" w:fontKey="{02014A78-CABC-4EF0-12AC-5CD89AEFDE02}"/>
  </w:font>
  <w:font w:name="Arial">
    <w:charset w:val="01"/>
    <w:family w:val="roman"/>
    <w:pitch w:val="variable"/>
  </w:font>
  <w:font w:name="Times New Roman">
    <w:charset w:val="01"/>
    <w:family w:val="roman"/>
    <w:pitch w:val="variable"/>
  </w:font>
  <w:font w:name="Liberation Sans">
    <w:altName w:val="Arial"/>
    <w:charset w:val="01"/>
    <w:family w:val="swiss"/>
    <w:pitch w:val="variable"/>
    <w:embedRegular r:id="rId3" w:fontKey="{03014A78-CABC-4EF0-12AC-5CD89AEFDE03}"/>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sz w:val="14"/>
        <w:szCs w:val="14"/>
      </w:rPr>
    </w:pPr>
    <w:r>
      <w:rPr/>
      <w:fldChar w:fldCharType="begin"/>
    </w:r>
    <w:r>
      <w:rPr/>
      <w:instrText xml:space="preserve"> PAGE </w:instrText>
    </w:r>
    <w:r>
      <w:rPr/>
      <w:fldChar w:fldCharType="separate"/>
    </w:r>
    <w:r>
      <w:rPr/>
      <w:t>17</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1"/>
      <w:jc w:val="right"/>
      <w:rPr>
        <w:sz w:val="14"/>
        <w:szCs w:val="14"/>
      </w:rPr>
    </w:pPr>
    <w:r>
      <w:rPr/>
      <w:fldChar w:fldCharType="begin"/>
    </w:r>
    <w:r>
      <w:rPr/>
      <w:instrText xml:space="preserve"> PAGE </w:instrText>
    </w:r>
    <w:r>
      <w:rPr/>
      <w:fldChar w:fldCharType="separate"/>
    </w:r>
    <w:r>
      <w:rPr/>
      <w:t>17</w:t>
    </w:r>
    <w:r>
      <w:rPr/>
      <w:fldChar w:fldCharType="end"/>
    </w:r>
  </w:p>
</w:ftr>
</file>

<file path=word/settings.xml><?xml version="1.0" encoding="utf-8"?>
<w:settings xmlns:w="http://schemas.openxmlformats.org/wordprocessingml/2006/main">
  <w:zoom w:percent="100"/>
  <w:embedTrueTypeFonts/>
  <w:defaultTabStop w:val="720"/>
  <w:autoHyphenation w:val="true"/>
  <w:hyphenationZone w:val="0"/>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US" w:eastAsia="zh-CN" w:bidi="hi-IN"/>
      </w:rPr>
    </w:rPrDefault>
    <w:pPrDefault>
      <w:pPr>
        <w:suppressAutoHyphens w:val="true"/>
      </w:pPr>
    </w:pPrDefault>
  </w:docDefaults>
  <w:style w:type="paragraph" w:styleId="Normal">
    <w:name w:val="Normal"/>
    <w:qFormat/>
    <w:pPr>
      <w:widowControl/>
      <w:bidi w:val="0"/>
      <w:spacing w:lineRule="auto" w:line="276" w:before="0" w:after="0"/>
      <w:jc w:val="left"/>
    </w:pPr>
    <w:rPr>
      <w:rFonts w:ascii="Arial" w:hAnsi="Arial" w:eastAsia="Arial" w:cs="Arial"/>
      <w:color w:val="auto"/>
      <w:kern w:val="0"/>
      <w:sz w:val="22"/>
      <w:szCs w:val="22"/>
      <w:lang w:val="en-US" w:eastAsia="zh-CN" w:bidi="hi-IN"/>
    </w:rPr>
  </w:style>
  <w:style w:type="paragraph" w:styleId="Heading1">
    <w:name w:val="heading 1"/>
    <w:basedOn w:val="normal1"/>
    <w:next w:val="normal1"/>
    <w:qFormat/>
    <w:pPr>
      <w:keepNext w:val="true"/>
      <w:keepLines/>
      <w:spacing w:lineRule="auto" w:line="360"/>
      <w:jc w:val="both"/>
    </w:pPr>
    <w:rPr>
      <w:rFonts w:ascii="Times New Roman" w:hAnsi="Times New Roman" w:eastAsia="Times New Roman" w:cs="Times New Roman"/>
      <w:b/>
      <w:bCs/>
      <w:sz w:val="26"/>
      <w:szCs w:val="26"/>
    </w:rPr>
  </w:style>
  <w:style w:type="paragraph" w:styleId="Heading2">
    <w:name w:val="heading 2"/>
    <w:basedOn w:val="normal1"/>
    <w:next w:val="normal1"/>
    <w:qFormat/>
    <w:pPr>
      <w:keepNext w:val="true"/>
      <w:keepLines/>
      <w:spacing w:lineRule="auto" w:line="360"/>
      <w:jc w:val="both"/>
    </w:pPr>
    <w:rPr>
      <w:rFonts w:ascii="Times New Roman" w:hAnsi="Times New Roman" w:eastAsia="Times New Roman" w:cs="Times New Roman"/>
      <w:b/>
      <w:bCs/>
      <w:sz w:val="24"/>
      <w:szCs w:val="24"/>
    </w:rPr>
  </w:style>
  <w:style w:type="paragraph" w:styleId="Heading3">
    <w:name w:val="heading 3"/>
    <w:basedOn w:val="normal1"/>
    <w:next w:val="normal1"/>
    <w:qFormat/>
    <w:pPr>
      <w:keepNext w:val="true"/>
      <w:keepLines/>
      <w:spacing w:lineRule="auto" w:line="360"/>
      <w:jc w:val="both"/>
    </w:pPr>
    <w:rPr>
      <w:rFonts w:ascii="Times New Roman" w:hAnsi="Times New Roman" w:eastAsia="Times New Roman" w:cs="Times New Roman"/>
      <w:b/>
      <w:bCs/>
      <w:i/>
      <w:iCs/>
      <w:sz w:val="24"/>
      <w:szCs w:val="24"/>
    </w:rPr>
  </w:style>
  <w:style w:type="paragraph" w:styleId="Heading4">
    <w:name w:val="heading 4"/>
    <w:basedOn w:val="normal1"/>
    <w:next w:val="normal1"/>
    <w:qFormat/>
    <w:pPr>
      <w:keepNext w:val="true"/>
      <w:keepLines/>
      <w:spacing w:lineRule="auto" w:line="240" w:before="280" w:after="80"/>
    </w:pPr>
    <w:rPr>
      <w:color w:val="666666"/>
      <w:sz w:val="24"/>
      <w:szCs w:val="24"/>
    </w:rPr>
  </w:style>
  <w:style w:type="paragraph" w:styleId="Heading5">
    <w:name w:val="heading 5"/>
    <w:basedOn w:val="normal1"/>
    <w:next w:val="normal1"/>
    <w:qFormat/>
    <w:pPr>
      <w:keepNext w:val="true"/>
      <w:keepLines/>
      <w:spacing w:lineRule="auto" w:line="240" w:before="240" w:after="80"/>
    </w:pPr>
    <w:rPr>
      <w:color w:val="666666"/>
    </w:rPr>
  </w:style>
  <w:style w:type="paragraph" w:styleId="Heading6">
    <w:name w:val="heading 6"/>
    <w:basedOn w:val="normal1"/>
    <w:next w:val="normal1"/>
    <w:qFormat/>
    <w:pPr>
      <w:keepNext w:val="true"/>
      <w:keepLines/>
      <w:spacing w:lineRule="auto" w:line="240" w:before="240" w:after="80"/>
    </w:pPr>
    <w:rPr>
      <w:i/>
      <w:iCs/>
      <w:color w:val="666666"/>
    </w:rPr>
  </w:style>
  <w:style w:type="character" w:styleId="DefaultParagraphFont" w:default="1">
    <w:name w:val="Default Paragraph Font"/>
    <w:uiPriority w:val="1"/>
    <w:semiHidden/>
    <w:unhideWhenUsed/>
    <w:qFormat/>
    <w:rPr/>
  </w:style>
  <w:style w:type="character" w:styleId="Hyperlink">
    <w:name w:val="Hyperlink"/>
    <w:rPr>
      <w:color w:val="0026E5"/>
      <w:u w:val="single"/>
    </w:rPr>
  </w:style>
  <w:style w:type="paragraph" w:styleId="Heading">
    <w:name w:val="Heading"/>
    <w:basedOn w:val="Normal"/>
    <w:next w:val="BodyText"/>
    <w:qFormat/>
    <w:pPr>
      <w:keepNext w:val="true"/>
      <w:spacing w:before="240" w:after="120"/>
    </w:pPr>
    <w:rPr>
      <w:rFonts w:ascii="Liberation Sans" w:hAnsi="Liberation Sans" w:eastAsia="Liberation Sans" w:cs="Liberation Sans"/>
      <w:sz w:val="28"/>
      <w:szCs w:val="28"/>
    </w:rPr>
  </w:style>
  <w:style w:type="paragraph" w:styleId="BodyText">
    <w:name w:val="Body Text"/>
    <w:basedOn w:val="Normal"/>
    <w:pPr>
      <w:spacing w:lineRule="auto" w:line="276" w:before="0" w:after="140"/>
    </w:pPr>
    <w:rPr/>
  </w:style>
  <w:style w:type="paragraph" w:styleId="List">
    <w:name w:val="List"/>
    <w:basedOn w:val="BodyText"/>
    <w:pPr/>
    <w:rPr/>
  </w:style>
  <w:style w:type="paragraph" w:styleId="Caption">
    <w:name w:val="caption"/>
    <w:basedOn w:val="Normal"/>
    <w:qFormat/>
    <w:pPr>
      <w:suppressLineNumbers/>
      <w:spacing w:before="120" w:after="120"/>
    </w:pPr>
    <w:rPr>
      <w:i/>
      <w:iCs/>
      <w:sz w:val="24"/>
      <w:szCs w:val="24"/>
    </w:rPr>
  </w:style>
  <w:style w:type="paragraph" w:styleId="Index">
    <w:name w:val="Index"/>
    <w:basedOn w:val="Normal"/>
    <w:qFormat/>
    <w:pPr>
      <w:suppressLineNumbers/>
    </w:pPr>
    <w:rPr/>
  </w:style>
  <w:style w:type="paragraph" w:styleId="normal1" w:default="1">
    <w:name w:val="normal1"/>
    <w:qFormat/>
    <w:pPr>
      <w:widowControl/>
      <w:bidi w:val="0"/>
      <w:spacing w:lineRule="auto" w:line="276" w:before="0" w:after="0"/>
      <w:jc w:val="left"/>
    </w:pPr>
    <w:rPr>
      <w:rFonts w:ascii="Arial" w:hAnsi="Arial" w:eastAsia="Arial" w:cs="Arial"/>
      <w:color w:val="auto"/>
      <w:kern w:val="0"/>
      <w:sz w:val="22"/>
      <w:szCs w:val="22"/>
      <w:lang w:val="en-US" w:eastAsia="zh-CN" w:bidi="hi-IN"/>
    </w:rPr>
  </w:style>
  <w:style w:type="paragraph" w:styleId="Title">
    <w:name w:val="Title"/>
    <w:basedOn w:val="normal1"/>
    <w:next w:val="normal1"/>
    <w:qFormat/>
    <w:pPr>
      <w:keepNext w:val="true"/>
      <w:keepLines/>
      <w:spacing w:lineRule="auto" w:line="240" w:before="0" w:after="60"/>
    </w:pPr>
    <w:rPr>
      <w:sz w:val="52"/>
      <w:szCs w:val="52"/>
    </w:rPr>
  </w:style>
  <w:style w:type="paragraph" w:styleId="Subtitle">
    <w:name w:val="Subtitle"/>
    <w:basedOn w:val="normal1"/>
    <w:next w:val="normal1"/>
    <w:qFormat/>
    <w:pPr>
      <w:keepNext w:val="true"/>
      <w:keepLines/>
      <w:spacing w:lineRule="auto" w:line="240" w:before="0" w:after="320"/>
    </w:pPr>
    <w:rPr>
      <w:color w:val="666666"/>
      <w:sz w:val="30"/>
      <w:szCs w:val="30"/>
    </w:rPr>
  </w:style>
  <w:style w:type="paragraph" w:styleId="HeaderandFooter">
    <w:name w:val="Header and Footer"/>
    <w:basedOn w:val="Normal"/>
    <w:qFormat/>
    <w:pPr/>
    <w:rPr/>
  </w:style>
  <w:style w:type="paragraph" w:styleId="Footer">
    <w:name w:val="footer"/>
    <w:basedOn w:val="HeaderandFooter"/>
    <w:pPr/>
    <w:rPr/>
  </w:style>
  <w:style w:type="numbering" w:styleId="NoList" w:default="1">
    <w:name w:val="No List"/>
    <w:uiPriority w:val="99"/>
    <w:semiHidden/>
    <w:unhideWhenUsed/>
    <w:qFormat/>
  </w:style>
  <w:style w:type="table" w:default="1" w:styleId="TableNormal">
    <w:name w:val="TableNormal"/>
    <w:tblPr>
      <w:tblCellMar>
        <w:top w:w="100" w:type="dxa"/>
        <w:left w:w="100" w:type="dxa"/>
        <w:bottom w:w="100" w:type="dxa"/>
        <w:right w:w="100" w:type="dxa"/>
      </w:tblCellMar>
    </w:tblPr>
  </w:style>
  <w:style w:type="table" w:default="1" w:styleId="TableNormal">
    <w:name w:val="Normal Table"/>
    <w:uiPriority w:val="99"/>
    <w:semiHidden/>
    <w:unhideWhenUsed/>
    <w:tblPr>
      <w:tblCellMar>
        <w:top w:w="0" w:type="dxa"/>
        <w:left w:w="108" w:type="dxa"/>
        <w:bottom w:w="0" w:type="dxa"/>
        <w:right w:w="108" w:type="dxa"/>
      </w:tblCellMar>
    </w:tblPr>
  </w:style>
  <w:style w:type="table" w:customStyle="1" w:styleId="TableNormal0">
    <w:name w:val="TableNormal"/>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hyperlink" Target="https://www.globaldata.com/company-profile/mulberry-group-plc/financials/" TargetMode="External"/><Relationship Id="rId10" Type="http://schemas.openxmlformats.org/officeDocument/2006/relationships/hyperlink" Target="https://www.mckinsey.com/industries/retail/our-insights/generative-ai-unlocking-the-future-of-fashion" TargetMode="External"/><Relationship Id="rId11" Type="http://schemas.openxmlformats.org/officeDocument/2006/relationships/hyperlink" Target="https://www.mulberry.com/eu/mulberry-world/about-mulberry/mulberry-story" TargetMode="External"/><Relationship Id="rId12" Type="http://schemas.openxmlformats.org/officeDocument/2006/relationships/hyperlink" Target="https://sdgs.un.org/goals" TargetMode="External"/><Relationship Id="rId13" Type="http://schemas.openxmlformats.org/officeDocument/2006/relationships/hyperlink" Target="https://www.mulberry.com/eu/investor-relations/company-profile" TargetMode="External"/><Relationship Id="rId14" Type="http://schemas.openxmlformats.org/officeDocument/2006/relationships/hyperlink" Target="https://www.euromonitor.com/article/fastest-growing-cities-in-asia-pacific-offer-strategic-business-opportunities" TargetMode="Externa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oter" Target="footer3.xml"/><Relationship Id="rId18" Type="http://schemas.openxmlformats.org/officeDocument/2006/relationships/fontTable" Target="fontTable.xml"/><Relationship Id="rId19" Type="http://schemas.openxmlformats.org/officeDocument/2006/relationships/settings" Target="settings.xml"/><Relationship Id="rId20" Type="http://schemas.openxmlformats.org/officeDocument/2006/relationships/theme" Target="theme/theme1.xml"/><Relationship Id="rId21" Type="http://schemas.openxmlformats.org/officeDocument/2006/relationships/customXml" Target="../customXml/item1.xml"/>
</Relationships>
</file>

<file path=word/_rels/fontTable.xml.rels><?xml version="1.0" encoding="UTF-8"?>
<Relationships xmlns="http://schemas.openxmlformats.org/package/2006/relationships"><Relationship Id="rId1" Type="http://schemas.openxmlformats.org/officeDocument/2006/relationships/font" Target="fonts/font1.odttf"/><Relationship Id="rId2" Type="http://schemas.openxmlformats.org/officeDocument/2006/relationships/font" Target="fonts/font2.odttf"/><Relationship Id="rId3" Type="http://schemas.openxmlformats.org/officeDocument/2006/relationships/font" Target="fonts/font3.odttf"/>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roundtripDataSignature="AMtx7mhGWC1tD4Fyp1nSEEMSQ5Gyc4cXZA==">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
  <TotalTime>0</TotalTime>
  <Application>LibreOfficeDev/24.8.7.2.0$Android_AARCH64 LibreOffice_project/</Application>
  <AppVersion>15.0000</AppVersion>
  <Pages>17</Pages>
  <Words>3131</Words>
  <Characters>19293</Characters>
  <CharactersWithSpaces>22322</CharactersWithSpaces>
  <Paragraphs>122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2026-04-02T11:48:00Z</dcterms:created>
  <dc:creator/>
  <dc:description/>
  <dc:language>en-US</dc:language>
  <cp:lastModifiedBy/>
  <dcterms:modified xsi:type="dcterms:W3CDTF">2026-04-04T11:34:31Z</dcterms:modified>
  <cp:revision>1</cp:revision>
  <dc:subject/>
  <dc:title/>
</cp:coreProperties>
</file>