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C0E81" w14:textId="77777777" w:rsidR="00D75148" w:rsidRDefault="00D75148" w:rsidP="00D75148">
      <w:pPr>
        <w:spacing w:after="0" w:line="360" w:lineRule="auto"/>
        <w:jc w:val="center"/>
        <w:rPr>
          <w:rFonts w:ascii="Times New Roman" w:eastAsia="Calibri" w:hAnsi="Times New Roman"/>
          <w:kern w:val="0"/>
          <w:sz w:val="40"/>
          <w:szCs w:val="40"/>
          <w:lang w:val="en-US"/>
          <w14:ligatures w14:val="none"/>
        </w:rPr>
      </w:pPr>
    </w:p>
    <w:p w14:paraId="70C54513" w14:textId="77777777" w:rsidR="00D75148" w:rsidRDefault="00D75148" w:rsidP="00D75148">
      <w:pPr>
        <w:spacing w:after="0" w:line="360" w:lineRule="auto"/>
        <w:jc w:val="center"/>
        <w:rPr>
          <w:rFonts w:ascii="Times New Roman" w:eastAsia="Calibri" w:hAnsi="Times New Roman"/>
          <w:kern w:val="0"/>
          <w:sz w:val="40"/>
          <w:szCs w:val="40"/>
          <w:lang w:val="en-US"/>
          <w14:ligatures w14:val="none"/>
        </w:rPr>
      </w:pPr>
    </w:p>
    <w:p w14:paraId="5AF7DE6A" w14:textId="77777777" w:rsidR="00D75148" w:rsidRDefault="00D75148" w:rsidP="00D75148">
      <w:pPr>
        <w:spacing w:after="0" w:line="360" w:lineRule="auto"/>
        <w:jc w:val="center"/>
        <w:rPr>
          <w:rFonts w:ascii="Times New Roman" w:eastAsia="Calibri" w:hAnsi="Times New Roman"/>
          <w:b/>
          <w:bCs/>
          <w:kern w:val="0"/>
          <w:sz w:val="56"/>
          <w:szCs w:val="56"/>
          <w:lang w:val="en-US"/>
          <w14:ligatures w14:val="none"/>
        </w:rPr>
      </w:pPr>
      <w:r>
        <w:rPr>
          <w:rFonts w:ascii="Times New Roman" w:eastAsia="Calibri" w:hAnsi="Times New Roman"/>
          <w:b/>
          <w:bCs/>
          <w:kern w:val="0"/>
          <w:sz w:val="56"/>
          <w:szCs w:val="56"/>
          <w:lang w:val="en-US"/>
          <w14:ligatures w14:val="none"/>
        </w:rPr>
        <w:t>BA International Hotel Management</w:t>
      </w:r>
    </w:p>
    <w:p w14:paraId="721C73BA" w14:textId="77777777" w:rsidR="00D75148" w:rsidRDefault="00D75148" w:rsidP="00D75148">
      <w:pPr>
        <w:spacing w:after="0" w:line="360" w:lineRule="auto"/>
        <w:jc w:val="center"/>
        <w:rPr>
          <w:rFonts w:ascii="Times New Roman" w:eastAsia="Calibri" w:hAnsi="Times New Roman"/>
          <w:kern w:val="0"/>
          <w:sz w:val="36"/>
          <w:szCs w:val="36"/>
          <w14:ligatures w14:val="none"/>
        </w:rPr>
      </w:pPr>
    </w:p>
    <w:p w14:paraId="4890A400" w14:textId="77777777" w:rsidR="00D75148" w:rsidRDefault="00D75148" w:rsidP="00D75148">
      <w:pPr>
        <w:spacing w:after="0" w:line="360" w:lineRule="auto"/>
        <w:jc w:val="center"/>
        <w:rPr>
          <w:rFonts w:ascii="Times New Roman" w:eastAsia="Calibri" w:hAnsi="Times New Roman"/>
          <w:kern w:val="0"/>
          <w:sz w:val="40"/>
          <w:szCs w:val="40"/>
          <w:lang w:val="en-US"/>
          <w14:ligatures w14:val="none"/>
        </w:rPr>
      </w:pPr>
      <w:r>
        <w:rPr>
          <w:rFonts w:ascii="Times New Roman" w:eastAsia="Calibri" w:hAnsi="Times New Roman"/>
          <w:kern w:val="0"/>
          <w:sz w:val="40"/>
          <w:szCs w:val="40"/>
          <w14:ligatures w14:val="none"/>
        </w:rPr>
        <w:t>Module: Financial Management for the Hotel Industry</w:t>
      </w:r>
    </w:p>
    <w:p w14:paraId="6FF07089" w14:textId="77777777" w:rsidR="00D75148" w:rsidRDefault="00D75148" w:rsidP="00D75148">
      <w:pPr>
        <w:spacing w:after="0" w:line="360" w:lineRule="auto"/>
        <w:jc w:val="center"/>
        <w:rPr>
          <w:rFonts w:ascii="Times New Roman" w:eastAsia="Calibri" w:hAnsi="Times New Roman"/>
          <w:kern w:val="0"/>
          <w:sz w:val="40"/>
          <w:szCs w:val="40"/>
          <w:lang w:val="en-US"/>
          <w14:ligatures w14:val="none"/>
        </w:rPr>
      </w:pPr>
      <w:r>
        <w:rPr>
          <w:rFonts w:ascii="Times New Roman" w:eastAsia="Calibri" w:hAnsi="Times New Roman"/>
          <w:kern w:val="0"/>
          <w:sz w:val="40"/>
          <w:szCs w:val="40"/>
          <w:lang w:val="en-US"/>
          <w14:ligatures w14:val="none"/>
        </w:rPr>
        <w:t xml:space="preserve">Module code: </w:t>
      </w:r>
      <w:r>
        <w:rPr>
          <w:rFonts w:ascii="Times New Roman" w:eastAsia="Calibri" w:hAnsi="Times New Roman"/>
          <w:kern w:val="0"/>
          <w:sz w:val="40"/>
          <w:szCs w:val="40"/>
          <w14:ligatures w14:val="none"/>
        </w:rPr>
        <w:t>BMIH5007</w:t>
      </w:r>
    </w:p>
    <w:p w14:paraId="761A1E1E" w14:textId="77777777" w:rsidR="00D75148" w:rsidRDefault="00D75148" w:rsidP="00D75148">
      <w:pPr>
        <w:spacing w:after="0" w:line="360" w:lineRule="auto"/>
        <w:jc w:val="center"/>
        <w:rPr>
          <w:rFonts w:ascii="Times New Roman" w:eastAsia="Calibri" w:hAnsi="Times New Roman"/>
          <w:kern w:val="0"/>
          <w:sz w:val="40"/>
          <w:szCs w:val="40"/>
          <w14:ligatures w14:val="none"/>
        </w:rPr>
      </w:pPr>
      <w:r>
        <w:rPr>
          <w:rFonts w:ascii="Times New Roman" w:eastAsia="Calibri" w:hAnsi="Times New Roman"/>
          <w:kern w:val="0"/>
          <w:sz w:val="40"/>
          <w:szCs w:val="40"/>
          <w14:ligatures w14:val="none"/>
        </w:rPr>
        <w:t xml:space="preserve">Lecturer: </w:t>
      </w:r>
      <w:r>
        <w:rPr>
          <w:rFonts w:ascii="Cambria" w:eastAsia="Calibri" w:hAnsi="Cambria" w:cs="Vrinda"/>
          <w:kern w:val="0"/>
          <w:sz w:val="40"/>
          <w:szCs w:val="40"/>
          <w14:ligatures w14:val="none"/>
        </w:rPr>
        <w:t>Tristan Hawkins</w:t>
      </w:r>
    </w:p>
    <w:p w14:paraId="630269E5" w14:textId="77777777" w:rsidR="00D75148" w:rsidRDefault="00D75148" w:rsidP="00D75148">
      <w:pPr>
        <w:spacing w:after="0" w:line="360" w:lineRule="auto"/>
        <w:jc w:val="center"/>
        <w:rPr>
          <w:rFonts w:ascii="Times New Roman" w:eastAsia="Calibri" w:hAnsi="Times New Roman"/>
          <w:kern w:val="0"/>
          <w:sz w:val="40"/>
          <w:szCs w:val="40"/>
          <w14:ligatures w14:val="none"/>
        </w:rPr>
      </w:pPr>
      <w:r>
        <w:rPr>
          <w:rFonts w:ascii="Times New Roman" w:eastAsia="Calibri" w:hAnsi="Times New Roman"/>
          <w:kern w:val="0"/>
          <w:sz w:val="40"/>
          <w:szCs w:val="40"/>
          <w14:ligatures w14:val="none"/>
        </w:rPr>
        <w:t>Student ID: Rezaul Rabbani (1813391)</w:t>
      </w:r>
    </w:p>
    <w:p w14:paraId="6EA55FEA" w14:textId="77777777" w:rsidR="00D75148" w:rsidRDefault="00D75148" w:rsidP="00D75148">
      <w:pPr>
        <w:spacing w:after="0" w:line="360" w:lineRule="auto"/>
        <w:jc w:val="center"/>
        <w:rPr>
          <w:rFonts w:ascii="Times New Roman" w:eastAsia="Calibri" w:hAnsi="Times New Roman"/>
          <w:kern w:val="0"/>
          <w:sz w:val="40"/>
          <w:szCs w:val="40"/>
          <w14:ligatures w14:val="none"/>
        </w:rPr>
      </w:pPr>
      <w:r>
        <w:rPr>
          <w:rFonts w:ascii="Times New Roman" w:eastAsia="Calibri" w:hAnsi="Times New Roman"/>
          <w:kern w:val="0"/>
          <w:sz w:val="40"/>
          <w:szCs w:val="40"/>
          <w14:ligatures w14:val="none"/>
        </w:rPr>
        <w:t>Word Count: 2000</w:t>
      </w:r>
    </w:p>
    <w:p w14:paraId="595D7929"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71FDFC1F"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37BE367C"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173D0B64"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1BEAB4BA"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1623FC4B"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7D928FFA"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7AAA55A4"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73A45D1A"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03949746"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767C1066"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108E0D32" w14:textId="77777777" w:rsidR="00D75148" w:rsidRDefault="00D75148" w:rsidP="00D75148">
      <w:pPr>
        <w:spacing w:after="0" w:line="360" w:lineRule="auto"/>
        <w:jc w:val="center"/>
        <w:rPr>
          <w:rFonts w:ascii="Times New Roman" w:eastAsia="Calibri" w:hAnsi="Times New Roman"/>
          <w:kern w:val="0"/>
          <w:sz w:val="28"/>
          <w:szCs w:val="28"/>
          <w14:ligatures w14:val="none"/>
        </w:rPr>
      </w:pPr>
    </w:p>
    <w:p w14:paraId="349CFF9F" w14:textId="77777777" w:rsidR="00D75148" w:rsidRDefault="00D75148" w:rsidP="00D75148">
      <w:pPr>
        <w:spacing w:after="0" w:line="360" w:lineRule="auto"/>
        <w:jc w:val="center"/>
        <w:rPr>
          <w:rFonts w:ascii="Times New Roman" w:eastAsia="Calibri" w:hAnsi="Times New Roman"/>
          <w:kern w:val="0"/>
          <w:sz w:val="48"/>
          <w:szCs w:val="48"/>
          <w:lang w:val="en-US"/>
          <w14:ligatures w14:val="none"/>
        </w:rPr>
      </w:pPr>
      <w:r>
        <w:rPr>
          <w:rFonts w:ascii="Times New Roman" w:eastAsia="Calibri" w:hAnsi="Times New Roman"/>
          <w:kern w:val="0"/>
          <w:sz w:val="48"/>
          <w:szCs w:val="48"/>
          <w14:ligatures w14:val="none"/>
        </w:rPr>
        <w:lastRenderedPageBreak/>
        <w:t>Business Report - Comparison of Two Hospitality Organisation</w:t>
      </w:r>
    </w:p>
    <w:p w14:paraId="0607430B" w14:textId="77777777" w:rsidR="00D75148" w:rsidRDefault="00D75148" w:rsidP="00D75148">
      <w:pPr>
        <w:spacing w:line="360" w:lineRule="auto"/>
        <w:jc w:val="both"/>
        <w:rPr>
          <w:rFonts w:ascii="Cambria" w:eastAsia="Calibri" w:hAnsi="Cambria" w:cs="Vrinda"/>
          <w:kern w:val="0"/>
          <w:sz w:val="24"/>
          <w14:ligatures w14:val="none"/>
        </w:rPr>
      </w:pPr>
    </w:p>
    <w:sdt>
      <w:sdtPr>
        <w:rPr>
          <w:rFonts w:ascii="Cambria" w:eastAsia="Calibri" w:hAnsi="Cambria" w:cs="Vrinda"/>
          <w:kern w:val="0"/>
          <w:sz w:val="24"/>
          <w14:ligatures w14:val="none"/>
        </w:rPr>
        <w:id w:val="-1445373786"/>
        <w:docPartObj>
          <w:docPartGallery w:val="Table of Contents"/>
          <w:docPartUnique/>
        </w:docPartObj>
      </w:sdtPr>
      <w:sdtContent>
        <w:p w14:paraId="5FA3AD06" w14:textId="77777777" w:rsidR="00D75148" w:rsidRDefault="00D75148" w:rsidP="00D75148">
          <w:pPr>
            <w:keepNext/>
            <w:keepLines/>
            <w:spacing w:before="240" w:after="0" w:line="254" w:lineRule="auto"/>
            <w:rPr>
              <w:rFonts w:ascii="Calibri Light" w:eastAsia="Times New Roman" w:hAnsi="Calibri Light" w:cs="Vrinda"/>
              <w:color w:val="2F5496"/>
              <w:kern w:val="0"/>
              <w:sz w:val="32"/>
              <w:szCs w:val="32"/>
              <w:lang w:val="en-US"/>
              <w14:ligatures w14:val="none"/>
            </w:rPr>
          </w:pPr>
          <w:r>
            <w:rPr>
              <w:rFonts w:ascii="Calibri Light" w:eastAsia="Times New Roman" w:hAnsi="Calibri Light" w:cs="Vrinda"/>
              <w:color w:val="2F5496"/>
              <w:kern w:val="0"/>
              <w:sz w:val="32"/>
              <w:szCs w:val="32"/>
              <w:lang w:val="en-US"/>
              <w14:ligatures w14:val="none"/>
            </w:rPr>
            <w:t>Contents</w:t>
          </w:r>
        </w:p>
        <w:p w14:paraId="2531A994" w14:textId="77777777" w:rsidR="00D75148" w:rsidRDefault="00D75148" w:rsidP="00D75148">
          <w:pPr>
            <w:tabs>
              <w:tab w:val="right" w:leader="dot" w:pos="9350"/>
            </w:tabs>
            <w:spacing w:after="100" w:line="360" w:lineRule="auto"/>
            <w:jc w:val="both"/>
            <w:rPr>
              <w:rFonts w:ascii="Calibri" w:eastAsia="Times New Roman" w:hAnsi="Calibri" w:cs="Vrinda"/>
              <w:noProof/>
              <w:kern w:val="0"/>
              <w:lang w:val="en-US"/>
              <w14:ligatures w14:val="none"/>
            </w:rPr>
          </w:pPr>
          <w:r>
            <w:rPr>
              <w:rFonts w:ascii="Cambria" w:eastAsia="Calibri" w:hAnsi="Cambria" w:cs="Vrinda"/>
              <w:kern w:val="0"/>
              <w:sz w:val="24"/>
              <w14:ligatures w14:val="none"/>
            </w:rPr>
            <w:fldChar w:fldCharType="begin"/>
          </w:r>
          <w:r>
            <w:rPr>
              <w:rFonts w:ascii="Cambria" w:eastAsia="Calibri" w:hAnsi="Cambria" w:cs="Vrinda"/>
              <w:kern w:val="0"/>
              <w:sz w:val="24"/>
              <w14:ligatures w14:val="none"/>
            </w:rPr>
            <w:instrText xml:space="preserve"> TOC \o "1-3" \h \z \u </w:instrText>
          </w:r>
          <w:r>
            <w:rPr>
              <w:rFonts w:ascii="Cambria" w:eastAsia="Calibri" w:hAnsi="Cambria" w:cs="Vrinda"/>
              <w:kern w:val="0"/>
              <w:sz w:val="24"/>
              <w14:ligatures w14:val="none"/>
            </w:rPr>
            <w:fldChar w:fldCharType="separate"/>
          </w:r>
          <w:hyperlink r:id="rId4" w:anchor="_Toc156644376" w:history="1">
            <w:r>
              <w:rPr>
                <w:rStyle w:val="Hyperlink"/>
                <w:rFonts w:ascii="Cambria" w:eastAsia="Calibri" w:hAnsi="Cambria" w:cs="Vrinda"/>
                <w:noProof/>
                <w:color w:val="0563C1"/>
                <w:kern w:val="0"/>
                <w:sz w:val="24"/>
                <w14:ligatures w14:val="none"/>
              </w:rPr>
              <w:t>Introduction</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_Toc156644376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3</w:t>
            </w:r>
            <w:r>
              <w:rPr>
                <w:rStyle w:val="Hyperlink"/>
                <w:rFonts w:ascii="Cambria" w:eastAsia="Calibri" w:hAnsi="Cambria" w:cs="Vrinda"/>
                <w:noProof/>
                <w:webHidden/>
                <w:color w:val="0563C1"/>
                <w:kern w:val="0"/>
                <w:sz w:val="24"/>
                <w14:ligatures w14:val="none"/>
              </w:rPr>
              <w:fldChar w:fldCharType="end"/>
            </w:r>
          </w:hyperlink>
        </w:p>
        <w:p w14:paraId="7D4369E7" w14:textId="77777777" w:rsidR="00D75148" w:rsidRDefault="00D75148" w:rsidP="00D75148">
          <w:pPr>
            <w:tabs>
              <w:tab w:val="right" w:leader="dot" w:pos="9350"/>
            </w:tabs>
            <w:spacing w:after="100" w:line="360" w:lineRule="auto"/>
            <w:jc w:val="both"/>
            <w:rPr>
              <w:rFonts w:ascii="Calibri" w:eastAsia="Times New Roman" w:hAnsi="Calibri" w:cs="Vrinda"/>
              <w:noProof/>
              <w:kern w:val="0"/>
              <w:lang w:val="en-US"/>
              <w14:ligatures w14:val="none"/>
            </w:rPr>
          </w:pPr>
          <w:hyperlink r:id="rId5" w:anchor="_Toc156644377" w:history="1">
            <w:r>
              <w:rPr>
                <w:rStyle w:val="Hyperlink"/>
                <w:rFonts w:ascii="Cambria" w:eastAsia="Calibri" w:hAnsi="Cambria" w:cs="Vrinda"/>
                <w:noProof/>
                <w:color w:val="0563C1"/>
                <w:kern w:val="0"/>
                <w:sz w:val="24"/>
                <w14:ligatures w14:val="none"/>
              </w:rPr>
              <w:t>Analysis of the Revenue Trends</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_Toc156644377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3</w:t>
            </w:r>
            <w:r>
              <w:rPr>
                <w:rStyle w:val="Hyperlink"/>
                <w:rFonts w:ascii="Cambria" w:eastAsia="Calibri" w:hAnsi="Cambria" w:cs="Vrinda"/>
                <w:noProof/>
                <w:webHidden/>
                <w:color w:val="0563C1"/>
                <w:kern w:val="0"/>
                <w:sz w:val="24"/>
                <w14:ligatures w14:val="none"/>
              </w:rPr>
              <w:fldChar w:fldCharType="end"/>
            </w:r>
          </w:hyperlink>
        </w:p>
        <w:p w14:paraId="1E42CCA3"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6" w:anchor="_Toc156644378" w:history="1">
            <w:r>
              <w:rPr>
                <w:rStyle w:val="Hyperlink"/>
                <w:rFonts w:ascii="Cambria" w:eastAsia="Calibri" w:hAnsi="Cambria" w:cs="Vrinda"/>
                <w:noProof/>
                <w:color w:val="0563C1"/>
                <w:kern w:val="0"/>
                <w:sz w:val="24"/>
                <w14:ligatures w14:val="none"/>
              </w:rPr>
              <w:t>Revenue Analysis</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_Toc156644378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3</w:t>
            </w:r>
            <w:r>
              <w:rPr>
                <w:rStyle w:val="Hyperlink"/>
                <w:rFonts w:ascii="Cambria" w:eastAsia="Calibri" w:hAnsi="Cambria" w:cs="Vrinda"/>
                <w:noProof/>
                <w:webHidden/>
                <w:color w:val="0563C1"/>
                <w:kern w:val="0"/>
                <w:sz w:val="24"/>
                <w14:ligatures w14:val="none"/>
              </w:rPr>
              <w:fldChar w:fldCharType="end"/>
            </w:r>
          </w:hyperlink>
        </w:p>
        <w:p w14:paraId="03B15DAA"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7" w:anchor="_Toc156644379" w:history="1">
            <w:r>
              <w:rPr>
                <w:rStyle w:val="Hyperlink"/>
                <w:rFonts w:ascii="Cambria" w:eastAsia="Calibri" w:hAnsi="Cambria" w:cs="Vrinda"/>
                <w:noProof/>
                <w:color w:val="0563C1"/>
                <w:kern w:val="0"/>
                <w:sz w:val="24"/>
                <w14:ligatures w14:val="none"/>
              </w:rPr>
              <w:t>Revenue Trends</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_Toc156644379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3</w:t>
            </w:r>
            <w:r>
              <w:rPr>
                <w:rStyle w:val="Hyperlink"/>
                <w:rFonts w:ascii="Cambria" w:eastAsia="Calibri" w:hAnsi="Cambria" w:cs="Vrinda"/>
                <w:noProof/>
                <w:webHidden/>
                <w:color w:val="0563C1"/>
                <w:kern w:val="0"/>
                <w:sz w:val="24"/>
                <w14:ligatures w14:val="none"/>
              </w:rPr>
              <w:fldChar w:fldCharType="end"/>
            </w:r>
          </w:hyperlink>
        </w:p>
        <w:p w14:paraId="4662EB12"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8" w:anchor="_Toc156644380" w:history="1">
            <w:r>
              <w:rPr>
                <w:rStyle w:val="Hyperlink"/>
                <w:rFonts w:ascii="Cambria" w:eastAsia="Calibri" w:hAnsi="Cambria" w:cs="Vrinda"/>
                <w:noProof/>
                <w:color w:val="0563C1"/>
                <w:kern w:val="0"/>
                <w:sz w:val="24"/>
                <w14:ligatures w14:val="none"/>
              </w:rPr>
              <w:t>Factors Driving the Revenues</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_Toc156644380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4</w:t>
            </w:r>
            <w:r>
              <w:rPr>
                <w:rStyle w:val="Hyperlink"/>
                <w:rFonts w:ascii="Cambria" w:eastAsia="Calibri" w:hAnsi="Cambria" w:cs="Vrinda"/>
                <w:noProof/>
                <w:webHidden/>
                <w:color w:val="0563C1"/>
                <w:kern w:val="0"/>
                <w:sz w:val="24"/>
                <w14:ligatures w14:val="none"/>
              </w:rPr>
              <w:fldChar w:fldCharType="end"/>
            </w:r>
          </w:hyperlink>
        </w:p>
        <w:p w14:paraId="5BE0E0BD" w14:textId="77777777" w:rsidR="00D75148" w:rsidRDefault="00D75148" w:rsidP="00D75148">
          <w:pPr>
            <w:tabs>
              <w:tab w:val="right" w:leader="dot" w:pos="9350"/>
            </w:tabs>
            <w:spacing w:after="100" w:line="360" w:lineRule="auto"/>
            <w:jc w:val="both"/>
            <w:rPr>
              <w:rFonts w:ascii="Calibri" w:eastAsia="Times New Roman" w:hAnsi="Calibri" w:cs="Vrinda"/>
              <w:noProof/>
              <w:kern w:val="0"/>
              <w:lang w:val="en-US"/>
              <w14:ligatures w14:val="none"/>
            </w:rPr>
          </w:pPr>
          <w:hyperlink r:id="rId9" w:anchor="_Toc156644381" w:history="1">
            <w:r>
              <w:rPr>
                <w:rStyle w:val="Hyperlink"/>
                <w:rFonts w:ascii="Cambria" w:eastAsia="Calibri" w:hAnsi="Cambria" w:cs="Vrinda"/>
                <w:noProof/>
                <w:color w:val="0563C1"/>
                <w:kern w:val="0"/>
                <w:sz w:val="24"/>
                <w14:ligatures w14:val="none"/>
              </w:rPr>
              <w:t>Analysis of Market Positioning</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_Toc156644381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4</w:t>
            </w:r>
            <w:r>
              <w:rPr>
                <w:rStyle w:val="Hyperlink"/>
                <w:rFonts w:ascii="Cambria" w:eastAsia="Calibri" w:hAnsi="Cambria" w:cs="Vrinda"/>
                <w:noProof/>
                <w:webHidden/>
                <w:color w:val="0563C1"/>
                <w:kern w:val="0"/>
                <w:sz w:val="24"/>
                <w14:ligatures w14:val="none"/>
              </w:rPr>
              <w:fldChar w:fldCharType="end"/>
            </w:r>
          </w:hyperlink>
        </w:p>
        <w:p w14:paraId="5D1A8C46"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10" w:anchor="_Toc156644382" w:history="1">
            <w:r>
              <w:rPr>
                <w:rStyle w:val="Hyperlink"/>
                <w:rFonts w:ascii="Cambria" w:eastAsia="Calibri" w:hAnsi="Cambria" w:cs="Vrinda"/>
                <w:noProof/>
                <w:color w:val="0563C1"/>
                <w:kern w:val="0"/>
                <w:sz w:val="24"/>
                <w14:ligatures w14:val="none"/>
              </w:rPr>
              <w:t>Market Share</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_Toc156644382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4</w:t>
            </w:r>
            <w:r>
              <w:rPr>
                <w:rStyle w:val="Hyperlink"/>
                <w:rFonts w:ascii="Cambria" w:eastAsia="Calibri" w:hAnsi="Cambria" w:cs="Vrinda"/>
                <w:noProof/>
                <w:webHidden/>
                <w:color w:val="0563C1"/>
                <w:kern w:val="0"/>
                <w:sz w:val="24"/>
                <w14:ligatures w14:val="none"/>
              </w:rPr>
              <w:fldChar w:fldCharType="end"/>
            </w:r>
          </w:hyperlink>
        </w:p>
        <w:p w14:paraId="5E843C8F"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11" w:anchor="_Toc156644383" w:history="1">
            <w:r>
              <w:rPr>
                <w:rStyle w:val="Hyperlink"/>
                <w:rFonts w:ascii="Cambria" w:eastAsia="Calibri" w:hAnsi="Cambria" w:cs="Vrinda"/>
                <w:noProof/>
                <w:color w:val="0563C1"/>
                <w:kern w:val="0"/>
                <w:sz w:val="24"/>
                <w14:ligatures w14:val="none"/>
              </w:rPr>
              <w:t>Customer Demographics</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_Toc156644383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5</w:t>
            </w:r>
            <w:r>
              <w:rPr>
                <w:rStyle w:val="Hyperlink"/>
                <w:rFonts w:ascii="Cambria" w:eastAsia="Calibri" w:hAnsi="Cambria" w:cs="Vrinda"/>
                <w:noProof/>
                <w:webHidden/>
                <w:color w:val="0563C1"/>
                <w:kern w:val="0"/>
                <w:sz w:val="24"/>
                <w14:ligatures w14:val="none"/>
              </w:rPr>
              <w:fldChar w:fldCharType="end"/>
            </w:r>
          </w:hyperlink>
        </w:p>
        <w:p w14:paraId="12141FB4"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12" w:anchor="_Toc156644384" w:history="1">
            <w:r>
              <w:rPr>
                <w:rStyle w:val="Hyperlink"/>
                <w:rFonts w:ascii="Cambria" w:eastAsia="Calibri" w:hAnsi="Cambria" w:cs="Vrinda"/>
                <w:noProof/>
                <w:color w:val="0563C1"/>
                <w:kern w:val="0"/>
                <w:sz w:val="24"/>
                <w14:ligatures w14:val="none"/>
              </w:rPr>
              <w:t>Brand perceptions</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_Toc156644384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5</w:t>
            </w:r>
            <w:r>
              <w:rPr>
                <w:rStyle w:val="Hyperlink"/>
                <w:rFonts w:ascii="Cambria" w:eastAsia="Calibri" w:hAnsi="Cambria" w:cs="Vrinda"/>
                <w:noProof/>
                <w:webHidden/>
                <w:color w:val="0563C1"/>
                <w:kern w:val="0"/>
                <w:sz w:val="24"/>
                <w14:ligatures w14:val="none"/>
              </w:rPr>
              <w:fldChar w:fldCharType="end"/>
            </w:r>
          </w:hyperlink>
        </w:p>
        <w:p w14:paraId="2911097E" w14:textId="77777777" w:rsidR="00D75148" w:rsidRDefault="00D75148" w:rsidP="00D75148">
          <w:pPr>
            <w:tabs>
              <w:tab w:val="right" w:leader="dot" w:pos="9350"/>
            </w:tabs>
            <w:spacing w:after="100" w:line="360" w:lineRule="auto"/>
            <w:jc w:val="both"/>
            <w:rPr>
              <w:rFonts w:ascii="Calibri" w:eastAsia="Times New Roman" w:hAnsi="Calibri" w:cs="Vrinda"/>
              <w:noProof/>
              <w:kern w:val="0"/>
              <w:lang w:val="en-US"/>
              <w14:ligatures w14:val="none"/>
            </w:rPr>
          </w:pPr>
          <w:hyperlink r:id="rId13" w:anchor="_Toc156644385" w:history="1">
            <w:r>
              <w:rPr>
                <w:rStyle w:val="Hyperlink"/>
                <w:rFonts w:ascii="Cambria" w:eastAsia="Calibri" w:hAnsi="Cambria" w:cs="Vrinda"/>
                <w:noProof/>
                <w:color w:val="0563C1"/>
                <w:kern w:val="0"/>
                <w:sz w:val="24"/>
                <w14:ligatures w14:val="none"/>
              </w:rPr>
              <w:t>Growth Potential</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_Toc156644385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6</w:t>
            </w:r>
            <w:r>
              <w:rPr>
                <w:rStyle w:val="Hyperlink"/>
                <w:rFonts w:ascii="Cambria" w:eastAsia="Calibri" w:hAnsi="Cambria" w:cs="Vrinda"/>
                <w:noProof/>
                <w:webHidden/>
                <w:color w:val="0563C1"/>
                <w:kern w:val="0"/>
                <w:sz w:val="24"/>
                <w14:ligatures w14:val="none"/>
              </w:rPr>
              <w:fldChar w:fldCharType="end"/>
            </w:r>
          </w:hyperlink>
        </w:p>
        <w:p w14:paraId="0DA5FD18"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14" w:anchor="_Toc156644386" w:history="1">
            <w:r>
              <w:rPr>
                <w:rStyle w:val="Hyperlink"/>
                <w:rFonts w:ascii="Cambria" w:eastAsia="Calibri" w:hAnsi="Cambria" w:cs="Vrinda"/>
                <w:noProof/>
                <w:color w:val="0563C1"/>
                <w:kern w:val="0"/>
                <w:sz w:val="24"/>
                <w14:ligatures w14:val="none"/>
              </w:rPr>
              <w:t>Expansion Strategy</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_Toc156644386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6</w:t>
            </w:r>
            <w:r>
              <w:rPr>
                <w:rStyle w:val="Hyperlink"/>
                <w:rFonts w:ascii="Cambria" w:eastAsia="Calibri" w:hAnsi="Cambria" w:cs="Vrinda"/>
                <w:noProof/>
                <w:webHidden/>
                <w:color w:val="0563C1"/>
                <w:kern w:val="0"/>
                <w:sz w:val="24"/>
                <w14:ligatures w14:val="none"/>
              </w:rPr>
              <w:fldChar w:fldCharType="end"/>
            </w:r>
          </w:hyperlink>
        </w:p>
        <w:p w14:paraId="33EB3EC9"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15" w:anchor="_Toc156644387" w:history="1">
            <w:r>
              <w:rPr>
                <w:rStyle w:val="Hyperlink"/>
                <w:rFonts w:ascii="Cambria" w:eastAsia="Calibri" w:hAnsi="Cambria" w:cs="Vrinda"/>
                <w:noProof/>
                <w:color w:val="0563C1"/>
                <w:kern w:val="0"/>
                <w:sz w:val="24"/>
                <w14:ligatures w14:val="none"/>
              </w:rPr>
              <w:t>Market Opportunities</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_Toc156644387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6</w:t>
            </w:r>
            <w:r>
              <w:rPr>
                <w:rStyle w:val="Hyperlink"/>
                <w:rFonts w:ascii="Cambria" w:eastAsia="Calibri" w:hAnsi="Cambria" w:cs="Vrinda"/>
                <w:noProof/>
                <w:webHidden/>
                <w:color w:val="0563C1"/>
                <w:kern w:val="0"/>
                <w:sz w:val="24"/>
                <w14:ligatures w14:val="none"/>
              </w:rPr>
              <w:fldChar w:fldCharType="end"/>
            </w:r>
          </w:hyperlink>
        </w:p>
        <w:p w14:paraId="62D48048"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16" w:anchor="_Toc156644388" w:history="1">
            <w:r>
              <w:rPr>
                <w:rStyle w:val="Hyperlink"/>
                <w:rFonts w:ascii="Cambria" w:eastAsia="Calibri" w:hAnsi="Cambria" w:cs="Vrinda"/>
                <w:noProof/>
                <w:color w:val="0563C1"/>
                <w:kern w:val="0"/>
                <w:sz w:val="24"/>
                <w14:ligatures w14:val="none"/>
              </w:rPr>
              <w:t>Barriers to Growth</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_Toc156644388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7</w:t>
            </w:r>
            <w:r>
              <w:rPr>
                <w:rStyle w:val="Hyperlink"/>
                <w:rFonts w:ascii="Cambria" w:eastAsia="Calibri" w:hAnsi="Cambria" w:cs="Vrinda"/>
                <w:noProof/>
                <w:webHidden/>
                <w:color w:val="0563C1"/>
                <w:kern w:val="0"/>
                <w:sz w:val="24"/>
                <w14:ligatures w14:val="none"/>
              </w:rPr>
              <w:fldChar w:fldCharType="end"/>
            </w:r>
          </w:hyperlink>
        </w:p>
        <w:p w14:paraId="0D4A2D24" w14:textId="77777777" w:rsidR="00D75148" w:rsidRDefault="00D75148" w:rsidP="00D75148">
          <w:pPr>
            <w:tabs>
              <w:tab w:val="right" w:leader="dot" w:pos="9350"/>
            </w:tabs>
            <w:spacing w:after="100" w:line="360" w:lineRule="auto"/>
            <w:jc w:val="both"/>
            <w:rPr>
              <w:rFonts w:ascii="Calibri" w:eastAsia="Times New Roman" w:hAnsi="Calibri" w:cs="Vrinda"/>
              <w:noProof/>
              <w:kern w:val="0"/>
              <w:lang w:val="en-US"/>
              <w14:ligatures w14:val="none"/>
            </w:rPr>
          </w:pPr>
          <w:hyperlink r:id="rId17" w:anchor="_Toc156644389" w:history="1">
            <w:r>
              <w:rPr>
                <w:rStyle w:val="Hyperlink"/>
                <w:rFonts w:ascii="Cambria" w:eastAsia="Calibri" w:hAnsi="Cambria" w:cs="Vrinda"/>
                <w:noProof/>
                <w:color w:val="0563C1"/>
                <w:kern w:val="0"/>
                <w:sz w:val="24"/>
                <w14:ligatures w14:val="none"/>
              </w:rPr>
              <w:t>Financial Commitment to CSR</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_Toc156644389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7</w:t>
            </w:r>
            <w:r>
              <w:rPr>
                <w:rStyle w:val="Hyperlink"/>
                <w:rFonts w:ascii="Cambria" w:eastAsia="Calibri" w:hAnsi="Cambria" w:cs="Vrinda"/>
                <w:noProof/>
                <w:webHidden/>
                <w:color w:val="0563C1"/>
                <w:kern w:val="0"/>
                <w:sz w:val="24"/>
                <w14:ligatures w14:val="none"/>
              </w:rPr>
              <w:fldChar w:fldCharType="end"/>
            </w:r>
          </w:hyperlink>
        </w:p>
        <w:p w14:paraId="71B26F87"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18" w:anchor="_Toc156644390" w:history="1">
            <w:r>
              <w:rPr>
                <w:rStyle w:val="Hyperlink"/>
                <w:rFonts w:ascii="Cambria" w:eastAsia="Calibri" w:hAnsi="Cambria" w:cs="Vrinda"/>
                <w:noProof/>
                <w:color w:val="0563C1"/>
                <w:kern w:val="0"/>
                <w:sz w:val="24"/>
                <w14:ligatures w14:val="none"/>
              </w:rPr>
              <w:t>Sustainability Practices</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_Toc156644390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7</w:t>
            </w:r>
            <w:r>
              <w:rPr>
                <w:rStyle w:val="Hyperlink"/>
                <w:rFonts w:ascii="Cambria" w:eastAsia="Calibri" w:hAnsi="Cambria" w:cs="Vrinda"/>
                <w:noProof/>
                <w:webHidden/>
                <w:color w:val="0563C1"/>
                <w:kern w:val="0"/>
                <w:sz w:val="24"/>
                <w14:ligatures w14:val="none"/>
              </w:rPr>
              <w:fldChar w:fldCharType="end"/>
            </w:r>
          </w:hyperlink>
        </w:p>
        <w:p w14:paraId="656D89BF" w14:textId="77777777" w:rsidR="00D75148" w:rsidRDefault="00D75148" w:rsidP="00D75148">
          <w:pPr>
            <w:tabs>
              <w:tab w:val="right" w:leader="dot" w:pos="9350"/>
            </w:tabs>
            <w:spacing w:after="100" w:line="360" w:lineRule="auto"/>
            <w:ind w:left="240"/>
            <w:jc w:val="both"/>
            <w:rPr>
              <w:rFonts w:ascii="Calibri" w:eastAsia="Times New Roman" w:hAnsi="Calibri" w:cs="Vrinda"/>
              <w:noProof/>
              <w:kern w:val="0"/>
              <w:lang w:val="en-US"/>
              <w14:ligatures w14:val="none"/>
            </w:rPr>
          </w:pPr>
          <w:hyperlink r:id="rId19" w:anchor="_Toc156644391" w:history="1">
            <w:r>
              <w:rPr>
                <w:rStyle w:val="Hyperlink"/>
                <w:rFonts w:ascii="Cambria" w:eastAsia="Calibri" w:hAnsi="Cambria" w:cs="Vrinda"/>
                <w:noProof/>
                <w:color w:val="0563C1"/>
                <w:kern w:val="0"/>
                <w:sz w:val="24"/>
                <w14:ligatures w14:val="none"/>
              </w:rPr>
              <w:t>Community Engagement and Ethical Business Practices</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_Toc156644391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8</w:t>
            </w:r>
            <w:r>
              <w:rPr>
                <w:rStyle w:val="Hyperlink"/>
                <w:rFonts w:ascii="Cambria" w:eastAsia="Calibri" w:hAnsi="Cambria" w:cs="Vrinda"/>
                <w:noProof/>
                <w:webHidden/>
                <w:color w:val="0563C1"/>
                <w:kern w:val="0"/>
                <w:sz w:val="24"/>
                <w14:ligatures w14:val="none"/>
              </w:rPr>
              <w:fldChar w:fldCharType="end"/>
            </w:r>
          </w:hyperlink>
        </w:p>
        <w:p w14:paraId="364A6065" w14:textId="77777777" w:rsidR="00D75148" w:rsidRDefault="00D75148" w:rsidP="00D75148">
          <w:pPr>
            <w:tabs>
              <w:tab w:val="right" w:leader="dot" w:pos="9350"/>
            </w:tabs>
            <w:spacing w:after="100" w:line="360" w:lineRule="auto"/>
            <w:jc w:val="both"/>
            <w:rPr>
              <w:rFonts w:ascii="Calibri" w:eastAsia="Times New Roman" w:hAnsi="Calibri" w:cs="Vrinda"/>
              <w:noProof/>
              <w:kern w:val="0"/>
              <w:lang w:val="en-US"/>
              <w14:ligatures w14:val="none"/>
            </w:rPr>
          </w:pPr>
          <w:hyperlink r:id="rId20" w:anchor="_Toc156644392" w:history="1">
            <w:r>
              <w:rPr>
                <w:rStyle w:val="Hyperlink"/>
                <w:rFonts w:ascii="Cambria" w:eastAsia="Calibri" w:hAnsi="Cambria" w:cs="Vrinda"/>
                <w:noProof/>
                <w:color w:val="0563C1"/>
                <w:kern w:val="0"/>
                <w:sz w:val="24"/>
                <w14:ligatures w14:val="none"/>
              </w:rPr>
              <w:t>Conclusion</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_Toc156644392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9</w:t>
            </w:r>
            <w:r>
              <w:rPr>
                <w:rStyle w:val="Hyperlink"/>
                <w:rFonts w:ascii="Cambria" w:eastAsia="Calibri" w:hAnsi="Cambria" w:cs="Vrinda"/>
                <w:noProof/>
                <w:webHidden/>
                <w:color w:val="0563C1"/>
                <w:kern w:val="0"/>
                <w:sz w:val="24"/>
                <w14:ligatures w14:val="none"/>
              </w:rPr>
              <w:fldChar w:fldCharType="end"/>
            </w:r>
          </w:hyperlink>
        </w:p>
        <w:p w14:paraId="5E60CDC5" w14:textId="77777777" w:rsidR="00D75148" w:rsidRDefault="00D75148" w:rsidP="00D75148">
          <w:pPr>
            <w:tabs>
              <w:tab w:val="right" w:leader="dot" w:pos="9350"/>
            </w:tabs>
            <w:spacing w:after="100" w:line="360" w:lineRule="auto"/>
            <w:jc w:val="both"/>
            <w:rPr>
              <w:rFonts w:ascii="Calibri" w:eastAsia="Times New Roman" w:hAnsi="Calibri" w:cs="Vrinda"/>
              <w:noProof/>
              <w:kern w:val="0"/>
              <w:lang w:val="en-US"/>
              <w14:ligatures w14:val="none"/>
            </w:rPr>
          </w:pPr>
          <w:hyperlink r:id="rId21" w:anchor="_Toc156644393" w:history="1">
            <w:r>
              <w:rPr>
                <w:rStyle w:val="Hyperlink"/>
                <w:rFonts w:ascii="Cambria" w:eastAsia="Calibri" w:hAnsi="Cambria" w:cs="Vrinda"/>
                <w:noProof/>
                <w:color w:val="0563C1"/>
                <w:kern w:val="0"/>
                <w:sz w:val="24"/>
                <w14:ligatures w14:val="none"/>
              </w:rPr>
              <w:t>References</w:t>
            </w:r>
            <w:r>
              <w:rPr>
                <w:rStyle w:val="Hyperlink"/>
                <w:rFonts w:ascii="Cambria" w:eastAsia="Calibri" w:hAnsi="Cambria" w:cs="Vrinda"/>
                <w:noProof/>
                <w:webHidden/>
                <w:color w:val="0563C1"/>
                <w:kern w:val="0"/>
                <w:sz w:val="24"/>
                <w14:ligatures w14:val="none"/>
              </w:rPr>
              <w:tab/>
            </w:r>
            <w:r>
              <w:rPr>
                <w:rStyle w:val="Hyperlink"/>
                <w:rFonts w:ascii="Cambria" w:eastAsia="Calibri" w:hAnsi="Cambria" w:cs="Vrinda"/>
                <w:noProof/>
                <w:webHidden/>
                <w:color w:val="0563C1"/>
                <w:kern w:val="0"/>
                <w:sz w:val="24"/>
                <w14:ligatures w14:val="none"/>
              </w:rPr>
              <w:fldChar w:fldCharType="begin"/>
            </w:r>
            <w:r>
              <w:rPr>
                <w:rStyle w:val="Hyperlink"/>
                <w:rFonts w:ascii="Cambria" w:eastAsia="Calibri" w:hAnsi="Cambria" w:cs="Vrinda"/>
                <w:noProof/>
                <w:webHidden/>
                <w:color w:val="0563C1"/>
                <w:kern w:val="0"/>
                <w:sz w:val="24"/>
                <w14:ligatures w14:val="none"/>
              </w:rPr>
              <w:instrText xml:space="preserve"> PAGEREF _Toc156644393 \h </w:instrText>
            </w:r>
            <w:r>
              <w:rPr>
                <w:rStyle w:val="Hyperlink"/>
                <w:rFonts w:ascii="Cambria" w:eastAsia="Calibri" w:hAnsi="Cambria" w:cs="Vrinda"/>
                <w:noProof/>
                <w:webHidden/>
                <w:color w:val="0563C1"/>
                <w:kern w:val="0"/>
                <w:sz w:val="24"/>
                <w14:ligatures w14:val="none"/>
              </w:rPr>
            </w:r>
            <w:r>
              <w:rPr>
                <w:rStyle w:val="Hyperlink"/>
                <w:rFonts w:ascii="Cambria" w:eastAsia="Calibri" w:hAnsi="Cambria" w:cs="Vrinda"/>
                <w:noProof/>
                <w:webHidden/>
                <w:color w:val="0563C1"/>
                <w:kern w:val="0"/>
                <w:sz w:val="24"/>
                <w14:ligatures w14:val="none"/>
              </w:rPr>
              <w:fldChar w:fldCharType="separate"/>
            </w:r>
            <w:r>
              <w:rPr>
                <w:rStyle w:val="Hyperlink"/>
                <w:rFonts w:ascii="Cambria" w:eastAsia="Calibri" w:hAnsi="Cambria" w:cs="Vrinda"/>
                <w:noProof/>
                <w:webHidden/>
                <w:color w:val="0563C1"/>
                <w:kern w:val="0"/>
                <w:sz w:val="24"/>
                <w14:ligatures w14:val="none"/>
              </w:rPr>
              <w:t>10</w:t>
            </w:r>
            <w:r>
              <w:rPr>
                <w:rStyle w:val="Hyperlink"/>
                <w:rFonts w:ascii="Cambria" w:eastAsia="Calibri" w:hAnsi="Cambria" w:cs="Vrinda"/>
                <w:noProof/>
                <w:webHidden/>
                <w:color w:val="0563C1"/>
                <w:kern w:val="0"/>
                <w:sz w:val="24"/>
                <w14:ligatures w14:val="none"/>
              </w:rPr>
              <w:fldChar w:fldCharType="end"/>
            </w:r>
          </w:hyperlink>
        </w:p>
        <w:p w14:paraId="42C2D88E"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b/>
              <w:bCs/>
              <w:noProof/>
              <w:kern w:val="0"/>
              <w:sz w:val="24"/>
              <w14:ligatures w14:val="none"/>
            </w:rPr>
            <w:fldChar w:fldCharType="end"/>
          </w:r>
        </w:p>
      </w:sdtContent>
    </w:sdt>
    <w:p w14:paraId="47FA9F32" w14:textId="77777777" w:rsidR="00D75148" w:rsidRDefault="00D75148" w:rsidP="00D75148">
      <w:pPr>
        <w:spacing w:after="0" w:line="360" w:lineRule="auto"/>
        <w:rPr>
          <w:rFonts w:ascii="Cambria" w:eastAsia="Calibri" w:hAnsi="Cambria" w:cs="Vrinda"/>
          <w:kern w:val="0"/>
          <w:sz w:val="24"/>
          <w14:ligatures w14:val="none"/>
        </w:rPr>
        <w:sectPr w:rsidR="00D75148" w:rsidSect="00D75148">
          <w:pgSz w:w="12240" w:h="15840"/>
          <w:pgMar w:top="1440" w:right="1440" w:bottom="1440" w:left="1440" w:header="720" w:footer="720" w:gutter="0"/>
          <w:cols w:space="720"/>
        </w:sectPr>
      </w:pPr>
    </w:p>
    <w:p w14:paraId="74BA124F" w14:textId="77777777" w:rsidR="00D75148" w:rsidRDefault="00D75148" w:rsidP="00D75148">
      <w:pPr>
        <w:keepNext/>
        <w:keepLines/>
        <w:spacing w:before="240" w:after="0" w:line="360" w:lineRule="auto"/>
        <w:jc w:val="both"/>
        <w:outlineLvl w:val="0"/>
        <w:rPr>
          <w:rFonts w:ascii="Cambria" w:eastAsia="Times New Roman" w:hAnsi="Cambria" w:cs="Vrinda"/>
          <w:b/>
          <w:kern w:val="0"/>
          <w:sz w:val="36"/>
          <w:szCs w:val="36"/>
          <w14:ligatures w14:val="none"/>
        </w:rPr>
      </w:pPr>
      <w:bookmarkStart w:id="0" w:name="_Toc156644376"/>
      <w:r>
        <w:rPr>
          <w:rFonts w:ascii="Cambria" w:eastAsia="Times New Roman" w:hAnsi="Cambria" w:cs="Vrinda"/>
          <w:b/>
          <w:kern w:val="0"/>
          <w:sz w:val="36"/>
          <w:szCs w:val="36"/>
          <w14:ligatures w14:val="none"/>
        </w:rPr>
        <w:lastRenderedPageBreak/>
        <w:t>Introduction</w:t>
      </w:r>
      <w:bookmarkEnd w:id="0"/>
    </w:p>
    <w:p w14:paraId="215D560A"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This report offers a thorough examination and contrast between Corinthia Hotels and Ibis Hotels with attention paid to their approaches to sustainability, market share, client demographic data, financial oversight, and community involvement. Furthermore, an analysis is conducted for both organisations about the effects of global events in the years 2021 and 2020 on their revenue growth.</w:t>
      </w:r>
    </w:p>
    <w:p w14:paraId="14BA827F" w14:textId="77777777" w:rsidR="00D75148" w:rsidRDefault="00D75148" w:rsidP="00D75148">
      <w:pPr>
        <w:keepNext/>
        <w:keepLines/>
        <w:spacing w:before="240" w:after="0" w:line="360" w:lineRule="auto"/>
        <w:jc w:val="both"/>
        <w:outlineLvl w:val="0"/>
        <w:rPr>
          <w:rFonts w:ascii="Cambria" w:eastAsia="Times New Roman" w:hAnsi="Cambria" w:cs="Vrinda"/>
          <w:b/>
          <w:kern w:val="0"/>
          <w:sz w:val="36"/>
          <w:szCs w:val="36"/>
          <w14:ligatures w14:val="none"/>
        </w:rPr>
      </w:pPr>
      <w:bookmarkStart w:id="1" w:name="_Toc156644377"/>
      <w:r>
        <w:rPr>
          <w:rFonts w:ascii="Cambria" w:eastAsia="Times New Roman" w:hAnsi="Cambria" w:cs="Vrinda"/>
          <w:b/>
          <w:kern w:val="0"/>
          <w:sz w:val="36"/>
          <w:szCs w:val="36"/>
          <w14:ligatures w14:val="none"/>
        </w:rPr>
        <w:t>Analysis of the Revenue Trends</w:t>
      </w:r>
      <w:bookmarkEnd w:id="1"/>
    </w:p>
    <w:p w14:paraId="522CF2D7"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2"/>
          <w:szCs w:val="32"/>
          <w14:ligatures w14:val="none"/>
        </w:rPr>
      </w:pPr>
      <w:bookmarkStart w:id="2" w:name="_Toc156644378"/>
      <w:r>
        <w:rPr>
          <w:rFonts w:ascii="Cambria" w:eastAsia="Times New Roman" w:hAnsi="Cambria" w:cs="Vrinda"/>
          <w:b/>
          <w:i/>
          <w:kern w:val="0"/>
          <w:sz w:val="32"/>
          <w:szCs w:val="32"/>
          <w14:ligatures w14:val="none"/>
        </w:rPr>
        <w:t>Revenue Analysis</w:t>
      </w:r>
      <w:bookmarkEnd w:id="2"/>
    </w:p>
    <w:p w14:paraId="216CFE7F"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 xml:space="preserve">Corinthia and Accor group have been thriving for a long time in terms of their revenues and other financial performance parameters in the hospitality industry. The consolidated revenue of Accor Group in 2022 is found to be 4,224 million GBP whereas the Corinthia Group’s Revenue is 238 million GBP (Financial Result, 2022; Company Financial Reports, 2022). </w:t>
      </w:r>
      <w:proofErr w:type="gramStart"/>
      <w:r>
        <w:rPr>
          <w:rFonts w:ascii="Cambria" w:eastAsia="Calibri" w:hAnsi="Cambria" w:cs="Vrinda"/>
          <w:kern w:val="0"/>
          <w:sz w:val="24"/>
          <w14:ligatures w14:val="none"/>
        </w:rPr>
        <w:t>After analysing the financial reports of both companies, it</w:t>
      </w:r>
      <w:proofErr w:type="gramEnd"/>
      <w:r>
        <w:rPr>
          <w:rFonts w:ascii="Cambria" w:eastAsia="Calibri" w:hAnsi="Cambria" w:cs="Vrinda"/>
          <w:kern w:val="0"/>
          <w:sz w:val="24"/>
          <w14:ligatures w14:val="none"/>
        </w:rPr>
        <w:t xml:space="preserve"> is evident that the hotels of Corinthia Group in Malta, Lisbon, Budapest St. Petersburg, Prague, London, and Tripoli contributed a substantial amount of revenue in the revenue streams of the group, However, some of these segments such as St. Petersburg, Prague, and Tripoli made a segment loss in the year 2022 (Company Profile, 2022). There was revenue from rental income from investment property, hotel management, catering, project management, development, and holding company revenue contributing to the total revenue of the group. In the case of the Accor Group, the substantial revenue sources of the company were hotel management and franchise activities, trademark royalty fees, management fees, services to owners, sales marketing and distribution fees, loyalty programs etc. (Financial Key indicators, 2022). </w:t>
      </w:r>
    </w:p>
    <w:p w14:paraId="6D6C0030"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2"/>
          <w:szCs w:val="32"/>
          <w14:ligatures w14:val="none"/>
        </w:rPr>
      </w:pPr>
      <w:bookmarkStart w:id="3" w:name="_Toc156644379"/>
      <w:r>
        <w:rPr>
          <w:rFonts w:ascii="Cambria" w:eastAsia="Times New Roman" w:hAnsi="Cambria" w:cs="Vrinda"/>
          <w:b/>
          <w:i/>
          <w:kern w:val="0"/>
          <w:sz w:val="32"/>
          <w:szCs w:val="32"/>
          <w14:ligatures w14:val="none"/>
        </w:rPr>
        <w:t>Revenue Trends</w:t>
      </w:r>
      <w:bookmarkEnd w:id="3"/>
    </w:p>
    <w:p w14:paraId="6350182A"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 xml:space="preserve">Analysing the annual report of Accor Group, insight can be found about its revenue trends over the past few years and an increasing trend in their revenue has been found. As mentioned before, the consolidated revenue of the group is 4,224 million GBP which got a surge from the revenue of 2021 which was 2204 million GBP at that time. The 2021 Revenue </w:t>
      </w:r>
      <w:r>
        <w:rPr>
          <w:rFonts w:ascii="Cambria" w:eastAsia="Calibri" w:hAnsi="Cambria" w:cs="Vrinda"/>
          <w:kern w:val="0"/>
          <w:sz w:val="24"/>
          <w14:ligatures w14:val="none"/>
        </w:rPr>
        <w:lastRenderedPageBreak/>
        <w:t xml:space="preserve">also followed an increasing trend from the revenue of 2020 as it was 1,621 million GBP in that year (Financial Result, 2022). it can be inferred from the financial operations of the group that the company is slowly capturing the market share and its business after a steep fall in the sectors during Covid 19. </w:t>
      </w:r>
    </w:p>
    <w:p w14:paraId="12BBDE4C"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 xml:space="preserve">The same case happened with the revenue of Corinthia Group as well because the revenue of this company as a group also increased over the years from 2020 to 2022. In 2020, the group revenue was 91 million GBP which increased in 2021 and became 129 million GBP. In 2022, the revenue of the group increased again and became 238 million GBP (Company Financial Reports, 2022). So, substantial increases are found in both company’s annual reports because the restrictions on international and local travel were </w:t>
      </w:r>
      <w:proofErr w:type="gramStart"/>
      <w:r>
        <w:rPr>
          <w:rFonts w:ascii="Cambria" w:eastAsia="Calibri" w:hAnsi="Cambria" w:cs="Vrinda"/>
          <w:kern w:val="0"/>
          <w:sz w:val="24"/>
          <w14:ligatures w14:val="none"/>
        </w:rPr>
        <w:t>withdrawn</w:t>
      </w:r>
      <w:proofErr w:type="gramEnd"/>
      <w:r>
        <w:rPr>
          <w:rFonts w:ascii="Cambria" w:eastAsia="Calibri" w:hAnsi="Cambria" w:cs="Vrinda"/>
          <w:kern w:val="0"/>
          <w:sz w:val="24"/>
          <w14:ligatures w14:val="none"/>
        </w:rPr>
        <w:t xml:space="preserve"> and people cared to go on trips and vacations during that time.</w:t>
      </w:r>
    </w:p>
    <w:p w14:paraId="4C4BD7AF"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6"/>
          <w:szCs w:val="36"/>
          <w14:ligatures w14:val="none"/>
        </w:rPr>
      </w:pPr>
      <w:bookmarkStart w:id="4" w:name="_Toc156644380"/>
      <w:r>
        <w:rPr>
          <w:rFonts w:ascii="Cambria" w:eastAsia="Times New Roman" w:hAnsi="Cambria" w:cs="Vrinda"/>
          <w:b/>
          <w:i/>
          <w:kern w:val="0"/>
          <w:sz w:val="36"/>
          <w:szCs w:val="36"/>
          <w14:ligatures w14:val="none"/>
        </w:rPr>
        <w:t>Factors Driving the Revenues</w:t>
      </w:r>
      <w:bookmarkEnd w:id="4"/>
    </w:p>
    <w:p w14:paraId="149E38C2"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Reviving international tourism after the COVID-19 pandemic presents significant obstacles is important for Corinthia Hotels. Demand for upscale lodging at Corinthia Hotels rises as travel restrictions loosen and consumer confidence grows. Furthermore, the emphasis on individualised services and special facilities fits with the post-pandemic tendency of travellers looking for exceptional experiences that might lead to an increase in income (Baniewicz, 2022). The macroeconomic circumstances have affected Ibis Hotels emphasising accessibility and adaptability. The pandemic hastened the emergence of cost-conscious travel habits, which Ibis Hotels stands to gain from given its selection of reasonably priced midrange lodgings facilities. Budget-conscious tourists looking for dependable and secure hotel alternatives are further drawn to the pandemic's increased attention on sanitation and safety procedures (Kimes &amp; Ho, 2017). Furthermore, the brand's extensive worldwide reach places it in a position to attract a wide variety of travellers when the economy recovers leading to revenue growth.</w:t>
      </w:r>
    </w:p>
    <w:p w14:paraId="14F41856" w14:textId="77777777" w:rsidR="00D75148" w:rsidRDefault="00D75148" w:rsidP="00D75148">
      <w:pPr>
        <w:keepNext/>
        <w:keepLines/>
        <w:spacing w:before="240" w:after="0" w:line="360" w:lineRule="auto"/>
        <w:jc w:val="both"/>
        <w:outlineLvl w:val="0"/>
        <w:rPr>
          <w:rFonts w:ascii="Cambria" w:eastAsia="Times New Roman" w:hAnsi="Cambria" w:cs="Vrinda"/>
          <w:b/>
          <w:kern w:val="0"/>
          <w:sz w:val="36"/>
          <w:szCs w:val="36"/>
          <w14:ligatures w14:val="none"/>
        </w:rPr>
      </w:pPr>
      <w:bookmarkStart w:id="5" w:name="_Toc156644381"/>
      <w:r>
        <w:rPr>
          <w:rFonts w:ascii="Cambria" w:eastAsia="Times New Roman" w:hAnsi="Cambria" w:cs="Vrinda"/>
          <w:b/>
          <w:kern w:val="0"/>
          <w:sz w:val="36"/>
          <w:szCs w:val="36"/>
          <w14:ligatures w14:val="none"/>
        </w:rPr>
        <w:lastRenderedPageBreak/>
        <w:t>Analysis of Market Positioning</w:t>
      </w:r>
      <w:bookmarkEnd w:id="5"/>
    </w:p>
    <w:p w14:paraId="73565502"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2"/>
          <w:szCs w:val="32"/>
          <w14:ligatures w14:val="none"/>
        </w:rPr>
      </w:pPr>
      <w:bookmarkStart w:id="6" w:name="_Toc156644382"/>
      <w:r>
        <w:rPr>
          <w:rFonts w:ascii="Cambria" w:eastAsia="Times New Roman" w:hAnsi="Cambria" w:cs="Vrinda"/>
          <w:b/>
          <w:i/>
          <w:kern w:val="0"/>
          <w:sz w:val="32"/>
          <w:szCs w:val="32"/>
          <w14:ligatures w14:val="none"/>
        </w:rPr>
        <w:t>Market Share</w:t>
      </w:r>
      <w:bookmarkEnd w:id="6"/>
    </w:p>
    <w:p w14:paraId="52082FA7"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Corinthia Hotels is a luxury hotel chain well-established in a few markets in Europe, Africa, and the Middle East. Because it only focuses high-end market, it has a comparatively lesser market share. Still, it does a great job of serving affluent customers and establishing itself as a top option for luxury travellers (Wondaland et al., 2022). On the other hand, Ibis Hotels takes a broader market strategy. Ibis Hotels has had a substantial worldwide impact and appealed to a wide range of customer demographics with a varied portfolio that includes affordable and mid-range lodging. Its broad reach includes a robust presence in developing markets and helps it to have a sizable market dominance in the midscale and inexpensive hotel segments (Chen et al., 2016). The secret to Ibis Hotels' success is its ability to offer reasonably priced and easily accessible accommodations to a wide range of tourists leading to a substantial market share that attests to its widespread appeal.</w:t>
      </w:r>
    </w:p>
    <w:p w14:paraId="1F18F24F"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2"/>
          <w:szCs w:val="32"/>
          <w14:ligatures w14:val="none"/>
        </w:rPr>
      </w:pPr>
      <w:bookmarkStart w:id="7" w:name="_Toc156644383"/>
      <w:r>
        <w:rPr>
          <w:rFonts w:ascii="Cambria" w:eastAsia="Times New Roman" w:hAnsi="Cambria" w:cs="Vrinda"/>
          <w:b/>
          <w:i/>
          <w:kern w:val="0"/>
          <w:sz w:val="32"/>
          <w:szCs w:val="32"/>
          <w14:ligatures w14:val="none"/>
        </w:rPr>
        <w:t>Customer Demographics</w:t>
      </w:r>
      <w:bookmarkEnd w:id="7"/>
    </w:p>
    <w:p w14:paraId="1B1495F8"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Corinthia Hotels and Ibis Hotels carefully customise their products to meet the needs of a wide range of consumer groups. Corinthia Hotels caters to affluent travellers and business executives who need first-rate lodging and attentive service (Saunders, 2022). Exquisite conveniences and outstanding services demonstrate the brand's commitment to luxury to guarantee a unique and sumptuous stay for discriminating visitors. By comparison, Ibis Hotels appeals to a wider range of customers with its midrange and reasonably priced lodging. Ibis Hotels are well-liked by families and travellers on a tight budget looking for affordable but decent hotels since they are easily accessible and provide a variety of room choices (CPP Luxury, 2021). The brand's broad appeal reaches both business and leisure travellers looking for cost-effective accommodations that do not sacrifice comfort.</w:t>
      </w:r>
    </w:p>
    <w:p w14:paraId="7FCA19B1"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2"/>
          <w:szCs w:val="32"/>
          <w14:ligatures w14:val="none"/>
        </w:rPr>
      </w:pPr>
      <w:bookmarkStart w:id="8" w:name="_Toc156644384"/>
      <w:r>
        <w:rPr>
          <w:rFonts w:ascii="Cambria" w:eastAsia="Times New Roman" w:hAnsi="Cambria" w:cs="Vrinda"/>
          <w:b/>
          <w:i/>
          <w:kern w:val="0"/>
          <w:sz w:val="32"/>
          <w:szCs w:val="32"/>
          <w14:ligatures w14:val="none"/>
        </w:rPr>
        <w:t>Brand perceptions</w:t>
      </w:r>
      <w:bookmarkEnd w:id="8"/>
    </w:p>
    <w:p w14:paraId="074889E6"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 xml:space="preserve">Corinthia Hotels are widely known for their luxurious and exclusive offerings. Because of the brand's focus on offering upscale lodging and an exceptional guest experience, travellers have a favourable impression of it. Corinthia Hotels' elite stance in the hospitality sector is </w:t>
      </w:r>
      <w:r>
        <w:rPr>
          <w:rFonts w:ascii="Cambria" w:eastAsia="Calibri" w:hAnsi="Cambria" w:cs="Vrinda"/>
          <w:kern w:val="0"/>
          <w:sz w:val="24"/>
          <w14:ligatures w14:val="none"/>
        </w:rPr>
        <w:lastRenderedPageBreak/>
        <w:t>reinforced by customer evaluations and assessments, which constantly showcase the luxury and refinement linked to the brand. Ibis Hotels has developed a reputation for quality that is reliable and approachable (Saunders, 2022). Ibis Hotels appeals to families which are looking for affordable lodging, and travellers on a tight budget. It has effectively established itself as a dependable option for a variety of visitors. Reviews from customers frequently highlight the global Ibis portfolio's consistent quality of offerings and value that investment. Economical and midscale travellers see the company favourably because of its dedication to providing dependable experiences at reasonable pricing ranges (</w:t>
      </w:r>
      <w:proofErr w:type="spellStart"/>
      <w:r>
        <w:rPr>
          <w:rFonts w:ascii="Cambria" w:eastAsia="Calibri" w:hAnsi="Cambria" w:cs="Vrinda"/>
          <w:kern w:val="0"/>
          <w:sz w:val="24"/>
          <w14:ligatures w14:val="none"/>
        </w:rPr>
        <w:t>Sarinastiti</w:t>
      </w:r>
      <w:proofErr w:type="spellEnd"/>
      <w:r>
        <w:rPr>
          <w:rFonts w:ascii="Cambria" w:eastAsia="Calibri" w:hAnsi="Cambria" w:cs="Vrinda"/>
          <w:kern w:val="0"/>
          <w:sz w:val="24"/>
          <w14:ligatures w14:val="none"/>
        </w:rPr>
        <w:t xml:space="preserve"> &amp; </w:t>
      </w:r>
      <w:proofErr w:type="spellStart"/>
      <w:r>
        <w:rPr>
          <w:rFonts w:ascii="Cambria" w:eastAsia="Calibri" w:hAnsi="Cambria" w:cs="Vrinda"/>
          <w:kern w:val="0"/>
          <w:sz w:val="24"/>
          <w14:ligatures w14:val="none"/>
        </w:rPr>
        <w:t>Uljanatunnisa</w:t>
      </w:r>
      <w:proofErr w:type="spellEnd"/>
      <w:r>
        <w:rPr>
          <w:rFonts w:ascii="Cambria" w:eastAsia="Calibri" w:hAnsi="Cambria" w:cs="Vrinda"/>
          <w:kern w:val="0"/>
          <w:sz w:val="24"/>
          <w14:ligatures w14:val="none"/>
        </w:rPr>
        <w:t>, 2020). Corinthia Hotels uses social media to interact with a discriminating audience and promote its opulent offers helping to maintain the high-end image of its business. Ibis Hotels uses social media to highlight the range of services it offers and the accessibility and affordability of its low-cost lodgings across the world. This helps to build a brand image of the company.</w:t>
      </w:r>
    </w:p>
    <w:p w14:paraId="04DEF3EE" w14:textId="77777777" w:rsidR="00D75148" w:rsidRDefault="00D75148" w:rsidP="00D75148">
      <w:pPr>
        <w:keepNext/>
        <w:keepLines/>
        <w:spacing w:before="240" w:after="0" w:line="360" w:lineRule="auto"/>
        <w:jc w:val="both"/>
        <w:outlineLvl w:val="0"/>
        <w:rPr>
          <w:rFonts w:ascii="Cambria" w:eastAsia="Times New Roman" w:hAnsi="Cambria" w:cs="Vrinda"/>
          <w:b/>
          <w:kern w:val="0"/>
          <w:sz w:val="36"/>
          <w:szCs w:val="36"/>
          <w14:ligatures w14:val="none"/>
        </w:rPr>
      </w:pPr>
      <w:bookmarkStart w:id="9" w:name="_Toc156644385"/>
      <w:r>
        <w:rPr>
          <w:rFonts w:ascii="Cambria" w:eastAsia="Times New Roman" w:hAnsi="Cambria" w:cs="Vrinda"/>
          <w:b/>
          <w:kern w:val="0"/>
          <w:sz w:val="36"/>
          <w:szCs w:val="36"/>
          <w14:ligatures w14:val="none"/>
        </w:rPr>
        <w:t>Growth Potential</w:t>
      </w:r>
      <w:bookmarkEnd w:id="9"/>
    </w:p>
    <w:p w14:paraId="7840ADDA"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2"/>
          <w:szCs w:val="32"/>
          <w14:ligatures w14:val="none"/>
        </w:rPr>
      </w:pPr>
      <w:bookmarkStart w:id="10" w:name="_Toc156644386"/>
      <w:r>
        <w:rPr>
          <w:rFonts w:ascii="Cambria" w:eastAsia="Times New Roman" w:hAnsi="Cambria" w:cs="Vrinda"/>
          <w:b/>
          <w:i/>
          <w:kern w:val="0"/>
          <w:sz w:val="32"/>
          <w:szCs w:val="32"/>
          <w14:ligatures w14:val="none"/>
        </w:rPr>
        <w:t>Expansion Strategy</w:t>
      </w:r>
      <w:bookmarkEnd w:id="10"/>
    </w:p>
    <w:p w14:paraId="645A6D78"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 xml:space="preserve">When it comes to growth, Corinthia Hotels takes a deliberate and careful approach. The brand prioritises quality over quantity and targets affluent customers and well-known locations. For example, the brand's recent Middle East debut with the inauguration of Corinthia Dubai demonstrates a purposeful push into well-known and profitable areas. The deliberate site selection supports Corinthia Hotels' dedication to upholding an exclusive and distinguished image to indicate a gradual but significant expansion trajectory (CPP Luxury, 2021).  To capitalise on their varied market positions and development prospects within the tourism sector, Corinthia Hotels and Ibis Hotels have different expansion plans. The brand emphasises value over volume and targets affluent customers and well-known locations. The other one adopts a strategy of wider expansion in comparison. Ibis aims to gain a significant market share by carefully expanding its global presence by concentrating on cost and accessibility. The brand's expansion is demonstrated by the wide range of properties it has in many locations in emerging markets (O'Neill, 2022). Ibis has been able to establish itself in several locations by effectively capitalising on the need for affordable and mid-range </w:t>
      </w:r>
      <w:r>
        <w:rPr>
          <w:rFonts w:ascii="Cambria" w:eastAsia="Calibri" w:hAnsi="Cambria" w:cs="Vrinda"/>
          <w:kern w:val="0"/>
          <w:sz w:val="24"/>
          <w14:ligatures w14:val="none"/>
        </w:rPr>
        <w:lastRenderedPageBreak/>
        <w:t>lodging. The brand has an especially strong position there to capitalise on the expanding travel industry in the Asia-Pacific area. Ibis Hotels' expansion strategy is typified by many hotels in various places highlighting its dedication to serving a broad range of clientele.</w:t>
      </w:r>
    </w:p>
    <w:p w14:paraId="7C26765F"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2"/>
          <w:szCs w:val="32"/>
          <w14:ligatures w14:val="none"/>
        </w:rPr>
      </w:pPr>
      <w:bookmarkStart w:id="11" w:name="_Toc156644387"/>
      <w:r>
        <w:rPr>
          <w:rFonts w:ascii="Cambria" w:eastAsia="Times New Roman" w:hAnsi="Cambria" w:cs="Vrinda"/>
          <w:b/>
          <w:i/>
          <w:kern w:val="0"/>
          <w:sz w:val="32"/>
          <w:szCs w:val="32"/>
          <w14:ligatures w14:val="none"/>
        </w:rPr>
        <w:t>Market Opportunities</w:t>
      </w:r>
      <w:bookmarkEnd w:id="11"/>
    </w:p>
    <w:p w14:paraId="6A981C49"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Opportunities are found by Corinthia Hotels in upscale marketplaces and well-known locations. The brand's strategic foray into the Middle East is exemplified by its recent extension into Dubai. It makes use of the expanding demand for upscale tourism in the area. Corinthia Hotels' superior services and uniqueness put the brand in a position to profit from the growing demand for upmarket and smart experiences (</w:t>
      </w:r>
      <w:proofErr w:type="spellStart"/>
      <w:r>
        <w:rPr>
          <w:rFonts w:ascii="Cambria" w:eastAsia="Calibri" w:hAnsi="Cambria" w:cs="Vrinda"/>
          <w:kern w:val="0"/>
          <w:sz w:val="24"/>
          <w14:ligatures w14:val="none"/>
        </w:rPr>
        <w:t>Koumelis</w:t>
      </w:r>
      <w:proofErr w:type="spellEnd"/>
      <w:r>
        <w:rPr>
          <w:rFonts w:ascii="Cambria" w:eastAsia="Calibri" w:hAnsi="Cambria" w:cs="Vrinda"/>
          <w:kern w:val="0"/>
          <w:sz w:val="24"/>
          <w14:ligatures w14:val="none"/>
        </w:rPr>
        <w:t>, 2009). These factors imply that there is profitable potential in certain regions where luxury tourism is flourishing. On the other hand, Ibis finds commercial opportunity within the larger range of inexpensive and midrange lodging. Ibis places itself strategically to take advantage of possibilities in various markets and areas. The company's presence in Asia-Pacific takes advantage of the region's rapidly expanding tourism sector and the desire for reasonably priced hotel choices (CPP Luxury, 2021). Ibis Hotels targets a broad spectrum of travellers by utilising its consistent quality and competitive pricing which is in line with the expanding trend of cost-conscious travellers looking for dependable and reasonably priced accommodation.</w:t>
      </w:r>
    </w:p>
    <w:p w14:paraId="68820D6F"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2"/>
          <w:szCs w:val="32"/>
          <w14:ligatures w14:val="none"/>
        </w:rPr>
      </w:pPr>
      <w:bookmarkStart w:id="12" w:name="_Toc156644388"/>
      <w:r>
        <w:rPr>
          <w:rFonts w:ascii="Cambria" w:eastAsia="Times New Roman" w:hAnsi="Cambria" w:cs="Vrinda"/>
          <w:b/>
          <w:i/>
          <w:kern w:val="0"/>
          <w:sz w:val="32"/>
          <w:szCs w:val="32"/>
          <w14:ligatures w14:val="none"/>
        </w:rPr>
        <w:t>Barriers to Growth</w:t>
      </w:r>
      <w:bookmarkEnd w:id="12"/>
    </w:p>
    <w:p w14:paraId="604A5142"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Corinthia Hotels has difficulties because of the high-end and exclusive character of its brand. The small target market of wealthy tourists may be a limitation since the market for high-end products may be affected by economic downturns or shifts in the tastes of luxury travellers. Furthermore, Corinthia Hotels' capacity to grow is constrained by its careful selection of famous locations; venturing into less prestigious or developing regions might lessen the brand's cachet (</w:t>
      </w:r>
      <w:proofErr w:type="spellStart"/>
      <w:r>
        <w:rPr>
          <w:rFonts w:ascii="Cambria" w:eastAsia="Calibri" w:hAnsi="Cambria" w:cs="Vrinda"/>
          <w:kern w:val="0"/>
          <w:sz w:val="24"/>
          <w14:ligatures w14:val="none"/>
        </w:rPr>
        <w:t>Fontgalland</w:t>
      </w:r>
      <w:proofErr w:type="spellEnd"/>
      <w:r>
        <w:rPr>
          <w:rFonts w:ascii="Cambria" w:eastAsia="Calibri" w:hAnsi="Cambria" w:cs="Vrinda"/>
          <w:kern w:val="0"/>
          <w:sz w:val="24"/>
          <w14:ligatures w14:val="none"/>
        </w:rPr>
        <w:t xml:space="preserve"> et al., 2022). Potential obstacles stem from Ibis Hotels' approach to accessibility and extensive reach. Although Ibis's success may be attributed to its wide market appeal, it also exposes the company to more rivalry in the affordable and mid-range markets. Ibis properties are standardised, which might make it difficult to set itself apart from the competition and restrict the ability to charge more for rooms (</w:t>
      </w:r>
      <w:proofErr w:type="spellStart"/>
      <w:r>
        <w:rPr>
          <w:rFonts w:ascii="Cambria" w:eastAsia="Calibri" w:hAnsi="Cambria" w:cs="Vrinda"/>
          <w:kern w:val="0"/>
          <w:sz w:val="24"/>
          <w14:ligatures w14:val="none"/>
        </w:rPr>
        <w:t>Koumelis</w:t>
      </w:r>
      <w:proofErr w:type="spellEnd"/>
      <w:r>
        <w:rPr>
          <w:rFonts w:ascii="Cambria" w:eastAsia="Calibri" w:hAnsi="Cambria" w:cs="Vrinda"/>
          <w:kern w:val="0"/>
          <w:sz w:val="24"/>
          <w14:ligatures w14:val="none"/>
        </w:rPr>
        <w:t xml:space="preserve">, 2009). Furthermore, because of the brand's dependency on economies of scale maintaining </w:t>
      </w:r>
      <w:r>
        <w:rPr>
          <w:rFonts w:ascii="Cambria" w:eastAsia="Calibri" w:hAnsi="Cambria" w:cs="Vrinda"/>
          <w:kern w:val="0"/>
          <w:sz w:val="24"/>
          <w14:ligatures w14:val="none"/>
        </w:rPr>
        <w:lastRenderedPageBreak/>
        <w:t>a high standard across a broad and varied portfolio of assets may need huge expenditures in operational efficiency.</w:t>
      </w:r>
    </w:p>
    <w:p w14:paraId="1E1C4D6F" w14:textId="77777777" w:rsidR="00D75148" w:rsidRDefault="00D75148" w:rsidP="00D75148">
      <w:pPr>
        <w:spacing w:line="360" w:lineRule="auto"/>
        <w:jc w:val="both"/>
        <w:rPr>
          <w:rFonts w:ascii="Cambria" w:eastAsia="Calibri" w:hAnsi="Cambria" w:cs="Vrinda"/>
          <w:kern w:val="0"/>
          <w:sz w:val="24"/>
          <w14:ligatures w14:val="none"/>
        </w:rPr>
      </w:pPr>
    </w:p>
    <w:p w14:paraId="3ED369D9" w14:textId="77777777" w:rsidR="00D75148" w:rsidRDefault="00D75148" w:rsidP="00D75148">
      <w:pPr>
        <w:keepNext/>
        <w:keepLines/>
        <w:spacing w:before="240" w:after="0" w:line="360" w:lineRule="auto"/>
        <w:jc w:val="both"/>
        <w:outlineLvl w:val="0"/>
        <w:rPr>
          <w:rFonts w:ascii="Cambria" w:eastAsia="Times New Roman" w:hAnsi="Cambria" w:cs="Vrinda"/>
          <w:b/>
          <w:kern w:val="0"/>
          <w:sz w:val="36"/>
          <w:szCs w:val="36"/>
          <w14:ligatures w14:val="none"/>
        </w:rPr>
      </w:pPr>
      <w:bookmarkStart w:id="13" w:name="_Toc156644389"/>
      <w:r>
        <w:rPr>
          <w:rFonts w:ascii="Cambria" w:eastAsia="Times New Roman" w:hAnsi="Cambria" w:cs="Vrinda"/>
          <w:b/>
          <w:kern w:val="0"/>
          <w:sz w:val="36"/>
          <w:szCs w:val="36"/>
          <w14:ligatures w14:val="none"/>
        </w:rPr>
        <w:t>Financial Commitment to CSR</w:t>
      </w:r>
      <w:bookmarkEnd w:id="13"/>
    </w:p>
    <w:p w14:paraId="4F909175"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2"/>
          <w:szCs w:val="32"/>
          <w14:ligatures w14:val="none"/>
        </w:rPr>
      </w:pPr>
      <w:bookmarkStart w:id="14" w:name="_Toc156644390"/>
      <w:r>
        <w:rPr>
          <w:rFonts w:ascii="Cambria" w:eastAsia="Times New Roman" w:hAnsi="Cambria" w:cs="Vrinda"/>
          <w:b/>
          <w:i/>
          <w:kern w:val="0"/>
          <w:sz w:val="32"/>
          <w:szCs w:val="32"/>
          <w14:ligatures w14:val="none"/>
        </w:rPr>
        <w:t>Sustainability Practices</w:t>
      </w:r>
      <w:bookmarkEnd w:id="14"/>
    </w:p>
    <w:p w14:paraId="7829175B"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Corinthia Hotels makes large investments in environmentally friendly activities and systems. As an example, the Corinthia Lisbon Hotel has been recognised for its dedication to ecological stewardship with Green Key Certification. The hotel chain sets aside money to install waste minimization and water conservation technologies at each of its locations. Additionally, Corinthia Hotels places a strong emphasis on educating staff members about sustainable practices supporting an all-encompassing strategy for sustainability that extends beyond building infrastructure. Conversely, Ibis Hotels uses the Planet 21 initiative to highlight their financial support for sustainability. This international project emphasises community involvement and environmentally responsible methods. As part of the initiative, Ibis Hotels makes significant investments in responsible logistics management and energy-efficient technology (Roques, 2012). Worth mentioning is the Accor group's pledge within the organisation to do away with single-use plastics, which shows a major financial dedication to green awareness.</w:t>
      </w:r>
    </w:p>
    <w:p w14:paraId="5B7206CD" w14:textId="77777777" w:rsidR="00D75148" w:rsidRDefault="00D75148" w:rsidP="00D75148">
      <w:pPr>
        <w:keepNext/>
        <w:keepLines/>
        <w:spacing w:before="40" w:after="0" w:line="360" w:lineRule="auto"/>
        <w:jc w:val="both"/>
        <w:outlineLvl w:val="1"/>
        <w:rPr>
          <w:rFonts w:ascii="Cambria" w:eastAsia="Times New Roman" w:hAnsi="Cambria" w:cs="Vrinda"/>
          <w:b/>
          <w:i/>
          <w:kern w:val="0"/>
          <w:sz w:val="32"/>
          <w:szCs w:val="32"/>
          <w14:ligatures w14:val="none"/>
        </w:rPr>
      </w:pPr>
      <w:bookmarkStart w:id="15" w:name="_Toc156644391"/>
      <w:r>
        <w:rPr>
          <w:rFonts w:ascii="Cambria" w:eastAsia="Times New Roman" w:hAnsi="Cambria" w:cs="Vrinda"/>
          <w:b/>
          <w:i/>
          <w:kern w:val="0"/>
          <w:sz w:val="32"/>
          <w:szCs w:val="32"/>
          <w14:ligatures w14:val="none"/>
        </w:rPr>
        <w:t>Community Engagement and Ethical Business Practices</w:t>
      </w:r>
      <w:bookmarkEnd w:id="15"/>
      <w:r>
        <w:rPr>
          <w:rFonts w:ascii="Cambria" w:eastAsia="Times New Roman" w:hAnsi="Cambria" w:cs="Vrinda"/>
          <w:b/>
          <w:i/>
          <w:kern w:val="0"/>
          <w:sz w:val="32"/>
          <w:szCs w:val="32"/>
          <w14:ligatures w14:val="none"/>
        </w:rPr>
        <w:t xml:space="preserve"> </w:t>
      </w:r>
    </w:p>
    <w:p w14:paraId="407BD358"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 xml:space="preserve">Engaging with local people is financially important to Corinthia Hotels. In the communities where their homes are located, the brand forms collaborations with educational and artistic groups by making active investments in these areas (Chen et al., 2016). For instance, the Corinthia Palace Hotel in Malta works with neighbourhood schools to improve educational possibilities as part of their dedication to the community's growth and a healthy lifestyle. Their financial assistance goes towards healthcare initiatives as part of a holistic strategy to assist the community's citizens. Ibis Hotels' ALL </w:t>
      </w:r>
      <w:proofErr w:type="spellStart"/>
      <w:r>
        <w:rPr>
          <w:rFonts w:ascii="Cambria" w:eastAsia="Calibri" w:hAnsi="Cambria" w:cs="Vrinda"/>
          <w:kern w:val="0"/>
          <w:sz w:val="24"/>
          <w14:ligatures w14:val="none"/>
        </w:rPr>
        <w:t>Heartist</w:t>
      </w:r>
      <w:proofErr w:type="spellEnd"/>
      <w:r>
        <w:rPr>
          <w:rFonts w:ascii="Cambria" w:eastAsia="Calibri" w:hAnsi="Cambria" w:cs="Vrinda"/>
          <w:kern w:val="0"/>
          <w:sz w:val="24"/>
          <w14:ligatures w14:val="none"/>
        </w:rPr>
        <w:t xml:space="preserve"> Fund demonstrates their financial commitment to community involvement. This fund is evidence of the brand's philosophy rather than merely a financial commitment. In addition to helping staff members who are </w:t>
      </w:r>
      <w:r>
        <w:rPr>
          <w:rFonts w:ascii="Cambria" w:eastAsia="Calibri" w:hAnsi="Cambria" w:cs="Vrinda"/>
          <w:kern w:val="0"/>
          <w:sz w:val="24"/>
          <w14:ligatures w14:val="none"/>
        </w:rPr>
        <w:lastRenderedPageBreak/>
        <w:t xml:space="preserve">having financial difficulties, the money actively funds neighbourhood projects (Thomas &amp; Kumar, 2016). Ibis Hotels aspires to have a noticeable influence on the neighbourhoods around its establishments. It demonstrates an important financial dedication to worker welfare and wider community projects by donating ten per cent of its yearly earnings to the ALL </w:t>
      </w:r>
      <w:proofErr w:type="spellStart"/>
      <w:r>
        <w:rPr>
          <w:rFonts w:ascii="Cambria" w:eastAsia="Calibri" w:hAnsi="Cambria" w:cs="Vrinda"/>
          <w:kern w:val="0"/>
          <w:sz w:val="24"/>
          <w14:ligatures w14:val="none"/>
        </w:rPr>
        <w:t>Heartist</w:t>
      </w:r>
      <w:proofErr w:type="spellEnd"/>
      <w:r>
        <w:rPr>
          <w:rFonts w:ascii="Cambria" w:eastAsia="Calibri" w:hAnsi="Cambria" w:cs="Vrinda"/>
          <w:kern w:val="0"/>
          <w:sz w:val="24"/>
          <w14:ligatures w14:val="none"/>
        </w:rPr>
        <w:t xml:space="preserve"> Fund.</w:t>
      </w:r>
    </w:p>
    <w:p w14:paraId="6967ADE2" w14:textId="77777777" w:rsidR="00D75148" w:rsidRDefault="00D75148" w:rsidP="00D75148">
      <w:pPr>
        <w:spacing w:line="360" w:lineRule="auto"/>
        <w:jc w:val="both"/>
        <w:rPr>
          <w:rFonts w:ascii="Cambria" w:eastAsia="Calibri" w:hAnsi="Cambria" w:cs="Vrinda"/>
          <w:b/>
          <w:kern w:val="0"/>
          <w:sz w:val="36"/>
          <w:szCs w:val="36"/>
          <w14:ligatures w14:val="none"/>
        </w:rPr>
      </w:pPr>
      <w:bookmarkStart w:id="16" w:name="_Toc156644392"/>
      <w:r>
        <w:rPr>
          <w:rFonts w:ascii="Cambria" w:eastAsia="Calibri" w:hAnsi="Cambria" w:cs="Vrinda"/>
          <w:b/>
          <w:kern w:val="0"/>
          <w:sz w:val="36"/>
          <w:szCs w:val="36"/>
          <w14:ligatures w14:val="none"/>
        </w:rPr>
        <w:t>Conclusion</w:t>
      </w:r>
      <w:bookmarkEnd w:id="16"/>
    </w:p>
    <w:p w14:paraId="4986ABEA" w14:textId="77777777" w:rsidR="00D75148" w:rsidRDefault="00D75148" w:rsidP="00D75148">
      <w:pPr>
        <w:spacing w:line="360" w:lineRule="auto"/>
        <w:jc w:val="both"/>
        <w:rPr>
          <w:rFonts w:ascii="Cambria" w:eastAsia="Calibri" w:hAnsi="Cambria" w:cs="Vrinda"/>
          <w:kern w:val="0"/>
          <w:sz w:val="24"/>
          <w14:ligatures w14:val="none"/>
        </w:rPr>
      </w:pPr>
      <w:r>
        <w:rPr>
          <w:rFonts w:ascii="Cambria" w:eastAsia="Calibri" w:hAnsi="Cambria" w:cs="Vrinda"/>
          <w:kern w:val="0"/>
          <w:sz w:val="24"/>
          <w14:ligatures w14:val="none"/>
        </w:rPr>
        <w:t>In terms of revenue, both companies experience growth. However, the source of revenue is not the same for both companies. Besides, the barriers they are facing against revenue growth are also different. Besides, the market positioning is also different as Corinthia focuses more on luxury accommodation whereas Accor promotes budget-friendly stays. The companies are also found to be committed to expanding the business in other regions and continents with a vision to engage in sustainability practices, community engagement, and ethical business practices.</w:t>
      </w:r>
    </w:p>
    <w:p w14:paraId="4E7E10AA" w14:textId="77777777" w:rsidR="00D75148" w:rsidRDefault="00D75148" w:rsidP="00D75148">
      <w:pPr>
        <w:spacing w:line="360" w:lineRule="auto"/>
        <w:jc w:val="both"/>
        <w:rPr>
          <w:rFonts w:ascii="Cambria" w:eastAsia="Calibri" w:hAnsi="Cambria" w:cs="Vrinda"/>
          <w:kern w:val="0"/>
          <w:sz w:val="24"/>
          <w14:ligatures w14:val="none"/>
        </w:rPr>
      </w:pPr>
    </w:p>
    <w:p w14:paraId="55522FBC" w14:textId="77777777" w:rsidR="00D75148" w:rsidRDefault="00D75148" w:rsidP="00D75148">
      <w:pPr>
        <w:spacing w:line="360" w:lineRule="auto"/>
        <w:jc w:val="both"/>
        <w:rPr>
          <w:rFonts w:ascii="Cambria" w:eastAsia="Calibri" w:hAnsi="Cambria" w:cs="Vrinda"/>
          <w:kern w:val="0"/>
          <w:sz w:val="24"/>
          <w14:ligatures w14:val="none"/>
        </w:rPr>
      </w:pPr>
    </w:p>
    <w:p w14:paraId="4CFE214D" w14:textId="77777777" w:rsidR="00D75148" w:rsidRDefault="00D75148" w:rsidP="00D75148">
      <w:pPr>
        <w:spacing w:line="360" w:lineRule="auto"/>
        <w:jc w:val="both"/>
        <w:rPr>
          <w:rFonts w:ascii="Cambria" w:eastAsia="Calibri" w:hAnsi="Cambria" w:cs="Vrinda"/>
          <w:kern w:val="0"/>
          <w:sz w:val="24"/>
          <w14:ligatures w14:val="none"/>
        </w:rPr>
      </w:pPr>
    </w:p>
    <w:p w14:paraId="4C50774A" w14:textId="77777777" w:rsidR="00D75148" w:rsidRDefault="00D75148" w:rsidP="00D75148">
      <w:pPr>
        <w:spacing w:line="360" w:lineRule="auto"/>
        <w:jc w:val="both"/>
        <w:rPr>
          <w:rFonts w:ascii="Cambria" w:eastAsia="Calibri" w:hAnsi="Cambria" w:cs="Vrinda"/>
          <w:kern w:val="0"/>
          <w:sz w:val="24"/>
          <w14:ligatures w14:val="none"/>
        </w:rPr>
      </w:pPr>
    </w:p>
    <w:p w14:paraId="45FD3670" w14:textId="77777777" w:rsidR="00D75148" w:rsidRDefault="00D75148" w:rsidP="00D75148">
      <w:pPr>
        <w:spacing w:line="360" w:lineRule="auto"/>
        <w:jc w:val="both"/>
        <w:rPr>
          <w:rFonts w:ascii="Cambria" w:eastAsia="Calibri" w:hAnsi="Cambria" w:cs="Vrinda"/>
          <w:kern w:val="0"/>
          <w:sz w:val="24"/>
          <w14:ligatures w14:val="none"/>
        </w:rPr>
      </w:pPr>
    </w:p>
    <w:p w14:paraId="1E1E3763" w14:textId="77777777" w:rsidR="00D75148" w:rsidRDefault="00D75148" w:rsidP="00D75148">
      <w:pPr>
        <w:spacing w:line="360" w:lineRule="auto"/>
        <w:jc w:val="both"/>
        <w:rPr>
          <w:rFonts w:ascii="Cambria" w:eastAsia="Calibri" w:hAnsi="Cambria" w:cs="Vrinda"/>
          <w:kern w:val="0"/>
          <w:sz w:val="24"/>
          <w14:ligatures w14:val="none"/>
        </w:rPr>
      </w:pPr>
    </w:p>
    <w:p w14:paraId="083F9C7F" w14:textId="77777777" w:rsidR="00D75148" w:rsidRDefault="00D75148" w:rsidP="00D75148">
      <w:pPr>
        <w:spacing w:line="360" w:lineRule="auto"/>
        <w:jc w:val="both"/>
        <w:rPr>
          <w:rFonts w:ascii="Cambria" w:eastAsia="Calibri" w:hAnsi="Cambria" w:cs="Vrinda"/>
          <w:kern w:val="0"/>
          <w:sz w:val="24"/>
          <w14:ligatures w14:val="none"/>
        </w:rPr>
      </w:pPr>
    </w:p>
    <w:p w14:paraId="0B636B36" w14:textId="77777777" w:rsidR="00D75148" w:rsidRDefault="00D75148" w:rsidP="00D75148">
      <w:pPr>
        <w:spacing w:line="360" w:lineRule="auto"/>
        <w:jc w:val="both"/>
        <w:rPr>
          <w:rFonts w:ascii="Cambria" w:eastAsia="Calibri" w:hAnsi="Cambria" w:cs="Vrinda"/>
          <w:kern w:val="0"/>
          <w:sz w:val="24"/>
          <w14:ligatures w14:val="none"/>
        </w:rPr>
      </w:pPr>
    </w:p>
    <w:p w14:paraId="0014BD81" w14:textId="77777777" w:rsidR="00D75148" w:rsidRDefault="00D75148" w:rsidP="00D75148">
      <w:pPr>
        <w:spacing w:line="360" w:lineRule="auto"/>
        <w:jc w:val="both"/>
        <w:rPr>
          <w:rFonts w:ascii="Cambria" w:eastAsia="Calibri" w:hAnsi="Cambria" w:cs="Vrinda"/>
          <w:kern w:val="0"/>
          <w:sz w:val="24"/>
          <w14:ligatures w14:val="none"/>
        </w:rPr>
      </w:pPr>
    </w:p>
    <w:p w14:paraId="36B6AAE5" w14:textId="77777777" w:rsidR="00D75148" w:rsidRDefault="00D75148" w:rsidP="00D75148">
      <w:pPr>
        <w:spacing w:line="360" w:lineRule="auto"/>
        <w:jc w:val="both"/>
        <w:rPr>
          <w:rFonts w:ascii="Cambria" w:eastAsia="Calibri" w:hAnsi="Cambria" w:cs="Vrinda"/>
          <w:kern w:val="0"/>
          <w:sz w:val="24"/>
          <w14:ligatures w14:val="none"/>
        </w:rPr>
      </w:pPr>
    </w:p>
    <w:p w14:paraId="18C6F367" w14:textId="77777777" w:rsidR="00D75148" w:rsidRDefault="00D75148" w:rsidP="00D75148">
      <w:pPr>
        <w:spacing w:line="360" w:lineRule="auto"/>
        <w:jc w:val="both"/>
        <w:rPr>
          <w:rFonts w:ascii="Cambria" w:eastAsia="Calibri" w:hAnsi="Cambria" w:cs="Vrinda"/>
          <w:kern w:val="0"/>
          <w:sz w:val="24"/>
          <w14:ligatures w14:val="none"/>
        </w:rPr>
      </w:pPr>
    </w:p>
    <w:p w14:paraId="23748039" w14:textId="77777777" w:rsidR="00D75148" w:rsidRDefault="00D75148" w:rsidP="00D75148">
      <w:pPr>
        <w:spacing w:line="360" w:lineRule="auto"/>
        <w:jc w:val="both"/>
        <w:rPr>
          <w:rFonts w:ascii="Cambria" w:eastAsia="Calibri" w:hAnsi="Cambria" w:cs="Vrinda"/>
          <w:b/>
          <w:kern w:val="0"/>
          <w:sz w:val="40"/>
          <w:szCs w:val="40"/>
          <w14:ligatures w14:val="none"/>
        </w:rPr>
      </w:pPr>
      <w:bookmarkStart w:id="17" w:name="_Toc156644393"/>
      <w:r>
        <w:rPr>
          <w:rFonts w:ascii="Cambria" w:eastAsia="Calibri" w:hAnsi="Cambria" w:cs="Vrinda"/>
          <w:b/>
          <w:kern w:val="0"/>
          <w:sz w:val="40"/>
          <w:szCs w:val="40"/>
          <w14:ligatures w14:val="none"/>
        </w:rPr>
        <w:lastRenderedPageBreak/>
        <w:t>References</w:t>
      </w:r>
      <w:bookmarkEnd w:id="17"/>
    </w:p>
    <w:p w14:paraId="4767E153"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Baniewicz, C. (2022) </w:t>
      </w:r>
      <w:r>
        <w:rPr>
          <w:rFonts w:ascii="Cambria" w:eastAsia="Calibri" w:hAnsi="Cambria" w:cs="Vrinda"/>
          <w:i/>
          <w:iCs/>
          <w:kern w:val="0"/>
          <w:sz w:val="24"/>
          <w:lang w:val="en-US"/>
          <w14:ligatures w14:val="none"/>
        </w:rPr>
        <w:t>How hotel revenues are bouncing back after the pandemic</w:t>
      </w:r>
      <w:r>
        <w:rPr>
          <w:rFonts w:ascii="Cambria" w:eastAsia="Calibri" w:hAnsi="Cambria" w:cs="Vrinda"/>
          <w:kern w:val="0"/>
          <w:sz w:val="24"/>
          <w:lang w:val="en-US"/>
          <w14:ligatures w14:val="none"/>
        </w:rPr>
        <w:t xml:space="preserve">, </w:t>
      </w:r>
      <w:r>
        <w:rPr>
          <w:rFonts w:ascii="Cambria" w:eastAsia="Calibri" w:hAnsi="Cambria" w:cs="Vrinda"/>
          <w:i/>
          <w:iCs/>
          <w:kern w:val="0"/>
          <w:sz w:val="24"/>
          <w:lang w:val="en-US"/>
          <w14:ligatures w14:val="none"/>
        </w:rPr>
        <w:t>hotelbusiness.com</w:t>
      </w:r>
      <w:r>
        <w:rPr>
          <w:rFonts w:ascii="Cambria" w:eastAsia="Calibri" w:hAnsi="Cambria" w:cs="Vrinda"/>
          <w:kern w:val="0"/>
          <w:sz w:val="24"/>
          <w:lang w:val="en-US"/>
          <w14:ligatures w14:val="none"/>
        </w:rPr>
        <w:t xml:space="preserve">. Available at: https://hotelbusiness.com/how-hotel-revenues-are-bouncing-back-after-the-pandemic/ (Accessed: 20 January 2024). </w:t>
      </w:r>
    </w:p>
    <w:p w14:paraId="773C0617"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Chen, C.-M., Lin, Y.-C. and Yang, H.-W. (2016) ‘The effect of advertising on market share instability in the hotel industry’, </w:t>
      </w:r>
      <w:r>
        <w:rPr>
          <w:rFonts w:ascii="Cambria" w:eastAsia="Calibri" w:hAnsi="Cambria" w:cs="Vrinda"/>
          <w:i/>
          <w:iCs/>
          <w:kern w:val="0"/>
          <w:sz w:val="24"/>
          <w:lang w:val="en-US"/>
          <w14:ligatures w14:val="none"/>
        </w:rPr>
        <w:t>Tourism Economics</w:t>
      </w:r>
      <w:r>
        <w:rPr>
          <w:rFonts w:ascii="Cambria" w:eastAsia="Calibri" w:hAnsi="Cambria" w:cs="Vrinda"/>
          <w:kern w:val="0"/>
          <w:sz w:val="24"/>
          <w:lang w:val="en-US"/>
          <w14:ligatures w14:val="none"/>
        </w:rPr>
        <w:t xml:space="preserve">, 23(1), pp. 214–222. doi:10.5367/te.2015.0502. </w:t>
      </w:r>
    </w:p>
    <w:p w14:paraId="54C2917F"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Company Financial Reports (2022) </w:t>
      </w:r>
      <w:r>
        <w:rPr>
          <w:rFonts w:ascii="Cambria" w:eastAsia="Calibri" w:hAnsi="Cambria" w:cs="Vrinda"/>
          <w:i/>
          <w:iCs/>
          <w:kern w:val="0"/>
          <w:sz w:val="24"/>
          <w:lang w:val="en-US"/>
          <w14:ligatures w14:val="none"/>
        </w:rPr>
        <w:t>Company financial reports</w:t>
      </w:r>
      <w:r>
        <w:rPr>
          <w:rFonts w:ascii="Cambria" w:eastAsia="Calibri" w:hAnsi="Cambria" w:cs="Vrinda"/>
          <w:kern w:val="0"/>
          <w:sz w:val="24"/>
          <w:lang w:val="en-US"/>
          <w14:ligatures w14:val="none"/>
        </w:rPr>
        <w:t xml:space="preserve">, </w:t>
      </w:r>
      <w:r>
        <w:rPr>
          <w:rFonts w:ascii="Cambria" w:eastAsia="Calibri" w:hAnsi="Cambria" w:cs="Vrinda"/>
          <w:i/>
          <w:iCs/>
          <w:kern w:val="0"/>
          <w:sz w:val="24"/>
          <w:lang w:val="en-US"/>
          <w14:ligatures w14:val="none"/>
        </w:rPr>
        <w:t>Corinthia Group Financial Reports</w:t>
      </w:r>
      <w:r>
        <w:rPr>
          <w:rFonts w:ascii="Cambria" w:eastAsia="Calibri" w:hAnsi="Cambria" w:cs="Vrinda"/>
          <w:kern w:val="0"/>
          <w:sz w:val="24"/>
          <w:lang w:val="en-US"/>
          <w14:ligatures w14:val="none"/>
        </w:rPr>
        <w:t xml:space="preserve">. Available at: https://www.corinthiagroup.com/investors/financial-report/ (Accessed: 20 January 2024). </w:t>
      </w:r>
    </w:p>
    <w:p w14:paraId="475499C4"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Company Profile (2022) </w:t>
      </w:r>
      <w:r>
        <w:rPr>
          <w:rFonts w:ascii="Cambria" w:eastAsia="Calibri" w:hAnsi="Cambria" w:cs="Vrinda"/>
          <w:i/>
          <w:iCs/>
          <w:kern w:val="0"/>
          <w:sz w:val="24"/>
          <w:lang w:val="en-US"/>
          <w14:ligatures w14:val="none"/>
        </w:rPr>
        <w:t>Corinthia Hotels Company Profile: Management and Employees List</w:t>
      </w:r>
      <w:r>
        <w:rPr>
          <w:rFonts w:ascii="Cambria" w:eastAsia="Calibri" w:hAnsi="Cambria" w:cs="Vrinda"/>
          <w:kern w:val="0"/>
          <w:sz w:val="24"/>
          <w:lang w:val="en-US"/>
          <w14:ligatures w14:val="none"/>
        </w:rPr>
        <w:t xml:space="preserve">, </w:t>
      </w:r>
      <w:proofErr w:type="spellStart"/>
      <w:r>
        <w:rPr>
          <w:rFonts w:ascii="Cambria" w:eastAsia="Calibri" w:hAnsi="Cambria" w:cs="Vrinda"/>
          <w:i/>
          <w:iCs/>
          <w:kern w:val="0"/>
          <w:sz w:val="24"/>
          <w:lang w:val="en-US"/>
          <w14:ligatures w14:val="none"/>
        </w:rPr>
        <w:t>Datanyze</w:t>
      </w:r>
      <w:proofErr w:type="spellEnd"/>
      <w:r>
        <w:rPr>
          <w:rFonts w:ascii="Cambria" w:eastAsia="Calibri" w:hAnsi="Cambria" w:cs="Vrinda"/>
          <w:kern w:val="0"/>
          <w:sz w:val="24"/>
          <w:lang w:val="en-US"/>
          <w14:ligatures w14:val="none"/>
        </w:rPr>
        <w:t xml:space="preserve">. Available at: https://www.datanyze.com/companies/corinthia-hotels/29526976 (Accessed: 20 January 2024). </w:t>
      </w:r>
    </w:p>
    <w:p w14:paraId="139BCBDF"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CPP Luxury (2021) </w:t>
      </w:r>
      <w:r>
        <w:rPr>
          <w:rFonts w:ascii="Cambria" w:eastAsia="Calibri" w:hAnsi="Cambria" w:cs="Vrinda"/>
          <w:i/>
          <w:iCs/>
          <w:kern w:val="0"/>
          <w:sz w:val="24"/>
          <w:lang w:val="en-US"/>
          <w14:ligatures w14:val="none"/>
        </w:rPr>
        <w:t>Corinthia Hotels opens in New York first hotel in the U.S.</w:t>
      </w:r>
      <w:r>
        <w:rPr>
          <w:rFonts w:ascii="Cambria" w:eastAsia="Calibri" w:hAnsi="Cambria" w:cs="Vrinda"/>
          <w:kern w:val="0"/>
          <w:sz w:val="24"/>
          <w:lang w:val="en-US"/>
          <w14:ligatures w14:val="none"/>
        </w:rPr>
        <w:t xml:space="preserve">, </w:t>
      </w:r>
      <w:r>
        <w:rPr>
          <w:rFonts w:ascii="Cambria" w:eastAsia="Calibri" w:hAnsi="Cambria" w:cs="Vrinda"/>
          <w:i/>
          <w:iCs/>
          <w:kern w:val="0"/>
          <w:sz w:val="24"/>
          <w:lang w:val="en-US"/>
          <w14:ligatures w14:val="none"/>
        </w:rPr>
        <w:t>CPPLUXURY</w:t>
      </w:r>
      <w:r>
        <w:rPr>
          <w:rFonts w:ascii="Cambria" w:eastAsia="Calibri" w:hAnsi="Cambria" w:cs="Vrinda"/>
          <w:kern w:val="0"/>
          <w:sz w:val="24"/>
          <w:lang w:val="en-US"/>
          <w14:ligatures w14:val="none"/>
        </w:rPr>
        <w:t xml:space="preserve">. Available at: https://cpp-luxury.com/corinthia-hotels-opens-in-new-york-first-hotel-in-the-u-s/ (Accessed: 20 January 2024). </w:t>
      </w:r>
    </w:p>
    <w:p w14:paraId="5AE8F16B"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Financial Key indicators (2022) </w:t>
      </w:r>
      <w:r>
        <w:rPr>
          <w:rFonts w:ascii="Cambria" w:eastAsia="Calibri" w:hAnsi="Cambria" w:cs="Vrinda"/>
          <w:i/>
          <w:iCs/>
          <w:kern w:val="0"/>
          <w:sz w:val="24"/>
          <w:lang w:val="en-US"/>
          <w14:ligatures w14:val="none"/>
        </w:rPr>
        <w:t>Accor - financial key indicators</w:t>
      </w:r>
      <w:r>
        <w:rPr>
          <w:rFonts w:ascii="Cambria" w:eastAsia="Calibri" w:hAnsi="Cambria" w:cs="Vrinda"/>
          <w:kern w:val="0"/>
          <w:sz w:val="24"/>
          <w:lang w:val="en-US"/>
          <w14:ligatures w14:val="none"/>
        </w:rPr>
        <w:t xml:space="preserve">. Available at: https://group.accor.com/en/finance/results-and-publications/key-indicators (Accessed: 20 January 2024). </w:t>
      </w:r>
    </w:p>
    <w:p w14:paraId="358273AF"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Financial Result (2022) </w:t>
      </w:r>
      <w:r>
        <w:rPr>
          <w:rFonts w:ascii="Cambria" w:eastAsia="Calibri" w:hAnsi="Cambria" w:cs="Vrinda"/>
          <w:i/>
          <w:iCs/>
          <w:kern w:val="0"/>
          <w:sz w:val="24"/>
          <w:lang w:val="en-US"/>
          <w14:ligatures w14:val="none"/>
        </w:rPr>
        <w:t>Accor - financial result</w:t>
      </w:r>
      <w:r>
        <w:rPr>
          <w:rFonts w:ascii="Cambria" w:eastAsia="Calibri" w:hAnsi="Cambria" w:cs="Vrinda"/>
          <w:kern w:val="0"/>
          <w:sz w:val="24"/>
          <w:lang w:val="en-US"/>
          <w14:ligatures w14:val="none"/>
        </w:rPr>
        <w:t xml:space="preserve">. Available at: https://group.accor.com/en/finance/results-and-publications/financial-result (Accessed: 20 January 2024). </w:t>
      </w:r>
    </w:p>
    <w:p w14:paraId="689CC3EF" w14:textId="77777777" w:rsidR="00D75148" w:rsidRDefault="00D75148" w:rsidP="00D75148">
      <w:pPr>
        <w:spacing w:line="360" w:lineRule="auto"/>
        <w:jc w:val="both"/>
        <w:rPr>
          <w:rFonts w:ascii="Cambria" w:eastAsia="Calibri" w:hAnsi="Cambria" w:cs="Vrinda"/>
          <w:kern w:val="0"/>
          <w:sz w:val="24"/>
          <w:lang w:val="en-US"/>
          <w14:ligatures w14:val="none"/>
        </w:rPr>
      </w:pPr>
      <w:proofErr w:type="spellStart"/>
      <w:r>
        <w:rPr>
          <w:rFonts w:ascii="Cambria" w:eastAsia="Calibri" w:hAnsi="Cambria" w:cs="Vrinda"/>
          <w:kern w:val="0"/>
          <w:sz w:val="24"/>
          <w:lang w:val="en-US"/>
          <w14:ligatures w14:val="none"/>
        </w:rPr>
        <w:t>Fontgalland</w:t>
      </w:r>
      <w:proofErr w:type="spellEnd"/>
      <w:r>
        <w:rPr>
          <w:rFonts w:ascii="Cambria" w:eastAsia="Calibri" w:hAnsi="Cambria" w:cs="Vrinda"/>
          <w:kern w:val="0"/>
          <w:sz w:val="24"/>
          <w:lang w:val="en-US"/>
          <w14:ligatures w14:val="none"/>
        </w:rPr>
        <w:t xml:space="preserve">, M.A. </w:t>
      </w:r>
      <w:r>
        <w:rPr>
          <w:rFonts w:ascii="Cambria" w:eastAsia="Calibri" w:hAnsi="Cambria" w:cs="Vrinda"/>
          <w:i/>
          <w:iCs/>
          <w:kern w:val="0"/>
          <w:sz w:val="24"/>
          <w:lang w:val="en-US"/>
          <w14:ligatures w14:val="none"/>
        </w:rPr>
        <w:t>et al.</w:t>
      </w:r>
      <w:r>
        <w:rPr>
          <w:rFonts w:ascii="Cambria" w:eastAsia="Calibri" w:hAnsi="Cambria" w:cs="Vrinda"/>
          <w:kern w:val="0"/>
          <w:sz w:val="24"/>
          <w:lang w:val="en-US"/>
          <w14:ligatures w14:val="none"/>
        </w:rPr>
        <w:t xml:space="preserve"> (2022) </w:t>
      </w:r>
      <w:r>
        <w:rPr>
          <w:rFonts w:ascii="Cambria" w:eastAsia="Calibri" w:hAnsi="Cambria" w:cs="Vrinda"/>
          <w:i/>
          <w:iCs/>
          <w:kern w:val="0"/>
          <w:sz w:val="24"/>
          <w:lang w:val="en-US"/>
          <w14:ligatures w14:val="none"/>
        </w:rPr>
        <w:t>Hotel Industry Relationship Marketing through Instagram social network in the COVID-19 pandemic crisis: Accor Brazil Hotel Chain Case Study</w:t>
      </w:r>
      <w:r>
        <w:rPr>
          <w:rFonts w:ascii="Cambria" w:eastAsia="Calibri" w:hAnsi="Cambria" w:cs="Vrinda"/>
          <w:kern w:val="0"/>
          <w:sz w:val="24"/>
          <w:lang w:val="en-US"/>
          <w14:ligatures w14:val="none"/>
        </w:rPr>
        <w:t xml:space="preserve"> [Preprint]. doi:10.31235/osf.io/bjdt8. </w:t>
      </w:r>
    </w:p>
    <w:p w14:paraId="61158CFA"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lastRenderedPageBreak/>
        <w:t xml:space="preserve">Kimes, S.E. and Ho, J. (2017) ‘Revenue management in luxury hotels’, </w:t>
      </w:r>
      <w:r>
        <w:rPr>
          <w:rFonts w:ascii="Cambria" w:eastAsia="Calibri" w:hAnsi="Cambria" w:cs="Vrinda"/>
          <w:i/>
          <w:iCs/>
          <w:kern w:val="0"/>
          <w:sz w:val="24"/>
          <w:lang w:val="en-US"/>
          <w14:ligatures w14:val="none"/>
        </w:rPr>
        <w:t>Journal of Revenue and Pricing Management</w:t>
      </w:r>
      <w:r>
        <w:rPr>
          <w:rFonts w:ascii="Cambria" w:eastAsia="Calibri" w:hAnsi="Cambria" w:cs="Vrinda"/>
          <w:kern w:val="0"/>
          <w:sz w:val="24"/>
          <w:lang w:val="en-US"/>
          <w14:ligatures w14:val="none"/>
        </w:rPr>
        <w:t xml:space="preserve">, 17(4), pp. 291–295. doi:10.1057/s41272-017-0113-1. </w:t>
      </w:r>
    </w:p>
    <w:p w14:paraId="12CE34E8" w14:textId="77777777" w:rsidR="00D75148" w:rsidRDefault="00D75148" w:rsidP="00D75148">
      <w:pPr>
        <w:spacing w:line="360" w:lineRule="auto"/>
        <w:jc w:val="both"/>
        <w:rPr>
          <w:rFonts w:ascii="Cambria" w:eastAsia="Calibri" w:hAnsi="Cambria" w:cs="Vrinda"/>
          <w:kern w:val="0"/>
          <w:sz w:val="24"/>
          <w:lang w:val="en-US"/>
          <w14:ligatures w14:val="none"/>
        </w:rPr>
      </w:pPr>
      <w:proofErr w:type="spellStart"/>
      <w:r>
        <w:rPr>
          <w:rFonts w:ascii="Cambria" w:eastAsia="Calibri" w:hAnsi="Cambria" w:cs="Vrinda"/>
          <w:kern w:val="0"/>
          <w:sz w:val="24"/>
          <w:lang w:val="en-US"/>
          <w14:ligatures w14:val="none"/>
        </w:rPr>
        <w:t>Koumelis</w:t>
      </w:r>
      <w:proofErr w:type="spellEnd"/>
      <w:r>
        <w:rPr>
          <w:rFonts w:ascii="Cambria" w:eastAsia="Calibri" w:hAnsi="Cambria" w:cs="Vrinda"/>
          <w:kern w:val="0"/>
          <w:sz w:val="24"/>
          <w:lang w:val="en-US"/>
          <w14:ligatures w14:val="none"/>
        </w:rPr>
        <w:t xml:space="preserve">, T. (2009) </w:t>
      </w:r>
      <w:r>
        <w:rPr>
          <w:rFonts w:ascii="Cambria" w:eastAsia="Calibri" w:hAnsi="Cambria" w:cs="Vrinda"/>
          <w:i/>
          <w:iCs/>
          <w:kern w:val="0"/>
          <w:sz w:val="24"/>
          <w:lang w:val="en-US"/>
          <w14:ligatures w14:val="none"/>
        </w:rPr>
        <w:t>Corinthia hotels continue worldwide expansion plans</w:t>
      </w:r>
      <w:r>
        <w:rPr>
          <w:rFonts w:ascii="Cambria" w:eastAsia="Calibri" w:hAnsi="Cambria" w:cs="Vrinda"/>
          <w:kern w:val="0"/>
          <w:sz w:val="24"/>
          <w:lang w:val="en-US"/>
          <w14:ligatures w14:val="none"/>
        </w:rPr>
        <w:t xml:space="preserve">, </w:t>
      </w:r>
      <w:proofErr w:type="spellStart"/>
      <w:r>
        <w:rPr>
          <w:rFonts w:ascii="Cambria" w:eastAsia="Calibri" w:hAnsi="Cambria" w:cs="Vrinda"/>
          <w:i/>
          <w:iCs/>
          <w:kern w:val="0"/>
          <w:sz w:val="24"/>
          <w:lang w:val="en-US"/>
          <w14:ligatures w14:val="none"/>
        </w:rPr>
        <w:t>TravelDailyNews</w:t>
      </w:r>
      <w:proofErr w:type="spellEnd"/>
      <w:r>
        <w:rPr>
          <w:rFonts w:ascii="Cambria" w:eastAsia="Calibri" w:hAnsi="Cambria" w:cs="Vrinda"/>
          <w:i/>
          <w:iCs/>
          <w:kern w:val="0"/>
          <w:sz w:val="24"/>
          <w:lang w:val="en-US"/>
          <w14:ligatures w14:val="none"/>
        </w:rPr>
        <w:t xml:space="preserve"> Asia &amp; Pacific</w:t>
      </w:r>
      <w:r>
        <w:rPr>
          <w:rFonts w:ascii="Cambria" w:eastAsia="Calibri" w:hAnsi="Cambria" w:cs="Vrinda"/>
          <w:kern w:val="0"/>
          <w:sz w:val="24"/>
          <w:lang w:val="en-US"/>
          <w14:ligatures w14:val="none"/>
        </w:rPr>
        <w:t xml:space="preserve">. Available at: https://www.traveldailynews.asia/asia-pacific/corinthia-hotels-continue-worldwide-expansion-plans/ (Accessed: 20 January 2024). </w:t>
      </w:r>
    </w:p>
    <w:p w14:paraId="0BD052D8"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O’Neill, S. (2022) </w:t>
      </w:r>
      <w:r>
        <w:rPr>
          <w:rFonts w:ascii="Cambria" w:eastAsia="Calibri" w:hAnsi="Cambria" w:cs="Vrinda"/>
          <w:i/>
          <w:iCs/>
          <w:kern w:val="0"/>
          <w:sz w:val="24"/>
          <w:lang w:val="en-US"/>
          <w14:ligatures w14:val="none"/>
        </w:rPr>
        <w:t>Accor is expanding hotel footprint in North America</w:t>
      </w:r>
      <w:r>
        <w:rPr>
          <w:rFonts w:ascii="Cambria" w:eastAsia="Calibri" w:hAnsi="Cambria" w:cs="Vrinda"/>
          <w:kern w:val="0"/>
          <w:sz w:val="24"/>
          <w:lang w:val="en-US"/>
          <w14:ligatures w14:val="none"/>
        </w:rPr>
        <w:t xml:space="preserve">, </w:t>
      </w:r>
      <w:r>
        <w:rPr>
          <w:rFonts w:ascii="Cambria" w:eastAsia="Calibri" w:hAnsi="Cambria" w:cs="Vrinda"/>
          <w:i/>
          <w:iCs/>
          <w:kern w:val="0"/>
          <w:sz w:val="24"/>
          <w:lang w:val="en-US"/>
          <w14:ligatures w14:val="none"/>
        </w:rPr>
        <w:t>Skift</w:t>
      </w:r>
      <w:r>
        <w:rPr>
          <w:rFonts w:ascii="Cambria" w:eastAsia="Calibri" w:hAnsi="Cambria" w:cs="Vrinda"/>
          <w:kern w:val="0"/>
          <w:sz w:val="24"/>
          <w:lang w:val="en-US"/>
          <w14:ligatures w14:val="none"/>
        </w:rPr>
        <w:t xml:space="preserve">. Available at: https://skift.com/2022/06/10/accor-is-expanding-hotel-footprint-in-north-america/ (Accessed: 20 January 2024). </w:t>
      </w:r>
    </w:p>
    <w:p w14:paraId="5206E28A"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Roques, H. (2012) ‘CSR in the hotel industry: The Accor Perspective’, </w:t>
      </w:r>
      <w:r>
        <w:rPr>
          <w:rFonts w:ascii="Cambria" w:eastAsia="Calibri" w:hAnsi="Cambria" w:cs="Vrinda"/>
          <w:i/>
          <w:iCs/>
          <w:kern w:val="0"/>
          <w:sz w:val="24"/>
          <w:lang w:val="en-US"/>
          <w14:ligatures w14:val="none"/>
        </w:rPr>
        <w:t>Responsible Business</w:t>
      </w:r>
      <w:r>
        <w:rPr>
          <w:rFonts w:ascii="Cambria" w:eastAsia="Calibri" w:hAnsi="Cambria" w:cs="Vrinda"/>
          <w:kern w:val="0"/>
          <w:sz w:val="24"/>
          <w:lang w:val="en-US"/>
          <w14:ligatures w14:val="none"/>
        </w:rPr>
        <w:t xml:space="preserve">, pp. 171–178. doi:10.1002/9781119206156.ch11. </w:t>
      </w:r>
    </w:p>
    <w:p w14:paraId="6D2D9934" w14:textId="77777777" w:rsidR="00D75148" w:rsidRDefault="00D75148" w:rsidP="00D75148">
      <w:pPr>
        <w:spacing w:line="360" w:lineRule="auto"/>
        <w:jc w:val="both"/>
        <w:rPr>
          <w:rFonts w:ascii="Cambria" w:eastAsia="Calibri" w:hAnsi="Cambria" w:cs="Vrinda"/>
          <w:kern w:val="0"/>
          <w:sz w:val="24"/>
          <w:lang w:val="en-US"/>
          <w14:ligatures w14:val="none"/>
        </w:rPr>
      </w:pPr>
      <w:proofErr w:type="spellStart"/>
      <w:r>
        <w:rPr>
          <w:rFonts w:ascii="Cambria" w:eastAsia="Calibri" w:hAnsi="Cambria" w:cs="Vrinda"/>
          <w:kern w:val="0"/>
          <w:sz w:val="24"/>
          <w:lang w:val="en-US"/>
          <w14:ligatures w14:val="none"/>
        </w:rPr>
        <w:t>Sarinastiti</w:t>
      </w:r>
      <w:proofErr w:type="spellEnd"/>
      <w:r>
        <w:rPr>
          <w:rFonts w:ascii="Cambria" w:eastAsia="Calibri" w:hAnsi="Cambria" w:cs="Vrinda"/>
          <w:kern w:val="0"/>
          <w:sz w:val="24"/>
          <w:lang w:val="en-US"/>
          <w14:ligatures w14:val="none"/>
        </w:rPr>
        <w:t xml:space="preserve">, E.N. and </w:t>
      </w:r>
      <w:proofErr w:type="spellStart"/>
      <w:r>
        <w:rPr>
          <w:rFonts w:ascii="Cambria" w:eastAsia="Calibri" w:hAnsi="Cambria" w:cs="Vrinda"/>
          <w:kern w:val="0"/>
          <w:sz w:val="24"/>
          <w:lang w:val="en-US"/>
          <w14:ligatures w14:val="none"/>
        </w:rPr>
        <w:t>Uljanatunnisa</w:t>
      </w:r>
      <w:proofErr w:type="spellEnd"/>
      <w:r>
        <w:rPr>
          <w:rFonts w:ascii="Cambria" w:eastAsia="Calibri" w:hAnsi="Cambria" w:cs="Vrinda"/>
          <w:kern w:val="0"/>
          <w:sz w:val="24"/>
          <w:lang w:val="en-US"/>
          <w14:ligatures w14:val="none"/>
        </w:rPr>
        <w:t xml:space="preserve">, U. (2020) ‘Strengthening e-branding strategy of Sharia Hotel in Indonesian Hotel Industry’, </w:t>
      </w:r>
      <w:r>
        <w:rPr>
          <w:rFonts w:ascii="Cambria" w:eastAsia="Calibri" w:hAnsi="Cambria" w:cs="Vrinda"/>
          <w:i/>
          <w:iCs/>
          <w:kern w:val="0"/>
          <w:sz w:val="24"/>
          <w:lang w:val="en-US"/>
          <w14:ligatures w14:val="none"/>
        </w:rPr>
        <w:t>International Journal of Applied Sciences in Tourism and Events</w:t>
      </w:r>
      <w:r>
        <w:rPr>
          <w:rFonts w:ascii="Cambria" w:eastAsia="Calibri" w:hAnsi="Cambria" w:cs="Vrinda"/>
          <w:kern w:val="0"/>
          <w:sz w:val="24"/>
          <w:lang w:val="en-US"/>
          <w14:ligatures w14:val="none"/>
        </w:rPr>
        <w:t>, 4(1), p. 48. doi:10.31940/</w:t>
      </w:r>
      <w:proofErr w:type="gramStart"/>
      <w:r>
        <w:rPr>
          <w:rFonts w:ascii="Cambria" w:eastAsia="Calibri" w:hAnsi="Cambria" w:cs="Vrinda"/>
          <w:kern w:val="0"/>
          <w:sz w:val="24"/>
          <w:lang w:val="en-US"/>
          <w14:ligatures w14:val="none"/>
        </w:rPr>
        <w:t>ijaste.v</w:t>
      </w:r>
      <w:proofErr w:type="gramEnd"/>
      <w:r>
        <w:rPr>
          <w:rFonts w:ascii="Cambria" w:eastAsia="Calibri" w:hAnsi="Cambria" w:cs="Vrinda"/>
          <w:kern w:val="0"/>
          <w:sz w:val="24"/>
          <w:lang w:val="en-US"/>
          <w14:ligatures w14:val="none"/>
        </w:rPr>
        <w:t xml:space="preserve">4i1.1910. </w:t>
      </w:r>
    </w:p>
    <w:p w14:paraId="095B4E43"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Saunders, T. (2022) </w:t>
      </w:r>
      <w:r>
        <w:rPr>
          <w:rFonts w:ascii="Cambria" w:eastAsia="Calibri" w:hAnsi="Cambria" w:cs="Vrinda"/>
          <w:i/>
          <w:iCs/>
          <w:kern w:val="0"/>
          <w:sz w:val="24"/>
          <w:lang w:val="en-US"/>
          <w14:ligatures w14:val="none"/>
        </w:rPr>
        <w:t>The Dark Horse of the Hotel World: Here’s Why It’s time to pay attention to Accor</w:t>
      </w:r>
      <w:r>
        <w:rPr>
          <w:rFonts w:ascii="Cambria" w:eastAsia="Calibri" w:hAnsi="Cambria" w:cs="Vrinda"/>
          <w:kern w:val="0"/>
          <w:sz w:val="24"/>
          <w:lang w:val="en-US"/>
          <w14:ligatures w14:val="none"/>
        </w:rPr>
        <w:t xml:space="preserve">, </w:t>
      </w:r>
      <w:r>
        <w:rPr>
          <w:rFonts w:ascii="Cambria" w:eastAsia="Calibri" w:hAnsi="Cambria" w:cs="Vrinda"/>
          <w:i/>
          <w:iCs/>
          <w:kern w:val="0"/>
          <w:sz w:val="24"/>
          <w:lang w:val="en-US"/>
          <w14:ligatures w14:val="none"/>
        </w:rPr>
        <w:t>The Points Guy</w:t>
      </w:r>
      <w:r>
        <w:rPr>
          <w:rFonts w:ascii="Cambria" w:eastAsia="Calibri" w:hAnsi="Cambria" w:cs="Vrinda"/>
          <w:kern w:val="0"/>
          <w:sz w:val="24"/>
          <w:lang w:val="en-US"/>
          <w14:ligatures w14:val="none"/>
        </w:rPr>
        <w:t xml:space="preserve">. Available at: https://thepointsguy.com/news/accor-hotel-growth/ (Accessed: 20 January 2024). </w:t>
      </w:r>
    </w:p>
    <w:p w14:paraId="0ED62940" w14:textId="77777777" w:rsidR="00D75148" w:rsidRDefault="00D75148" w:rsidP="00D75148">
      <w:pPr>
        <w:spacing w:line="360" w:lineRule="auto"/>
        <w:jc w:val="both"/>
        <w:rPr>
          <w:rFonts w:ascii="Cambria" w:eastAsia="Calibri" w:hAnsi="Cambria" w:cs="Vrinda"/>
          <w:kern w:val="0"/>
          <w:sz w:val="24"/>
          <w:lang w:val="en-US"/>
          <w14:ligatures w14:val="none"/>
        </w:rPr>
      </w:pPr>
      <w:r>
        <w:rPr>
          <w:rFonts w:ascii="Cambria" w:eastAsia="Calibri" w:hAnsi="Cambria" w:cs="Vrinda"/>
          <w:kern w:val="0"/>
          <w:sz w:val="24"/>
          <w:lang w:val="en-US"/>
          <w14:ligatures w14:val="none"/>
        </w:rPr>
        <w:t xml:space="preserve">Thomas, </w:t>
      </w:r>
      <w:proofErr w:type="gramStart"/>
      <w:r>
        <w:rPr>
          <w:rFonts w:ascii="Cambria" w:eastAsia="Calibri" w:hAnsi="Cambria" w:cs="Vrinda"/>
          <w:kern w:val="0"/>
          <w:sz w:val="24"/>
          <w:lang w:val="en-US"/>
          <w14:ligatures w14:val="none"/>
        </w:rPr>
        <w:t>N.</w:t>
      </w:r>
      <w:proofErr w:type="gramEnd"/>
      <w:r>
        <w:rPr>
          <w:rFonts w:ascii="Cambria" w:eastAsia="Calibri" w:hAnsi="Cambria" w:cs="Vrinda"/>
          <w:kern w:val="0"/>
          <w:sz w:val="24"/>
          <w:lang w:val="en-US"/>
          <w14:ligatures w14:val="none"/>
        </w:rPr>
        <w:t xml:space="preserve"> and Kumar, D.N.S. (2016) ‘Ethical beliefs and practices in hotel industry for value creation’, </w:t>
      </w:r>
      <w:r>
        <w:rPr>
          <w:rFonts w:ascii="Cambria" w:eastAsia="Calibri" w:hAnsi="Cambria" w:cs="Vrinda"/>
          <w:i/>
          <w:iCs/>
          <w:kern w:val="0"/>
          <w:sz w:val="24"/>
          <w:lang w:val="en-US"/>
          <w14:ligatures w14:val="none"/>
        </w:rPr>
        <w:t>KIMI Hospitality Research Journal</w:t>
      </w:r>
      <w:r>
        <w:rPr>
          <w:rFonts w:ascii="Cambria" w:eastAsia="Calibri" w:hAnsi="Cambria" w:cs="Vrinda"/>
          <w:kern w:val="0"/>
          <w:sz w:val="24"/>
          <w:lang w:val="en-US"/>
          <w14:ligatures w14:val="none"/>
        </w:rPr>
        <w:t>, 1(1). doi:10.21863/</w:t>
      </w:r>
      <w:proofErr w:type="spellStart"/>
      <w:r>
        <w:rPr>
          <w:rFonts w:ascii="Cambria" w:eastAsia="Calibri" w:hAnsi="Cambria" w:cs="Vrinda"/>
          <w:kern w:val="0"/>
          <w:sz w:val="24"/>
          <w:lang w:val="en-US"/>
          <w14:ligatures w14:val="none"/>
        </w:rPr>
        <w:t>khrj</w:t>
      </w:r>
      <w:proofErr w:type="spellEnd"/>
      <w:r>
        <w:rPr>
          <w:rFonts w:ascii="Cambria" w:eastAsia="Calibri" w:hAnsi="Cambria" w:cs="Vrinda"/>
          <w:kern w:val="0"/>
          <w:sz w:val="24"/>
          <w:lang w:val="en-US"/>
          <w14:ligatures w14:val="none"/>
        </w:rPr>
        <w:t>/2016.1.1.001</w:t>
      </w:r>
    </w:p>
    <w:p w14:paraId="48F9259C" w14:textId="77777777" w:rsidR="00D75148" w:rsidRDefault="00D75148" w:rsidP="00D75148">
      <w:pPr>
        <w:spacing w:after="0" w:line="360" w:lineRule="auto"/>
        <w:rPr>
          <w:rFonts w:ascii="Cambria" w:eastAsia="Calibri" w:hAnsi="Cambria" w:cs="Vrinda"/>
          <w:kern w:val="0"/>
          <w:sz w:val="24"/>
          <w:lang w:val="en-US"/>
          <w14:ligatures w14:val="none"/>
        </w:rPr>
        <w:sectPr w:rsidR="00D75148" w:rsidSect="00D75148">
          <w:pgSz w:w="12240" w:h="15840"/>
          <w:pgMar w:top="1440" w:right="1440" w:bottom="1440" w:left="1440" w:header="720" w:footer="720" w:gutter="0"/>
          <w:cols w:space="720"/>
        </w:sectPr>
      </w:pPr>
    </w:p>
    <w:p w14:paraId="4CD8122A" w14:textId="77777777" w:rsidR="00EC2C27" w:rsidRDefault="00EC2C27"/>
    <w:sectPr w:rsidR="00EC2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148"/>
    <w:rsid w:val="002F0F85"/>
    <w:rsid w:val="00D75148"/>
    <w:rsid w:val="00EC2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729EB"/>
  <w15:chartTrackingRefBased/>
  <w15:docId w15:val="{60B127D6-163A-42AD-8EC6-8C98B7554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148"/>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D75148"/>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148"/>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148"/>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148"/>
    <w:pPr>
      <w:keepNext/>
      <w:keepLines/>
      <w:spacing w:before="80" w:after="40" w:line="259"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75148"/>
    <w:pPr>
      <w:keepNext/>
      <w:keepLines/>
      <w:spacing w:before="80" w:after="40" w:line="259"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75148"/>
    <w:pPr>
      <w:keepNext/>
      <w:keepLines/>
      <w:spacing w:before="40" w:after="0" w:line="259"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5148"/>
    <w:pPr>
      <w:keepNext/>
      <w:keepLines/>
      <w:spacing w:before="40" w:after="0" w:line="259"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5148"/>
    <w:pPr>
      <w:keepNext/>
      <w:keepLines/>
      <w:spacing w:after="0" w:line="259"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5148"/>
    <w:pPr>
      <w:keepNext/>
      <w:keepLines/>
      <w:spacing w:after="0" w:line="259"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148"/>
    <w:rPr>
      <w:rFonts w:eastAsiaTheme="majorEastAsia" w:cstheme="majorBidi"/>
      <w:color w:val="272727" w:themeColor="text1" w:themeTint="D8"/>
    </w:rPr>
  </w:style>
  <w:style w:type="paragraph" w:styleId="Title">
    <w:name w:val="Title"/>
    <w:basedOn w:val="Normal"/>
    <w:next w:val="Normal"/>
    <w:link w:val="TitleChar"/>
    <w:uiPriority w:val="10"/>
    <w:qFormat/>
    <w:rsid w:val="00D75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148"/>
    <w:pPr>
      <w:numPr>
        <w:ilvl w:val="1"/>
      </w:numPr>
      <w:spacing w:line="259"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148"/>
    <w:pPr>
      <w:spacing w:before="160" w:line="259"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D75148"/>
    <w:rPr>
      <w:i/>
      <w:iCs/>
      <w:color w:val="404040" w:themeColor="text1" w:themeTint="BF"/>
    </w:rPr>
  </w:style>
  <w:style w:type="paragraph" w:styleId="ListParagraph">
    <w:name w:val="List Paragraph"/>
    <w:basedOn w:val="Normal"/>
    <w:uiPriority w:val="34"/>
    <w:qFormat/>
    <w:rsid w:val="00D75148"/>
    <w:pPr>
      <w:spacing w:line="259"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D75148"/>
    <w:rPr>
      <w:i/>
      <w:iCs/>
      <w:color w:val="0F4761" w:themeColor="accent1" w:themeShade="BF"/>
    </w:rPr>
  </w:style>
  <w:style w:type="paragraph" w:styleId="IntenseQuote">
    <w:name w:val="Intense Quote"/>
    <w:basedOn w:val="Normal"/>
    <w:next w:val="Normal"/>
    <w:link w:val="IntenseQuoteChar"/>
    <w:uiPriority w:val="30"/>
    <w:qFormat/>
    <w:rsid w:val="00D7514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D75148"/>
    <w:rPr>
      <w:i/>
      <w:iCs/>
      <w:color w:val="0F4761" w:themeColor="accent1" w:themeShade="BF"/>
    </w:rPr>
  </w:style>
  <w:style w:type="character" w:styleId="IntenseReference">
    <w:name w:val="Intense Reference"/>
    <w:basedOn w:val="DefaultParagraphFont"/>
    <w:uiPriority w:val="32"/>
    <w:qFormat/>
    <w:rsid w:val="00D75148"/>
    <w:rPr>
      <w:b/>
      <w:bCs/>
      <w:smallCaps/>
      <w:color w:val="0F4761" w:themeColor="accent1" w:themeShade="BF"/>
      <w:spacing w:val="5"/>
    </w:rPr>
  </w:style>
  <w:style w:type="character" w:styleId="Hyperlink">
    <w:name w:val="Hyperlink"/>
    <w:basedOn w:val="DefaultParagraphFont"/>
    <w:uiPriority w:val="99"/>
    <w:semiHidden/>
    <w:unhideWhenUsed/>
    <w:rsid w:val="00D751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74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6423aae04096ec20/Desktop/UNI%20work/2nd%20Term/Rezaul%20Rabbani%20Financial%20Management%20for%20the%20Hotel%20Industry%20Assignment%201.docx" TargetMode="External"/><Relationship Id="rId13" Type="http://schemas.openxmlformats.org/officeDocument/2006/relationships/hyperlink" Target="https://d.docs.live.net/6423aae04096ec20/Desktop/UNI%20work/2nd%20Term/Rezaul%20Rabbani%20Financial%20Management%20for%20the%20Hotel%20Industry%20Assignment%201.docx" TargetMode="External"/><Relationship Id="rId18" Type="http://schemas.openxmlformats.org/officeDocument/2006/relationships/hyperlink" Target="https://d.docs.live.net/6423aae04096ec20/Desktop/UNI%20work/2nd%20Term/Rezaul%20Rabbani%20Financial%20Management%20for%20the%20Hotel%20Industry%20Assignment%201.docx" TargetMode="External"/><Relationship Id="rId3" Type="http://schemas.openxmlformats.org/officeDocument/2006/relationships/webSettings" Target="webSettings.xml"/><Relationship Id="rId21" Type="http://schemas.openxmlformats.org/officeDocument/2006/relationships/hyperlink" Target="https://d.docs.live.net/6423aae04096ec20/Desktop/UNI%20work/2nd%20Term/Rezaul%20Rabbani%20Financial%20Management%20for%20the%20Hotel%20Industry%20Assignment%201.docx" TargetMode="External"/><Relationship Id="rId7" Type="http://schemas.openxmlformats.org/officeDocument/2006/relationships/hyperlink" Target="https://d.docs.live.net/6423aae04096ec20/Desktop/UNI%20work/2nd%20Term/Rezaul%20Rabbani%20Financial%20Management%20for%20the%20Hotel%20Industry%20Assignment%201.docx" TargetMode="External"/><Relationship Id="rId12" Type="http://schemas.openxmlformats.org/officeDocument/2006/relationships/hyperlink" Target="https://d.docs.live.net/6423aae04096ec20/Desktop/UNI%20work/2nd%20Term/Rezaul%20Rabbani%20Financial%20Management%20for%20the%20Hotel%20Industry%20Assignment%201.docx" TargetMode="External"/><Relationship Id="rId17" Type="http://schemas.openxmlformats.org/officeDocument/2006/relationships/hyperlink" Target="https://d.docs.live.net/6423aae04096ec20/Desktop/UNI%20work/2nd%20Term/Rezaul%20Rabbani%20Financial%20Management%20for%20the%20Hotel%20Industry%20Assignment%201.docx" TargetMode="External"/><Relationship Id="rId2" Type="http://schemas.openxmlformats.org/officeDocument/2006/relationships/settings" Target="settings.xml"/><Relationship Id="rId16" Type="http://schemas.openxmlformats.org/officeDocument/2006/relationships/hyperlink" Target="https://d.docs.live.net/6423aae04096ec20/Desktop/UNI%20work/2nd%20Term/Rezaul%20Rabbani%20Financial%20Management%20for%20the%20Hotel%20Industry%20Assignment%201.docx" TargetMode="External"/><Relationship Id="rId20" Type="http://schemas.openxmlformats.org/officeDocument/2006/relationships/hyperlink" Target="https://d.docs.live.net/6423aae04096ec20/Desktop/UNI%20work/2nd%20Term/Rezaul%20Rabbani%20Financial%20Management%20for%20the%20Hotel%20Industry%20Assignment%201.docx" TargetMode="External"/><Relationship Id="rId1" Type="http://schemas.openxmlformats.org/officeDocument/2006/relationships/styles" Target="styles.xml"/><Relationship Id="rId6" Type="http://schemas.openxmlformats.org/officeDocument/2006/relationships/hyperlink" Target="https://d.docs.live.net/6423aae04096ec20/Desktop/UNI%20work/2nd%20Term/Rezaul%20Rabbani%20Financial%20Management%20for%20the%20Hotel%20Industry%20Assignment%201.docx" TargetMode="External"/><Relationship Id="rId11" Type="http://schemas.openxmlformats.org/officeDocument/2006/relationships/hyperlink" Target="https://d.docs.live.net/6423aae04096ec20/Desktop/UNI%20work/2nd%20Term/Rezaul%20Rabbani%20Financial%20Management%20for%20the%20Hotel%20Industry%20Assignment%201.docx" TargetMode="External"/><Relationship Id="rId5" Type="http://schemas.openxmlformats.org/officeDocument/2006/relationships/hyperlink" Target="https://d.docs.live.net/6423aae04096ec20/Desktop/UNI%20work/2nd%20Term/Rezaul%20Rabbani%20Financial%20Management%20for%20the%20Hotel%20Industry%20Assignment%201.docx" TargetMode="External"/><Relationship Id="rId15" Type="http://schemas.openxmlformats.org/officeDocument/2006/relationships/hyperlink" Target="https://d.docs.live.net/6423aae04096ec20/Desktop/UNI%20work/2nd%20Term/Rezaul%20Rabbani%20Financial%20Management%20for%20the%20Hotel%20Industry%20Assignment%201.docx" TargetMode="External"/><Relationship Id="rId23" Type="http://schemas.openxmlformats.org/officeDocument/2006/relationships/theme" Target="theme/theme1.xml"/><Relationship Id="rId10" Type="http://schemas.openxmlformats.org/officeDocument/2006/relationships/hyperlink" Target="https://d.docs.live.net/6423aae04096ec20/Desktop/UNI%20work/2nd%20Term/Rezaul%20Rabbani%20Financial%20Management%20for%20the%20Hotel%20Industry%20Assignment%201.docx" TargetMode="External"/><Relationship Id="rId19" Type="http://schemas.openxmlformats.org/officeDocument/2006/relationships/hyperlink" Target="https://d.docs.live.net/6423aae04096ec20/Desktop/UNI%20work/2nd%20Term/Rezaul%20Rabbani%20Financial%20Management%20for%20the%20Hotel%20Industry%20Assignment%201.docx" TargetMode="External"/><Relationship Id="rId4" Type="http://schemas.openxmlformats.org/officeDocument/2006/relationships/hyperlink" Target="https://d.docs.live.net/6423aae04096ec20/Desktop/UNI%20work/2nd%20Term/Rezaul%20Rabbani%20Financial%20Management%20for%20the%20Hotel%20Industry%20Assignment%201.docx" TargetMode="External"/><Relationship Id="rId9" Type="http://schemas.openxmlformats.org/officeDocument/2006/relationships/hyperlink" Target="https://d.docs.live.net/6423aae04096ec20/Desktop/UNI%20work/2nd%20Term/Rezaul%20Rabbani%20Financial%20Management%20for%20the%20Hotel%20Industry%20Assignment%201.docx" TargetMode="External"/><Relationship Id="rId14" Type="http://schemas.openxmlformats.org/officeDocument/2006/relationships/hyperlink" Target="https://d.docs.live.net/6423aae04096ec20/Desktop/UNI%20work/2nd%20Term/Rezaul%20Rabbani%20Financial%20Management%20for%20the%20Hotel%20Industry%20Assignment%201.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3311</Words>
  <Characters>18875</Characters>
  <Application>Microsoft Office Word</Application>
  <DocSecurity>0</DocSecurity>
  <Lines>157</Lines>
  <Paragraphs>44</Paragraphs>
  <ScaleCrop>false</ScaleCrop>
  <Company/>
  <LinksUpToDate>false</LinksUpToDate>
  <CharactersWithSpaces>22142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Rezaul Rabbani</dc:creator>
  <cp:keywords/>
  <dc:description/>
  <cp:lastModifiedBy>Rezaul Rabbani</cp:lastModifiedBy>
  <cp:revision>1</cp:revision>
  <dcterms:created xsi:type="dcterms:W3CDTF">2024-01-23T10:43:00Z</dcterms:created>
  <dcterms:modified xsi:type="dcterms:W3CDTF">2024-01-23T10:46:00Z</dcterms:modified>
</cp:coreProperties>
</file>