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3B8D8" w14:textId="0DD91262" w:rsidR="006A6CF5" w:rsidRDefault="00836160">
      <w:r>
        <w:t xml:space="preserve">Name: </w:t>
      </w:r>
      <w:proofErr w:type="spellStart"/>
      <w:r>
        <w:t>Parvin</w:t>
      </w:r>
      <w:proofErr w:type="spellEnd"/>
      <w:r>
        <w:t xml:space="preserve"> Ali</w:t>
      </w:r>
    </w:p>
    <w:p w14:paraId="15A45BF9" w14:textId="6431A84E" w:rsidR="00836160" w:rsidRDefault="00836160">
      <w:r>
        <w:t>Student Number: 25</w:t>
      </w:r>
      <w:r w:rsidR="002F4657">
        <w:t>05148</w:t>
      </w:r>
    </w:p>
    <w:p w14:paraId="467577E1" w14:textId="6EE03BC9" w:rsidR="002F4657" w:rsidRDefault="002E2A3C">
      <w:r>
        <w:t xml:space="preserve">Module: Introduction to Public Health </w:t>
      </w:r>
    </w:p>
    <w:p w14:paraId="7E029D5E" w14:textId="0740C3DA" w:rsidR="002E2A3C" w:rsidRDefault="002E2A3C">
      <w:r>
        <w:t>Module Code: LCH</w:t>
      </w:r>
      <w:r w:rsidR="00C81966">
        <w:t>S 4008</w:t>
      </w:r>
    </w:p>
    <w:p w14:paraId="33E1CA9E" w14:textId="730DF4E6" w:rsidR="00C81966" w:rsidRDefault="00C81966">
      <w:r>
        <w:t xml:space="preserve">Module Leader: Vivian </w:t>
      </w:r>
      <w:proofErr w:type="spellStart"/>
      <w:r>
        <w:t>Osu</w:t>
      </w:r>
      <w:r w:rsidR="00FC5093">
        <w:t>chukwu</w:t>
      </w:r>
      <w:proofErr w:type="spellEnd"/>
    </w:p>
    <w:p w14:paraId="363BF273" w14:textId="1244F928" w:rsidR="00FC5093" w:rsidRDefault="00FC5093">
      <w:r>
        <w:t>Lung Cancer</w:t>
      </w:r>
    </w:p>
    <w:p w14:paraId="37C01DE4" w14:textId="77777777" w:rsidR="006A6CF5" w:rsidRDefault="006A6CF5"/>
    <w:p w14:paraId="324F5F19" w14:textId="77777777" w:rsidR="006A6CF5" w:rsidRDefault="006A6CF5"/>
    <w:p w14:paraId="6064681B" w14:textId="77777777" w:rsidR="006A6CF5" w:rsidRDefault="006A6CF5"/>
    <w:p w14:paraId="5A26A800" w14:textId="77777777" w:rsidR="006A6CF5" w:rsidRDefault="006A6CF5"/>
    <w:p w14:paraId="04698483" w14:textId="77777777" w:rsidR="006A6CF5" w:rsidRDefault="006A6CF5"/>
    <w:p w14:paraId="18F8A289" w14:textId="77777777" w:rsidR="006A6CF5" w:rsidRDefault="006A6CF5"/>
    <w:p w14:paraId="6F7F2F40" w14:textId="77777777" w:rsidR="006A6CF5" w:rsidRDefault="006A6CF5"/>
    <w:p w14:paraId="4F010DAA" w14:textId="77777777" w:rsidR="006A6CF5" w:rsidRDefault="006A6CF5"/>
    <w:p w14:paraId="2B15CC83" w14:textId="77777777" w:rsidR="006A6CF5" w:rsidRDefault="006A6CF5"/>
    <w:p w14:paraId="6669B9B4" w14:textId="77777777" w:rsidR="006A6CF5" w:rsidRDefault="006A6CF5"/>
    <w:p w14:paraId="606DC5FB" w14:textId="77777777" w:rsidR="006A6CF5" w:rsidRDefault="006A6CF5"/>
    <w:p w14:paraId="39FD79A8" w14:textId="77777777" w:rsidR="006A6CF5" w:rsidRDefault="006A6CF5"/>
    <w:p w14:paraId="0B898ABA" w14:textId="77777777" w:rsidR="006A6CF5" w:rsidRDefault="006A6CF5"/>
    <w:p w14:paraId="0D2A2E4C" w14:textId="77777777" w:rsidR="006A6CF5" w:rsidRDefault="006A6CF5"/>
    <w:p w14:paraId="50602CE8" w14:textId="77777777" w:rsidR="006A6CF5" w:rsidRDefault="006A6CF5"/>
    <w:p w14:paraId="7F7C8A27" w14:textId="77777777" w:rsidR="006A6CF5" w:rsidRDefault="006A6CF5"/>
    <w:p w14:paraId="3A5B068A" w14:textId="77777777" w:rsidR="006A6CF5" w:rsidRDefault="006A6CF5"/>
    <w:p w14:paraId="6F1F0553" w14:textId="77777777" w:rsidR="006A6CF5" w:rsidRDefault="006A6CF5"/>
    <w:p w14:paraId="19F2FE05" w14:textId="77777777" w:rsidR="006A6CF5" w:rsidRDefault="006A6CF5"/>
    <w:p w14:paraId="3678D71E" w14:textId="77777777" w:rsidR="006A6CF5" w:rsidRDefault="006A6CF5"/>
    <w:p w14:paraId="646A7623" w14:textId="77777777" w:rsidR="006A6CF5" w:rsidRDefault="006A6CF5"/>
    <w:p w14:paraId="51C20C70" w14:textId="77777777" w:rsidR="006A6CF5" w:rsidRDefault="006A6CF5"/>
    <w:p w14:paraId="2C14CEB0" w14:textId="130757B3" w:rsidR="006A6CF5" w:rsidRPr="00370BA0" w:rsidRDefault="006A6CF5" w:rsidP="00991727">
      <w:pPr>
        <w:spacing w:line="360" w:lineRule="auto"/>
        <w:rPr>
          <w:rFonts w:ascii="Arial" w:hAnsi="Arial" w:cs="Arial"/>
          <w:b/>
          <w:bCs/>
          <w:u w:val="single"/>
        </w:rPr>
      </w:pPr>
      <w:r w:rsidRPr="00370BA0">
        <w:rPr>
          <w:rFonts w:ascii="Arial" w:hAnsi="Arial" w:cs="Arial"/>
          <w:b/>
          <w:bCs/>
          <w:u w:val="single"/>
        </w:rPr>
        <w:lastRenderedPageBreak/>
        <w:t xml:space="preserve">Lung </w:t>
      </w:r>
      <w:r w:rsidR="00FC5093">
        <w:rPr>
          <w:rFonts w:ascii="Arial" w:hAnsi="Arial" w:cs="Arial"/>
          <w:b/>
          <w:bCs/>
          <w:u w:val="single"/>
        </w:rPr>
        <w:t>Cancer</w:t>
      </w:r>
    </w:p>
    <w:p w14:paraId="3549FD45" w14:textId="77777777" w:rsidR="006A6CF5" w:rsidRPr="0066172E" w:rsidRDefault="006A6CF5" w:rsidP="00991727">
      <w:pPr>
        <w:spacing w:line="360" w:lineRule="auto"/>
        <w:rPr>
          <w:rFonts w:ascii="Arial" w:eastAsia="Times New Roman" w:hAnsi="Arial" w:cs="Arial"/>
          <w:color w:val="0A0A0A"/>
          <w:kern w:val="0"/>
          <w14:ligatures w14:val="none"/>
        </w:rPr>
      </w:pPr>
      <w:r w:rsidRPr="0066172E">
        <w:rPr>
          <w:rFonts w:ascii="Arial" w:hAnsi="Arial" w:cs="Arial"/>
        </w:rPr>
        <w:t>Lung cancer is a</w:t>
      </w:r>
      <w:r w:rsidRPr="0066172E">
        <w:rPr>
          <w:rFonts w:ascii="Arial" w:eastAsia="Times New Roman" w:hAnsi="Arial" w:cs="Arial"/>
          <w:color w:val="0A0A0A"/>
          <w:kern w:val="0"/>
          <w14:ligatures w14:val="none"/>
        </w:rPr>
        <w:t xml:space="preserve"> disease in which rare cells in the lungs spread like wildfire, forming tumours that can obstruct with the normal purpose of the lungs. The lungs are the organs in control of breathing and exchanging oxygen and carbon dioxide in the body. When cancer increases, these abnormal cells invade nearby tissues or spread to other parts of the body, such as the brain, liver, bones, or lymph nodes. </w:t>
      </w:r>
    </w:p>
    <w:p w14:paraId="728616E8" w14:textId="77777777" w:rsidR="006A6CF5" w:rsidRPr="0066172E" w:rsidRDefault="006A6CF5" w:rsidP="00991727">
      <w:pPr>
        <w:spacing w:line="360" w:lineRule="auto"/>
        <w:rPr>
          <w:rFonts w:ascii="Arial" w:hAnsi="Arial" w:cs="Arial"/>
        </w:rPr>
      </w:pPr>
      <w:r w:rsidRPr="0066172E">
        <w:rPr>
          <w:rFonts w:ascii="Arial" w:hAnsi="Arial" w:cs="Arial"/>
        </w:rPr>
        <w:t>Signs and symptoms of lung cancer often have no symptoms in first stages. Signs can include persistent coughing, coughing up blood, shortness of breath, chest pains, unexplained weight loss, fatigue or lack of energy, also recurrent chest infections. Around 49,000 new cases per year (130 per day.</w:t>
      </w:r>
    </w:p>
    <w:p w14:paraId="1D29B021" w14:textId="77777777" w:rsidR="006A6CF5" w:rsidRDefault="006A6CF5" w:rsidP="00991727">
      <w:pPr>
        <w:spacing w:line="360" w:lineRule="auto"/>
        <w:rPr>
          <w:rFonts w:ascii="Arial" w:hAnsi="Arial" w:cs="Arial"/>
        </w:rPr>
      </w:pPr>
      <w:r w:rsidRPr="0066172E">
        <w:rPr>
          <w:rFonts w:ascii="Arial" w:hAnsi="Arial" w:cs="Arial"/>
        </w:rPr>
        <w:t xml:space="preserve">Lung cancer is the most common cancer in the uk.  Around 32,800 deaths per year. Only about 11% survive 10 years or more. </w:t>
      </w:r>
    </w:p>
    <w:p w14:paraId="6356A067" w14:textId="77777777" w:rsidR="006A6CF5" w:rsidRPr="0066172E" w:rsidRDefault="006A6CF5" w:rsidP="00991727">
      <w:pPr>
        <w:spacing w:line="360" w:lineRule="auto"/>
        <w:rPr>
          <w:rFonts w:ascii="Arial" w:hAnsi="Arial" w:cs="Arial"/>
          <w:color w:val="000000"/>
          <w:kern w:val="0"/>
          <w14:ligatures w14:val="none"/>
        </w:rPr>
      </w:pPr>
      <w:r w:rsidRPr="0066172E">
        <w:rPr>
          <w:rFonts w:ascii="Arial" w:hAnsi="Arial" w:cs="Arial"/>
          <w:color w:val="000000"/>
        </w:rPr>
        <w:t xml:space="preserve">Measuring lung cancer requires multiple complementary strategies that evaluate </w:t>
      </w:r>
      <w:proofErr w:type="spellStart"/>
      <w:r w:rsidRPr="0066172E">
        <w:rPr>
          <w:rFonts w:ascii="Arial" w:hAnsi="Arial" w:cs="Arial"/>
          <w:color w:val="000000"/>
        </w:rPr>
        <w:t>tumo</w:t>
      </w:r>
      <w:r>
        <w:rPr>
          <w:rFonts w:ascii="Arial" w:hAnsi="Arial" w:cs="Arial"/>
          <w:color w:val="000000"/>
        </w:rPr>
        <w:t>r</w:t>
      </w:r>
      <w:proofErr w:type="spellEnd"/>
      <w:r w:rsidRPr="0066172E">
        <w:rPr>
          <w:rFonts w:ascii="Arial" w:hAnsi="Arial" w:cs="Arial"/>
          <w:color w:val="000000"/>
        </w:rPr>
        <w:t xml:space="preserve"> presence, size, spread, and biological traits. Imaging procedures are central to detection and monitoring. Chest X-rays are often the first step but have limited sensitivity. Computed tomography (CT), particularly low-dose CT, is widely used for screening high-risk populations and for evaluating </w:t>
      </w:r>
      <w:proofErr w:type="spellStart"/>
      <w:r w:rsidRPr="0066172E">
        <w:rPr>
          <w:rFonts w:ascii="Arial" w:hAnsi="Arial" w:cs="Arial"/>
          <w:color w:val="000000"/>
        </w:rPr>
        <w:t>tumor</w:t>
      </w:r>
      <w:proofErr w:type="spellEnd"/>
      <w:r w:rsidRPr="0066172E">
        <w:rPr>
          <w:rFonts w:ascii="Arial" w:hAnsi="Arial" w:cs="Arial"/>
          <w:color w:val="000000"/>
        </w:rPr>
        <w:t xml:space="preserve"> size and location. Positron emission tomography (PET), often integrated with CT (PET-CT), measures metabolic activity and helps differentiate malignant from benign lesions as well as distinguish metastases (National Cancer Institute, 2023).</w:t>
      </w:r>
    </w:p>
    <w:p w14:paraId="0D547506"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t>Histopathological assessment is still the gold standard for diagnosis. Tissue samples bought via biopsy—such as bronchoscopy, needle biopsy, or surgical resection—are examined microscopically to verify malignancy and prove cancer subtype (e.g., non-small cell vs small cell lung cancer). This method also allows grading and staging, which are crucial for treatment planning (World Health Organisation, 2021).</w:t>
      </w:r>
    </w:p>
    <w:p w14:paraId="7C1A2657"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t xml:space="preserve">Molecular and biomarker testing has become progressively essential. Genetic profiling of </w:t>
      </w:r>
      <w:proofErr w:type="spellStart"/>
      <w:r w:rsidRPr="0066172E">
        <w:rPr>
          <w:rFonts w:ascii="Arial" w:hAnsi="Arial" w:cs="Arial"/>
          <w:color w:val="000000"/>
        </w:rPr>
        <w:t>tumor</w:t>
      </w:r>
      <w:proofErr w:type="spellEnd"/>
      <w:r w:rsidRPr="0066172E">
        <w:rPr>
          <w:rFonts w:ascii="Arial" w:hAnsi="Arial" w:cs="Arial"/>
          <w:color w:val="000000"/>
        </w:rPr>
        <w:t xml:space="preserve"> tissue recognises mutations in genes such as EGFR, ALK, and KRAS, guiding targeted therapies. Liquid biopsies, which analyse circulating </w:t>
      </w:r>
      <w:proofErr w:type="spellStart"/>
      <w:r w:rsidRPr="0066172E">
        <w:rPr>
          <w:rFonts w:ascii="Arial" w:hAnsi="Arial" w:cs="Arial"/>
          <w:color w:val="000000"/>
        </w:rPr>
        <w:t>tumor</w:t>
      </w:r>
      <w:proofErr w:type="spellEnd"/>
      <w:r w:rsidRPr="0066172E">
        <w:rPr>
          <w:rFonts w:ascii="Arial" w:hAnsi="Arial" w:cs="Arial"/>
          <w:color w:val="000000"/>
        </w:rPr>
        <w:t xml:space="preserve"> DNA (</w:t>
      </w:r>
      <w:proofErr w:type="spellStart"/>
      <w:r w:rsidRPr="0066172E">
        <w:rPr>
          <w:rFonts w:ascii="Arial" w:hAnsi="Arial" w:cs="Arial"/>
          <w:color w:val="000000"/>
        </w:rPr>
        <w:t>ctDNA</w:t>
      </w:r>
      <w:proofErr w:type="spellEnd"/>
      <w:r w:rsidRPr="0066172E">
        <w:rPr>
          <w:rFonts w:ascii="Arial" w:hAnsi="Arial" w:cs="Arial"/>
          <w:color w:val="000000"/>
        </w:rPr>
        <w:t>) in blood, provide a slightly aggressive approach to monitor disease progression and treatment response (</w:t>
      </w:r>
      <w:proofErr w:type="spellStart"/>
      <w:r w:rsidRPr="0066172E">
        <w:rPr>
          <w:rFonts w:ascii="Arial" w:hAnsi="Arial" w:cs="Arial"/>
          <w:color w:val="000000"/>
        </w:rPr>
        <w:t>Rolfo</w:t>
      </w:r>
      <w:proofErr w:type="spellEnd"/>
      <w:r w:rsidRPr="0066172E">
        <w:rPr>
          <w:rFonts w:ascii="Arial" w:hAnsi="Arial" w:cs="Arial"/>
          <w:color w:val="000000"/>
        </w:rPr>
        <w:t xml:space="preserve"> et al., 2018).</w:t>
      </w:r>
    </w:p>
    <w:p w14:paraId="123DDC88"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lastRenderedPageBreak/>
        <w:t xml:space="preserve">Pulmonary function tests (PFTs) are also used, not to discover cancer directly, but to assess lung volume and purpose before treatment, especially surgery. These tests help determine whether a patient can endure </w:t>
      </w:r>
      <w:proofErr w:type="spellStart"/>
      <w:r w:rsidRPr="0066172E">
        <w:rPr>
          <w:rFonts w:ascii="Arial" w:hAnsi="Arial" w:cs="Arial"/>
          <w:color w:val="000000"/>
        </w:rPr>
        <w:t>tumor</w:t>
      </w:r>
      <w:proofErr w:type="spellEnd"/>
      <w:r w:rsidRPr="0066172E">
        <w:rPr>
          <w:rFonts w:ascii="Arial" w:hAnsi="Arial" w:cs="Arial"/>
          <w:color w:val="000000"/>
        </w:rPr>
        <w:t xml:space="preserve"> resection (American Thoracic Society, 2020).</w:t>
      </w:r>
    </w:p>
    <w:p w14:paraId="6A4209B9"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t>Lung cancer control includes a mixture of avoidance, early identification, and treatment strategies directed at decreasing incidence, enhancing survival, and upgrading standard of life. The most important approach to managing lung cancer is primary prevention, particularly reducing exposure to uncertainty factors such as tobacco smoke. Smoking is accountable for approximately 85% of lung cancer cases, and public health measures such as smoking cessation programs, taxation, and advertising restrictions have been shown to significantly lessen smoking prevalence (World Health Organisation, 2023). In addition, diminishing exposure to environmental carcinogens like radon gas, asbestos, and air pollution also contributes to prevention.</w:t>
      </w:r>
    </w:p>
    <w:p w14:paraId="027BE084"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t>Secondary avoidance focuses on early breakthrough through screening. Low-dose computed tomography (LDCT) scans are suggested for high-risk populations, particularly long-term smokers. Proof suggests that LDCT screening can reduce lung cancer mortality by enabling diagnosis at earlier, more treatable stages (National Lung Screening Trial Research Team, 2011). Early-stage detection increases the likelihood of successful surgical intervention and boosts overall prognosis.</w:t>
      </w:r>
    </w:p>
    <w:p w14:paraId="6560E76A"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t>Treatment plays a vital role in controlling lung cancer progression. The choice of treatment depends on the type (non-small cell or small cell lung cancer), stage, and patient health. Common treatment modalities include surgery, chemotherapy, radiotherapy, targeted therapy, and immunotherapy. Targeted therapies, such as epidermal growth factor receptor (EGFR) inhibitors, focus on specific genetic mutations within cancer cells, improving treatment accuracy and decreasing side effects (Herbst et al., 2018). Immunotherapy, which improves the body’s immune response against cancer cells, has also shown hopeful results in advanced lung cancer cases.</w:t>
      </w:r>
    </w:p>
    <w:p w14:paraId="519AC7F1" w14:textId="77777777" w:rsidR="006A6CF5" w:rsidRPr="0066172E" w:rsidRDefault="006A6CF5" w:rsidP="00991727">
      <w:pPr>
        <w:pStyle w:val="NormalWeb"/>
        <w:spacing w:line="360" w:lineRule="auto"/>
        <w:rPr>
          <w:rStyle w:val="Strong"/>
          <w:rFonts w:ascii="Arial" w:hAnsi="Arial" w:cs="Arial"/>
          <w:b w:val="0"/>
          <w:bCs w:val="0"/>
          <w:color w:val="000000"/>
        </w:rPr>
      </w:pPr>
      <w:r w:rsidRPr="0066172E">
        <w:rPr>
          <w:rFonts w:ascii="Arial" w:hAnsi="Arial" w:cs="Arial"/>
          <w:color w:val="000000"/>
        </w:rPr>
        <w:t xml:space="preserve">Palliative care is another vital part, focusing to soothe symptoms and improve quality of life for patients with advanced disease. Overall, successful lung cancer control </w:t>
      </w:r>
      <w:r w:rsidRPr="0066172E">
        <w:rPr>
          <w:rFonts w:ascii="Arial" w:hAnsi="Arial" w:cs="Arial"/>
          <w:color w:val="000000"/>
        </w:rPr>
        <w:lastRenderedPageBreak/>
        <w:t>requires an integrated approach combining public health policies, medical advancements, and patient-centred care.</w:t>
      </w:r>
    </w:p>
    <w:p w14:paraId="39F551C0"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Lung cancer has profound consequences not only for individuals confirmed with the disease but also for families, healthcare systems, and the wider community. It is one of the leading causes of cancer-related mortality worldwide, contributing to important physical, emotional, social, and economic burdens (World Health Organisation, 2023).</w:t>
      </w:r>
    </w:p>
    <w:p w14:paraId="134E0D7E"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At the individual level, lung cancer severely impacts physical health. Symptoms such as persistent cough, breathlessness, fatigue, and pain can reduce a person’s ability to carry out daily activities, leading to a decreased quality of life (Cancer Research UK, 2024). Treatments including chemotherapy, radiotherapy, and surgery often create debilitating side effects, further influencing wellbeing. In advanced stages, patients may experience loss of freedom and require long-term care.</w:t>
      </w:r>
    </w:p>
    <w:p w14:paraId="34684CFA"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Psychologically, a diagnosis of lung cancer relates to anxiety, depression, and emotional distress. Stigma is also common, especially because the disease is strongly joined to smoking. This can lead to feelings of guilt or blame, potentially discouraging individuals from seeking prompt medical help or social support (Chambers et al., 2012).</w:t>
      </w:r>
    </w:p>
    <w:p w14:paraId="205DE11F"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Families and caregivers are also considerably influenced. They often experience sensitive stress, financial pressure, and caregiver burden as they support nearest and dearest through treatment and end-of-life care. Loss of income due to illness or caregiving obligations can additionally worsen socioeconomic complications.</w:t>
      </w:r>
    </w:p>
    <w:p w14:paraId="4C9234FB"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At the community level, lung cancer places a considerable burden on healthcare services. The cost of diagnosis, treatment, and palliative care is high, straining public health supplies. Additionally, premature mortality reduces workforce productivity and expands dependency ratios, affecting economic stability (OECD, 2022).</w:t>
      </w:r>
    </w:p>
    <w:p w14:paraId="20076F68"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 xml:space="preserve">Public health consequences are also notable. High frequency of lung cancer proves continuous challenges such as smoking rates, air pollution, and occupational </w:t>
      </w:r>
      <w:r w:rsidRPr="0066172E">
        <w:rPr>
          <w:rFonts w:ascii="Arial" w:hAnsi="Arial" w:cs="Arial"/>
          <w:color w:val="000000"/>
          <w:kern w:val="0"/>
          <w14:ligatures w14:val="none"/>
        </w:rPr>
        <w:lastRenderedPageBreak/>
        <w:t>hazards. This features inequalities, as disadvantaged communities often have higher exposure to risk factors and poorer health results.</w:t>
      </w:r>
    </w:p>
    <w:p w14:paraId="5849A3AC"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Individuals affected by lung cancer need a broad range of integrated health and social care services within the community to address their complex physical, psychological, and social needs. These services aim to better quality of life, support treatment adherence, and supply holistic, person-centred care.</w:t>
      </w:r>
    </w:p>
    <w:p w14:paraId="1C18F4D9"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Firstly, primary and community healthcare services are essential. General practitioners (GPs) play a significant role in arranging care, managing symptoms, and referring patients to specialist services such as oncology and respiratory teams. Community and specialist nurses, particularly lung cancer clinical nurse specialists (CNS), offer ongoing support, education, and act as key contacts for patients and families.  Additionally, community-based professionals such as physiotherapists and occupational therapists help patients support mobility, manage breathlessness, and adjust to daily living activities.</w:t>
      </w:r>
    </w:p>
    <w:p w14:paraId="0475E9E0"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Secondly, palliative, and end-of-life care services are needed, particularly for advanced lung cancer. Community palliative care teams, including specialist nurses and organisations such as Marie Curie, provide symptom control (e.g., pain and breathlessness), psychological support, and end-of-life care within the home environment. These services also aid carers by offering respite and guidance.</w:t>
      </w:r>
    </w:p>
    <w:p w14:paraId="3A99DCF7"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Thirdly, psychological, and emotional support services are crucial due to the distress associated with diagnosis and treatment. Counselling, helplines, and peer-support groups—such as those offered by charities—help decrease isolation and improve coping strategies. Support groups enable individuals to share incidents, gain emotional validation, and access practical advice. National organisations like Macmillan and Asthma + Lung UK provide helplines, online communities, and information resources.</w:t>
      </w:r>
    </w:p>
    <w:p w14:paraId="3BBEB81D"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 xml:space="preserve">Fourthly, social care services address practical and socioeconomic needs. Social workers analyse patients’ living conditions and plan services such as home care, personal care aid, meal provision, and home adaptations. They also deliver financial </w:t>
      </w:r>
      <w:r w:rsidRPr="0066172E">
        <w:rPr>
          <w:rFonts w:ascii="Arial" w:hAnsi="Arial" w:cs="Arial"/>
          <w:color w:val="000000"/>
          <w:kern w:val="0"/>
          <w14:ligatures w14:val="none"/>
        </w:rPr>
        <w:lastRenderedPageBreak/>
        <w:t>advice and help patients access welfare benefits or grants, which is exceptionally important as lung cancer can affect employment and income.</w:t>
      </w:r>
    </w:p>
    <w:p w14:paraId="1EA9F5D9"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Finally, voluntary and community sector services play a complementary role by offering education, advocacy, and community-based support. Charities organise information days, support meetings, and outreach programmes that connect patients with healthcare professionals and peers, enhancing knowledge and self-management.</w:t>
      </w:r>
    </w:p>
    <w:p w14:paraId="794939FB" w14:textId="77777777" w:rsidR="006A6CF5" w:rsidRPr="007F533E" w:rsidRDefault="006A6CF5" w:rsidP="00991727">
      <w:pPr>
        <w:spacing w:before="100" w:beforeAutospacing="1" w:after="100" w:afterAutospacing="1" w:line="360" w:lineRule="auto"/>
        <w:rPr>
          <w:rFonts w:ascii="Arial" w:hAnsi="Arial" w:cs="Arial"/>
          <w:color w:val="000000"/>
          <w:kern w:val="0"/>
          <w14:ligatures w14:val="none"/>
        </w:rPr>
      </w:pPr>
      <w:r w:rsidRPr="0066172E">
        <w:rPr>
          <w:rFonts w:ascii="Arial" w:hAnsi="Arial" w:cs="Arial"/>
          <w:color w:val="000000"/>
          <w:kern w:val="0"/>
          <w14:ligatures w14:val="none"/>
        </w:rPr>
        <w:t>In conclusion, meeting the needs of individuals with lung cancer requires a multidisciplinary method including healthcare professionals, social services, and voluntary organisations. Successful integration of these services ensures holistic care, addressing not only physical symptoms but also emotional wellbeing, social circumstances, and end-of-life needs.</w:t>
      </w:r>
    </w:p>
    <w:p w14:paraId="09423C36" w14:textId="77777777" w:rsidR="006A6CF5" w:rsidRPr="0066172E" w:rsidRDefault="006A6CF5" w:rsidP="00991727">
      <w:pPr>
        <w:pStyle w:val="NormalWeb"/>
        <w:spacing w:line="360" w:lineRule="auto"/>
        <w:rPr>
          <w:rFonts w:ascii="Arial" w:hAnsi="Arial" w:cs="Arial"/>
          <w:color w:val="000000"/>
        </w:rPr>
      </w:pPr>
      <w:r w:rsidRPr="0066172E">
        <w:rPr>
          <w:rFonts w:ascii="Arial" w:hAnsi="Arial" w:cs="Arial"/>
          <w:color w:val="000000"/>
        </w:rPr>
        <w:t>In conclusion, lung cancer stays one of the spearheading causes of cancer-related mortality worldwide, primarily due to late-stage diagnosis and relentless exposure to risk factors such as smoking and air pollution. Regardless of advances in screening methods, including low-dose CT scans, early detection rates stay suboptimal. Treatment approaches—ranging from surgery and chemotherapy to targeted therapy and immunotherapy—have upgraded patient outcomes, yet survival rates vary depending on stage at diagnosis and tumour biology. Precautionary plans, particularly smoking cessation and environmental regulation, are necessary in lowering incidence. Furthermore, sustained investment in research is crucial to improve early detection, grow more effective therapies, and address health inequalities associated with lung cancer. A multidisciplinary method combining public health initiatives, clinical innovation, and patient education is necessary to reduce the global burden of this disease and enhance long-term survival outcomes (World Health Organisation, 2023; Siegel et al., 2024).</w:t>
      </w:r>
    </w:p>
    <w:p w14:paraId="4D0C97FE"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p>
    <w:p w14:paraId="772FC3D6" w14:textId="77777777" w:rsidR="006A6CF5" w:rsidRPr="0066172E" w:rsidRDefault="006A6CF5" w:rsidP="00991727">
      <w:pPr>
        <w:spacing w:before="100" w:beforeAutospacing="1" w:after="100" w:afterAutospacing="1" w:line="360" w:lineRule="auto"/>
        <w:rPr>
          <w:rFonts w:ascii="Arial" w:hAnsi="Arial" w:cs="Arial"/>
          <w:color w:val="000000"/>
          <w:kern w:val="0"/>
          <w14:ligatures w14:val="none"/>
        </w:rPr>
      </w:pPr>
    </w:p>
    <w:p w14:paraId="7E78DD67" w14:textId="77777777" w:rsidR="006A6CF5" w:rsidRPr="006C0554" w:rsidRDefault="006A6CF5" w:rsidP="00991727">
      <w:pPr>
        <w:spacing w:line="360" w:lineRule="auto"/>
        <w:rPr>
          <w:rFonts w:ascii="Arial" w:hAnsi="Arial" w:cs="Arial"/>
          <w:b/>
          <w:bCs/>
          <w:u w:val="single"/>
        </w:rPr>
      </w:pPr>
      <w:r w:rsidRPr="006C0554">
        <w:rPr>
          <w:rFonts w:ascii="Arial" w:hAnsi="Arial" w:cs="Arial"/>
          <w:b/>
          <w:bCs/>
          <w:u w:val="single"/>
        </w:rPr>
        <w:t>References</w:t>
      </w:r>
    </w:p>
    <w:p w14:paraId="7DD2B193" w14:textId="77777777" w:rsidR="006A6CF5" w:rsidRPr="0066172E" w:rsidRDefault="006A6CF5" w:rsidP="00991727">
      <w:pPr>
        <w:spacing w:line="360" w:lineRule="auto"/>
        <w:rPr>
          <w:rFonts w:ascii="Arial" w:hAnsi="Arial" w:cs="Arial"/>
        </w:rPr>
      </w:pPr>
      <w:r w:rsidRPr="0066172E">
        <w:rPr>
          <w:rFonts w:ascii="Arial" w:hAnsi="Arial" w:cs="Arial"/>
        </w:rPr>
        <w:lastRenderedPageBreak/>
        <w:t>American Thoracic Society (2020). Pulmonary function Testing Guidelines.</w:t>
      </w:r>
    </w:p>
    <w:p w14:paraId="16F349AB" w14:textId="77777777" w:rsidR="006A6CF5" w:rsidRPr="0066172E" w:rsidRDefault="006A6CF5" w:rsidP="00991727">
      <w:pPr>
        <w:spacing w:line="360" w:lineRule="auto"/>
        <w:rPr>
          <w:rFonts w:ascii="Arial" w:hAnsi="Arial" w:cs="Arial"/>
        </w:rPr>
      </w:pPr>
      <w:proofErr w:type="spellStart"/>
      <w:r w:rsidRPr="0066172E">
        <w:rPr>
          <w:rFonts w:ascii="Arial" w:hAnsi="Arial" w:cs="Arial"/>
        </w:rPr>
        <w:t>Brierley</w:t>
      </w:r>
      <w:proofErr w:type="spellEnd"/>
      <w:r w:rsidRPr="0066172E">
        <w:rPr>
          <w:rFonts w:ascii="Arial" w:hAnsi="Arial" w:cs="Arial"/>
        </w:rPr>
        <w:t>, J.D., et al. (2017). TNM Classification of Malignant Tumours (8</w:t>
      </w:r>
      <w:r w:rsidRPr="0066172E">
        <w:rPr>
          <w:rFonts w:ascii="Arial" w:hAnsi="Arial" w:cs="Arial"/>
          <w:vertAlign w:val="superscript"/>
        </w:rPr>
        <w:t>th</w:t>
      </w:r>
      <w:r w:rsidRPr="0066172E">
        <w:rPr>
          <w:rFonts w:ascii="Arial" w:hAnsi="Arial" w:cs="Arial"/>
        </w:rPr>
        <w:t xml:space="preserve"> ed).</w:t>
      </w:r>
    </w:p>
    <w:p w14:paraId="0E5DE2F1" w14:textId="77777777" w:rsidR="006A6CF5" w:rsidRPr="0066172E" w:rsidRDefault="006A6CF5" w:rsidP="00991727">
      <w:pPr>
        <w:spacing w:line="360" w:lineRule="auto"/>
        <w:rPr>
          <w:rFonts w:ascii="Arial" w:hAnsi="Arial" w:cs="Arial"/>
        </w:rPr>
      </w:pPr>
      <w:r w:rsidRPr="0066172E">
        <w:rPr>
          <w:rFonts w:ascii="Arial" w:hAnsi="Arial" w:cs="Arial"/>
        </w:rPr>
        <w:t xml:space="preserve">Cancer Research UK (2024) Lung cancer statistics. Available at: </w:t>
      </w:r>
      <w:hyperlink r:id="rId6" w:history="1">
        <w:r w:rsidRPr="0066172E">
          <w:rPr>
            <w:rStyle w:val="Hyperlink"/>
            <w:rFonts w:ascii="Arial" w:hAnsi="Arial" w:cs="Arial"/>
          </w:rPr>
          <w:t>https://www.cancerresearchuk.org</w:t>
        </w:r>
      </w:hyperlink>
    </w:p>
    <w:p w14:paraId="42D7E568" w14:textId="77777777" w:rsidR="006A6CF5" w:rsidRPr="0066172E" w:rsidRDefault="006A6CF5" w:rsidP="00991727">
      <w:pPr>
        <w:spacing w:line="360" w:lineRule="auto"/>
        <w:rPr>
          <w:rFonts w:ascii="Arial" w:hAnsi="Arial" w:cs="Arial"/>
        </w:rPr>
      </w:pPr>
      <w:r w:rsidRPr="0066172E">
        <w:rPr>
          <w:rFonts w:ascii="Arial" w:hAnsi="Arial" w:cs="Arial"/>
        </w:rPr>
        <w:t>Chambers, S.K. et al. (2012) ‘Stigma, shame, and blame experienced by patients with lung cancer’, Journal of Thoracic Oncology, 7(12), pp. 1864-1871.</w:t>
      </w:r>
    </w:p>
    <w:p w14:paraId="6F88A6E9" w14:textId="77777777" w:rsidR="006A6CF5" w:rsidRPr="0066172E" w:rsidRDefault="006A6CF5" w:rsidP="00991727">
      <w:pPr>
        <w:spacing w:line="360" w:lineRule="auto"/>
        <w:rPr>
          <w:rFonts w:ascii="Arial" w:hAnsi="Arial" w:cs="Arial"/>
        </w:rPr>
      </w:pPr>
      <w:r w:rsidRPr="0066172E">
        <w:rPr>
          <w:rFonts w:ascii="Arial" w:hAnsi="Arial" w:cs="Arial"/>
        </w:rPr>
        <w:t xml:space="preserve">Herbs, R.S., </w:t>
      </w:r>
      <w:proofErr w:type="spellStart"/>
      <w:r w:rsidRPr="0066172E">
        <w:rPr>
          <w:rFonts w:ascii="Arial" w:hAnsi="Arial" w:cs="Arial"/>
        </w:rPr>
        <w:t>Morgensszterm</w:t>
      </w:r>
      <w:proofErr w:type="spellEnd"/>
      <w:r w:rsidRPr="0066172E">
        <w:rPr>
          <w:rFonts w:ascii="Arial" w:hAnsi="Arial" w:cs="Arial"/>
        </w:rPr>
        <w:t xml:space="preserve">, D. and </w:t>
      </w:r>
      <w:proofErr w:type="spellStart"/>
      <w:r w:rsidRPr="0066172E">
        <w:rPr>
          <w:rFonts w:ascii="Arial" w:hAnsi="Arial" w:cs="Arial"/>
        </w:rPr>
        <w:t>Boshoff</w:t>
      </w:r>
      <w:proofErr w:type="spellEnd"/>
      <w:r w:rsidRPr="0066172E">
        <w:rPr>
          <w:rFonts w:ascii="Arial" w:hAnsi="Arial" w:cs="Arial"/>
        </w:rPr>
        <w:t>, C. (2018) ‘The biology and management of non-small cell lung cancer’, Nature, 553(7689), pp. 446- 454.</w:t>
      </w:r>
    </w:p>
    <w:p w14:paraId="68783A91" w14:textId="77777777" w:rsidR="006A6CF5" w:rsidRPr="0066172E" w:rsidRDefault="006A6CF5" w:rsidP="00991727">
      <w:pPr>
        <w:spacing w:line="360" w:lineRule="auto"/>
        <w:rPr>
          <w:rFonts w:ascii="Arial" w:hAnsi="Arial" w:cs="Arial"/>
        </w:rPr>
      </w:pPr>
      <w:r w:rsidRPr="0066172E">
        <w:rPr>
          <w:rFonts w:ascii="Arial" w:hAnsi="Arial" w:cs="Arial"/>
        </w:rPr>
        <w:t>National Cancer Institute (2023). Lung Cancer Screening (PDQ R)</w:t>
      </w:r>
    </w:p>
    <w:p w14:paraId="676BCB87" w14:textId="77777777" w:rsidR="006A6CF5" w:rsidRPr="0066172E" w:rsidRDefault="006A6CF5" w:rsidP="00991727">
      <w:pPr>
        <w:spacing w:line="360" w:lineRule="auto"/>
        <w:rPr>
          <w:rFonts w:ascii="Arial" w:hAnsi="Arial" w:cs="Arial"/>
        </w:rPr>
      </w:pPr>
      <w:r w:rsidRPr="0066172E">
        <w:rPr>
          <w:rFonts w:ascii="Arial" w:hAnsi="Arial" w:cs="Arial"/>
        </w:rPr>
        <w:t>National Lung Screening Trial Research Team (2011) ‘ Reduced lung – cancer mortality with low- dose computed tomographic screening’, NewEngland Journal of Medicine, 365(5), pp,395-409.</w:t>
      </w:r>
    </w:p>
    <w:p w14:paraId="2D6BE7BD" w14:textId="77777777" w:rsidR="006A6CF5" w:rsidRPr="0066172E" w:rsidRDefault="006A6CF5" w:rsidP="00991727">
      <w:pPr>
        <w:spacing w:line="360" w:lineRule="auto"/>
        <w:rPr>
          <w:rFonts w:ascii="Arial" w:hAnsi="Arial" w:cs="Arial"/>
        </w:rPr>
      </w:pPr>
      <w:r w:rsidRPr="0066172E">
        <w:rPr>
          <w:rFonts w:ascii="Arial" w:hAnsi="Arial" w:cs="Arial"/>
        </w:rPr>
        <w:t>OECD (2022) Health at a Glance 2022. Paris: OECD publishing.</w:t>
      </w:r>
    </w:p>
    <w:p w14:paraId="1FA61481" w14:textId="77777777" w:rsidR="006A6CF5" w:rsidRPr="0066172E" w:rsidRDefault="006A6CF5" w:rsidP="00991727">
      <w:pPr>
        <w:spacing w:line="360" w:lineRule="auto"/>
        <w:rPr>
          <w:rFonts w:ascii="Arial" w:hAnsi="Arial" w:cs="Arial"/>
        </w:rPr>
      </w:pPr>
      <w:r w:rsidRPr="0066172E">
        <w:rPr>
          <w:rFonts w:ascii="Arial" w:hAnsi="Arial" w:cs="Arial"/>
        </w:rPr>
        <w:t>Rolfe, C., et al. (2018). Liquid biopsy in lung cancer. Journal of Thoracic Oncology.</w:t>
      </w:r>
    </w:p>
    <w:p w14:paraId="416D6058" w14:textId="77777777" w:rsidR="006A6CF5" w:rsidRPr="0066172E" w:rsidRDefault="006A6CF5" w:rsidP="00991727">
      <w:pPr>
        <w:spacing w:line="360" w:lineRule="auto"/>
        <w:rPr>
          <w:rFonts w:ascii="Arial" w:hAnsi="Arial" w:cs="Arial"/>
        </w:rPr>
      </w:pPr>
      <w:r w:rsidRPr="0066172E">
        <w:rPr>
          <w:rFonts w:ascii="Arial" w:hAnsi="Arial" w:cs="Arial"/>
        </w:rPr>
        <w:t>World Health Organisation (2023) Cancer fact sheets. Available at https://www.who.into</w:t>
      </w:r>
    </w:p>
    <w:p w14:paraId="1C15F4C0" w14:textId="77777777" w:rsidR="006A6CF5" w:rsidRPr="0066172E" w:rsidRDefault="006A6CF5" w:rsidP="00991727">
      <w:pPr>
        <w:spacing w:line="360" w:lineRule="auto"/>
        <w:rPr>
          <w:rFonts w:ascii="Arial" w:hAnsi="Arial" w:cs="Arial"/>
        </w:rPr>
      </w:pPr>
      <w:r w:rsidRPr="0066172E">
        <w:rPr>
          <w:rFonts w:ascii="Arial" w:hAnsi="Arial" w:cs="Arial"/>
        </w:rPr>
        <w:t>World Health Organisation (2021). Classification of Thoracic Tumours.</w:t>
      </w:r>
    </w:p>
    <w:p w14:paraId="115B28FE" w14:textId="77777777" w:rsidR="006A6CF5" w:rsidRPr="0066172E" w:rsidRDefault="006A6CF5" w:rsidP="00991727">
      <w:pPr>
        <w:spacing w:line="360" w:lineRule="auto"/>
        <w:rPr>
          <w:rFonts w:ascii="Arial" w:hAnsi="Arial" w:cs="Arial"/>
        </w:rPr>
      </w:pPr>
      <w:r w:rsidRPr="0066172E">
        <w:rPr>
          <w:rFonts w:ascii="Arial" w:hAnsi="Arial" w:cs="Arial"/>
        </w:rPr>
        <w:t>World Health Organisation (2023) Tobacco control and lung cancer prevention. Geneva: WHO.</w:t>
      </w:r>
    </w:p>
    <w:p w14:paraId="7140576F" w14:textId="77777777" w:rsidR="006A6CF5" w:rsidRPr="0066172E" w:rsidRDefault="006A6CF5" w:rsidP="00991727">
      <w:pPr>
        <w:spacing w:line="360" w:lineRule="auto"/>
        <w:rPr>
          <w:rFonts w:ascii="Arial" w:hAnsi="Arial" w:cs="Arial"/>
        </w:rPr>
      </w:pPr>
    </w:p>
    <w:p w14:paraId="4419C7DA" w14:textId="77777777" w:rsidR="006A6CF5" w:rsidRDefault="006A6CF5"/>
    <w:sectPr w:rsidR="006A6CF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66423" w14:textId="77777777" w:rsidR="005156DF" w:rsidRDefault="005156DF" w:rsidP="005156DF">
      <w:pPr>
        <w:spacing w:after="0" w:line="240" w:lineRule="auto"/>
      </w:pPr>
      <w:r>
        <w:separator/>
      </w:r>
    </w:p>
  </w:endnote>
  <w:endnote w:type="continuationSeparator" w:id="0">
    <w:p w14:paraId="0DFF89B9" w14:textId="77777777" w:rsidR="005156DF" w:rsidRDefault="005156DF" w:rsidP="00515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1270257"/>
      <w:docPartObj>
        <w:docPartGallery w:val="Page Numbers (Bottom of Page)"/>
        <w:docPartUnique/>
      </w:docPartObj>
    </w:sdtPr>
    <w:sdtContent>
      <w:p w14:paraId="542995E8" w14:textId="0019D2B2" w:rsidR="005156DF" w:rsidRDefault="005156DF" w:rsidP="009868A1">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EAC8D5" w14:textId="77777777" w:rsidR="005156DF" w:rsidRDefault="00515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6999618"/>
      <w:docPartObj>
        <w:docPartGallery w:val="Page Numbers (Bottom of Page)"/>
        <w:docPartUnique/>
      </w:docPartObj>
    </w:sdtPr>
    <w:sdtContent>
      <w:p w14:paraId="634CFA4E" w14:textId="16683002" w:rsidR="005156DF" w:rsidRDefault="005156DF" w:rsidP="009868A1">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B5F020" w14:textId="77777777" w:rsidR="005156DF" w:rsidRDefault="005156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49CD" w14:textId="77777777" w:rsidR="005156DF" w:rsidRDefault="00515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522ED" w14:textId="77777777" w:rsidR="005156DF" w:rsidRDefault="005156DF" w:rsidP="005156DF">
      <w:pPr>
        <w:spacing w:after="0" w:line="240" w:lineRule="auto"/>
      </w:pPr>
      <w:r>
        <w:separator/>
      </w:r>
    </w:p>
  </w:footnote>
  <w:footnote w:type="continuationSeparator" w:id="0">
    <w:p w14:paraId="79A8B2E1" w14:textId="77777777" w:rsidR="005156DF" w:rsidRDefault="005156DF" w:rsidP="00515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09F49" w14:textId="77777777" w:rsidR="005156DF" w:rsidRDefault="005156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36328" w14:textId="77777777" w:rsidR="005156DF" w:rsidRDefault="005156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DE9CA" w14:textId="77777777" w:rsidR="005156DF" w:rsidRDefault="005156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CF5"/>
    <w:rsid w:val="0000145A"/>
    <w:rsid w:val="002E2A3C"/>
    <w:rsid w:val="002F4657"/>
    <w:rsid w:val="005156DF"/>
    <w:rsid w:val="006A6CF5"/>
    <w:rsid w:val="00836160"/>
    <w:rsid w:val="00AF1740"/>
    <w:rsid w:val="00C81966"/>
    <w:rsid w:val="00FC5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F521E"/>
  <w15:chartTrackingRefBased/>
  <w15:docId w15:val="{E768FA18-2EA2-7B48-A5E2-2C6592C28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CF5"/>
    <w:rPr>
      <w:rFonts w:eastAsiaTheme="majorEastAsia" w:cstheme="majorBidi"/>
      <w:color w:val="272727" w:themeColor="text1" w:themeTint="D8"/>
    </w:rPr>
  </w:style>
  <w:style w:type="paragraph" w:styleId="Title">
    <w:name w:val="Title"/>
    <w:basedOn w:val="Normal"/>
    <w:next w:val="Normal"/>
    <w:link w:val="TitleChar"/>
    <w:uiPriority w:val="10"/>
    <w:qFormat/>
    <w:rsid w:val="006A6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CF5"/>
    <w:pPr>
      <w:spacing w:before="160"/>
      <w:jc w:val="center"/>
    </w:pPr>
    <w:rPr>
      <w:i/>
      <w:iCs/>
      <w:color w:val="404040" w:themeColor="text1" w:themeTint="BF"/>
    </w:rPr>
  </w:style>
  <w:style w:type="character" w:customStyle="1" w:styleId="QuoteChar">
    <w:name w:val="Quote Char"/>
    <w:basedOn w:val="DefaultParagraphFont"/>
    <w:link w:val="Quote"/>
    <w:uiPriority w:val="29"/>
    <w:rsid w:val="006A6CF5"/>
    <w:rPr>
      <w:i/>
      <w:iCs/>
      <w:color w:val="404040" w:themeColor="text1" w:themeTint="BF"/>
    </w:rPr>
  </w:style>
  <w:style w:type="paragraph" w:styleId="ListParagraph">
    <w:name w:val="List Paragraph"/>
    <w:basedOn w:val="Normal"/>
    <w:uiPriority w:val="34"/>
    <w:qFormat/>
    <w:rsid w:val="006A6CF5"/>
    <w:pPr>
      <w:ind w:left="720"/>
      <w:contextualSpacing/>
    </w:pPr>
  </w:style>
  <w:style w:type="character" w:styleId="IntenseEmphasis">
    <w:name w:val="Intense Emphasis"/>
    <w:basedOn w:val="DefaultParagraphFont"/>
    <w:uiPriority w:val="21"/>
    <w:qFormat/>
    <w:rsid w:val="006A6CF5"/>
    <w:rPr>
      <w:i/>
      <w:iCs/>
      <w:color w:val="0F4761" w:themeColor="accent1" w:themeShade="BF"/>
    </w:rPr>
  </w:style>
  <w:style w:type="paragraph" w:styleId="IntenseQuote">
    <w:name w:val="Intense Quote"/>
    <w:basedOn w:val="Normal"/>
    <w:next w:val="Normal"/>
    <w:link w:val="IntenseQuoteChar"/>
    <w:uiPriority w:val="30"/>
    <w:qFormat/>
    <w:rsid w:val="006A6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CF5"/>
    <w:rPr>
      <w:i/>
      <w:iCs/>
      <w:color w:val="0F4761" w:themeColor="accent1" w:themeShade="BF"/>
    </w:rPr>
  </w:style>
  <w:style w:type="character" w:styleId="IntenseReference">
    <w:name w:val="Intense Reference"/>
    <w:basedOn w:val="DefaultParagraphFont"/>
    <w:uiPriority w:val="32"/>
    <w:qFormat/>
    <w:rsid w:val="006A6CF5"/>
    <w:rPr>
      <w:b/>
      <w:bCs/>
      <w:smallCaps/>
      <w:color w:val="0F4761" w:themeColor="accent1" w:themeShade="BF"/>
      <w:spacing w:val="5"/>
    </w:rPr>
  </w:style>
  <w:style w:type="character" w:styleId="Strong">
    <w:name w:val="Strong"/>
    <w:basedOn w:val="DefaultParagraphFont"/>
    <w:uiPriority w:val="22"/>
    <w:qFormat/>
    <w:rsid w:val="006A6CF5"/>
    <w:rPr>
      <w:b/>
      <w:bCs/>
    </w:rPr>
  </w:style>
  <w:style w:type="character" w:styleId="Hyperlink">
    <w:name w:val="Hyperlink"/>
    <w:basedOn w:val="DefaultParagraphFont"/>
    <w:uiPriority w:val="99"/>
    <w:unhideWhenUsed/>
    <w:rsid w:val="006A6CF5"/>
    <w:rPr>
      <w:color w:val="467886" w:themeColor="hyperlink"/>
      <w:u w:val="single"/>
    </w:rPr>
  </w:style>
  <w:style w:type="paragraph" w:styleId="NormalWeb">
    <w:name w:val="Normal (Web)"/>
    <w:basedOn w:val="Normal"/>
    <w:uiPriority w:val="99"/>
    <w:unhideWhenUsed/>
    <w:rsid w:val="006A6CF5"/>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515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6DF"/>
  </w:style>
  <w:style w:type="paragraph" w:styleId="Footer">
    <w:name w:val="footer"/>
    <w:basedOn w:val="Normal"/>
    <w:link w:val="FooterChar"/>
    <w:uiPriority w:val="99"/>
    <w:unhideWhenUsed/>
    <w:rsid w:val="00515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6DF"/>
  </w:style>
  <w:style w:type="character" w:styleId="PageNumber">
    <w:name w:val="page number"/>
    <w:basedOn w:val="DefaultParagraphFont"/>
    <w:uiPriority w:val="99"/>
    <w:semiHidden/>
    <w:unhideWhenUsed/>
    <w:rsid w:val="00515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ncerresearchuk.org"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1818</Words>
  <Characters>10364</Characters>
  <Application>Microsoft Office Word</Application>
  <DocSecurity>0</DocSecurity>
  <Lines>86</Lines>
  <Paragraphs>24</Paragraphs>
  <ScaleCrop>false</ScaleCrop>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Parvin Ali</dc:creator>
  <cp:keywords/>
  <dc:description/>
  <cp:lastModifiedBy>Parvin Ali</cp:lastModifiedBy>
  <cp:revision>2</cp:revision>
  <dcterms:created xsi:type="dcterms:W3CDTF">2026-03-23T20:28:00Z</dcterms:created>
  <dcterms:modified xsi:type="dcterms:W3CDTF">2026-03-23T20:28:00Z</dcterms:modified>
</cp:coreProperties>
</file>