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1694C39"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C1295">
        <w:rPr>
          <w:rFonts w:ascii="Arial" w:hAnsi="Arial" w:cs="Arial"/>
          <w:sz w:val="28"/>
          <w:szCs w:val="28"/>
          <w:lang w:val="nl-NL"/>
        </w:rPr>
        <w:t xml:space="preserve"> Jussara Vieira</w:t>
      </w:r>
    </w:p>
    <w:p w14:paraId="21E9DC72" w14:textId="35C63C7C"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FC1295">
        <w:rPr>
          <w:rFonts w:ascii="Arial" w:hAnsi="Arial" w:cs="Arial"/>
          <w:sz w:val="28"/>
          <w:szCs w:val="28"/>
          <w:lang w:val="nl-NL"/>
        </w:rPr>
        <w:t>2</w:t>
      </w:r>
      <w:r w:rsidR="003F1DC5">
        <w:rPr>
          <w:rFonts w:ascii="Arial" w:hAnsi="Arial" w:cs="Arial"/>
          <w:sz w:val="28"/>
          <w:szCs w:val="28"/>
          <w:lang w:val="nl-NL"/>
        </w:rPr>
        <w:t>431198</w:t>
      </w:r>
    </w:p>
    <w:p w14:paraId="23BAC9B9" w14:textId="74994EB4" w:rsidR="00EB12BC" w:rsidRDefault="00EB12BC" w:rsidP="003830C9">
      <w:pPr>
        <w:pStyle w:val="p1"/>
        <w:rPr>
          <w:sz w:val="24"/>
          <w:szCs w:val="24"/>
        </w:rPr>
      </w:pPr>
      <w:r w:rsidRPr="00076AC0">
        <w:rPr>
          <w:b/>
          <w:bCs/>
          <w:sz w:val="28"/>
          <w:szCs w:val="28"/>
          <w:lang w:val="nl-NL"/>
        </w:rPr>
        <w:t>Module name</w:t>
      </w:r>
      <w:r w:rsidRPr="00076AC0">
        <w:rPr>
          <w:sz w:val="28"/>
          <w:szCs w:val="28"/>
          <w:lang w:val="nl-NL"/>
        </w:rPr>
        <w:t xml:space="preserve">: </w:t>
      </w:r>
      <w:r w:rsidR="007F70A0" w:rsidRPr="007F70A0">
        <w:rPr>
          <w:sz w:val="24"/>
          <w:szCs w:val="24"/>
        </w:rPr>
        <w:t>Introduction to Physiology</w:t>
      </w:r>
    </w:p>
    <w:p w14:paraId="492BC0EB" w14:textId="77777777" w:rsidR="003830C9" w:rsidRPr="003830C9" w:rsidRDefault="003830C9" w:rsidP="003830C9">
      <w:pPr>
        <w:pStyle w:val="p1"/>
      </w:pPr>
    </w:p>
    <w:p w14:paraId="4FD97C8C" w14:textId="6B6C3F13" w:rsidR="00EB12BC" w:rsidRDefault="00EB12BC" w:rsidP="003830C9">
      <w:pPr>
        <w:pStyle w:val="p1"/>
        <w:rPr>
          <w:rStyle w:val="apple-converted-space"/>
          <w:sz w:val="24"/>
          <w:szCs w:val="24"/>
        </w:rPr>
      </w:pPr>
      <w:r w:rsidRPr="00C03A91">
        <w:rPr>
          <w:b/>
          <w:bCs/>
          <w:sz w:val="28"/>
          <w:szCs w:val="28"/>
        </w:rPr>
        <w:t>Module code</w:t>
      </w:r>
      <w:r w:rsidRPr="00C03A91">
        <w:rPr>
          <w:sz w:val="28"/>
          <w:szCs w:val="28"/>
        </w:rPr>
        <w:t>:</w:t>
      </w:r>
      <w:r w:rsidR="006A3BA5">
        <w:rPr>
          <w:sz w:val="28"/>
          <w:szCs w:val="28"/>
        </w:rPr>
        <w:t xml:space="preserve"> </w:t>
      </w:r>
      <w:r w:rsidR="006A3BA5" w:rsidRPr="006A3BA5">
        <w:rPr>
          <w:sz w:val="24"/>
          <w:szCs w:val="24"/>
        </w:rPr>
        <w:t>BMHP5023</w:t>
      </w:r>
      <w:r w:rsidR="006A3BA5" w:rsidRPr="006A3BA5">
        <w:rPr>
          <w:rStyle w:val="apple-converted-space"/>
          <w:sz w:val="24"/>
          <w:szCs w:val="24"/>
        </w:rPr>
        <w:t> </w:t>
      </w:r>
    </w:p>
    <w:p w14:paraId="1D3F20E5" w14:textId="77777777" w:rsidR="003830C9" w:rsidRPr="003830C9" w:rsidRDefault="003830C9" w:rsidP="003830C9">
      <w:pPr>
        <w:pStyle w:val="p1"/>
        <w:rPr>
          <w:sz w:val="24"/>
          <w:szCs w:val="24"/>
        </w:rPr>
      </w:pPr>
    </w:p>
    <w:p w14:paraId="5AFF31F9" w14:textId="32B313EA" w:rsidR="001B7A40" w:rsidRDefault="00EB12BC" w:rsidP="003830C9">
      <w:pPr>
        <w:pStyle w:val="p1"/>
        <w:rPr>
          <w:color w:val="16191C"/>
          <w:sz w:val="24"/>
          <w:szCs w:val="24"/>
        </w:rPr>
      </w:pPr>
      <w:r w:rsidRPr="00C03A91">
        <w:rPr>
          <w:b/>
          <w:bCs/>
          <w:sz w:val="28"/>
          <w:szCs w:val="28"/>
        </w:rPr>
        <w:t>Lecturer name</w:t>
      </w:r>
      <w:r w:rsidRPr="00C03A91">
        <w:rPr>
          <w:sz w:val="28"/>
          <w:szCs w:val="28"/>
        </w:rPr>
        <w:t>:</w:t>
      </w:r>
      <w:r w:rsidR="007F70A0">
        <w:rPr>
          <w:sz w:val="28"/>
          <w:szCs w:val="28"/>
        </w:rPr>
        <w:t xml:space="preserve"> </w:t>
      </w:r>
      <w:r w:rsidR="00800116" w:rsidRPr="00800116">
        <w:rPr>
          <w:color w:val="16191C"/>
          <w:sz w:val="24"/>
          <w:szCs w:val="24"/>
        </w:rPr>
        <w:t>Lou (Angela) Wells</w:t>
      </w:r>
    </w:p>
    <w:p w14:paraId="6B97D107" w14:textId="77777777" w:rsidR="003830C9" w:rsidRPr="003830C9" w:rsidRDefault="003830C9" w:rsidP="003830C9">
      <w:pPr>
        <w:pStyle w:val="p1"/>
        <w:rPr>
          <w:color w:val="16191C"/>
          <w:sz w:val="24"/>
          <w:szCs w:val="24"/>
        </w:rPr>
      </w:pPr>
    </w:p>
    <w:p w14:paraId="3DE244B1" w14:textId="77777777" w:rsidR="003830C9" w:rsidRPr="003830C9" w:rsidRDefault="001B7A40" w:rsidP="003830C9">
      <w:pPr>
        <w:pStyle w:val="p1"/>
        <w:rPr>
          <w:sz w:val="24"/>
          <w:szCs w:val="24"/>
        </w:rPr>
      </w:pPr>
      <w:r w:rsidRPr="00C03A91">
        <w:rPr>
          <w:b/>
          <w:bCs/>
          <w:sz w:val="28"/>
          <w:szCs w:val="28"/>
        </w:rPr>
        <w:t xml:space="preserve">Assessment: </w:t>
      </w:r>
      <w:r w:rsidR="003830C9" w:rsidRPr="003830C9">
        <w:rPr>
          <w:sz w:val="24"/>
          <w:szCs w:val="24"/>
        </w:rPr>
        <w:t>Component 1: Written</w:t>
      </w:r>
    </w:p>
    <w:p w14:paraId="2C7206CE" w14:textId="77777777" w:rsidR="003830C9" w:rsidRPr="003830C9" w:rsidRDefault="003830C9" w:rsidP="003830C9">
      <w:pPr>
        <w:pStyle w:val="p1"/>
        <w:rPr>
          <w:sz w:val="24"/>
          <w:szCs w:val="24"/>
        </w:rPr>
      </w:pPr>
      <w:r w:rsidRPr="003830C9">
        <w:rPr>
          <w:sz w:val="24"/>
          <w:szCs w:val="24"/>
        </w:rPr>
        <w:t>Assignment (Case Study</w:t>
      </w:r>
    </w:p>
    <w:p w14:paraId="2D7BD1C5" w14:textId="77777777" w:rsidR="003830C9" w:rsidRPr="003830C9" w:rsidRDefault="003830C9" w:rsidP="003830C9">
      <w:pPr>
        <w:pStyle w:val="p1"/>
        <w:rPr>
          <w:sz w:val="24"/>
          <w:szCs w:val="24"/>
        </w:rPr>
      </w:pPr>
      <w:r w:rsidRPr="003830C9">
        <w:rPr>
          <w:sz w:val="24"/>
          <w:szCs w:val="24"/>
        </w:rPr>
        <w:t>Report)</w:t>
      </w:r>
    </w:p>
    <w:p w14:paraId="53B923F4" w14:textId="022B509B" w:rsidR="001B7A40" w:rsidRPr="00C03A91" w:rsidRDefault="001B7A40"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5B0E2637" w14:textId="2FDD8D38" w:rsidR="006B38BB" w:rsidRPr="00FC1295" w:rsidRDefault="006B38BB" w:rsidP="00FC1295">
      <w:pPr>
        <w:spacing w:line="360" w:lineRule="auto"/>
        <w:rPr>
          <w:rFonts w:ascii="Arial" w:hAnsi="Arial" w:cs="Arial"/>
          <w:sz w:val="28"/>
          <w:szCs w:val="28"/>
        </w:rPr>
      </w:pPr>
      <w:r w:rsidRPr="006B38BB">
        <w:rPr>
          <w:rFonts w:ascii="Arial" w:hAnsi="Arial" w:cs="Arial"/>
          <w:b/>
          <w:bCs/>
          <w:sz w:val="52"/>
          <w:szCs w:val="52"/>
        </w:rPr>
        <w:t>Understanding Type 2 Diabetes and the Importance of Lifestyle Management</w:t>
      </w:r>
    </w:p>
    <w:p w14:paraId="38ACD033" w14:textId="77777777" w:rsidR="008B42F3" w:rsidRDefault="008B42F3" w:rsidP="008B42F3">
      <w:pPr>
        <w:pStyle w:val="Heading1"/>
      </w:pPr>
      <w:r>
        <w:lastRenderedPageBreak/>
        <w:t>1.</w:t>
      </w:r>
      <w:r>
        <w:rPr>
          <w:rFonts w:ascii="Segoe UI Symbol" w:hAnsi="Segoe UI Symbol" w:cs="Segoe UI Symbol"/>
        </w:rPr>
        <w:t>⁠</w:t>
      </w:r>
      <w:r>
        <w:t xml:space="preserve"> </w:t>
      </w:r>
      <w:r>
        <w:rPr>
          <w:rFonts w:ascii="Segoe UI Symbol" w:hAnsi="Segoe UI Symbol" w:cs="Segoe UI Symbol"/>
        </w:rPr>
        <w:t>⁠</w:t>
      </w:r>
      <w:r>
        <w:t>Introduction</w:t>
      </w:r>
    </w:p>
    <w:p w14:paraId="3E4FA28D" w14:textId="28E0BA92" w:rsidR="008B42F3" w:rsidRPr="008B42F3" w:rsidRDefault="008B42F3" w:rsidP="008B42F3">
      <w:pPr>
        <w:pStyle w:val="Heading1"/>
        <w:rPr>
          <w:b w:val="0"/>
          <w:bCs/>
          <w:sz w:val="22"/>
          <w:szCs w:val="22"/>
        </w:rPr>
      </w:pPr>
      <w:r w:rsidRPr="008B42F3">
        <w:rPr>
          <w:b w:val="0"/>
          <w:bCs/>
          <w:sz w:val="22"/>
          <w:szCs w:val="22"/>
        </w:rPr>
        <w:t>Diabetes is a long-term health condition that affects how the body regulates blood sugar levels. It is closely linked to the endocrine system, which produces hormones that control essential functions such as metabolism, growth, and glucose regulation. One of the most important glands in this system is the pancreas, which produces the hormones insulin and glucagon. These hormones work together to maintain blood sugar within a normal range (NHS, 2023).</w:t>
      </w:r>
    </w:p>
    <w:p w14:paraId="13E3F9DA" w14:textId="3481B3C2" w:rsidR="008B42F3" w:rsidRPr="008B42F3" w:rsidRDefault="008B42F3" w:rsidP="008B42F3">
      <w:pPr>
        <w:pStyle w:val="Heading1"/>
        <w:rPr>
          <w:b w:val="0"/>
          <w:bCs/>
          <w:sz w:val="22"/>
          <w:szCs w:val="22"/>
        </w:rPr>
      </w:pPr>
      <w:r w:rsidRPr="008B42F3">
        <w:rPr>
          <w:b w:val="0"/>
          <w:bCs/>
          <w:sz w:val="22"/>
          <w:szCs w:val="22"/>
        </w:rPr>
        <w:t>Type 2 diabetes (T2D) is the most common form of diabetes. It develops when the body becomes resistant to insulin or when the pancreas cannot produce enough insulin. This results in high levels of glucose in the blood, also called hyperglycaemia. Over time, high blood sugar can damage organs and tissues. Complications can include heart disease, kidney problems, nerve damage, and vision issues (WHO, 2022).</w:t>
      </w:r>
    </w:p>
    <w:p w14:paraId="6E741099" w14:textId="22E5EE0D" w:rsidR="008B42F3" w:rsidRPr="008B42F3" w:rsidRDefault="008B42F3" w:rsidP="008B42F3">
      <w:pPr>
        <w:pStyle w:val="Heading1"/>
        <w:rPr>
          <w:b w:val="0"/>
          <w:bCs/>
          <w:sz w:val="22"/>
          <w:szCs w:val="22"/>
        </w:rPr>
      </w:pPr>
      <w:r w:rsidRPr="008B42F3">
        <w:rPr>
          <w:b w:val="0"/>
          <w:bCs/>
          <w:sz w:val="22"/>
          <w:szCs w:val="22"/>
        </w:rPr>
        <w:t>Several factors increase the risk of developing T2D. Being overweight, following an unhealthy diet, not exercising regularly, having a family history of diabetes, and ageing are all significant contributors. These risk factors highlight the importance of lifestyle choices in both preventing and managing diabetes. For instance, small improvements in diet or physical activity can lower blood sugar levels and reduce the risk of complications.</w:t>
      </w:r>
    </w:p>
    <w:p w14:paraId="42110EE7" w14:textId="47FB2833" w:rsidR="008B42F3" w:rsidRPr="0094121E" w:rsidRDefault="008B42F3" w:rsidP="008B42F3">
      <w:pPr>
        <w:pStyle w:val="Heading1"/>
        <w:rPr>
          <w:b w:val="0"/>
          <w:bCs/>
          <w:sz w:val="22"/>
          <w:szCs w:val="22"/>
        </w:rPr>
      </w:pPr>
      <w:r w:rsidRPr="008B42F3">
        <w:rPr>
          <w:b w:val="0"/>
          <w:bCs/>
          <w:sz w:val="22"/>
          <w:szCs w:val="22"/>
        </w:rPr>
        <w:t>As a practice nurse, my role is to provide patients with clear and understandable information about their condition. Educating patients helps them understand how their bodies work and what affects their blood sugar. When patients understand their condition, they can make informed decisions about lifestyle, medication, and self-care. This report will explore how blood sugar is regulated, how the body produces energy, why monitoring blood sugar is essential, and how lifestyle changes can support the management of T2D.</w:t>
      </w:r>
    </w:p>
    <w:p w14:paraId="23759B52" w14:textId="77777777" w:rsidR="008B42F3" w:rsidRDefault="008B42F3" w:rsidP="008B42F3">
      <w:pPr>
        <w:pStyle w:val="Heading1"/>
      </w:pPr>
    </w:p>
    <w:p w14:paraId="71D465BD" w14:textId="77777777" w:rsidR="008B42F3" w:rsidRDefault="008B42F3" w:rsidP="008B42F3">
      <w:pPr>
        <w:pStyle w:val="Heading1"/>
      </w:pPr>
      <w:r>
        <w:t>2.</w:t>
      </w:r>
      <w:r>
        <w:rPr>
          <w:rFonts w:ascii="Segoe UI Symbol" w:hAnsi="Segoe UI Symbol" w:cs="Segoe UI Symbol"/>
        </w:rPr>
        <w:t>⁠</w:t>
      </w:r>
      <w:r>
        <w:t xml:space="preserve"> </w:t>
      </w:r>
      <w:r>
        <w:rPr>
          <w:rFonts w:ascii="Segoe UI Symbol" w:hAnsi="Segoe UI Symbol" w:cs="Segoe UI Symbol"/>
        </w:rPr>
        <w:t>⁠</w:t>
      </w:r>
      <w:r>
        <w:t>Blood Sugar Regulation</w:t>
      </w:r>
    </w:p>
    <w:p w14:paraId="0E4AF698" w14:textId="77777777" w:rsidR="0040082D" w:rsidRPr="0040082D" w:rsidRDefault="0040082D" w:rsidP="0040082D">
      <w:pPr>
        <w:pStyle w:val="Heading1"/>
        <w:rPr>
          <w:b w:val="0"/>
          <w:bCs/>
          <w:sz w:val="22"/>
          <w:szCs w:val="22"/>
        </w:rPr>
      </w:pPr>
      <w:r w:rsidRPr="0040082D">
        <w:rPr>
          <w:b w:val="0"/>
          <w:bCs/>
          <w:sz w:val="22"/>
          <w:szCs w:val="22"/>
        </w:rPr>
        <w:t>The regulation of blood glucose is primarily managed by two hormones: insulin and glucagon, both secreted by the pancreas. After consuming food, carbohydrates are broken down into glucose, which enters the bloodstream. In response, insulin is released to facilitate the transport of glucose into the body’s cells, where it can be used as a source of energy (NHS, 2023).</w:t>
      </w:r>
    </w:p>
    <w:p w14:paraId="6CE2E162" w14:textId="77777777" w:rsidR="0040082D" w:rsidRPr="0040082D" w:rsidRDefault="0040082D" w:rsidP="0040082D">
      <w:pPr>
        <w:pStyle w:val="Heading1"/>
        <w:rPr>
          <w:b w:val="0"/>
          <w:bCs/>
          <w:sz w:val="22"/>
          <w:szCs w:val="22"/>
        </w:rPr>
      </w:pPr>
    </w:p>
    <w:p w14:paraId="6CA215F2" w14:textId="4F85F9A8" w:rsidR="0040082D" w:rsidRPr="0040082D" w:rsidRDefault="0040082D" w:rsidP="0040082D">
      <w:pPr>
        <w:pStyle w:val="Heading1"/>
        <w:rPr>
          <w:b w:val="0"/>
          <w:bCs/>
          <w:sz w:val="22"/>
          <w:szCs w:val="22"/>
        </w:rPr>
      </w:pPr>
      <w:r w:rsidRPr="0040082D">
        <w:rPr>
          <w:b w:val="0"/>
          <w:bCs/>
          <w:sz w:val="22"/>
          <w:szCs w:val="22"/>
        </w:rPr>
        <w:t>When blood glucose levels drop, glucagon is secreted. This hormone signals the liver to convert stored glycogen into glucose and release it into the bloodstream, preventing excessively low blood sugar levels. The balance between insulin and glucagon ensures that blood glucose remains relatively stable throughout the day, despite fluctuations caused by meals, physical activity, or fasting (NHS, 2023).</w:t>
      </w:r>
    </w:p>
    <w:p w14:paraId="6AD86CD2" w14:textId="44B2D2B0" w:rsidR="0040082D" w:rsidRPr="0040082D" w:rsidRDefault="0040082D" w:rsidP="0040082D">
      <w:pPr>
        <w:pStyle w:val="Heading1"/>
        <w:rPr>
          <w:b w:val="0"/>
          <w:bCs/>
          <w:sz w:val="22"/>
          <w:szCs w:val="22"/>
        </w:rPr>
      </w:pPr>
      <w:r w:rsidRPr="0040082D">
        <w:rPr>
          <w:b w:val="0"/>
          <w:bCs/>
          <w:sz w:val="22"/>
          <w:szCs w:val="22"/>
        </w:rPr>
        <w:t>In individuals with Type 2 diabetes (T2D), insulin resistance occurs, meaning that the body’s cells do not respond effectively to insulin. Consequently, glucose accumulates in the bloodstream, leading to hyperglycaemia. Chronic high blood sugar can damage blood vessels and organs over time, increasing the risk of serious complications such as cardiovascular disease, kidney damage, neuropathy, and vision problems (WHO, 2022).</w:t>
      </w:r>
    </w:p>
    <w:p w14:paraId="6504D3B6" w14:textId="30EF4358" w:rsidR="0040082D" w:rsidRDefault="0040082D" w:rsidP="0040082D">
      <w:pPr>
        <w:pStyle w:val="Heading1"/>
        <w:rPr>
          <w:b w:val="0"/>
          <w:bCs/>
          <w:sz w:val="22"/>
          <w:szCs w:val="22"/>
        </w:rPr>
      </w:pPr>
      <w:r w:rsidRPr="0040082D">
        <w:rPr>
          <w:b w:val="0"/>
          <w:bCs/>
          <w:sz w:val="22"/>
          <w:szCs w:val="22"/>
        </w:rPr>
        <w:lastRenderedPageBreak/>
        <w:t>Explaining these mechanisms in simple terms is crucial for patient understanding. For example, patients benefit from recognising that insulin acts as a ‘key’ that allows glucose to enter cells, while glucagon ensures that blood sugar does not drop too low. Understanding these processes can motivate patients to adhere to lifestyle changes and treatment plans, ultimately improving long-term health outcomes</w:t>
      </w:r>
      <w:r>
        <w:rPr>
          <w:b w:val="0"/>
          <w:bCs/>
          <w:sz w:val="22"/>
          <w:szCs w:val="22"/>
        </w:rPr>
        <w:t>.</w:t>
      </w:r>
    </w:p>
    <w:p w14:paraId="0853915D" w14:textId="4D879250" w:rsidR="008B42F3" w:rsidRPr="008B42F3" w:rsidRDefault="008B42F3" w:rsidP="008B42F3">
      <w:pPr>
        <w:pStyle w:val="Heading1"/>
        <w:rPr>
          <w:b w:val="0"/>
          <w:bCs/>
          <w:sz w:val="22"/>
          <w:szCs w:val="22"/>
        </w:rPr>
      </w:pPr>
      <w:r w:rsidRPr="008B42F3">
        <w:rPr>
          <w:b w:val="0"/>
          <w:bCs/>
          <w:sz w:val="22"/>
          <w:szCs w:val="22"/>
        </w:rPr>
        <w:t>Explaining this process to patients in simple terms is essential. Patients need to understand that insulin allows glucose to enter cells for energy, and glucagon prevents blood sugar from dropping too low. This knowledge helps them see why managing blood sugar is vital and how lifestyle, diet, and medication affect their health.</w:t>
      </w:r>
    </w:p>
    <w:p w14:paraId="08FC43AD" w14:textId="77777777" w:rsidR="008B42F3" w:rsidRPr="008B42F3" w:rsidRDefault="008B42F3" w:rsidP="008B42F3">
      <w:pPr>
        <w:pStyle w:val="Heading1"/>
        <w:rPr>
          <w:b w:val="0"/>
          <w:bCs/>
          <w:sz w:val="22"/>
          <w:szCs w:val="22"/>
        </w:rPr>
      </w:pPr>
      <w:r w:rsidRPr="008B42F3">
        <w:rPr>
          <w:b w:val="0"/>
          <w:bCs/>
          <w:sz w:val="22"/>
          <w:szCs w:val="22"/>
        </w:rPr>
        <w:t>For example, a patient who eats a meal high in sugar may notice their blood sugar spikes. By understanding insulin resistance, they can see why reducing sugary foods or pairing them with protein or fibre helps prevent large spikes in blood sugar. This kind of practical understanding often motivates patients to follow dietary advice and treatment plans.</w:t>
      </w:r>
    </w:p>
    <w:p w14:paraId="7DF88AD8" w14:textId="2B198124" w:rsidR="008B42F3" w:rsidRDefault="008B42F3" w:rsidP="008B42F3">
      <w:pPr>
        <w:pStyle w:val="Heading1"/>
      </w:pPr>
    </w:p>
    <w:p w14:paraId="42F382D8" w14:textId="77777777" w:rsidR="008B42F3" w:rsidRDefault="008B42F3" w:rsidP="008B42F3">
      <w:pPr>
        <w:pStyle w:val="Heading1"/>
      </w:pPr>
    </w:p>
    <w:p w14:paraId="12EF7469" w14:textId="77777777" w:rsidR="008B42F3" w:rsidRDefault="008B42F3" w:rsidP="008B42F3">
      <w:pPr>
        <w:pStyle w:val="Heading1"/>
      </w:pPr>
      <w:r>
        <w:t>3.</w:t>
      </w:r>
      <w:r>
        <w:rPr>
          <w:rFonts w:ascii="Segoe UI Symbol" w:hAnsi="Segoe UI Symbol" w:cs="Segoe UI Symbol"/>
        </w:rPr>
        <w:t>⁠</w:t>
      </w:r>
      <w:r>
        <w:t xml:space="preserve"> </w:t>
      </w:r>
      <w:r>
        <w:rPr>
          <w:rFonts w:ascii="Segoe UI Symbol" w:hAnsi="Segoe UI Symbol" w:cs="Segoe UI Symbol"/>
        </w:rPr>
        <w:t>⁠</w:t>
      </w:r>
      <w:r>
        <w:t>Cellular Metabolism and Energy Production</w:t>
      </w:r>
    </w:p>
    <w:p w14:paraId="07518EC1" w14:textId="77777777" w:rsidR="008B42F3" w:rsidRPr="008B42F3" w:rsidRDefault="008B42F3" w:rsidP="008B42F3">
      <w:pPr>
        <w:pStyle w:val="Heading1"/>
        <w:rPr>
          <w:b w:val="0"/>
          <w:bCs/>
          <w:sz w:val="22"/>
          <w:szCs w:val="22"/>
        </w:rPr>
      </w:pPr>
      <w:r w:rsidRPr="008B42F3">
        <w:rPr>
          <w:b w:val="0"/>
          <w:bCs/>
          <w:sz w:val="22"/>
          <w:szCs w:val="22"/>
        </w:rPr>
        <w:t>Cellular metabolism refers to the processes cells use to convert nutrients into energy. One of the most important processes is cellular respiration, in which glucose and oxygen are used to produce adenosine triphosphate (ATP), the energy required for all bodily functions. ATP powers movement, growth, repair, and basic organ function.</w:t>
      </w:r>
    </w:p>
    <w:p w14:paraId="7FC5F886" w14:textId="44E1F24E" w:rsidR="008B42F3" w:rsidRPr="008B42F3" w:rsidRDefault="008B42F3" w:rsidP="008B42F3">
      <w:pPr>
        <w:pStyle w:val="Heading1"/>
        <w:rPr>
          <w:b w:val="0"/>
          <w:bCs/>
          <w:sz w:val="22"/>
          <w:szCs w:val="22"/>
        </w:rPr>
      </w:pPr>
      <w:r w:rsidRPr="008B42F3">
        <w:rPr>
          <w:b w:val="0"/>
          <w:bCs/>
          <w:sz w:val="22"/>
          <w:szCs w:val="22"/>
        </w:rPr>
        <w:t>This process occurs in the mitochondria, known as the cell’s power plants. Glucose enters the cells and is broken down through a series of chemical reactions, releasing energy in the form of ATP. This energy is essential for daily activities such as walking, thinking, digesting food, and repairing tissues.</w:t>
      </w:r>
    </w:p>
    <w:p w14:paraId="5F656649" w14:textId="57AA343C" w:rsidR="008B42F3" w:rsidRPr="008B42F3" w:rsidRDefault="008B42F3" w:rsidP="008B42F3">
      <w:pPr>
        <w:pStyle w:val="Heading1"/>
        <w:rPr>
          <w:b w:val="0"/>
          <w:bCs/>
          <w:sz w:val="22"/>
          <w:szCs w:val="22"/>
        </w:rPr>
      </w:pPr>
      <w:r w:rsidRPr="008B42F3">
        <w:rPr>
          <w:b w:val="0"/>
          <w:bCs/>
          <w:sz w:val="22"/>
          <w:szCs w:val="22"/>
        </w:rPr>
        <w:t>In T2D, insulin resistance prevents glucose from entering the cells efficiently. Although blood sugar is high, cells cannot access the glucose for energy, leading to fatigue, weakness, and reduced ability to exercise or perform daily tasks. Chronic hyperglycaemia also causes damage to blood vessels, nerves, and organs, increasing the risk of heart disease, kidney failure, and neuropathy (WHO, 2022).</w:t>
      </w:r>
    </w:p>
    <w:p w14:paraId="5011D8BC" w14:textId="77777777" w:rsidR="008B42F3" w:rsidRPr="008B42F3" w:rsidRDefault="008B42F3" w:rsidP="008B42F3">
      <w:pPr>
        <w:pStyle w:val="Heading1"/>
        <w:rPr>
          <w:b w:val="0"/>
          <w:bCs/>
          <w:sz w:val="22"/>
          <w:szCs w:val="22"/>
        </w:rPr>
      </w:pPr>
      <w:r w:rsidRPr="008B42F3">
        <w:rPr>
          <w:b w:val="0"/>
          <w:bCs/>
          <w:sz w:val="22"/>
          <w:szCs w:val="22"/>
        </w:rPr>
        <w:t>Explaining this process helps patients understand why they might feel tired even after eating normally. It also emphasizes that controlling blood sugar is not just about numbers but about maintaining energy, functionality, and overall health. Patients who understand how glucose is used are often more motivated to follow lifestyle changes and treatment recommendations.</w:t>
      </w:r>
    </w:p>
    <w:p w14:paraId="0BDFE66A" w14:textId="3D831A40" w:rsidR="008B42F3" w:rsidRDefault="008B42F3" w:rsidP="008B42F3">
      <w:pPr>
        <w:pStyle w:val="Heading1"/>
      </w:pPr>
    </w:p>
    <w:p w14:paraId="27972AA7" w14:textId="77777777" w:rsidR="008B42F3" w:rsidRDefault="008B42F3" w:rsidP="008B42F3">
      <w:pPr>
        <w:pStyle w:val="Heading1"/>
      </w:pPr>
      <w:r>
        <w:t>4.</w:t>
      </w:r>
      <w:r>
        <w:rPr>
          <w:rFonts w:ascii="Segoe UI Symbol" w:hAnsi="Segoe UI Symbol" w:cs="Segoe UI Symbol"/>
        </w:rPr>
        <w:t>⁠</w:t>
      </w:r>
      <w:r>
        <w:t xml:space="preserve"> </w:t>
      </w:r>
      <w:r>
        <w:rPr>
          <w:rFonts w:ascii="Segoe UI Symbol" w:hAnsi="Segoe UI Symbol" w:cs="Segoe UI Symbol"/>
        </w:rPr>
        <w:t>⁠</w:t>
      </w:r>
      <w:r>
        <w:t>Monitoring Blood Sugar Levels</w:t>
      </w:r>
    </w:p>
    <w:p w14:paraId="3E6A4C83" w14:textId="77777777" w:rsidR="000C1D6E" w:rsidRDefault="008B42F3" w:rsidP="008B42F3">
      <w:pPr>
        <w:pStyle w:val="Heading1"/>
        <w:rPr>
          <w:b w:val="0"/>
          <w:bCs/>
          <w:sz w:val="22"/>
          <w:szCs w:val="22"/>
        </w:rPr>
      </w:pPr>
      <w:r w:rsidRPr="008B42F3">
        <w:rPr>
          <w:b w:val="0"/>
          <w:bCs/>
          <w:sz w:val="22"/>
          <w:szCs w:val="22"/>
        </w:rPr>
        <w:lastRenderedPageBreak/>
        <w:t>Monitoring blood sugar is an essential part of T2D management. Recording glucose levels allows patients to understand how food, physical activity, medication, stress, and other factors affect their blood sugar.</w:t>
      </w:r>
    </w:p>
    <w:p w14:paraId="2D9DF346" w14:textId="4B9D4CEC" w:rsidR="008B42F3" w:rsidRPr="008B42F3" w:rsidRDefault="008B42F3" w:rsidP="008B42F3">
      <w:pPr>
        <w:pStyle w:val="Heading1"/>
        <w:rPr>
          <w:b w:val="0"/>
          <w:bCs/>
          <w:sz w:val="22"/>
          <w:szCs w:val="22"/>
        </w:rPr>
      </w:pPr>
      <w:r w:rsidRPr="008B42F3">
        <w:rPr>
          <w:b w:val="0"/>
          <w:bCs/>
          <w:sz w:val="22"/>
          <w:szCs w:val="22"/>
        </w:rPr>
        <w:t>Regular monitoring can help patients identify patterns. For example, they might notice that their blood sugar rises after eating certain foods or drops after exercising. This information helps them adjust their behaviour to maintain stable blood sugar levels. Without monitoring, abnormal glucose levels may go unnoticed, which increases the risk of serious complications such as heart disease, kidney damage, neuropathy, and vision problems (Diabetes UK, 2023).</w:t>
      </w:r>
    </w:p>
    <w:p w14:paraId="22F5199B" w14:textId="5C2A1A5A" w:rsidR="008B42F3" w:rsidRPr="008B42F3" w:rsidRDefault="008B42F3" w:rsidP="008B42F3">
      <w:pPr>
        <w:pStyle w:val="Heading1"/>
        <w:rPr>
          <w:b w:val="0"/>
          <w:bCs/>
          <w:sz w:val="22"/>
          <w:szCs w:val="22"/>
        </w:rPr>
      </w:pPr>
      <w:r w:rsidRPr="008B42F3">
        <w:rPr>
          <w:b w:val="0"/>
          <w:bCs/>
          <w:sz w:val="22"/>
          <w:szCs w:val="22"/>
        </w:rPr>
        <w:t>There are several methods for monitoring blood sugar. Finger-prick tests provide immediate readings, while continuous glucose monitoring (CGM) systems provide real-time data throughout the day. These tools allow patients and healthcare professionals to adjust treatment plans effectively.</w:t>
      </w:r>
    </w:p>
    <w:p w14:paraId="2FE4033C" w14:textId="77777777" w:rsidR="008B42F3" w:rsidRPr="008B42F3" w:rsidRDefault="008B42F3" w:rsidP="008B42F3">
      <w:pPr>
        <w:pStyle w:val="Heading1"/>
        <w:rPr>
          <w:b w:val="0"/>
          <w:bCs/>
          <w:sz w:val="22"/>
          <w:szCs w:val="22"/>
        </w:rPr>
      </w:pPr>
      <w:r w:rsidRPr="008B42F3">
        <w:rPr>
          <w:b w:val="0"/>
          <w:bCs/>
          <w:sz w:val="22"/>
          <w:szCs w:val="22"/>
        </w:rPr>
        <w:t>Practice nurses play a vital role in teaching patients how to monitor blood sugar, interpret results, and take appropriate action if readings are too high or too low. Supporting patients in this process builds confidence, encourages self-management, and reduces the risk of complications. For instance, a nurse might show a patient how to log their readings in a diary or app, helping them see trends over time.</w:t>
      </w:r>
    </w:p>
    <w:p w14:paraId="5C869D08" w14:textId="643201F7" w:rsidR="008B42F3" w:rsidRDefault="008B42F3" w:rsidP="008B42F3">
      <w:pPr>
        <w:pStyle w:val="Heading1"/>
      </w:pPr>
    </w:p>
    <w:p w14:paraId="334332BE" w14:textId="77777777" w:rsidR="008B42F3" w:rsidRDefault="008B42F3" w:rsidP="008B42F3">
      <w:pPr>
        <w:pStyle w:val="Heading1"/>
      </w:pPr>
    </w:p>
    <w:p w14:paraId="33FE8003" w14:textId="77777777" w:rsidR="008B42F3" w:rsidRDefault="008B42F3" w:rsidP="008B42F3">
      <w:pPr>
        <w:pStyle w:val="Heading1"/>
      </w:pPr>
      <w:r>
        <w:t>5.</w:t>
      </w:r>
      <w:r>
        <w:rPr>
          <w:rFonts w:ascii="Segoe UI Symbol" w:hAnsi="Segoe UI Symbol" w:cs="Segoe UI Symbol"/>
        </w:rPr>
        <w:t>⁠</w:t>
      </w:r>
      <w:r>
        <w:t xml:space="preserve"> </w:t>
      </w:r>
      <w:r>
        <w:rPr>
          <w:rFonts w:ascii="Segoe UI Symbol" w:hAnsi="Segoe UI Symbol" w:cs="Segoe UI Symbol"/>
        </w:rPr>
        <w:t>⁠</w:t>
      </w:r>
      <w:r>
        <w:t>Lifestyle Recommendations for Managing Type 2 Diabetes</w:t>
      </w:r>
    </w:p>
    <w:p w14:paraId="697E1FF3" w14:textId="19AC4D33" w:rsidR="009273C0" w:rsidRPr="009273C0" w:rsidRDefault="009273C0" w:rsidP="009273C0">
      <w:pPr>
        <w:pStyle w:val="Heading1"/>
        <w:rPr>
          <w:b w:val="0"/>
          <w:bCs/>
          <w:sz w:val="22"/>
          <w:szCs w:val="22"/>
        </w:rPr>
      </w:pPr>
      <w:r w:rsidRPr="009273C0">
        <w:rPr>
          <w:b w:val="0"/>
          <w:bCs/>
          <w:sz w:val="22"/>
          <w:szCs w:val="22"/>
        </w:rPr>
        <w:t>Lifestyle modifications are essential for the effective management of Type 2 diabetes (T2D). A balanced and nutritious diet plays a central role in maintaining stable blood glucose levels. Patients are encouraged to prioritise high-fibre foods, such as fruits, vegetables, and whole grains, while limiting the intake of sugary and highly processed foods (NHS, 2023). Additionally, incorporating lean proteins and healthy fats can contribute to better glycaemic control and support overall physical health.</w:t>
      </w:r>
    </w:p>
    <w:p w14:paraId="620BCCA0" w14:textId="149AA867" w:rsidR="009273C0" w:rsidRPr="009273C0" w:rsidRDefault="009273C0" w:rsidP="009273C0">
      <w:pPr>
        <w:pStyle w:val="Heading1"/>
        <w:rPr>
          <w:b w:val="0"/>
          <w:bCs/>
          <w:sz w:val="22"/>
          <w:szCs w:val="22"/>
        </w:rPr>
      </w:pPr>
      <w:r w:rsidRPr="009273C0">
        <w:rPr>
          <w:b w:val="0"/>
          <w:bCs/>
          <w:sz w:val="22"/>
          <w:szCs w:val="22"/>
        </w:rPr>
        <w:t>Regular physical activity is equally important. Exercise enhances insulin sensitivity, allowing glucose to enter cells more efficiently. Current guidelines recommend at least 150 minutes of moderate-intensity activity per week, including activities such as walking, cycling, or swimming (WHO, 2022). Beyond improving blood sugar regulation, exercise supports weight management, cardiovascular health, and stress reduction, all of which contribute to better long-term outcomes for individuals with T2D.</w:t>
      </w:r>
    </w:p>
    <w:p w14:paraId="685D93CF" w14:textId="77777777" w:rsidR="009273C0" w:rsidRDefault="009273C0" w:rsidP="009273C0">
      <w:pPr>
        <w:pStyle w:val="Heading1"/>
        <w:rPr>
          <w:b w:val="0"/>
          <w:bCs/>
          <w:sz w:val="22"/>
          <w:szCs w:val="22"/>
        </w:rPr>
      </w:pPr>
      <w:r w:rsidRPr="009273C0">
        <w:rPr>
          <w:b w:val="0"/>
          <w:bCs/>
          <w:sz w:val="22"/>
          <w:szCs w:val="22"/>
        </w:rPr>
        <w:t>Weight management is another critical component. Even modest reductions in body weight—around 5–10%—can improve blood glucose levels, reduce insulin resistance, and lower the risk of developing complications. Avoiding smoking and limiting alcohol intake are also recommended, as both behaviours can negatively affect metabolic health and increase cardiovascular risk (NHS, 2023).</w:t>
      </w:r>
    </w:p>
    <w:p w14:paraId="494D1336" w14:textId="3BD7FEFA" w:rsidR="009273C0" w:rsidRPr="009273C0" w:rsidRDefault="009273C0" w:rsidP="009273C0">
      <w:pPr>
        <w:pStyle w:val="Heading1"/>
        <w:rPr>
          <w:b w:val="0"/>
          <w:bCs/>
          <w:sz w:val="22"/>
          <w:szCs w:val="22"/>
        </w:rPr>
      </w:pPr>
      <w:r w:rsidRPr="009273C0">
        <w:rPr>
          <w:b w:val="0"/>
          <w:bCs/>
          <w:sz w:val="22"/>
          <w:szCs w:val="22"/>
        </w:rPr>
        <w:lastRenderedPageBreak/>
        <w:t>Practice nurses play a pivotal role in supporting patients to implement these lifestyle changes. By creating personalised care plans, providing guidance on diet and exercise, and helping patients set achievable goals, nurses can encourage sustainable behavioural changes. For example, a patient may begin by walking for ten minutes each day and gradually increase the duration and intensity of activity. Regular follow-ups enable nurses to monitor progress, reinforce positive behaviours, and address potential challenges, such as lack of motivation or difficulty accessing healthy foods.</w:t>
      </w:r>
    </w:p>
    <w:p w14:paraId="5C47C66D" w14:textId="3B0AEAC0" w:rsidR="009273C0" w:rsidRDefault="009273C0" w:rsidP="009273C0">
      <w:pPr>
        <w:pStyle w:val="Heading1"/>
        <w:rPr>
          <w:b w:val="0"/>
          <w:bCs/>
          <w:sz w:val="22"/>
          <w:szCs w:val="22"/>
        </w:rPr>
      </w:pPr>
      <w:r w:rsidRPr="009273C0">
        <w:rPr>
          <w:b w:val="0"/>
          <w:bCs/>
          <w:sz w:val="22"/>
          <w:szCs w:val="22"/>
        </w:rPr>
        <w:t>Furthermore, patient education is fundamental. Explaining the physiological benefits of lifestyle interventions helps patients understand why these changes matter, empowering them to take an active role in managing their condition. Providing practical strategies, such as meal planning, portion control, and ways to incorporate physical activity into daily routines, can significantly improve adherence and long-term health outcomes (</w:t>
      </w:r>
    </w:p>
    <w:p w14:paraId="0777292C" w14:textId="15B1AD08" w:rsidR="008B42F3" w:rsidRPr="000C1D6E" w:rsidRDefault="008B42F3" w:rsidP="008B42F3">
      <w:pPr>
        <w:pStyle w:val="Heading1"/>
        <w:rPr>
          <w:b w:val="0"/>
          <w:bCs/>
          <w:sz w:val="22"/>
          <w:szCs w:val="22"/>
        </w:rPr>
      </w:pPr>
      <w:r w:rsidRPr="008B42F3">
        <w:rPr>
          <w:b w:val="0"/>
          <w:bCs/>
          <w:sz w:val="22"/>
          <w:szCs w:val="22"/>
        </w:rPr>
        <w:t>Patient education is essential. Teaching patients to read food labels, plan meals, understand portion sizes, and recognise the effects of exercise on blood sugar empowers them to manage their condition. Support groups, diabetes workshops, and online resources also provide encouragement and practical advice.</w:t>
      </w:r>
    </w:p>
    <w:p w14:paraId="3C7B6081" w14:textId="77777777" w:rsidR="008B42F3" w:rsidRDefault="008B42F3" w:rsidP="008B42F3">
      <w:pPr>
        <w:pStyle w:val="Heading1"/>
      </w:pPr>
    </w:p>
    <w:p w14:paraId="2F7B98C9" w14:textId="017339C1" w:rsidR="008B42F3" w:rsidRDefault="008B42F3" w:rsidP="008B42F3">
      <w:pPr>
        <w:pStyle w:val="Heading1"/>
      </w:pPr>
      <w:r>
        <w:t>6.</w:t>
      </w:r>
      <w:r>
        <w:rPr>
          <w:rFonts w:ascii="Segoe UI Symbol" w:hAnsi="Segoe UI Symbol" w:cs="Segoe UI Symbol"/>
        </w:rPr>
        <w:t>⁠</w:t>
      </w:r>
      <w:r>
        <w:t xml:space="preserve"> </w:t>
      </w:r>
      <w:r>
        <w:rPr>
          <w:rFonts w:ascii="Segoe UI Symbol" w:hAnsi="Segoe UI Symbol" w:cs="Segoe UI Symbol"/>
        </w:rPr>
        <w:t>⁠</w:t>
      </w:r>
      <w:r>
        <w:t>The Role of the Practice Nurse</w:t>
      </w:r>
    </w:p>
    <w:p w14:paraId="491BA242" w14:textId="57A9C860" w:rsidR="008B42F3" w:rsidRPr="008B42F3" w:rsidRDefault="008B42F3" w:rsidP="008B42F3">
      <w:pPr>
        <w:pStyle w:val="Heading1"/>
        <w:rPr>
          <w:b w:val="0"/>
          <w:bCs/>
          <w:sz w:val="22"/>
          <w:szCs w:val="22"/>
        </w:rPr>
      </w:pPr>
      <w:r w:rsidRPr="008B42F3">
        <w:rPr>
          <w:b w:val="0"/>
          <w:bCs/>
          <w:sz w:val="22"/>
          <w:szCs w:val="22"/>
        </w:rPr>
        <w:t>Practice nurses are fundamental in supporting patients with T2D. They provide education about the condition, explain test results, teach self-management skills, and help patients set achievable goals. Nurses also monitor progress, adjust care plans, and provide emotional support.</w:t>
      </w:r>
    </w:p>
    <w:p w14:paraId="7EDA124F" w14:textId="30A9F6EB" w:rsidR="008B42F3" w:rsidRPr="008B42F3" w:rsidRDefault="008B42F3" w:rsidP="008B42F3">
      <w:pPr>
        <w:pStyle w:val="Heading1"/>
        <w:rPr>
          <w:b w:val="0"/>
          <w:bCs/>
          <w:sz w:val="22"/>
          <w:szCs w:val="22"/>
        </w:rPr>
      </w:pPr>
      <w:r w:rsidRPr="008B42F3">
        <w:rPr>
          <w:b w:val="0"/>
          <w:bCs/>
          <w:sz w:val="22"/>
          <w:szCs w:val="22"/>
        </w:rPr>
        <w:t>Supporting patients goes beyond giving information. It involves listening to concerns, understanding individual challenges, and helping patients overcome barriers. For example, a nurse might work with a patient who struggles to follow dietary advice by suggesting manageable changes, such as replacing sugary drinks with water or adding vegetables to meals, rather than expecting an immediate complete diet overhaul.</w:t>
      </w:r>
    </w:p>
    <w:p w14:paraId="0EFD5896" w14:textId="77777777" w:rsidR="008B42F3" w:rsidRPr="008B42F3" w:rsidRDefault="008B42F3" w:rsidP="008B42F3">
      <w:pPr>
        <w:pStyle w:val="Heading1"/>
        <w:rPr>
          <w:b w:val="0"/>
          <w:bCs/>
          <w:sz w:val="22"/>
          <w:szCs w:val="22"/>
        </w:rPr>
      </w:pPr>
      <w:r w:rsidRPr="008B42F3">
        <w:rPr>
          <w:b w:val="0"/>
          <w:bCs/>
          <w:sz w:val="22"/>
          <w:szCs w:val="22"/>
        </w:rPr>
        <w:t>By educating and guiding patients, nurses empower them to take control of their health, improve self-management, and reduce the risk of complications. This support increases patient confidence and quality of life, while promoting long-term behavioural change.</w:t>
      </w:r>
    </w:p>
    <w:p w14:paraId="2A214362" w14:textId="75CB086C" w:rsidR="008B42F3" w:rsidRDefault="008B42F3" w:rsidP="008B42F3">
      <w:pPr>
        <w:pStyle w:val="Heading1"/>
      </w:pPr>
    </w:p>
    <w:p w14:paraId="5922D19B" w14:textId="77777777" w:rsidR="008B42F3" w:rsidRDefault="008B42F3" w:rsidP="008B42F3">
      <w:pPr>
        <w:pStyle w:val="Heading1"/>
      </w:pPr>
    </w:p>
    <w:p w14:paraId="27CFFA55" w14:textId="77777777" w:rsidR="008B42F3" w:rsidRDefault="008B42F3" w:rsidP="008B42F3">
      <w:pPr>
        <w:pStyle w:val="Heading1"/>
      </w:pPr>
      <w:r>
        <w:t>7.</w:t>
      </w:r>
      <w:r>
        <w:rPr>
          <w:rFonts w:ascii="Segoe UI Symbol" w:hAnsi="Segoe UI Symbol" w:cs="Segoe UI Symbol"/>
        </w:rPr>
        <w:t>⁠</w:t>
      </w:r>
      <w:r>
        <w:t xml:space="preserve"> </w:t>
      </w:r>
      <w:r>
        <w:rPr>
          <w:rFonts w:ascii="Segoe UI Symbol" w:hAnsi="Segoe UI Symbol" w:cs="Segoe UI Symbol"/>
        </w:rPr>
        <w:t>⁠</w:t>
      </w:r>
      <w:r>
        <w:t>Complications and Preventive Strategies</w:t>
      </w:r>
    </w:p>
    <w:p w14:paraId="0F50DDAA" w14:textId="2E519BC7" w:rsidR="008B42F3" w:rsidRPr="008B42F3" w:rsidRDefault="008B42F3" w:rsidP="008B42F3">
      <w:pPr>
        <w:pStyle w:val="Heading1"/>
        <w:rPr>
          <w:b w:val="0"/>
          <w:bCs/>
          <w:sz w:val="22"/>
          <w:szCs w:val="22"/>
        </w:rPr>
      </w:pPr>
      <w:r w:rsidRPr="008B42F3">
        <w:rPr>
          <w:b w:val="0"/>
          <w:bCs/>
          <w:sz w:val="22"/>
          <w:szCs w:val="22"/>
        </w:rPr>
        <w:t>If T2D is not managed effectively, complications can develop. Cardiovascular disease is a common risk, as high blood sugar can damage blood vessels over time. Kidney disease, nerve damage, and vision problems are also frequent complications. Early intervention and careful monitoring can prevent or delay these issues.</w:t>
      </w:r>
    </w:p>
    <w:p w14:paraId="2C546EE4" w14:textId="77777777" w:rsidR="008B42F3" w:rsidRPr="008B42F3" w:rsidRDefault="008B42F3" w:rsidP="008B42F3">
      <w:pPr>
        <w:pStyle w:val="Heading1"/>
        <w:rPr>
          <w:b w:val="0"/>
          <w:bCs/>
          <w:sz w:val="22"/>
          <w:szCs w:val="22"/>
        </w:rPr>
      </w:pPr>
      <w:r w:rsidRPr="008B42F3">
        <w:rPr>
          <w:b w:val="0"/>
          <w:bCs/>
          <w:sz w:val="22"/>
          <w:szCs w:val="22"/>
        </w:rPr>
        <w:lastRenderedPageBreak/>
        <w:t>Preventive strategies include regular blood sugar checks, maintaining a healthy diet, exercising regularly, and attending routine medical appointments. Patients who understand their risk factors and actively participate in their care are more likely to achieve better outcomes. Nurses can support preventive care by reinforcing education, providing reminders for check-ups, and helping patients implement small, sustainable changes.</w:t>
      </w:r>
    </w:p>
    <w:p w14:paraId="3E2EFA25" w14:textId="77777777" w:rsidR="008B42F3" w:rsidRPr="008B42F3" w:rsidRDefault="008B42F3" w:rsidP="008B42F3">
      <w:pPr>
        <w:pStyle w:val="Heading1"/>
        <w:rPr>
          <w:b w:val="0"/>
          <w:bCs/>
          <w:sz w:val="22"/>
          <w:szCs w:val="22"/>
        </w:rPr>
      </w:pPr>
    </w:p>
    <w:p w14:paraId="306FB6E7" w14:textId="39A04742" w:rsidR="008B42F3" w:rsidRDefault="008B42F3" w:rsidP="008B42F3">
      <w:pPr>
        <w:pStyle w:val="Heading1"/>
      </w:pPr>
    </w:p>
    <w:p w14:paraId="535CF0F0" w14:textId="77777777" w:rsidR="00C45DC4" w:rsidRDefault="00C45DC4" w:rsidP="008B42F3">
      <w:pPr>
        <w:pStyle w:val="Heading1"/>
      </w:pPr>
    </w:p>
    <w:p w14:paraId="7AAADD02" w14:textId="167A70C3" w:rsidR="00F879B8" w:rsidRDefault="00F879B8" w:rsidP="00F879B8">
      <w:pPr>
        <w:pStyle w:val="Heading1"/>
      </w:pPr>
      <w:r>
        <w:t>9.</w:t>
      </w:r>
      <w:r>
        <w:rPr>
          <w:rFonts w:ascii="Segoe UI Symbol" w:hAnsi="Segoe UI Symbol" w:cs="Segoe UI Symbol"/>
        </w:rPr>
        <w:t>⁠</w:t>
      </w:r>
      <w:r>
        <w:t xml:space="preserve"> </w:t>
      </w:r>
      <w:r>
        <w:rPr>
          <w:rFonts w:ascii="Segoe UI Symbol" w:hAnsi="Segoe UI Symbol" w:cs="Segoe UI Symbol"/>
        </w:rPr>
        <w:t>⁠</w:t>
      </w:r>
      <w:r>
        <w:t>Patient Education and Self-Management</w:t>
      </w:r>
    </w:p>
    <w:p w14:paraId="40E579E6" w14:textId="4D3AC819" w:rsidR="00F879B8" w:rsidRPr="00B2493C" w:rsidRDefault="00F879B8" w:rsidP="00F879B8">
      <w:pPr>
        <w:pStyle w:val="Heading1"/>
        <w:rPr>
          <w:b w:val="0"/>
          <w:bCs/>
          <w:sz w:val="22"/>
          <w:szCs w:val="22"/>
        </w:rPr>
      </w:pPr>
      <w:r w:rsidRPr="00B2493C">
        <w:rPr>
          <w:b w:val="0"/>
          <w:bCs/>
          <w:sz w:val="22"/>
          <w:szCs w:val="22"/>
        </w:rPr>
        <w:t>Patient education is a fundamental aspect of managing Type 2 diabetes effectively. Individuals who are well-informed about their condition are more likely to take an active role in their care and make informed decisions regarding their health.</w:t>
      </w:r>
    </w:p>
    <w:p w14:paraId="2890EE52" w14:textId="6279ECBB" w:rsidR="00F879B8" w:rsidRPr="00B2493C" w:rsidRDefault="00F879B8" w:rsidP="00F879B8">
      <w:pPr>
        <w:pStyle w:val="Heading1"/>
        <w:rPr>
          <w:b w:val="0"/>
          <w:bCs/>
          <w:sz w:val="22"/>
          <w:szCs w:val="22"/>
        </w:rPr>
      </w:pPr>
      <w:r w:rsidRPr="00B2493C">
        <w:rPr>
          <w:b w:val="0"/>
          <w:bCs/>
          <w:sz w:val="22"/>
          <w:szCs w:val="22"/>
        </w:rPr>
        <w:t>Self-management involves daily responsibilities such as monitoring blood glucose levels, maintaining a balanced diet, engaging in regular physical activity, and adhering to prescribed medication. However, these tasks can be challenging, particularly for patients who lack confidence or understanding.</w:t>
      </w:r>
    </w:p>
    <w:p w14:paraId="162B1301" w14:textId="19C3F179" w:rsidR="00F879B8" w:rsidRPr="00B2493C" w:rsidRDefault="00F879B8" w:rsidP="00F879B8">
      <w:pPr>
        <w:pStyle w:val="Heading1"/>
        <w:rPr>
          <w:b w:val="0"/>
          <w:bCs/>
          <w:sz w:val="22"/>
          <w:szCs w:val="22"/>
        </w:rPr>
      </w:pPr>
      <w:r w:rsidRPr="00B2493C">
        <w:rPr>
          <w:b w:val="0"/>
          <w:bCs/>
          <w:sz w:val="22"/>
          <w:szCs w:val="22"/>
        </w:rPr>
        <w:t xml:space="preserve">Healthcare professionals, especially practice nurses, play a crucial role in supporting self-management by providing clear guidance, practical advice, and ongoing encouragement. Education should be tailored to the individual’s needs, </w:t>
      </w:r>
      <w:r w:rsidR="009B2E22" w:rsidRPr="00B2493C">
        <w:rPr>
          <w:b w:val="0"/>
          <w:bCs/>
          <w:sz w:val="22"/>
          <w:szCs w:val="22"/>
        </w:rPr>
        <w:t>considering</w:t>
      </w:r>
      <w:r w:rsidRPr="00B2493C">
        <w:rPr>
          <w:b w:val="0"/>
          <w:bCs/>
          <w:sz w:val="22"/>
          <w:szCs w:val="22"/>
        </w:rPr>
        <w:t xml:space="preserve"> their lifestyle, cultural background, and personal preferences.</w:t>
      </w:r>
    </w:p>
    <w:p w14:paraId="5BECBBBB" w14:textId="0D84D05A" w:rsidR="00C45DC4" w:rsidRPr="00B2493C" w:rsidRDefault="00F879B8" w:rsidP="00F879B8">
      <w:pPr>
        <w:pStyle w:val="Heading1"/>
        <w:rPr>
          <w:b w:val="0"/>
          <w:bCs/>
          <w:sz w:val="22"/>
          <w:szCs w:val="22"/>
        </w:rPr>
      </w:pPr>
      <w:r w:rsidRPr="00B2493C">
        <w:rPr>
          <w:b w:val="0"/>
          <w:bCs/>
          <w:sz w:val="22"/>
          <w:szCs w:val="22"/>
        </w:rPr>
        <w:t>Empowering patients to take control of their condition not only improves health outcomes but also enhances their quality of life. When patients feel confident in managing their diabetes, they are more likely to maintain long-term behavioural changes.</w:t>
      </w:r>
    </w:p>
    <w:p w14:paraId="047277EE" w14:textId="77777777" w:rsidR="00C45DC4" w:rsidRPr="00B2493C" w:rsidRDefault="00C45DC4" w:rsidP="008B42F3">
      <w:pPr>
        <w:pStyle w:val="Heading1"/>
        <w:rPr>
          <w:b w:val="0"/>
          <w:bCs/>
          <w:sz w:val="22"/>
          <w:szCs w:val="22"/>
        </w:rPr>
      </w:pPr>
    </w:p>
    <w:p w14:paraId="63A6B85C" w14:textId="77777777" w:rsidR="00C45DC4" w:rsidRDefault="00C45DC4" w:rsidP="008B42F3">
      <w:pPr>
        <w:pStyle w:val="Heading1"/>
      </w:pPr>
    </w:p>
    <w:p w14:paraId="48C88785" w14:textId="426CD150" w:rsidR="008B42F3" w:rsidRDefault="00C45DC4" w:rsidP="008B42F3">
      <w:pPr>
        <w:pStyle w:val="Heading1"/>
      </w:pPr>
      <w:r>
        <w:t>9.</w:t>
      </w:r>
      <w:r w:rsidR="008B42F3">
        <w:rPr>
          <w:rFonts w:ascii="Segoe UI Symbol" w:hAnsi="Segoe UI Symbol" w:cs="Segoe UI Symbol"/>
        </w:rPr>
        <w:t>⁠</w:t>
      </w:r>
      <w:r w:rsidR="008B42F3">
        <w:t xml:space="preserve"> </w:t>
      </w:r>
      <w:r w:rsidR="008B42F3">
        <w:rPr>
          <w:rFonts w:ascii="Segoe UI Symbol" w:hAnsi="Segoe UI Symbol" w:cs="Segoe UI Symbol"/>
        </w:rPr>
        <w:t>⁠</w:t>
      </w:r>
      <w:r w:rsidR="008B42F3">
        <w:t>Conclusion</w:t>
      </w:r>
    </w:p>
    <w:p w14:paraId="3F5DC4F8" w14:textId="3C9D6F6B" w:rsidR="008B42F3" w:rsidRPr="008B42F3" w:rsidRDefault="008B42F3" w:rsidP="008B42F3">
      <w:pPr>
        <w:pStyle w:val="Heading1"/>
        <w:rPr>
          <w:b w:val="0"/>
          <w:bCs/>
          <w:sz w:val="22"/>
          <w:szCs w:val="22"/>
        </w:rPr>
      </w:pPr>
      <w:r w:rsidRPr="008B42F3">
        <w:rPr>
          <w:b w:val="0"/>
          <w:bCs/>
          <w:sz w:val="22"/>
          <w:szCs w:val="22"/>
        </w:rPr>
        <w:t>Type 2 diabetes is a chronic condition caused by insulin resistance and impaired blood sugar regulation. Understanding how insulin and glucagon work helps patients recognise the importance of managing their blood sugar levels.</w:t>
      </w:r>
    </w:p>
    <w:p w14:paraId="1E37C7F9" w14:textId="6E3802A9" w:rsidR="008B42F3" w:rsidRPr="008B42F3" w:rsidRDefault="008B42F3" w:rsidP="008B42F3">
      <w:pPr>
        <w:pStyle w:val="Heading1"/>
        <w:rPr>
          <w:b w:val="0"/>
          <w:bCs/>
          <w:sz w:val="22"/>
          <w:szCs w:val="22"/>
        </w:rPr>
      </w:pPr>
      <w:r w:rsidRPr="008B42F3">
        <w:rPr>
          <w:b w:val="0"/>
          <w:bCs/>
          <w:sz w:val="22"/>
          <w:szCs w:val="22"/>
        </w:rPr>
        <w:t>Energy production relies on glucose, but in T2D, cells cannot use glucose efficiently, causing fatigue and reduced physical ability. Monitoring blood sugar is crucial to understanding patterns, making informed choices, and preventing complications.</w:t>
      </w:r>
    </w:p>
    <w:p w14:paraId="4EFACB84" w14:textId="77777777" w:rsidR="00172440" w:rsidRDefault="008B42F3" w:rsidP="008B42F3">
      <w:pPr>
        <w:pStyle w:val="Heading1"/>
        <w:rPr>
          <w:b w:val="0"/>
          <w:bCs/>
          <w:sz w:val="22"/>
          <w:szCs w:val="22"/>
        </w:rPr>
      </w:pPr>
      <w:r w:rsidRPr="008B42F3">
        <w:rPr>
          <w:b w:val="0"/>
          <w:bCs/>
          <w:sz w:val="22"/>
          <w:szCs w:val="22"/>
        </w:rPr>
        <w:t>Lifestyle changes such as a balanced diet, regular exercise, weight management, smoking cessation, and limiting alcohol are central to managing T2D. Practice nurses play a vital role in educating, supporting, and guiding patients. Through personalised care, encouragement, and ongoing support, nurses help patients manage their condition, reduce risks, and improve quality of life.</w:t>
      </w:r>
    </w:p>
    <w:p w14:paraId="5DE520DD" w14:textId="59DEAF60" w:rsidR="006B38BB" w:rsidRPr="008B42F3" w:rsidRDefault="008B42F3" w:rsidP="008B42F3">
      <w:pPr>
        <w:pStyle w:val="Heading1"/>
        <w:rPr>
          <w:b w:val="0"/>
          <w:bCs/>
          <w:sz w:val="22"/>
          <w:szCs w:val="22"/>
        </w:rPr>
      </w:pPr>
      <w:r w:rsidRPr="008B42F3">
        <w:rPr>
          <w:b w:val="0"/>
          <w:bCs/>
          <w:sz w:val="22"/>
          <w:szCs w:val="22"/>
        </w:rPr>
        <w:lastRenderedPageBreak/>
        <w:t>With proper education, monitoring, and sustainable lifestyle changes, patients with T2D can successfully manage their condition, prevent complications, and maintain better overall health.</w:t>
      </w:r>
    </w:p>
    <w:p w14:paraId="10068AB2" w14:textId="77777777" w:rsidR="006B38BB" w:rsidRDefault="006B38BB" w:rsidP="009E37B4">
      <w:pPr>
        <w:pStyle w:val="Heading1"/>
      </w:pPr>
    </w:p>
    <w:p w14:paraId="5BCBB22C" w14:textId="5890468C" w:rsidR="001B7A40" w:rsidRPr="000C1D6E" w:rsidRDefault="001B7A40" w:rsidP="000C1D6E">
      <w:pPr>
        <w:pStyle w:val="NormalWeb"/>
        <w:spacing w:before="375" w:beforeAutospacing="0" w:after="375" w:afterAutospacing="0" w:line="390" w:lineRule="atLeast"/>
      </w:pPr>
    </w:p>
    <w:p w14:paraId="251B3492" w14:textId="6B50CD06" w:rsidR="001B7A40" w:rsidRPr="00C03A91" w:rsidRDefault="001B7A40" w:rsidP="009E37B4">
      <w:pPr>
        <w:pStyle w:val="Heading1"/>
      </w:pPr>
      <w:r w:rsidRPr="00C03A91">
        <w:t>References</w:t>
      </w:r>
    </w:p>
    <w:p w14:paraId="15D654F8" w14:textId="77777777" w:rsidR="001B7A40" w:rsidRPr="00C03A91" w:rsidRDefault="001B7A40" w:rsidP="00C03A91">
      <w:pPr>
        <w:spacing w:line="360" w:lineRule="auto"/>
        <w:rPr>
          <w:rFonts w:ascii="Arial" w:hAnsi="Arial" w:cs="Arial"/>
        </w:rPr>
      </w:pPr>
    </w:p>
    <w:p w14:paraId="6953E2D8" w14:textId="347B038F" w:rsidR="009A52A1" w:rsidRPr="009A52A1" w:rsidRDefault="009A52A1" w:rsidP="009A52A1">
      <w:pPr>
        <w:spacing w:line="360" w:lineRule="auto"/>
        <w:rPr>
          <w:rFonts w:ascii="Arial" w:hAnsi="Arial" w:cs="Arial"/>
        </w:rPr>
      </w:pPr>
      <w:r w:rsidRPr="009A52A1">
        <w:rPr>
          <w:rFonts w:ascii="Arial" w:hAnsi="Arial" w:cs="Arial"/>
        </w:rPr>
        <w:t xml:space="preserve">National Health Service (NHS) (2023) Type 2 diabetes. Available at: https://www.nhs.uk/conditions/type-2-diabetes/ </w:t>
      </w:r>
    </w:p>
    <w:p w14:paraId="523260EB" w14:textId="77777777" w:rsidR="009A52A1" w:rsidRPr="009A52A1" w:rsidRDefault="009A52A1" w:rsidP="009A52A1">
      <w:pPr>
        <w:spacing w:line="360" w:lineRule="auto"/>
        <w:rPr>
          <w:rFonts w:ascii="Arial" w:hAnsi="Arial" w:cs="Arial"/>
        </w:rPr>
      </w:pPr>
    </w:p>
    <w:p w14:paraId="71BCF926" w14:textId="06819698" w:rsidR="009A52A1" w:rsidRPr="009A52A1" w:rsidRDefault="009A52A1" w:rsidP="009A52A1">
      <w:pPr>
        <w:spacing w:line="360" w:lineRule="auto"/>
        <w:rPr>
          <w:rFonts w:ascii="Arial" w:hAnsi="Arial" w:cs="Arial"/>
        </w:rPr>
      </w:pPr>
      <w:r w:rsidRPr="009A52A1">
        <w:rPr>
          <w:rFonts w:ascii="Arial" w:hAnsi="Arial" w:cs="Arial"/>
        </w:rPr>
        <w:t xml:space="preserve">World Health Organization (WHO) (2022) Diabetes. Available at: https://www.who.int/news-room/fact-sheets/detail/diabetes </w:t>
      </w:r>
    </w:p>
    <w:p w14:paraId="79AF2894" w14:textId="77777777" w:rsidR="009A52A1" w:rsidRPr="009A52A1" w:rsidRDefault="009A52A1" w:rsidP="009A52A1">
      <w:pPr>
        <w:spacing w:line="360" w:lineRule="auto"/>
        <w:rPr>
          <w:rFonts w:ascii="Arial" w:hAnsi="Arial" w:cs="Arial"/>
        </w:rPr>
      </w:pPr>
    </w:p>
    <w:p w14:paraId="4FB4A6AF" w14:textId="58FE120D" w:rsidR="009A52A1" w:rsidRPr="009A52A1" w:rsidRDefault="009A52A1" w:rsidP="009A52A1">
      <w:pPr>
        <w:spacing w:line="360" w:lineRule="auto"/>
        <w:rPr>
          <w:rFonts w:ascii="Arial" w:hAnsi="Arial" w:cs="Arial"/>
        </w:rPr>
      </w:pPr>
      <w:r w:rsidRPr="009A52A1">
        <w:rPr>
          <w:rFonts w:ascii="Arial" w:hAnsi="Arial" w:cs="Arial"/>
        </w:rPr>
        <w:t xml:space="preserve">Diabetes UK (2023) What is Type 2 diabetes? Available at: https://www.diabetes.org.uk/diabetes-the-basics/type-2-diabetes </w:t>
      </w:r>
    </w:p>
    <w:p w14:paraId="606B5739" w14:textId="77777777" w:rsidR="009A52A1" w:rsidRPr="009A52A1" w:rsidRDefault="009A52A1" w:rsidP="009A52A1">
      <w:pPr>
        <w:spacing w:line="360" w:lineRule="auto"/>
        <w:rPr>
          <w:rFonts w:ascii="Arial" w:hAnsi="Arial" w:cs="Arial"/>
        </w:rPr>
      </w:pPr>
    </w:p>
    <w:p w14:paraId="10FE02C5" w14:textId="6E446395" w:rsidR="009A52A1" w:rsidRPr="009A52A1" w:rsidRDefault="009A52A1" w:rsidP="009A52A1">
      <w:pPr>
        <w:spacing w:line="360" w:lineRule="auto"/>
        <w:rPr>
          <w:rFonts w:ascii="Arial" w:hAnsi="Arial" w:cs="Arial"/>
        </w:rPr>
      </w:pPr>
      <w:r w:rsidRPr="009A52A1">
        <w:rPr>
          <w:rFonts w:ascii="Arial" w:hAnsi="Arial" w:cs="Arial"/>
        </w:rPr>
        <w:t xml:space="preserve">International Diabetes Federation (IDF) (2021) IDF Diabetes Atlas (10th ed.). Available at: https://diabetesatlas.org </w:t>
      </w:r>
    </w:p>
    <w:p w14:paraId="7BBD09F8" w14:textId="77777777" w:rsidR="009A52A1" w:rsidRPr="009A52A1" w:rsidRDefault="009A52A1" w:rsidP="009A52A1">
      <w:pPr>
        <w:spacing w:line="360" w:lineRule="auto"/>
        <w:rPr>
          <w:rFonts w:ascii="Arial" w:hAnsi="Arial" w:cs="Arial"/>
        </w:rPr>
      </w:pPr>
    </w:p>
    <w:p w14:paraId="1C1B5B6E" w14:textId="50AD34C7" w:rsidR="001B7A40" w:rsidRPr="00C03A91" w:rsidRDefault="009A52A1" w:rsidP="009A52A1">
      <w:pPr>
        <w:spacing w:line="360" w:lineRule="auto"/>
        <w:rPr>
          <w:rFonts w:ascii="Arial" w:hAnsi="Arial" w:cs="Arial"/>
        </w:rPr>
      </w:pPr>
      <w:r w:rsidRPr="009A52A1">
        <w:rPr>
          <w:rFonts w:ascii="Arial" w:hAnsi="Arial" w:cs="Arial"/>
        </w:rPr>
        <w:t xml:space="preserve">American Diabetes Association (ADA) (2023) Standards of care in diabetes. Available at: https://diabetesjournals.org </w:t>
      </w:r>
    </w:p>
    <w:sectPr w:rsidR="001B7A40" w:rsidRPr="00C03A91" w:rsidSect="003702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FE532" w14:textId="77777777" w:rsidR="003B58AE" w:rsidRDefault="003B58AE" w:rsidP="00C03A91">
      <w:pPr>
        <w:spacing w:after="0" w:line="240" w:lineRule="auto"/>
      </w:pPr>
      <w:r>
        <w:separator/>
      </w:r>
    </w:p>
  </w:endnote>
  <w:endnote w:type="continuationSeparator" w:id="0">
    <w:p w14:paraId="615F6D25" w14:textId="77777777" w:rsidR="003B58AE" w:rsidRDefault="003B58AE"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3C57E" w14:textId="77777777" w:rsidR="003B58AE" w:rsidRDefault="003B58AE" w:rsidP="00C03A91">
      <w:pPr>
        <w:spacing w:after="0" w:line="240" w:lineRule="auto"/>
      </w:pPr>
      <w:r>
        <w:separator/>
      </w:r>
    </w:p>
  </w:footnote>
  <w:footnote w:type="continuationSeparator" w:id="0">
    <w:p w14:paraId="1085E013" w14:textId="77777777" w:rsidR="003B58AE" w:rsidRDefault="003B58AE"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6331C"/>
    <w:rsid w:val="00076AC0"/>
    <w:rsid w:val="000B7A03"/>
    <w:rsid w:val="000C1D6E"/>
    <w:rsid w:val="000C4EDA"/>
    <w:rsid w:val="00172440"/>
    <w:rsid w:val="001B7A40"/>
    <w:rsid w:val="001F6DDB"/>
    <w:rsid w:val="00216C85"/>
    <w:rsid w:val="00273EDD"/>
    <w:rsid w:val="00275F1A"/>
    <w:rsid w:val="002C3965"/>
    <w:rsid w:val="002D5EDB"/>
    <w:rsid w:val="00301309"/>
    <w:rsid w:val="00321C4C"/>
    <w:rsid w:val="00360C1B"/>
    <w:rsid w:val="00370282"/>
    <w:rsid w:val="003830C9"/>
    <w:rsid w:val="003853D9"/>
    <w:rsid w:val="003A10C6"/>
    <w:rsid w:val="003B58AE"/>
    <w:rsid w:val="003F1DC5"/>
    <w:rsid w:val="0040082D"/>
    <w:rsid w:val="004577F7"/>
    <w:rsid w:val="005247B0"/>
    <w:rsid w:val="005851AD"/>
    <w:rsid w:val="006A2C36"/>
    <w:rsid w:val="006A3BA5"/>
    <w:rsid w:val="006B21E6"/>
    <w:rsid w:val="006B38BB"/>
    <w:rsid w:val="007A7297"/>
    <w:rsid w:val="007E7745"/>
    <w:rsid w:val="007F70A0"/>
    <w:rsid w:val="00800116"/>
    <w:rsid w:val="008353D4"/>
    <w:rsid w:val="008B42F3"/>
    <w:rsid w:val="009273C0"/>
    <w:rsid w:val="0094121E"/>
    <w:rsid w:val="00961ED9"/>
    <w:rsid w:val="009A52A1"/>
    <w:rsid w:val="009B2E22"/>
    <w:rsid w:val="009D1D1E"/>
    <w:rsid w:val="009E37B4"/>
    <w:rsid w:val="00A035FD"/>
    <w:rsid w:val="00AA4DD8"/>
    <w:rsid w:val="00AE1108"/>
    <w:rsid w:val="00B02643"/>
    <w:rsid w:val="00B2493C"/>
    <w:rsid w:val="00C03A91"/>
    <w:rsid w:val="00C36C0E"/>
    <w:rsid w:val="00C45DC4"/>
    <w:rsid w:val="00C82633"/>
    <w:rsid w:val="00CA1409"/>
    <w:rsid w:val="00CD2863"/>
    <w:rsid w:val="00CE7A90"/>
    <w:rsid w:val="00D32CD2"/>
    <w:rsid w:val="00D41413"/>
    <w:rsid w:val="00D73FB0"/>
    <w:rsid w:val="00DA2A1E"/>
    <w:rsid w:val="00DB6D4B"/>
    <w:rsid w:val="00DF1ECE"/>
    <w:rsid w:val="00E2038D"/>
    <w:rsid w:val="00E62E6E"/>
    <w:rsid w:val="00EB12BC"/>
    <w:rsid w:val="00EF6B40"/>
    <w:rsid w:val="00F137E3"/>
    <w:rsid w:val="00F44C8F"/>
    <w:rsid w:val="00F80FC9"/>
    <w:rsid w:val="00F879B8"/>
    <w:rsid w:val="00F97AA5"/>
    <w:rsid w:val="00FC1295"/>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E37B4"/>
    <w:pPr>
      <w:keepNext/>
      <w:keepLines/>
      <w:spacing w:before="240" w:after="0"/>
      <w:outlineLvl w:val="0"/>
    </w:pPr>
    <w:rPr>
      <w:rFonts w:ascii="Arial" w:eastAsiaTheme="majorEastAsia" w:hAnsi="Arial" w:cstheme="majorBidi"/>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B4"/>
    <w:rPr>
      <w:rFonts w:ascii="Arial" w:eastAsiaTheme="majorEastAsia" w:hAnsi="Arial" w:cstheme="majorBidi"/>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itle">
    <w:name w:val="Title"/>
    <w:basedOn w:val="Normal"/>
    <w:next w:val="Normal"/>
    <w:link w:val="TitleChar"/>
    <w:uiPriority w:val="10"/>
    <w:qFormat/>
    <w:rsid w:val="006B38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8BB"/>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B02643"/>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B02643"/>
  </w:style>
  <w:style w:type="paragraph" w:styleId="z-TopofForm">
    <w:name w:val="HTML Top of Form"/>
    <w:basedOn w:val="Normal"/>
    <w:next w:val="Normal"/>
    <w:link w:val="z-TopofFormChar"/>
    <w:hidden/>
    <w:uiPriority w:val="99"/>
    <w:semiHidden/>
    <w:unhideWhenUsed/>
    <w:rsid w:val="00B026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0264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026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02643"/>
    <w:rPr>
      <w:rFonts w:ascii="Arial" w:eastAsia="Times New Roman" w:hAnsi="Arial" w:cs="Arial"/>
      <w:vanish/>
      <w:sz w:val="16"/>
      <w:szCs w:val="16"/>
      <w:lang w:eastAsia="en-GB"/>
    </w:rPr>
  </w:style>
  <w:style w:type="paragraph" w:styleId="EndnoteText">
    <w:name w:val="endnote text"/>
    <w:basedOn w:val="Normal"/>
    <w:link w:val="EndnoteTextChar"/>
    <w:uiPriority w:val="99"/>
    <w:semiHidden/>
    <w:unhideWhenUsed/>
    <w:rsid w:val="000B7A0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7A03"/>
    <w:rPr>
      <w:sz w:val="20"/>
      <w:szCs w:val="20"/>
    </w:rPr>
  </w:style>
  <w:style w:type="character" w:styleId="EndnoteReference">
    <w:name w:val="endnote reference"/>
    <w:basedOn w:val="DefaultParagraphFont"/>
    <w:uiPriority w:val="99"/>
    <w:semiHidden/>
    <w:unhideWhenUsed/>
    <w:rsid w:val="000B7A03"/>
    <w:rPr>
      <w:vertAlign w:val="superscript"/>
    </w:rPr>
  </w:style>
  <w:style w:type="paragraph" w:styleId="FootnoteText">
    <w:name w:val="footnote text"/>
    <w:basedOn w:val="Normal"/>
    <w:link w:val="FootnoteTextChar"/>
    <w:uiPriority w:val="99"/>
    <w:semiHidden/>
    <w:unhideWhenUsed/>
    <w:rsid w:val="000B7A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7A03"/>
    <w:rPr>
      <w:sz w:val="20"/>
      <w:szCs w:val="20"/>
    </w:rPr>
  </w:style>
  <w:style w:type="character" w:styleId="FootnoteReference">
    <w:name w:val="footnote reference"/>
    <w:basedOn w:val="DefaultParagraphFont"/>
    <w:uiPriority w:val="99"/>
    <w:semiHidden/>
    <w:unhideWhenUsed/>
    <w:rsid w:val="000B7A03"/>
    <w:rPr>
      <w:vertAlign w:val="superscript"/>
    </w:rPr>
  </w:style>
  <w:style w:type="paragraph" w:customStyle="1" w:styleId="p1">
    <w:name w:val="p1"/>
    <w:basedOn w:val="Normal"/>
    <w:rsid w:val="006A3BA5"/>
    <w:pPr>
      <w:spacing w:after="0" w:line="240" w:lineRule="auto"/>
    </w:pPr>
    <w:rPr>
      <w:rFonts w:ascii="Arial" w:eastAsia="Times New Roman" w:hAnsi="Arial" w:cs="Arial"/>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3092">
      <w:bodyDiv w:val="1"/>
      <w:marLeft w:val="0"/>
      <w:marRight w:val="0"/>
      <w:marTop w:val="0"/>
      <w:marBottom w:val="0"/>
      <w:divBdr>
        <w:top w:val="none" w:sz="0" w:space="0" w:color="auto"/>
        <w:left w:val="none" w:sz="0" w:space="0" w:color="auto"/>
        <w:bottom w:val="none" w:sz="0" w:space="0" w:color="auto"/>
        <w:right w:val="none" w:sz="0" w:space="0" w:color="auto"/>
      </w:divBdr>
      <w:divsChild>
        <w:div w:id="606500022">
          <w:marLeft w:val="0"/>
          <w:marRight w:val="0"/>
          <w:marTop w:val="0"/>
          <w:marBottom w:val="0"/>
          <w:divBdr>
            <w:top w:val="none" w:sz="0" w:space="0" w:color="auto"/>
            <w:left w:val="none" w:sz="0" w:space="0" w:color="auto"/>
            <w:bottom w:val="none" w:sz="0" w:space="0" w:color="auto"/>
            <w:right w:val="none" w:sz="0" w:space="0" w:color="auto"/>
          </w:divBdr>
        </w:div>
        <w:div w:id="90248865">
          <w:marLeft w:val="0"/>
          <w:marRight w:val="0"/>
          <w:marTop w:val="0"/>
          <w:marBottom w:val="0"/>
          <w:divBdr>
            <w:top w:val="none" w:sz="0" w:space="0" w:color="auto"/>
            <w:left w:val="none" w:sz="0" w:space="0" w:color="auto"/>
            <w:bottom w:val="none" w:sz="0" w:space="0" w:color="auto"/>
            <w:right w:val="none" w:sz="0" w:space="0" w:color="auto"/>
          </w:divBdr>
        </w:div>
        <w:div w:id="1685130582">
          <w:marLeft w:val="0"/>
          <w:marRight w:val="0"/>
          <w:marTop w:val="0"/>
          <w:marBottom w:val="0"/>
          <w:divBdr>
            <w:top w:val="none" w:sz="0" w:space="0" w:color="auto"/>
            <w:left w:val="none" w:sz="0" w:space="0" w:color="auto"/>
            <w:bottom w:val="none" w:sz="0" w:space="0" w:color="auto"/>
            <w:right w:val="none" w:sz="0" w:space="0" w:color="auto"/>
          </w:divBdr>
          <w:divsChild>
            <w:div w:id="9872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1576">
      <w:bodyDiv w:val="1"/>
      <w:marLeft w:val="0"/>
      <w:marRight w:val="0"/>
      <w:marTop w:val="0"/>
      <w:marBottom w:val="0"/>
      <w:divBdr>
        <w:top w:val="none" w:sz="0" w:space="0" w:color="auto"/>
        <w:left w:val="none" w:sz="0" w:space="0" w:color="auto"/>
        <w:bottom w:val="none" w:sz="0" w:space="0" w:color="auto"/>
        <w:right w:val="none" w:sz="0" w:space="0" w:color="auto"/>
      </w:divBdr>
    </w:div>
    <w:div w:id="1025905538">
      <w:bodyDiv w:val="1"/>
      <w:marLeft w:val="0"/>
      <w:marRight w:val="0"/>
      <w:marTop w:val="0"/>
      <w:marBottom w:val="0"/>
      <w:divBdr>
        <w:top w:val="none" w:sz="0" w:space="0" w:color="auto"/>
        <w:left w:val="none" w:sz="0" w:space="0" w:color="auto"/>
        <w:bottom w:val="none" w:sz="0" w:space="0" w:color="auto"/>
        <w:right w:val="none" w:sz="0" w:space="0" w:color="auto"/>
      </w:divBdr>
      <w:divsChild>
        <w:div w:id="1757945802">
          <w:marLeft w:val="0"/>
          <w:marRight w:val="0"/>
          <w:marTop w:val="0"/>
          <w:marBottom w:val="0"/>
          <w:divBdr>
            <w:top w:val="none" w:sz="0" w:space="0" w:color="auto"/>
            <w:left w:val="none" w:sz="0" w:space="0" w:color="auto"/>
            <w:bottom w:val="none" w:sz="0" w:space="0" w:color="auto"/>
            <w:right w:val="none" w:sz="0" w:space="0" w:color="auto"/>
          </w:divBdr>
        </w:div>
        <w:div w:id="494105441">
          <w:marLeft w:val="0"/>
          <w:marRight w:val="0"/>
          <w:marTop w:val="0"/>
          <w:marBottom w:val="0"/>
          <w:divBdr>
            <w:top w:val="none" w:sz="0" w:space="0" w:color="auto"/>
            <w:left w:val="none" w:sz="0" w:space="0" w:color="auto"/>
            <w:bottom w:val="none" w:sz="0" w:space="0" w:color="auto"/>
            <w:right w:val="none" w:sz="0" w:space="0" w:color="auto"/>
          </w:divBdr>
        </w:div>
        <w:div w:id="1510288198">
          <w:marLeft w:val="0"/>
          <w:marRight w:val="0"/>
          <w:marTop w:val="0"/>
          <w:marBottom w:val="0"/>
          <w:divBdr>
            <w:top w:val="none" w:sz="0" w:space="0" w:color="auto"/>
            <w:left w:val="none" w:sz="0" w:space="0" w:color="auto"/>
            <w:bottom w:val="none" w:sz="0" w:space="0" w:color="auto"/>
            <w:right w:val="none" w:sz="0" w:space="0" w:color="auto"/>
          </w:divBdr>
          <w:divsChild>
            <w:div w:id="277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57929">
      <w:bodyDiv w:val="1"/>
      <w:marLeft w:val="0"/>
      <w:marRight w:val="0"/>
      <w:marTop w:val="0"/>
      <w:marBottom w:val="0"/>
      <w:divBdr>
        <w:top w:val="none" w:sz="0" w:space="0" w:color="auto"/>
        <w:left w:val="none" w:sz="0" w:space="0" w:color="auto"/>
        <w:bottom w:val="none" w:sz="0" w:space="0" w:color="auto"/>
        <w:right w:val="none" w:sz="0" w:space="0" w:color="auto"/>
      </w:divBdr>
    </w:div>
    <w:div w:id="1243023567">
      <w:bodyDiv w:val="1"/>
      <w:marLeft w:val="0"/>
      <w:marRight w:val="0"/>
      <w:marTop w:val="0"/>
      <w:marBottom w:val="0"/>
      <w:divBdr>
        <w:top w:val="none" w:sz="0" w:space="0" w:color="auto"/>
        <w:left w:val="none" w:sz="0" w:space="0" w:color="auto"/>
        <w:bottom w:val="none" w:sz="0" w:space="0" w:color="auto"/>
        <w:right w:val="none" w:sz="0" w:space="0" w:color="auto"/>
      </w:divBdr>
    </w:div>
    <w:div w:id="1320620995">
      <w:bodyDiv w:val="1"/>
      <w:marLeft w:val="0"/>
      <w:marRight w:val="0"/>
      <w:marTop w:val="0"/>
      <w:marBottom w:val="0"/>
      <w:divBdr>
        <w:top w:val="none" w:sz="0" w:space="0" w:color="auto"/>
        <w:left w:val="none" w:sz="0" w:space="0" w:color="auto"/>
        <w:bottom w:val="none" w:sz="0" w:space="0" w:color="auto"/>
        <w:right w:val="none" w:sz="0" w:space="0" w:color="auto"/>
      </w:divBdr>
      <w:divsChild>
        <w:div w:id="1065106298">
          <w:marLeft w:val="-225"/>
          <w:marRight w:val="-225"/>
          <w:marTop w:val="0"/>
          <w:marBottom w:val="0"/>
          <w:divBdr>
            <w:top w:val="none" w:sz="0" w:space="0" w:color="auto"/>
            <w:left w:val="none" w:sz="0" w:space="0" w:color="auto"/>
            <w:bottom w:val="none" w:sz="0" w:space="0" w:color="auto"/>
            <w:right w:val="none" w:sz="0" w:space="0" w:color="auto"/>
          </w:divBdr>
          <w:divsChild>
            <w:div w:id="8264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 w:id="1704477577">
      <w:bodyDiv w:val="1"/>
      <w:marLeft w:val="0"/>
      <w:marRight w:val="0"/>
      <w:marTop w:val="0"/>
      <w:marBottom w:val="0"/>
      <w:divBdr>
        <w:top w:val="none" w:sz="0" w:space="0" w:color="auto"/>
        <w:left w:val="none" w:sz="0" w:space="0" w:color="auto"/>
        <w:bottom w:val="none" w:sz="0" w:space="0" w:color="auto"/>
        <w:right w:val="none" w:sz="0" w:space="0" w:color="auto"/>
      </w:divBdr>
      <w:divsChild>
        <w:div w:id="1305114024">
          <w:marLeft w:val="0"/>
          <w:marRight w:val="0"/>
          <w:marTop w:val="0"/>
          <w:marBottom w:val="0"/>
          <w:divBdr>
            <w:top w:val="none" w:sz="0" w:space="0" w:color="auto"/>
            <w:left w:val="none" w:sz="0" w:space="0" w:color="auto"/>
            <w:bottom w:val="none" w:sz="0" w:space="0" w:color="auto"/>
            <w:right w:val="none" w:sz="0" w:space="0" w:color="auto"/>
          </w:divBdr>
        </w:div>
        <w:div w:id="1510876605">
          <w:marLeft w:val="0"/>
          <w:marRight w:val="0"/>
          <w:marTop w:val="0"/>
          <w:marBottom w:val="0"/>
          <w:divBdr>
            <w:top w:val="none" w:sz="0" w:space="0" w:color="auto"/>
            <w:left w:val="none" w:sz="0" w:space="0" w:color="auto"/>
            <w:bottom w:val="none" w:sz="0" w:space="0" w:color="auto"/>
            <w:right w:val="none" w:sz="0" w:space="0" w:color="auto"/>
          </w:divBdr>
        </w:div>
        <w:div w:id="416248039">
          <w:marLeft w:val="0"/>
          <w:marRight w:val="0"/>
          <w:marTop w:val="0"/>
          <w:marBottom w:val="0"/>
          <w:divBdr>
            <w:top w:val="none" w:sz="0" w:space="0" w:color="auto"/>
            <w:left w:val="none" w:sz="0" w:space="0" w:color="auto"/>
            <w:bottom w:val="none" w:sz="0" w:space="0" w:color="auto"/>
            <w:right w:val="none" w:sz="0" w:space="0" w:color="auto"/>
          </w:divBdr>
          <w:divsChild>
            <w:div w:id="13006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0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8370B-DBBF-4E46-9953-CB793B30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Jussara Maria Sa Si Vieira (2431198)</cp:lastModifiedBy>
  <cp:revision>35</cp:revision>
  <dcterms:created xsi:type="dcterms:W3CDTF">2026-04-03T15:12:00Z</dcterms:created>
  <dcterms:modified xsi:type="dcterms:W3CDTF">2026-04-04T10:39:00Z</dcterms:modified>
</cp:coreProperties>
</file>