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487049725"/>
        <w:docPartObj>
          <w:docPartGallery w:val="Cover Pages"/>
          <w:docPartUnique/>
        </w:docPartObj>
      </w:sdtPr>
      <w:sdtContent>
        <w:p w14:paraId="685CB127" w14:textId="0492DFA9" w:rsidR="00F902A0" w:rsidRPr="00990778" w:rsidRDefault="00F902A0" w:rsidP="00990778">
          <w:pPr>
            <w:spacing w:line="360" w:lineRule="auto"/>
            <w:jc w:val="both"/>
            <w:rPr>
              <w:rFonts w:ascii="Arial" w:hAnsi="Arial" w:cs="Arial"/>
            </w:rPr>
          </w:pPr>
          <w:r w:rsidRPr="00990778">
            <w:rPr>
              <w:rFonts w:ascii="Arial" w:hAnsi="Arial" w:cs="Arial"/>
              <w:noProof/>
            </w:rPr>
            <mc:AlternateContent>
              <mc:Choice Requires="wpg">
                <w:drawing>
                  <wp:anchor distT="0" distB="0" distL="114300" distR="114300" simplePos="0" relativeHeight="251660288" behindDoc="0" locked="0" layoutInCell="1" allowOverlap="1" wp14:anchorId="5396E48E" wp14:editId="75CFE37B">
                    <wp:simplePos x="0" y="0"/>
                    <wp:positionH relativeFrom="page">
                      <wp:align>left</wp:align>
                    </wp:positionH>
                    <wp:positionV relativeFrom="page">
                      <wp:align>top</wp:align>
                    </wp:positionV>
                    <wp:extent cx="6879265" cy="4476307"/>
                    <wp:effectExtent l="0" t="0" r="4445" b="0"/>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6879265" cy="4476307"/>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56A2B821" w14:textId="12580F0D" w:rsidR="00F902A0" w:rsidRDefault="0063544A">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kern w:val="2"/>
                                      <w:sz w:val="96"/>
                                      <w:szCs w:val="96"/>
                                      <w:lang w:val="en-GB" w:eastAsia="en-GB"/>
                                      <w14:ligatures w14:val="standardContextual"/>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B7EA600" w14:textId="710CC3CE" w:rsidR="00F902A0" w:rsidRDefault="00990778" w:rsidP="00990778">
                                      <w:pPr>
                                        <w:pStyle w:val="NoSpacing"/>
                                        <w:spacing w:line="216" w:lineRule="auto"/>
                                        <w:rPr>
                                          <w:rFonts w:asciiTheme="majorHAnsi" w:hAnsiTheme="majorHAnsi"/>
                                          <w:caps/>
                                          <w:color w:val="44546A" w:themeColor="text2"/>
                                          <w:sz w:val="96"/>
                                          <w:szCs w:val="96"/>
                                        </w:rPr>
                                      </w:pPr>
                                      <w:r w:rsidRPr="00990778">
                                        <w:rPr>
                                          <w:rFonts w:asciiTheme="majorHAnsi" w:hAnsiTheme="majorHAnsi"/>
                                          <w:caps/>
                                          <w:color w:val="44546A" w:themeColor="text2"/>
                                          <w:kern w:val="2"/>
                                          <w:sz w:val="96"/>
                                          <w:szCs w:val="96"/>
                                          <w:lang w:val="en-GB" w:eastAsia="en-GB"/>
                                          <w14:ligatures w14:val="standardContextual"/>
                                        </w:rPr>
                                        <w:t>Component 2: Coursework:</w:t>
                                      </w:r>
                                      <w:r>
                                        <w:rPr>
                                          <w:rFonts w:asciiTheme="majorHAnsi" w:hAnsiTheme="majorHAnsi"/>
                                          <w:caps/>
                                          <w:color w:val="44546A" w:themeColor="text2"/>
                                          <w:kern w:val="2"/>
                                          <w:sz w:val="96"/>
                                          <w:szCs w:val="96"/>
                                          <w:lang w:val="en-GB" w:eastAsia="en-GB"/>
                                          <w14:ligatures w14:val="standardContextual"/>
                                        </w:rPr>
                                        <w:t xml:space="preserve"> </w:t>
                                      </w:r>
                                      <w:r w:rsidRPr="00990778">
                                        <w:rPr>
                                          <w:rFonts w:asciiTheme="majorHAnsi" w:hAnsiTheme="majorHAnsi"/>
                                          <w:caps/>
                                          <w:color w:val="44546A" w:themeColor="text2"/>
                                          <w:kern w:val="2"/>
                                          <w:sz w:val="96"/>
                                          <w:szCs w:val="96"/>
                                          <w:lang w:val="en-GB" w:eastAsia="en-GB"/>
                                          <w14:ligatures w14:val="standardContextual"/>
                                        </w:rPr>
                                        <w:t>Essay</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396E48E" id="Group 125" o:spid="_x0000_s1026" alt="Title: Title and subtitle with crop mark graphic" style="position:absolute;left:0;text-align:left;margin-left:0;margin-top:0;width:541.65pt;height:352.4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56A2B821" w14:textId="12580F0D" w:rsidR="00F902A0" w:rsidRDefault="0063544A">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kern w:val="2"/>
                                <w:sz w:val="96"/>
                                <w:szCs w:val="96"/>
                                <w:lang w:val="en-GB" w:eastAsia="en-GB"/>
                                <w14:ligatures w14:val="standardContextual"/>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B7EA600" w14:textId="710CC3CE" w:rsidR="00F902A0" w:rsidRDefault="00990778" w:rsidP="00990778">
                                <w:pPr>
                                  <w:pStyle w:val="NoSpacing"/>
                                  <w:spacing w:line="216" w:lineRule="auto"/>
                                  <w:rPr>
                                    <w:rFonts w:asciiTheme="majorHAnsi" w:hAnsiTheme="majorHAnsi"/>
                                    <w:caps/>
                                    <w:color w:val="44546A" w:themeColor="text2"/>
                                    <w:sz w:val="96"/>
                                    <w:szCs w:val="96"/>
                                  </w:rPr>
                                </w:pPr>
                                <w:r w:rsidRPr="00990778">
                                  <w:rPr>
                                    <w:rFonts w:asciiTheme="majorHAnsi" w:hAnsiTheme="majorHAnsi"/>
                                    <w:caps/>
                                    <w:color w:val="44546A" w:themeColor="text2"/>
                                    <w:kern w:val="2"/>
                                    <w:sz w:val="96"/>
                                    <w:szCs w:val="96"/>
                                    <w:lang w:val="en-GB" w:eastAsia="en-GB"/>
                                    <w14:ligatures w14:val="standardContextual"/>
                                  </w:rPr>
                                  <w:t>Component 2: Coursework:</w:t>
                                </w:r>
                                <w:r>
                                  <w:rPr>
                                    <w:rFonts w:asciiTheme="majorHAnsi" w:hAnsiTheme="majorHAnsi"/>
                                    <w:caps/>
                                    <w:color w:val="44546A" w:themeColor="text2"/>
                                    <w:kern w:val="2"/>
                                    <w:sz w:val="96"/>
                                    <w:szCs w:val="96"/>
                                    <w:lang w:val="en-GB" w:eastAsia="en-GB"/>
                                    <w14:ligatures w14:val="standardContextual"/>
                                  </w:rPr>
                                  <w:t xml:space="preserve"> </w:t>
                                </w:r>
                                <w:r w:rsidRPr="00990778">
                                  <w:rPr>
                                    <w:rFonts w:asciiTheme="majorHAnsi" w:hAnsiTheme="majorHAnsi"/>
                                    <w:caps/>
                                    <w:color w:val="44546A" w:themeColor="text2"/>
                                    <w:kern w:val="2"/>
                                    <w:sz w:val="96"/>
                                    <w:szCs w:val="96"/>
                                    <w:lang w:val="en-GB" w:eastAsia="en-GB"/>
                                    <w14:ligatures w14:val="standardContextual"/>
                                  </w:rPr>
                                  <w:t>Essay</w:t>
                                </w:r>
                              </w:p>
                            </w:sdtContent>
                          </w:sdt>
                        </w:txbxContent>
                      </v:textbox>
                    </v:shape>
                    <w10:wrap anchorx="page" anchory="page"/>
                  </v:group>
                </w:pict>
              </mc:Fallback>
            </mc:AlternateContent>
          </w:r>
          <w:r w:rsidRPr="00990778">
            <w:rPr>
              <w:rFonts w:ascii="Arial" w:hAnsi="Arial" w:cs="Arial"/>
              <w:noProof/>
            </w:rPr>
            <mc:AlternateContent>
              <mc:Choice Requires="wps">
                <w:drawing>
                  <wp:anchor distT="0" distB="0" distL="114300" distR="114300" simplePos="0" relativeHeight="251659264" behindDoc="1" locked="0" layoutInCell="1" allowOverlap="1" wp14:anchorId="2EA8A091" wp14:editId="1624B4E4">
                    <wp:simplePos x="0" y="0"/>
                    <wp:positionH relativeFrom="page">
                      <wp:align>center</wp:align>
                    </wp:positionH>
                    <wp:positionV relativeFrom="page">
                      <wp:align>center</wp:align>
                    </wp:positionV>
                    <wp:extent cx="7315200" cy="9601200"/>
                    <wp:effectExtent l="0" t="0" r="1270" b="5715"/>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404C747E" id="Rectangle 127"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5A365D40" w14:textId="119B12F1" w:rsidR="00F902A0" w:rsidRPr="00990778" w:rsidRDefault="0063544A" w:rsidP="00990778">
          <w:pPr>
            <w:spacing w:line="360" w:lineRule="auto"/>
            <w:jc w:val="both"/>
            <w:rPr>
              <w:rFonts w:ascii="Arial" w:hAnsi="Arial" w:cs="Arial"/>
            </w:rPr>
          </w:pPr>
          <w:r w:rsidRPr="00990778">
            <w:rPr>
              <w:rFonts w:ascii="Arial" w:hAnsi="Arial" w:cs="Arial"/>
              <w:noProof/>
            </w:rPr>
            <mc:AlternateContent>
              <mc:Choice Requires="wpg">
                <w:drawing>
                  <wp:anchor distT="0" distB="0" distL="114300" distR="114300" simplePos="0" relativeHeight="251661312" behindDoc="0" locked="0" layoutInCell="1" allowOverlap="1" wp14:anchorId="4705249F" wp14:editId="7681FCBB">
                    <wp:simplePos x="0" y="0"/>
                    <wp:positionH relativeFrom="page">
                      <wp:align>right</wp:align>
                    </wp:positionH>
                    <wp:positionV relativeFrom="page">
                      <wp:align>bottom</wp:align>
                    </wp:positionV>
                    <wp:extent cx="4672330" cy="3373755"/>
                    <wp:effectExtent l="0" t="0" r="0" b="0"/>
                    <wp:wrapNone/>
                    <wp:docPr id="454" name="Group 121"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753979"/>
                                <a:ext cx="3904218" cy="1855576"/>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28CF404" w14:textId="35C1D367" w:rsidR="00F902A0" w:rsidRDefault="00F902A0">
                                      <w:pPr>
                                        <w:pStyle w:val="NoSpacing"/>
                                        <w:spacing w:after="240"/>
                                        <w:jc w:val="right"/>
                                        <w:rPr>
                                          <w:color w:val="44546A" w:themeColor="text2"/>
                                          <w:spacing w:val="10"/>
                                          <w:sz w:val="36"/>
                                          <w:szCs w:val="36"/>
                                        </w:rPr>
                                      </w:pPr>
                                      <w:r>
                                        <w:rPr>
                                          <w:color w:val="44546A" w:themeColor="text2"/>
                                          <w:spacing w:val="10"/>
                                          <w:sz w:val="36"/>
                                          <w:szCs w:val="36"/>
                                        </w:rPr>
                                        <w:t>Adelina-Gabriela Stanciu</w:t>
                                      </w:r>
                                      <w:r w:rsidR="00562A13">
                                        <w:rPr>
                                          <w:color w:val="44546A" w:themeColor="text2"/>
                                          <w:spacing w:val="10"/>
                                          <w:sz w:val="36"/>
                                          <w:szCs w:val="36"/>
                                        </w:rPr>
                                        <w:t xml:space="preserve"> </w:t>
                                      </w:r>
                                      <w:r>
                                        <w:rPr>
                                          <w:color w:val="44546A" w:themeColor="text2"/>
                                          <w:spacing w:val="10"/>
                                          <w:sz w:val="36"/>
                                          <w:szCs w:val="36"/>
                                        </w:rPr>
                                        <w:t>(2245080)</w:t>
                                      </w:r>
                                    </w:p>
                                  </w:sdtContent>
                                </w:sdt>
                                <w:p w14:paraId="647A0AB4" w14:textId="2A62954C" w:rsidR="00F902A0"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62673D" w:rsidRPr="0062673D">
                                        <w:rPr>
                                          <w:color w:val="44546A" w:themeColor="text2"/>
                                          <w:spacing w:val="10"/>
                                          <w:sz w:val="28"/>
                                          <w:szCs w:val="28"/>
                                        </w:rPr>
                                        <w:t>Project Management (LCBB6006)</w:t>
                                      </w:r>
                                    </w:sdtContent>
                                  </w:sdt>
                                </w:p>
                                <w:p w14:paraId="39583325" w14:textId="7C956D53" w:rsidR="0063544A" w:rsidRDefault="0063544A">
                                  <w:pPr>
                                    <w:pStyle w:val="NoSpacing"/>
                                    <w:jc w:val="right"/>
                                    <w:rPr>
                                      <w:color w:val="44546A" w:themeColor="text2"/>
                                      <w:spacing w:val="10"/>
                                      <w:sz w:val="28"/>
                                      <w:szCs w:val="28"/>
                                    </w:rPr>
                                  </w:pP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05249F" id="Group 121" o:spid="_x0000_s1031" alt="Title: Author and company name with crop mark graphic" style="position:absolute;left:0;text-align:left;margin-left:316.7pt;margin-top:0;width:367.9pt;height:265.65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7539;width:39042;height:18556;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28CF404" w14:textId="35C1D367" w:rsidR="00F902A0" w:rsidRDefault="00F902A0">
                                <w:pPr>
                                  <w:pStyle w:val="NoSpacing"/>
                                  <w:spacing w:after="240"/>
                                  <w:jc w:val="right"/>
                                  <w:rPr>
                                    <w:color w:val="44546A" w:themeColor="text2"/>
                                    <w:spacing w:val="10"/>
                                    <w:sz w:val="36"/>
                                    <w:szCs w:val="36"/>
                                  </w:rPr>
                                </w:pPr>
                                <w:r>
                                  <w:rPr>
                                    <w:color w:val="44546A" w:themeColor="text2"/>
                                    <w:spacing w:val="10"/>
                                    <w:sz w:val="36"/>
                                    <w:szCs w:val="36"/>
                                  </w:rPr>
                                  <w:t>Adelina-Gabriela Stanciu</w:t>
                                </w:r>
                                <w:r w:rsidR="00562A13">
                                  <w:rPr>
                                    <w:color w:val="44546A" w:themeColor="text2"/>
                                    <w:spacing w:val="10"/>
                                    <w:sz w:val="36"/>
                                    <w:szCs w:val="36"/>
                                  </w:rPr>
                                  <w:t xml:space="preserve"> </w:t>
                                </w:r>
                                <w:r>
                                  <w:rPr>
                                    <w:color w:val="44546A" w:themeColor="text2"/>
                                    <w:spacing w:val="10"/>
                                    <w:sz w:val="36"/>
                                    <w:szCs w:val="36"/>
                                  </w:rPr>
                                  <w:t>(2245080)</w:t>
                                </w:r>
                              </w:p>
                            </w:sdtContent>
                          </w:sdt>
                          <w:p w14:paraId="647A0AB4" w14:textId="2A62954C" w:rsidR="00F902A0"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62673D" w:rsidRPr="0062673D">
                                  <w:rPr>
                                    <w:color w:val="44546A" w:themeColor="text2"/>
                                    <w:spacing w:val="10"/>
                                    <w:sz w:val="28"/>
                                    <w:szCs w:val="28"/>
                                  </w:rPr>
                                  <w:t>Project Management (LCBB6006)</w:t>
                                </w:r>
                              </w:sdtContent>
                            </w:sdt>
                          </w:p>
                          <w:p w14:paraId="39583325" w14:textId="7C956D53" w:rsidR="0063544A" w:rsidRDefault="0063544A">
                            <w:pPr>
                              <w:pStyle w:val="NoSpacing"/>
                              <w:jc w:val="right"/>
                              <w:rPr>
                                <w:color w:val="44546A" w:themeColor="text2"/>
                                <w:spacing w:val="10"/>
                                <w:sz w:val="28"/>
                                <w:szCs w:val="28"/>
                              </w:rPr>
                            </w:pPr>
                          </w:p>
                        </w:txbxContent>
                      </v:textbox>
                    </v:shape>
                    <w10:wrap anchorx="page" anchory="page"/>
                  </v:group>
                </w:pict>
              </mc:Fallback>
            </mc:AlternateContent>
          </w:r>
          <w:r w:rsidR="00F902A0" w:rsidRPr="00990778">
            <w:rPr>
              <w:rFonts w:ascii="Arial" w:hAnsi="Arial" w:cs="Arial"/>
            </w:rPr>
            <w:br w:type="page"/>
          </w:r>
        </w:p>
      </w:sdtContent>
    </w:sdt>
    <w:sdt>
      <w:sdtPr>
        <w:rPr>
          <w:rFonts w:ascii="Arial" w:eastAsiaTheme="minorEastAsia" w:hAnsi="Arial" w:cs="Arial"/>
          <w:b w:val="0"/>
          <w:bCs w:val="0"/>
          <w:color w:val="auto"/>
          <w:kern w:val="2"/>
          <w:sz w:val="24"/>
          <w:szCs w:val="24"/>
          <w:lang w:val="en-GB" w:eastAsia="en-GB"/>
          <w14:ligatures w14:val="standardContextual"/>
        </w:rPr>
        <w:id w:val="1352686312"/>
        <w:docPartObj>
          <w:docPartGallery w:val="Table of Contents"/>
          <w:docPartUnique/>
        </w:docPartObj>
      </w:sdtPr>
      <w:sdtEndPr>
        <w:rPr>
          <w:noProof/>
        </w:rPr>
      </w:sdtEndPr>
      <w:sdtContent>
        <w:p w14:paraId="77DDFCA0" w14:textId="7F34D15A" w:rsidR="00562A13" w:rsidRPr="00990778" w:rsidRDefault="00562A13" w:rsidP="00990778">
          <w:pPr>
            <w:pStyle w:val="TOCHeading"/>
            <w:spacing w:line="360" w:lineRule="auto"/>
            <w:jc w:val="both"/>
            <w:rPr>
              <w:rFonts w:ascii="Arial" w:hAnsi="Arial" w:cs="Arial"/>
            </w:rPr>
          </w:pPr>
          <w:r w:rsidRPr="00990778">
            <w:rPr>
              <w:rFonts w:ascii="Arial" w:hAnsi="Arial" w:cs="Arial"/>
            </w:rPr>
            <w:t>Table of Contents</w:t>
          </w:r>
        </w:p>
        <w:p w14:paraId="7B4D8009" w14:textId="5803CEE5" w:rsidR="00990778" w:rsidRDefault="00562A13">
          <w:pPr>
            <w:pStyle w:val="TOC1"/>
            <w:tabs>
              <w:tab w:val="left" w:pos="480"/>
              <w:tab w:val="right" w:leader="dot" w:pos="9016"/>
            </w:tabs>
            <w:rPr>
              <w:rFonts w:cstheme="minorBidi"/>
              <w:b w:val="0"/>
              <w:bCs w:val="0"/>
              <w:caps w:val="0"/>
              <w:noProof/>
              <w:sz w:val="24"/>
              <w:szCs w:val="24"/>
            </w:rPr>
          </w:pPr>
          <w:r w:rsidRPr="00990778">
            <w:rPr>
              <w:rFonts w:ascii="Arial" w:hAnsi="Arial" w:cs="Arial"/>
              <w:b w:val="0"/>
              <w:bCs w:val="0"/>
            </w:rPr>
            <w:fldChar w:fldCharType="begin"/>
          </w:r>
          <w:r w:rsidRPr="00990778">
            <w:rPr>
              <w:rFonts w:ascii="Arial" w:hAnsi="Arial" w:cs="Arial"/>
            </w:rPr>
            <w:instrText xml:space="preserve"> TOC \o "1-3" \h \z \u </w:instrText>
          </w:r>
          <w:r w:rsidRPr="00990778">
            <w:rPr>
              <w:rFonts w:ascii="Arial" w:hAnsi="Arial" w:cs="Arial"/>
              <w:b w:val="0"/>
              <w:bCs w:val="0"/>
            </w:rPr>
            <w:fldChar w:fldCharType="separate"/>
          </w:r>
          <w:hyperlink w:anchor="_Toc238428858" w:history="1">
            <w:r w:rsidR="00990778" w:rsidRPr="009921E4">
              <w:rPr>
                <w:rStyle w:val="Hyperlink"/>
                <w:rFonts w:ascii="Arial" w:hAnsi="Arial" w:cs="Arial"/>
                <w:noProof/>
              </w:rPr>
              <w:t>1.</w:t>
            </w:r>
            <w:r w:rsidR="00990778">
              <w:rPr>
                <w:rFonts w:cstheme="minorBidi"/>
                <w:b w:val="0"/>
                <w:bCs w:val="0"/>
                <w:caps w:val="0"/>
                <w:noProof/>
                <w:sz w:val="24"/>
                <w:szCs w:val="24"/>
              </w:rPr>
              <w:tab/>
            </w:r>
            <w:r w:rsidR="00990778" w:rsidRPr="009921E4">
              <w:rPr>
                <w:rStyle w:val="Hyperlink"/>
                <w:rFonts w:ascii="Arial" w:hAnsi="Arial" w:cs="Arial"/>
                <w:noProof/>
              </w:rPr>
              <w:t>Introduction</w:t>
            </w:r>
            <w:r w:rsidR="00990778">
              <w:rPr>
                <w:noProof/>
                <w:webHidden/>
              </w:rPr>
              <w:tab/>
            </w:r>
            <w:r w:rsidR="00990778">
              <w:rPr>
                <w:noProof/>
                <w:webHidden/>
              </w:rPr>
              <w:fldChar w:fldCharType="begin"/>
            </w:r>
            <w:r w:rsidR="00990778">
              <w:rPr>
                <w:noProof/>
                <w:webHidden/>
              </w:rPr>
              <w:instrText xml:space="preserve"> PAGEREF _Toc238428858 \h </w:instrText>
            </w:r>
            <w:r w:rsidR="00990778">
              <w:rPr>
                <w:noProof/>
                <w:webHidden/>
              </w:rPr>
            </w:r>
            <w:r w:rsidR="00990778">
              <w:rPr>
                <w:noProof/>
                <w:webHidden/>
              </w:rPr>
              <w:fldChar w:fldCharType="separate"/>
            </w:r>
            <w:r w:rsidR="00990778">
              <w:rPr>
                <w:noProof/>
                <w:webHidden/>
              </w:rPr>
              <w:t>2</w:t>
            </w:r>
            <w:r w:rsidR="00990778">
              <w:rPr>
                <w:noProof/>
                <w:webHidden/>
              </w:rPr>
              <w:fldChar w:fldCharType="end"/>
            </w:r>
          </w:hyperlink>
        </w:p>
        <w:p w14:paraId="6735C923" w14:textId="1909D18B" w:rsidR="00990778" w:rsidRDefault="00990778">
          <w:pPr>
            <w:pStyle w:val="TOC1"/>
            <w:tabs>
              <w:tab w:val="left" w:pos="480"/>
              <w:tab w:val="right" w:leader="dot" w:pos="9016"/>
            </w:tabs>
            <w:rPr>
              <w:rFonts w:cstheme="minorBidi"/>
              <w:b w:val="0"/>
              <w:bCs w:val="0"/>
              <w:caps w:val="0"/>
              <w:noProof/>
              <w:sz w:val="24"/>
              <w:szCs w:val="24"/>
            </w:rPr>
          </w:pPr>
          <w:hyperlink w:anchor="_Toc238428859" w:history="1">
            <w:r w:rsidRPr="009921E4">
              <w:rPr>
                <w:rStyle w:val="Hyperlink"/>
                <w:rFonts w:ascii="Arial" w:hAnsi="Arial" w:cs="Arial"/>
                <w:noProof/>
              </w:rPr>
              <w:t>2.</w:t>
            </w:r>
            <w:r>
              <w:rPr>
                <w:rFonts w:cstheme="minorBidi"/>
                <w:b w:val="0"/>
                <w:bCs w:val="0"/>
                <w:caps w:val="0"/>
                <w:noProof/>
                <w:sz w:val="24"/>
                <w:szCs w:val="24"/>
              </w:rPr>
              <w:tab/>
            </w:r>
            <w:r w:rsidRPr="009921E4">
              <w:rPr>
                <w:rStyle w:val="Hyperlink"/>
                <w:rFonts w:ascii="Arial" w:hAnsi="Arial" w:cs="Arial"/>
                <w:noProof/>
              </w:rPr>
              <w:t>Discussion</w:t>
            </w:r>
            <w:r>
              <w:rPr>
                <w:noProof/>
                <w:webHidden/>
              </w:rPr>
              <w:tab/>
            </w:r>
            <w:r>
              <w:rPr>
                <w:noProof/>
                <w:webHidden/>
              </w:rPr>
              <w:fldChar w:fldCharType="begin"/>
            </w:r>
            <w:r>
              <w:rPr>
                <w:noProof/>
                <w:webHidden/>
              </w:rPr>
              <w:instrText xml:space="preserve"> PAGEREF _Toc238428859 \h </w:instrText>
            </w:r>
            <w:r>
              <w:rPr>
                <w:noProof/>
                <w:webHidden/>
              </w:rPr>
            </w:r>
            <w:r>
              <w:rPr>
                <w:noProof/>
                <w:webHidden/>
              </w:rPr>
              <w:fldChar w:fldCharType="separate"/>
            </w:r>
            <w:r>
              <w:rPr>
                <w:noProof/>
                <w:webHidden/>
              </w:rPr>
              <w:t>2</w:t>
            </w:r>
            <w:r>
              <w:rPr>
                <w:noProof/>
                <w:webHidden/>
              </w:rPr>
              <w:fldChar w:fldCharType="end"/>
            </w:r>
          </w:hyperlink>
        </w:p>
        <w:p w14:paraId="157224E6" w14:textId="4B4359E6" w:rsidR="00990778" w:rsidRDefault="00990778">
          <w:pPr>
            <w:pStyle w:val="TOC1"/>
            <w:tabs>
              <w:tab w:val="left" w:pos="480"/>
              <w:tab w:val="right" w:leader="dot" w:pos="9016"/>
            </w:tabs>
            <w:rPr>
              <w:rFonts w:cstheme="minorBidi"/>
              <w:b w:val="0"/>
              <w:bCs w:val="0"/>
              <w:caps w:val="0"/>
              <w:noProof/>
              <w:sz w:val="24"/>
              <w:szCs w:val="24"/>
            </w:rPr>
          </w:pPr>
          <w:hyperlink w:anchor="_Toc238428860" w:history="1">
            <w:r w:rsidRPr="009921E4">
              <w:rPr>
                <w:rStyle w:val="Hyperlink"/>
                <w:rFonts w:ascii="Arial" w:hAnsi="Arial" w:cs="Arial"/>
                <w:noProof/>
              </w:rPr>
              <w:t>a.</w:t>
            </w:r>
            <w:r>
              <w:rPr>
                <w:rFonts w:cstheme="minorBidi"/>
                <w:b w:val="0"/>
                <w:bCs w:val="0"/>
                <w:caps w:val="0"/>
                <w:noProof/>
                <w:sz w:val="24"/>
                <w:szCs w:val="24"/>
              </w:rPr>
              <w:tab/>
            </w:r>
            <w:r w:rsidRPr="009921E4">
              <w:rPr>
                <w:rStyle w:val="Hyperlink"/>
                <w:rFonts w:ascii="Arial" w:hAnsi="Arial" w:cs="Arial"/>
                <w:noProof/>
              </w:rPr>
              <w:t>Turnkey Cont</w:t>
            </w:r>
            <w:r w:rsidRPr="009921E4">
              <w:rPr>
                <w:rStyle w:val="Hyperlink"/>
                <w:rFonts w:ascii="Arial" w:hAnsi="Arial" w:cs="Arial"/>
                <w:noProof/>
              </w:rPr>
              <w:t>r</w:t>
            </w:r>
            <w:r w:rsidRPr="009921E4">
              <w:rPr>
                <w:rStyle w:val="Hyperlink"/>
                <w:rFonts w:ascii="Arial" w:hAnsi="Arial" w:cs="Arial"/>
                <w:noProof/>
              </w:rPr>
              <w:t>acting</w:t>
            </w:r>
            <w:r>
              <w:rPr>
                <w:noProof/>
                <w:webHidden/>
              </w:rPr>
              <w:tab/>
            </w:r>
            <w:r>
              <w:rPr>
                <w:noProof/>
                <w:webHidden/>
              </w:rPr>
              <w:fldChar w:fldCharType="begin"/>
            </w:r>
            <w:r>
              <w:rPr>
                <w:noProof/>
                <w:webHidden/>
              </w:rPr>
              <w:instrText xml:space="preserve"> PAGEREF _Toc238428860 \h </w:instrText>
            </w:r>
            <w:r>
              <w:rPr>
                <w:noProof/>
                <w:webHidden/>
              </w:rPr>
            </w:r>
            <w:r>
              <w:rPr>
                <w:noProof/>
                <w:webHidden/>
              </w:rPr>
              <w:fldChar w:fldCharType="separate"/>
            </w:r>
            <w:r>
              <w:rPr>
                <w:noProof/>
                <w:webHidden/>
              </w:rPr>
              <w:t>2</w:t>
            </w:r>
            <w:r>
              <w:rPr>
                <w:noProof/>
                <w:webHidden/>
              </w:rPr>
              <w:fldChar w:fldCharType="end"/>
            </w:r>
          </w:hyperlink>
        </w:p>
        <w:p w14:paraId="56FE5595" w14:textId="3A5831CF" w:rsidR="00990778" w:rsidRDefault="00990778">
          <w:pPr>
            <w:pStyle w:val="TOC1"/>
            <w:tabs>
              <w:tab w:val="left" w:pos="480"/>
              <w:tab w:val="right" w:leader="dot" w:pos="9016"/>
            </w:tabs>
            <w:rPr>
              <w:rFonts w:cstheme="minorBidi"/>
              <w:b w:val="0"/>
              <w:bCs w:val="0"/>
              <w:caps w:val="0"/>
              <w:noProof/>
              <w:sz w:val="24"/>
              <w:szCs w:val="24"/>
            </w:rPr>
          </w:pPr>
          <w:hyperlink w:anchor="_Toc238428861" w:history="1">
            <w:r w:rsidRPr="009921E4">
              <w:rPr>
                <w:rStyle w:val="Hyperlink"/>
                <w:rFonts w:ascii="Arial" w:hAnsi="Arial" w:cs="Arial"/>
                <w:noProof/>
              </w:rPr>
              <w:t>b.</w:t>
            </w:r>
            <w:r>
              <w:rPr>
                <w:rFonts w:cstheme="minorBidi"/>
                <w:b w:val="0"/>
                <w:bCs w:val="0"/>
                <w:caps w:val="0"/>
                <w:noProof/>
                <w:sz w:val="24"/>
                <w:szCs w:val="24"/>
              </w:rPr>
              <w:tab/>
            </w:r>
            <w:r w:rsidRPr="009921E4">
              <w:rPr>
                <w:rStyle w:val="Hyperlink"/>
                <w:rFonts w:ascii="Arial" w:hAnsi="Arial" w:cs="Arial"/>
                <w:noProof/>
              </w:rPr>
              <w:t>Multi-contract Contracting</w:t>
            </w:r>
            <w:r>
              <w:rPr>
                <w:noProof/>
                <w:webHidden/>
              </w:rPr>
              <w:tab/>
            </w:r>
            <w:r>
              <w:rPr>
                <w:noProof/>
                <w:webHidden/>
              </w:rPr>
              <w:fldChar w:fldCharType="begin"/>
            </w:r>
            <w:r>
              <w:rPr>
                <w:noProof/>
                <w:webHidden/>
              </w:rPr>
              <w:instrText xml:space="preserve"> PAGEREF _Toc238428861 \h </w:instrText>
            </w:r>
            <w:r>
              <w:rPr>
                <w:noProof/>
                <w:webHidden/>
              </w:rPr>
            </w:r>
            <w:r>
              <w:rPr>
                <w:noProof/>
                <w:webHidden/>
              </w:rPr>
              <w:fldChar w:fldCharType="separate"/>
            </w:r>
            <w:r>
              <w:rPr>
                <w:noProof/>
                <w:webHidden/>
              </w:rPr>
              <w:t>3</w:t>
            </w:r>
            <w:r>
              <w:rPr>
                <w:noProof/>
                <w:webHidden/>
              </w:rPr>
              <w:fldChar w:fldCharType="end"/>
            </w:r>
          </w:hyperlink>
        </w:p>
        <w:p w14:paraId="762620A6" w14:textId="78E27D86" w:rsidR="00990778" w:rsidRDefault="00990778">
          <w:pPr>
            <w:pStyle w:val="TOC1"/>
            <w:tabs>
              <w:tab w:val="left" w:pos="480"/>
              <w:tab w:val="right" w:leader="dot" w:pos="9016"/>
            </w:tabs>
            <w:rPr>
              <w:rFonts w:cstheme="minorBidi"/>
              <w:b w:val="0"/>
              <w:bCs w:val="0"/>
              <w:caps w:val="0"/>
              <w:noProof/>
              <w:sz w:val="24"/>
              <w:szCs w:val="24"/>
            </w:rPr>
          </w:pPr>
          <w:hyperlink w:anchor="_Toc238428862" w:history="1">
            <w:r w:rsidRPr="009921E4">
              <w:rPr>
                <w:rStyle w:val="Hyperlink"/>
                <w:rFonts w:ascii="Arial" w:hAnsi="Arial" w:cs="Arial"/>
                <w:noProof/>
              </w:rPr>
              <w:t>c.</w:t>
            </w:r>
            <w:r>
              <w:rPr>
                <w:rFonts w:cstheme="minorBidi"/>
                <w:b w:val="0"/>
                <w:bCs w:val="0"/>
                <w:caps w:val="0"/>
                <w:noProof/>
                <w:sz w:val="24"/>
                <w:szCs w:val="24"/>
              </w:rPr>
              <w:tab/>
            </w:r>
            <w:r w:rsidRPr="009921E4">
              <w:rPr>
                <w:rStyle w:val="Hyperlink"/>
                <w:rFonts w:ascii="Arial" w:hAnsi="Arial" w:cs="Arial"/>
                <w:noProof/>
              </w:rPr>
              <w:t>Do-It-Yourself (DIY) Contracting</w:t>
            </w:r>
            <w:r>
              <w:rPr>
                <w:noProof/>
                <w:webHidden/>
              </w:rPr>
              <w:tab/>
            </w:r>
            <w:r>
              <w:rPr>
                <w:noProof/>
                <w:webHidden/>
              </w:rPr>
              <w:fldChar w:fldCharType="begin"/>
            </w:r>
            <w:r>
              <w:rPr>
                <w:noProof/>
                <w:webHidden/>
              </w:rPr>
              <w:instrText xml:space="preserve"> PAGEREF _Toc238428862 \h </w:instrText>
            </w:r>
            <w:r>
              <w:rPr>
                <w:noProof/>
                <w:webHidden/>
              </w:rPr>
            </w:r>
            <w:r>
              <w:rPr>
                <w:noProof/>
                <w:webHidden/>
              </w:rPr>
              <w:fldChar w:fldCharType="separate"/>
            </w:r>
            <w:r>
              <w:rPr>
                <w:noProof/>
                <w:webHidden/>
              </w:rPr>
              <w:t>4</w:t>
            </w:r>
            <w:r>
              <w:rPr>
                <w:noProof/>
                <w:webHidden/>
              </w:rPr>
              <w:fldChar w:fldCharType="end"/>
            </w:r>
          </w:hyperlink>
        </w:p>
        <w:p w14:paraId="2FBF733F" w14:textId="419BA09C" w:rsidR="00990778" w:rsidRDefault="00990778">
          <w:pPr>
            <w:pStyle w:val="TOC1"/>
            <w:tabs>
              <w:tab w:val="left" w:pos="480"/>
              <w:tab w:val="right" w:leader="dot" w:pos="9016"/>
            </w:tabs>
            <w:rPr>
              <w:rFonts w:cstheme="minorBidi"/>
              <w:b w:val="0"/>
              <w:bCs w:val="0"/>
              <w:caps w:val="0"/>
              <w:noProof/>
              <w:sz w:val="24"/>
              <w:szCs w:val="24"/>
            </w:rPr>
          </w:pPr>
          <w:hyperlink w:anchor="_Toc238428863" w:history="1">
            <w:r w:rsidRPr="009921E4">
              <w:rPr>
                <w:rStyle w:val="Hyperlink"/>
                <w:rFonts w:ascii="Arial" w:hAnsi="Arial" w:cs="Arial"/>
                <w:noProof/>
              </w:rPr>
              <w:t>d.</w:t>
            </w:r>
            <w:r>
              <w:rPr>
                <w:rFonts w:cstheme="minorBidi"/>
                <w:b w:val="0"/>
                <w:bCs w:val="0"/>
                <w:caps w:val="0"/>
                <w:noProof/>
                <w:sz w:val="24"/>
                <w:szCs w:val="24"/>
              </w:rPr>
              <w:tab/>
            </w:r>
            <w:r w:rsidRPr="009921E4">
              <w:rPr>
                <w:rStyle w:val="Hyperlink"/>
                <w:rFonts w:ascii="Arial" w:hAnsi="Arial" w:cs="Arial"/>
                <w:noProof/>
              </w:rPr>
              <w:t>The Multi-contract + DIY Hybrid</w:t>
            </w:r>
            <w:r>
              <w:rPr>
                <w:noProof/>
                <w:webHidden/>
              </w:rPr>
              <w:tab/>
            </w:r>
            <w:r>
              <w:rPr>
                <w:noProof/>
                <w:webHidden/>
              </w:rPr>
              <w:fldChar w:fldCharType="begin"/>
            </w:r>
            <w:r>
              <w:rPr>
                <w:noProof/>
                <w:webHidden/>
              </w:rPr>
              <w:instrText xml:space="preserve"> PAGEREF _Toc238428863 \h </w:instrText>
            </w:r>
            <w:r>
              <w:rPr>
                <w:noProof/>
                <w:webHidden/>
              </w:rPr>
            </w:r>
            <w:r>
              <w:rPr>
                <w:noProof/>
                <w:webHidden/>
              </w:rPr>
              <w:fldChar w:fldCharType="separate"/>
            </w:r>
            <w:r>
              <w:rPr>
                <w:noProof/>
                <w:webHidden/>
              </w:rPr>
              <w:t>5</w:t>
            </w:r>
            <w:r>
              <w:rPr>
                <w:noProof/>
                <w:webHidden/>
              </w:rPr>
              <w:fldChar w:fldCharType="end"/>
            </w:r>
          </w:hyperlink>
        </w:p>
        <w:p w14:paraId="5EB503CA" w14:textId="1DFFDEBE" w:rsidR="00990778" w:rsidRDefault="00990778">
          <w:pPr>
            <w:pStyle w:val="TOC1"/>
            <w:tabs>
              <w:tab w:val="left" w:pos="480"/>
              <w:tab w:val="right" w:leader="dot" w:pos="9016"/>
            </w:tabs>
            <w:rPr>
              <w:rFonts w:cstheme="minorBidi"/>
              <w:b w:val="0"/>
              <w:bCs w:val="0"/>
              <w:caps w:val="0"/>
              <w:noProof/>
              <w:sz w:val="24"/>
              <w:szCs w:val="24"/>
            </w:rPr>
          </w:pPr>
          <w:hyperlink w:anchor="_Toc238428864" w:history="1">
            <w:r w:rsidRPr="009921E4">
              <w:rPr>
                <w:rStyle w:val="Hyperlink"/>
                <w:rFonts w:ascii="Arial" w:hAnsi="Arial" w:cs="Arial"/>
                <w:noProof/>
              </w:rPr>
              <w:t>e.</w:t>
            </w:r>
            <w:r>
              <w:rPr>
                <w:rFonts w:cstheme="minorBidi"/>
                <w:b w:val="0"/>
                <w:bCs w:val="0"/>
                <w:caps w:val="0"/>
                <w:noProof/>
                <w:sz w:val="24"/>
                <w:szCs w:val="24"/>
              </w:rPr>
              <w:tab/>
            </w:r>
            <w:r w:rsidRPr="009921E4">
              <w:rPr>
                <w:rStyle w:val="Hyperlink"/>
                <w:rFonts w:ascii="Arial" w:hAnsi="Arial" w:cs="Arial"/>
                <w:noProof/>
              </w:rPr>
              <w:t>Application Exemplified</w:t>
            </w:r>
            <w:r>
              <w:rPr>
                <w:noProof/>
                <w:webHidden/>
              </w:rPr>
              <w:tab/>
            </w:r>
            <w:r>
              <w:rPr>
                <w:noProof/>
                <w:webHidden/>
              </w:rPr>
              <w:fldChar w:fldCharType="begin"/>
            </w:r>
            <w:r>
              <w:rPr>
                <w:noProof/>
                <w:webHidden/>
              </w:rPr>
              <w:instrText xml:space="preserve"> PAGEREF _Toc238428864 \h </w:instrText>
            </w:r>
            <w:r>
              <w:rPr>
                <w:noProof/>
                <w:webHidden/>
              </w:rPr>
            </w:r>
            <w:r>
              <w:rPr>
                <w:noProof/>
                <w:webHidden/>
              </w:rPr>
              <w:fldChar w:fldCharType="separate"/>
            </w:r>
            <w:r>
              <w:rPr>
                <w:noProof/>
                <w:webHidden/>
              </w:rPr>
              <w:t>6</w:t>
            </w:r>
            <w:r>
              <w:rPr>
                <w:noProof/>
                <w:webHidden/>
              </w:rPr>
              <w:fldChar w:fldCharType="end"/>
            </w:r>
          </w:hyperlink>
        </w:p>
        <w:p w14:paraId="615F364C" w14:textId="2D45A037" w:rsidR="00990778" w:rsidRDefault="00990778">
          <w:pPr>
            <w:pStyle w:val="TOC1"/>
            <w:tabs>
              <w:tab w:val="left" w:pos="480"/>
              <w:tab w:val="right" w:leader="dot" w:pos="9016"/>
            </w:tabs>
            <w:rPr>
              <w:rFonts w:cstheme="minorBidi"/>
              <w:b w:val="0"/>
              <w:bCs w:val="0"/>
              <w:caps w:val="0"/>
              <w:noProof/>
              <w:sz w:val="24"/>
              <w:szCs w:val="24"/>
            </w:rPr>
          </w:pPr>
          <w:hyperlink w:anchor="_Toc238428865" w:history="1">
            <w:r w:rsidRPr="009921E4">
              <w:rPr>
                <w:rStyle w:val="Hyperlink"/>
                <w:rFonts w:ascii="Arial" w:hAnsi="Arial" w:cs="Arial"/>
                <w:noProof/>
              </w:rPr>
              <w:t>3.</w:t>
            </w:r>
            <w:r>
              <w:rPr>
                <w:rFonts w:cstheme="minorBidi"/>
                <w:b w:val="0"/>
                <w:bCs w:val="0"/>
                <w:caps w:val="0"/>
                <w:noProof/>
                <w:sz w:val="24"/>
                <w:szCs w:val="24"/>
              </w:rPr>
              <w:tab/>
            </w:r>
            <w:r w:rsidRPr="009921E4">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_Toc238428865 \h </w:instrText>
            </w:r>
            <w:r>
              <w:rPr>
                <w:noProof/>
                <w:webHidden/>
              </w:rPr>
            </w:r>
            <w:r>
              <w:rPr>
                <w:noProof/>
                <w:webHidden/>
              </w:rPr>
              <w:fldChar w:fldCharType="separate"/>
            </w:r>
            <w:r>
              <w:rPr>
                <w:noProof/>
                <w:webHidden/>
              </w:rPr>
              <w:t>7</w:t>
            </w:r>
            <w:r>
              <w:rPr>
                <w:noProof/>
                <w:webHidden/>
              </w:rPr>
              <w:fldChar w:fldCharType="end"/>
            </w:r>
          </w:hyperlink>
        </w:p>
        <w:p w14:paraId="1CB2DA41" w14:textId="646C5795" w:rsidR="00990778" w:rsidRDefault="00990778">
          <w:pPr>
            <w:pStyle w:val="TOC1"/>
            <w:tabs>
              <w:tab w:val="right" w:leader="dot" w:pos="9016"/>
            </w:tabs>
            <w:rPr>
              <w:rFonts w:cstheme="minorBidi"/>
              <w:b w:val="0"/>
              <w:bCs w:val="0"/>
              <w:caps w:val="0"/>
              <w:noProof/>
              <w:sz w:val="24"/>
              <w:szCs w:val="24"/>
            </w:rPr>
          </w:pPr>
          <w:hyperlink w:anchor="_Toc238428866" w:history="1">
            <w:r w:rsidRPr="009921E4">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_Toc238428866 \h </w:instrText>
            </w:r>
            <w:r>
              <w:rPr>
                <w:noProof/>
                <w:webHidden/>
              </w:rPr>
            </w:r>
            <w:r>
              <w:rPr>
                <w:noProof/>
                <w:webHidden/>
              </w:rPr>
              <w:fldChar w:fldCharType="separate"/>
            </w:r>
            <w:r>
              <w:rPr>
                <w:noProof/>
                <w:webHidden/>
              </w:rPr>
              <w:t>8</w:t>
            </w:r>
            <w:r>
              <w:rPr>
                <w:noProof/>
                <w:webHidden/>
              </w:rPr>
              <w:fldChar w:fldCharType="end"/>
            </w:r>
          </w:hyperlink>
        </w:p>
        <w:p w14:paraId="1A31892D" w14:textId="146B9E85" w:rsidR="00562A13" w:rsidRPr="00990778" w:rsidRDefault="00562A13" w:rsidP="00990778">
          <w:pPr>
            <w:spacing w:line="360" w:lineRule="auto"/>
            <w:jc w:val="both"/>
            <w:rPr>
              <w:rFonts w:ascii="Arial" w:hAnsi="Arial" w:cs="Arial"/>
            </w:rPr>
          </w:pPr>
          <w:r w:rsidRPr="00990778">
            <w:rPr>
              <w:rFonts w:ascii="Arial" w:hAnsi="Arial" w:cs="Arial"/>
              <w:b/>
              <w:bCs/>
              <w:noProof/>
            </w:rPr>
            <w:fldChar w:fldCharType="end"/>
          </w:r>
        </w:p>
      </w:sdtContent>
    </w:sdt>
    <w:p w14:paraId="46212E51" w14:textId="77777777" w:rsidR="00562A13" w:rsidRPr="00990778" w:rsidRDefault="00562A13" w:rsidP="00990778">
      <w:pPr>
        <w:spacing w:line="360" w:lineRule="auto"/>
        <w:jc w:val="both"/>
        <w:rPr>
          <w:rFonts w:ascii="Arial" w:hAnsi="Arial" w:cs="Arial"/>
        </w:rPr>
      </w:pPr>
      <w:r w:rsidRPr="00990778">
        <w:rPr>
          <w:rFonts w:ascii="Arial" w:hAnsi="Arial" w:cs="Arial"/>
        </w:rPr>
        <w:br w:type="page"/>
      </w:r>
    </w:p>
    <w:p w14:paraId="01B77BD7" w14:textId="44EA789C" w:rsidR="005A7D00" w:rsidRPr="00990778" w:rsidRDefault="00041988" w:rsidP="00990778">
      <w:pPr>
        <w:pStyle w:val="Heading1"/>
        <w:numPr>
          <w:ilvl w:val="0"/>
          <w:numId w:val="3"/>
        </w:numPr>
        <w:spacing w:line="360" w:lineRule="auto"/>
        <w:jc w:val="both"/>
        <w:rPr>
          <w:rFonts w:ascii="Arial" w:hAnsi="Arial" w:cs="Arial"/>
          <w:b/>
          <w:bCs/>
        </w:rPr>
      </w:pPr>
      <w:bookmarkStart w:id="0" w:name="_Toc238428858"/>
      <w:r w:rsidRPr="00990778">
        <w:rPr>
          <w:rFonts w:ascii="Arial" w:hAnsi="Arial" w:cs="Arial"/>
          <w:b/>
          <w:bCs/>
        </w:rPr>
        <w:lastRenderedPageBreak/>
        <w:t>Introduction</w:t>
      </w:r>
      <w:bookmarkEnd w:id="0"/>
    </w:p>
    <w:p w14:paraId="7626D055" w14:textId="445AD6EB" w:rsidR="007A2FF8" w:rsidRPr="00990778" w:rsidRDefault="007A2FF8" w:rsidP="00990778">
      <w:pPr>
        <w:spacing w:line="360" w:lineRule="auto"/>
        <w:jc w:val="both"/>
        <w:rPr>
          <w:rFonts w:ascii="Arial" w:hAnsi="Arial" w:cs="Arial"/>
        </w:rPr>
      </w:pPr>
      <w:r w:rsidRPr="00990778">
        <w:rPr>
          <w:rFonts w:ascii="Arial" w:hAnsi="Arial" w:cs="Arial"/>
        </w:rPr>
        <w:t>Project management involves planning, organising and controlling resources to achieve defined objectives within time, cost, scope and quality requirements (Larson and Gray, 201</w:t>
      </w:r>
      <w:r w:rsidR="0091054E">
        <w:rPr>
          <w:rFonts w:ascii="Arial" w:hAnsi="Arial" w:cs="Arial"/>
        </w:rPr>
        <w:t>4</w:t>
      </w:r>
      <w:r w:rsidRPr="00990778">
        <w:rPr>
          <w:rFonts w:ascii="Arial" w:hAnsi="Arial" w:cs="Arial"/>
        </w:rPr>
        <w:t xml:space="preserve">). As projects are temporary and </w:t>
      </w:r>
      <w:r w:rsidRPr="00990778">
        <w:rPr>
          <w:rFonts w:ascii="Arial" w:hAnsi="Arial" w:cs="Arial"/>
        </w:rPr>
        <w:t>non-repetitive</w:t>
      </w:r>
      <w:r w:rsidRPr="00990778">
        <w:rPr>
          <w:rFonts w:ascii="Arial" w:hAnsi="Arial" w:cs="Arial"/>
        </w:rPr>
        <w:t>, organisations may lack all required expertise and capacity, making contracting necessary. According to APM (2019), contracts create legally binding duties between parties, while PMI (2021) describes them as formal agreements between buyers and sellers. Contracting methods, however, determine how delivery responsibilities are organised.</w:t>
      </w:r>
    </w:p>
    <w:p w14:paraId="4A133E52" w14:textId="4E6016E7" w:rsidR="007A2FF8" w:rsidRPr="00990778" w:rsidRDefault="007A2FF8" w:rsidP="00990778">
      <w:pPr>
        <w:spacing w:line="360" w:lineRule="auto"/>
        <w:jc w:val="both"/>
        <w:rPr>
          <w:rFonts w:ascii="Arial" w:hAnsi="Arial" w:cs="Arial"/>
        </w:rPr>
      </w:pPr>
      <w:r w:rsidRPr="00990778">
        <w:rPr>
          <w:rFonts w:ascii="Arial" w:hAnsi="Arial" w:cs="Arial"/>
        </w:rPr>
        <w:t>Organisations outsource work when they lack capacity, seek predictable costs or can obtain specialist services more efficiently. Williamson (1985) argues that highly specific and uncertain work may be better managed internally, whereas standardised work in competitive markets is often suitable for external procurement. Turner (2017) also views contracts as mechanisms for aligning the interests of different parties.</w:t>
      </w:r>
    </w:p>
    <w:p w14:paraId="13EF5BC9" w14:textId="06BEE948" w:rsidR="007A2FF8" w:rsidRPr="00990778" w:rsidRDefault="007A2FF8" w:rsidP="00990778">
      <w:pPr>
        <w:spacing w:line="360" w:lineRule="auto"/>
        <w:jc w:val="both"/>
        <w:rPr>
          <w:rFonts w:ascii="Arial" w:hAnsi="Arial" w:cs="Arial"/>
        </w:rPr>
      </w:pPr>
      <w:r w:rsidRPr="00990778">
        <w:rPr>
          <w:rFonts w:ascii="Arial" w:hAnsi="Arial" w:cs="Arial"/>
        </w:rPr>
        <w:t xml:space="preserve">Contracting choices should be made carefully at an early stage because they are difficult to change. Javed </w:t>
      </w:r>
      <w:r w:rsidRPr="00990778">
        <w:rPr>
          <w:rFonts w:ascii="Arial" w:hAnsi="Arial" w:cs="Arial"/>
          <w:i/>
          <w:iCs/>
        </w:rPr>
        <w:t>et al</w:t>
      </w:r>
      <w:r w:rsidRPr="00990778">
        <w:rPr>
          <w:rFonts w:ascii="Arial" w:hAnsi="Arial" w:cs="Arial"/>
        </w:rPr>
        <w:t xml:space="preserve">. (2022) link unsuitable procurement selection to project delays and cost overruns. Pricing mechanisms, including fixed price and </w:t>
      </w:r>
      <w:r w:rsidRPr="00990778">
        <w:rPr>
          <w:rFonts w:ascii="Arial" w:hAnsi="Arial" w:cs="Arial"/>
        </w:rPr>
        <w:t>cost-plus</w:t>
      </w:r>
      <w:r w:rsidRPr="00990778">
        <w:rPr>
          <w:rFonts w:ascii="Arial" w:hAnsi="Arial" w:cs="Arial"/>
        </w:rPr>
        <w:t xml:space="preserve"> arrangements, determine supplier payment, while contracting methods define supplier numbers, responsibilities and the level of delivery control retained by the client (Meredith </w:t>
      </w:r>
      <w:r w:rsidRPr="00990778">
        <w:rPr>
          <w:rFonts w:ascii="Arial" w:hAnsi="Arial" w:cs="Arial"/>
          <w:i/>
          <w:iCs/>
        </w:rPr>
        <w:t>et al</w:t>
      </w:r>
      <w:r w:rsidRPr="00990778">
        <w:rPr>
          <w:rFonts w:ascii="Arial" w:hAnsi="Arial" w:cs="Arial"/>
        </w:rPr>
        <w:t>., 2016).</w:t>
      </w:r>
    </w:p>
    <w:p w14:paraId="2C38E67A" w14:textId="07C8F8E2" w:rsidR="007A2FF8" w:rsidRPr="00990778" w:rsidRDefault="007A2FF8" w:rsidP="00990778">
      <w:pPr>
        <w:spacing w:line="360" w:lineRule="auto"/>
        <w:jc w:val="both"/>
        <w:rPr>
          <w:rFonts w:ascii="Arial" w:hAnsi="Arial" w:cs="Arial"/>
        </w:rPr>
      </w:pPr>
      <w:r w:rsidRPr="00990778">
        <w:rPr>
          <w:rFonts w:ascii="Arial" w:hAnsi="Arial" w:cs="Arial"/>
        </w:rPr>
        <w:t>This essay critically evaluates turnkey, multi</w:t>
      </w:r>
      <w:r w:rsidR="004D04F0" w:rsidRPr="00990778">
        <w:rPr>
          <w:rFonts w:ascii="Arial" w:hAnsi="Arial" w:cs="Arial"/>
        </w:rPr>
        <w:t>-</w:t>
      </w:r>
      <w:r w:rsidRPr="00990778">
        <w:rPr>
          <w:rFonts w:ascii="Arial" w:hAnsi="Arial" w:cs="Arial"/>
        </w:rPr>
        <w:t>contract, DIY and hybrid contracting methods by examining their features, benefits, limitations and appropriate applications. It then compares these approaches through the delivery of a community diagnostic centre by an NHS Trust before presenting conclusions.</w:t>
      </w:r>
    </w:p>
    <w:p w14:paraId="6909B35F" w14:textId="77777777" w:rsidR="005A7D00" w:rsidRPr="00990778" w:rsidRDefault="005A7D00" w:rsidP="00990778">
      <w:pPr>
        <w:pStyle w:val="Heading1"/>
        <w:numPr>
          <w:ilvl w:val="0"/>
          <w:numId w:val="3"/>
        </w:numPr>
        <w:spacing w:line="360" w:lineRule="auto"/>
        <w:jc w:val="both"/>
        <w:rPr>
          <w:rFonts w:ascii="Arial" w:hAnsi="Arial" w:cs="Arial"/>
          <w:b/>
          <w:bCs/>
        </w:rPr>
      </w:pPr>
      <w:bookmarkStart w:id="1" w:name="_Toc238428859"/>
      <w:r w:rsidRPr="00990778">
        <w:rPr>
          <w:rFonts w:ascii="Arial" w:hAnsi="Arial" w:cs="Arial"/>
          <w:b/>
          <w:bCs/>
        </w:rPr>
        <w:t>Discussion</w:t>
      </w:r>
      <w:bookmarkEnd w:id="1"/>
    </w:p>
    <w:p w14:paraId="0BA45937" w14:textId="77777777" w:rsidR="005A7D00" w:rsidRPr="00990778" w:rsidRDefault="005A7D00" w:rsidP="00990778">
      <w:pPr>
        <w:pStyle w:val="Heading1"/>
        <w:numPr>
          <w:ilvl w:val="1"/>
          <w:numId w:val="3"/>
        </w:numPr>
        <w:spacing w:line="360" w:lineRule="auto"/>
        <w:jc w:val="both"/>
        <w:rPr>
          <w:rFonts w:ascii="Arial" w:hAnsi="Arial" w:cs="Arial"/>
        </w:rPr>
      </w:pPr>
      <w:bookmarkStart w:id="2" w:name="_Toc238428860"/>
      <w:r w:rsidRPr="00990778">
        <w:rPr>
          <w:rFonts w:ascii="Arial" w:hAnsi="Arial" w:cs="Arial"/>
        </w:rPr>
        <w:t>Turnkey Contracting</w:t>
      </w:r>
      <w:bookmarkEnd w:id="2"/>
    </w:p>
    <w:p w14:paraId="7F5BCA02" w14:textId="77777777" w:rsidR="00281A89" w:rsidRPr="00990778" w:rsidRDefault="00281A89" w:rsidP="00990778">
      <w:pPr>
        <w:spacing w:line="360" w:lineRule="auto"/>
        <w:jc w:val="both"/>
        <w:rPr>
          <w:rFonts w:ascii="Arial" w:hAnsi="Arial" w:cs="Arial"/>
        </w:rPr>
      </w:pPr>
      <w:r w:rsidRPr="00990778">
        <w:rPr>
          <w:rFonts w:ascii="Arial" w:hAnsi="Arial" w:cs="Arial"/>
        </w:rPr>
        <w:t xml:space="preserve">Under a turnkey arrangement, the client appoints one contractor to deliver the project from early design through procurement and construction to an operational facility. The contractor accepts responsibility for the overall outcome and provides a single </w:t>
      </w:r>
      <w:r w:rsidRPr="00990778">
        <w:rPr>
          <w:rFonts w:ascii="Arial" w:hAnsi="Arial" w:cs="Arial"/>
        </w:rPr>
        <w:lastRenderedPageBreak/>
        <w:t>warranty, thereby taking risks that might otherwise be shared among several parties or retained by the client. According to Salmon (2020), this concentration of responsibility is a central feature of EPC and design build delivery.</w:t>
      </w:r>
    </w:p>
    <w:p w14:paraId="7F61A8B5" w14:textId="36C9DE9D" w:rsidR="00281A89" w:rsidRPr="00990778" w:rsidRDefault="00281A89" w:rsidP="00990778">
      <w:pPr>
        <w:spacing w:line="360" w:lineRule="auto"/>
        <w:jc w:val="both"/>
        <w:rPr>
          <w:rFonts w:ascii="Arial" w:hAnsi="Arial" w:cs="Arial"/>
        </w:rPr>
      </w:pPr>
      <w:r w:rsidRPr="00990778">
        <w:rPr>
          <w:rFonts w:ascii="Arial" w:hAnsi="Arial" w:cs="Arial"/>
        </w:rPr>
        <w:t xml:space="preserve">The main advantage is clear accountability because design and construction are managed by one organisation, reducing disputes about whether problems result from design decisions or construction quality. This arrangement can also save time because design and construction activities may overlap rather than occur in sequence. Kebede and </w:t>
      </w:r>
      <w:proofErr w:type="spellStart"/>
      <w:r w:rsidRPr="00990778">
        <w:rPr>
          <w:rFonts w:ascii="Arial" w:hAnsi="Arial" w:cs="Arial"/>
        </w:rPr>
        <w:t>Tiewei</w:t>
      </w:r>
      <w:proofErr w:type="spellEnd"/>
      <w:r w:rsidRPr="00990778">
        <w:rPr>
          <w:rFonts w:ascii="Arial" w:hAnsi="Arial" w:cs="Arial"/>
        </w:rPr>
        <w:t xml:space="preserve"> (2021) found that design bid build projects experienced considerably greater delay than design build projects in Ethiopian public works. The client also manages one contractor, programme and payment process, which is valuable when internal project management resources are limited (Turner, 2017).</w:t>
      </w:r>
    </w:p>
    <w:p w14:paraId="60921CDD" w14:textId="2DC6D70A" w:rsidR="00281A89" w:rsidRPr="00990778" w:rsidRDefault="00281A89" w:rsidP="00990778">
      <w:pPr>
        <w:spacing w:line="360" w:lineRule="auto"/>
        <w:jc w:val="both"/>
        <w:rPr>
          <w:rFonts w:ascii="Arial" w:hAnsi="Arial" w:cs="Arial"/>
        </w:rPr>
      </w:pPr>
      <w:r w:rsidRPr="00990778">
        <w:rPr>
          <w:rFonts w:ascii="Arial" w:hAnsi="Arial" w:cs="Arial"/>
        </w:rPr>
        <w:t xml:space="preserve">However, contractors include allowances for the risks they accept, which can make turnkey contracts more expensive (Salmon, 2020). Clients have less control over detailed design, while changes after contract award may require costly and </w:t>
      </w:r>
      <w:r w:rsidRPr="00990778">
        <w:rPr>
          <w:rFonts w:ascii="Arial" w:hAnsi="Arial" w:cs="Arial"/>
        </w:rPr>
        <w:t>time-consuming</w:t>
      </w:r>
      <w:r w:rsidRPr="00990778">
        <w:rPr>
          <w:rFonts w:ascii="Arial" w:hAnsi="Arial" w:cs="Arial"/>
        </w:rPr>
        <w:t xml:space="preserve"> variations. Where specifications are unclear, contractors may focus on meeting only minimum requirements. Marović, </w:t>
      </w:r>
      <w:proofErr w:type="spellStart"/>
      <w:r w:rsidRPr="00990778">
        <w:rPr>
          <w:rFonts w:ascii="Arial" w:hAnsi="Arial" w:cs="Arial"/>
        </w:rPr>
        <w:t>Perić</w:t>
      </w:r>
      <w:proofErr w:type="spellEnd"/>
      <w:r w:rsidRPr="00990778">
        <w:rPr>
          <w:rFonts w:ascii="Arial" w:hAnsi="Arial" w:cs="Arial"/>
        </w:rPr>
        <w:t xml:space="preserve"> and Hanák (2021) stress that supplier selection should consider several criteria because choosing only on price can produce weak results. As ICE (2018) argues, risks transferred to suppliers without adequate capacity may return to the client through claims, poor performance or insolvency.</w:t>
      </w:r>
    </w:p>
    <w:p w14:paraId="51A73C97" w14:textId="4034706D" w:rsidR="00281A89" w:rsidRPr="00990778" w:rsidRDefault="00281A89" w:rsidP="00990778">
      <w:pPr>
        <w:spacing w:line="360" w:lineRule="auto"/>
        <w:jc w:val="both"/>
        <w:rPr>
          <w:rFonts w:ascii="Arial" w:hAnsi="Arial" w:cs="Arial"/>
        </w:rPr>
      </w:pPr>
      <w:r w:rsidRPr="00990778">
        <w:rPr>
          <w:rFonts w:ascii="Arial" w:hAnsi="Arial" w:cs="Arial"/>
        </w:rPr>
        <w:t xml:space="preserve">Turnkey delivery is most appropriate where requirements are stable and technology is proven, including power plants, manufacturing facilities, warehouses and modular buildings. It is less suitable where requirements remain </w:t>
      </w:r>
      <w:r w:rsidRPr="00990778">
        <w:rPr>
          <w:rFonts w:ascii="Arial" w:hAnsi="Arial" w:cs="Arial"/>
        </w:rPr>
        <w:t>uncertain,</w:t>
      </w:r>
      <w:r w:rsidRPr="00990778">
        <w:rPr>
          <w:rFonts w:ascii="Arial" w:hAnsi="Arial" w:cs="Arial"/>
        </w:rPr>
        <w:t xml:space="preserve"> or the client requires substantial design control.</w:t>
      </w:r>
    </w:p>
    <w:p w14:paraId="442B8E26" w14:textId="77777777" w:rsidR="005A7D00" w:rsidRPr="00990778" w:rsidRDefault="005A7D00" w:rsidP="00990778">
      <w:pPr>
        <w:pStyle w:val="Heading1"/>
        <w:numPr>
          <w:ilvl w:val="1"/>
          <w:numId w:val="3"/>
        </w:numPr>
        <w:spacing w:line="360" w:lineRule="auto"/>
        <w:jc w:val="both"/>
        <w:rPr>
          <w:rFonts w:ascii="Arial" w:hAnsi="Arial" w:cs="Arial"/>
        </w:rPr>
      </w:pPr>
      <w:bookmarkStart w:id="3" w:name="_Toc238428861"/>
      <w:r w:rsidRPr="00990778">
        <w:rPr>
          <w:rFonts w:ascii="Arial" w:hAnsi="Arial" w:cs="Arial"/>
        </w:rPr>
        <w:t>Multi-contract Contracting</w:t>
      </w:r>
      <w:bookmarkEnd w:id="3"/>
    </w:p>
    <w:p w14:paraId="3FAE6E72" w14:textId="07F917CA" w:rsidR="00281A89" w:rsidRPr="00990778" w:rsidRDefault="00281A89" w:rsidP="00990778">
      <w:pPr>
        <w:spacing w:line="360" w:lineRule="auto"/>
        <w:jc w:val="both"/>
        <w:rPr>
          <w:rFonts w:ascii="Arial" w:hAnsi="Arial" w:cs="Arial"/>
        </w:rPr>
      </w:pPr>
      <w:r w:rsidRPr="00990778">
        <w:rPr>
          <w:rFonts w:ascii="Arial" w:hAnsi="Arial" w:cs="Arial"/>
        </w:rPr>
        <w:t>The multi</w:t>
      </w:r>
      <w:r w:rsidRPr="00990778">
        <w:rPr>
          <w:rFonts w:ascii="Arial" w:hAnsi="Arial" w:cs="Arial"/>
        </w:rPr>
        <w:t>-</w:t>
      </w:r>
      <w:r w:rsidRPr="00990778">
        <w:rPr>
          <w:rFonts w:ascii="Arial" w:hAnsi="Arial" w:cs="Arial"/>
        </w:rPr>
        <w:t xml:space="preserve">contract, or </w:t>
      </w:r>
      <w:proofErr w:type="spellStart"/>
      <w:r w:rsidRPr="00990778">
        <w:rPr>
          <w:rFonts w:ascii="Arial" w:hAnsi="Arial" w:cs="Arial"/>
        </w:rPr>
        <w:t>multiprime</w:t>
      </w:r>
      <w:proofErr w:type="spellEnd"/>
      <w:r w:rsidRPr="00990778">
        <w:rPr>
          <w:rFonts w:ascii="Arial" w:hAnsi="Arial" w:cs="Arial"/>
        </w:rPr>
        <w:t>, method divides a project into individual work packages that are awarded to specialist contractors through separate agreements. The client, or a construction manager acting on its behalf, holds these contracts and coordinates their delivery. Separate packages may include design, preparatory works, structural works, building services, fit out and commissioning.</w:t>
      </w:r>
    </w:p>
    <w:p w14:paraId="21CFE302" w14:textId="7A1262B1" w:rsidR="00281A89" w:rsidRPr="00990778" w:rsidRDefault="00281A89" w:rsidP="00990778">
      <w:pPr>
        <w:spacing w:line="360" w:lineRule="auto"/>
        <w:jc w:val="both"/>
        <w:rPr>
          <w:rFonts w:ascii="Arial" w:hAnsi="Arial" w:cs="Arial"/>
        </w:rPr>
      </w:pPr>
      <w:r w:rsidRPr="00990778">
        <w:rPr>
          <w:rFonts w:ascii="Arial" w:hAnsi="Arial" w:cs="Arial"/>
        </w:rPr>
        <w:lastRenderedPageBreak/>
        <w:t>Its main benefits are competition and client control. The client can select the most suitable specialist for each package instead of relying on subcontractors chosen by a main contractor. This may improve technical quality and avoid the main contractor’s added margin. Packages can also be procured gradually as the design develops, allowing greater flexibility. By retaining contractual control, the client has greater visibility and can allocate risks to the parties most able to manage them rather than paying one overall risk allowance (ICE, 2018).</w:t>
      </w:r>
    </w:p>
    <w:p w14:paraId="3F44842A" w14:textId="2E6116FD" w:rsidR="00281A89" w:rsidRPr="00990778" w:rsidRDefault="00281A89" w:rsidP="00990778">
      <w:pPr>
        <w:spacing w:line="360" w:lineRule="auto"/>
        <w:jc w:val="both"/>
        <w:rPr>
          <w:rFonts w:ascii="Arial" w:hAnsi="Arial" w:cs="Arial"/>
        </w:rPr>
      </w:pPr>
      <w:r w:rsidRPr="00990778">
        <w:rPr>
          <w:rFonts w:ascii="Arial" w:hAnsi="Arial" w:cs="Arial"/>
        </w:rPr>
        <w:t>However, responsibility for coordinating the packages remains with the client. Contract boundaries can create missing responsibilities, sequencing problems and disputes. Chen and Liu (2024) found that project complexity and interference between work packages strongly influence delivery-method preferences, with fragmentation becoming less suitable as interdependence increases. Administrative demands also rise because each package requires tendering, payment assessment, change control and performance monitoring. The Cabinet Office (2022) therefore requires public bodies to assess delivery models before selecting an approach, while ICE (2018) identifies the capable owner as essential to successful delivery.</w:t>
      </w:r>
    </w:p>
    <w:p w14:paraId="0BD41F04" w14:textId="52EEDC5E" w:rsidR="00281A89" w:rsidRPr="00990778" w:rsidRDefault="00281A89" w:rsidP="00990778">
      <w:pPr>
        <w:spacing w:line="360" w:lineRule="auto"/>
        <w:jc w:val="both"/>
        <w:rPr>
          <w:rFonts w:ascii="Arial" w:hAnsi="Arial" w:cs="Arial"/>
        </w:rPr>
      </w:pPr>
      <w:r w:rsidRPr="00990778">
        <w:rPr>
          <w:rFonts w:ascii="Arial" w:hAnsi="Arial" w:cs="Arial"/>
        </w:rPr>
        <w:t>Multi</w:t>
      </w:r>
      <w:r w:rsidRPr="00990778">
        <w:rPr>
          <w:rFonts w:ascii="Arial" w:hAnsi="Arial" w:cs="Arial"/>
        </w:rPr>
        <w:t>-</w:t>
      </w:r>
      <w:r w:rsidRPr="00990778">
        <w:rPr>
          <w:rFonts w:ascii="Arial" w:hAnsi="Arial" w:cs="Arial"/>
        </w:rPr>
        <w:t>contract delivery is suitable for experienced clients with strong commercial and technical teams, especially where packages are clearly separable and design development occurs progressively. It is commonly used for university estates, hospital projects, phased infrastructure and complex refurbishments, but it is less appropriate for inexperienced clients facing fixed external deadlines.</w:t>
      </w:r>
    </w:p>
    <w:p w14:paraId="08D37DD1" w14:textId="77777777" w:rsidR="005A7D00" w:rsidRPr="00990778" w:rsidRDefault="005A7D00" w:rsidP="00990778">
      <w:pPr>
        <w:pStyle w:val="Heading1"/>
        <w:numPr>
          <w:ilvl w:val="1"/>
          <w:numId w:val="3"/>
        </w:numPr>
        <w:spacing w:line="360" w:lineRule="auto"/>
        <w:jc w:val="both"/>
        <w:rPr>
          <w:rFonts w:ascii="Arial" w:hAnsi="Arial" w:cs="Arial"/>
        </w:rPr>
      </w:pPr>
      <w:bookmarkStart w:id="4" w:name="_Toc238428862"/>
      <w:r w:rsidRPr="00990778">
        <w:rPr>
          <w:rFonts w:ascii="Arial" w:hAnsi="Arial" w:cs="Arial"/>
        </w:rPr>
        <w:t>Do-It-Yourself (DIY) Contracting</w:t>
      </w:r>
      <w:bookmarkEnd w:id="4"/>
    </w:p>
    <w:p w14:paraId="07849201" w14:textId="77777777" w:rsidR="00990778" w:rsidRPr="00990778" w:rsidRDefault="00990778" w:rsidP="00990778">
      <w:pPr>
        <w:spacing w:line="360" w:lineRule="auto"/>
        <w:jc w:val="both"/>
        <w:rPr>
          <w:rFonts w:ascii="Arial" w:hAnsi="Arial" w:cs="Arial"/>
        </w:rPr>
      </w:pPr>
      <w:r w:rsidRPr="00990778">
        <w:rPr>
          <w:rFonts w:ascii="Arial" w:hAnsi="Arial" w:cs="Arial"/>
        </w:rPr>
        <w:t>In the DIY, or owner delivered, approach, the client completes the project using its own staff, equipment and management systems. It may purchase materials or limited specialist resources, but it does not transfer overall delivery responsibility to an external contractor. The organisation therefore acts as sponsor, designer, manager and delivery provider.</w:t>
      </w:r>
    </w:p>
    <w:p w14:paraId="03E1F6E0" w14:textId="3D292295" w:rsidR="00990778" w:rsidRPr="00990778" w:rsidRDefault="00990778" w:rsidP="00990778">
      <w:pPr>
        <w:spacing w:line="360" w:lineRule="auto"/>
        <w:jc w:val="both"/>
        <w:rPr>
          <w:rFonts w:ascii="Arial" w:hAnsi="Arial" w:cs="Arial"/>
        </w:rPr>
      </w:pPr>
      <w:r w:rsidRPr="00990778">
        <w:rPr>
          <w:rFonts w:ascii="Arial" w:hAnsi="Arial" w:cs="Arial"/>
        </w:rPr>
        <w:t xml:space="preserve">This method offers strong control, lower direct costs and retention of internal capability. The client avoids contractor profit margins, tendering costs and risk allowances, while changes can be managed internally without formal variation procedures. Williamson (1985) argues that internal delivery can be more efficient when work is highly specific </w:t>
      </w:r>
      <w:r w:rsidRPr="00990778">
        <w:rPr>
          <w:rFonts w:ascii="Arial" w:hAnsi="Arial" w:cs="Arial"/>
        </w:rPr>
        <w:lastRenderedPageBreak/>
        <w:t xml:space="preserve">to the organisation and difficult to define fully in advance. According to ICE (2018), organisations that outsource all delivery work may gradually lose their ability to specify requirements, challenge suppliers and integrate projects effectively. Internal capability should therefore be viewed as a </w:t>
      </w:r>
      <w:r w:rsidRPr="00990778">
        <w:rPr>
          <w:rFonts w:ascii="Arial" w:hAnsi="Arial" w:cs="Arial"/>
        </w:rPr>
        <w:t>long-term</w:t>
      </w:r>
      <w:r w:rsidRPr="00990778">
        <w:rPr>
          <w:rFonts w:ascii="Arial" w:hAnsi="Arial" w:cs="Arial"/>
        </w:rPr>
        <w:t xml:space="preserve"> investment.</w:t>
      </w:r>
    </w:p>
    <w:p w14:paraId="0EC89FEF" w14:textId="674A9F79" w:rsidR="00990778" w:rsidRPr="00990778" w:rsidRDefault="00990778" w:rsidP="00990778">
      <w:pPr>
        <w:spacing w:line="360" w:lineRule="auto"/>
        <w:jc w:val="both"/>
        <w:rPr>
          <w:rFonts w:ascii="Arial" w:hAnsi="Arial" w:cs="Arial"/>
        </w:rPr>
      </w:pPr>
      <w:r w:rsidRPr="00990778">
        <w:rPr>
          <w:rFonts w:ascii="Arial" w:hAnsi="Arial" w:cs="Arial"/>
        </w:rPr>
        <w:t>However, DIY depends on the client already having sufficient expertise and capacity. Skill gaps may be identified late, increasing costs and reducing quality. The client also retains all financial, schedule, technical and safety risks, without an external party providing warranties or accepting responsibility. Project work may compete with normal operational duties for staff time and attention. The Cabinet Office (2022) requires should cost modelling to provide an independent benchmark when assessing in house delivery options.</w:t>
      </w:r>
    </w:p>
    <w:p w14:paraId="2E8758C7" w14:textId="62437749" w:rsidR="00990778" w:rsidRPr="00990778" w:rsidRDefault="00990778" w:rsidP="00990778">
      <w:pPr>
        <w:spacing w:line="360" w:lineRule="auto"/>
        <w:jc w:val="both"/>
        <w:rPr>
          <w:rFonts w:ascii="Arial" w:hAnsi="Arial" w:cs="Arial"/>
        </w:rPr>
      </w:pPr>
      <w:r w:rsidRPr="00990778">
        <w:rPr>
          <w:rFonts w:ascii="Arial" w:hAnsi="Arial" w:cs="Arial"/>
        </w:rPr>
        <w:t>DIY is most suitable for smaller and knowledge intensive projects that relate closely to the organisation’s core activities, including process improvement, system configuration, organisational change, product development and pilot projects. It is less appropriate for capital projects requiring specialist equipment, licences, qualified trades or statutory approvals.</w:t>
      </w:r>
    </w:p>
    <w:p w14:paraId="595D22B0" w14:textId="77777777" w:rsidR="005A7D00" w:rsidRPr="00990778" w:rsidRDefault="005A7D00" w:rsidP="00990778">
      <w:pPr>
        <w:pStyle w:val="Heading1"/>
        <w:numPr>
          <w:ilvl w:val="1"/>
          <w:numId w:val="3"/>
        </w:numPr>
        <w:spacing w:line="360" w:lineRule="auto"/>
        <w:jc w:val="both"/>
        <w:rPr>
          <w:rFonts w:ascii="Arial" w:hAnsi="Arial" w:cs="Arial"/>
        </w:rPr>
      </w:pPr>
      <w:bookmarkStart w:id="5" w:name="_Toc238428863"/>
      <w:r w:rsidRPr="00990778">
        <w:rPr>
          <w:rFonts w:ascii="Arial" w:hAnsi="Arial" w:cs="Arial"/>
        </w:rPr>
        <w:t xml:space="preserve">The </w:t>
      </w:r>
      <w:proofErr w:type="gramStart"/>
      <w:r w:rsidRPr="00990778">
        <w:rPr>
          <w:rFonts w:ascii="Arial" w:hAnsi="Arial" w:cs="Arial"/>
        </w:rPr>
        <w:t>Multi-contract</w:t>
      </w:r>
      <w:proofErr w:type="gramEnd"/>
      <w:r w:rsidRPr="00990778">
        <w:rPr>
          <w:rFonts w:ascii="Arial" w:hAnsi="Arial" w:cs="Arial"/>
        </w:rPr>
        <w:t xml:space="preserve"> + DIY Hybrid</w:t>
      </w:r>
      <w:bookmarkEnd w:id="5"/>
    </w:p>
    <w:p w14:paraId="5283C61B" w14:textId="77777777" w:rsidR="00990778" w:rsidRPr="00990778" w:rsidRDefault="00990778" w:rsidP="00990778">
      <w:pPr>
        <w:spacing w:line="360" w:lineRule="auto"/>
        <w:jc w:val="both"/>
        <w:rPr>
          <w:rFonts w:ascii="Arial" w:hAnsi="Arial" w:cs="Arial"/>
        </w:rPr>
      </w:pPr>
      <w:r w:rsidRPr="00990778">
        <w:rPr>
          <w:rFonts w:ascii="Arial" w:hAnsi="Arial" w:cs="Arial"/>
        </w:rPr>
        <w:t>The hybrid approach applies make or buy decisions to individual work packages rather than to the entire project. Specialist activities are outsourced to external contractors, while the client delivers selected tasks through its own teams and retains responsibility for overall project coordination.</w:t>
      </w:r>
    </w:p>
    <w:p w14:paraId="2453D692" w14:textId="439C45C0" w:rsidR="00990778" w:rsidRPr="00990778" w:rsidRDefault="00990778" w:rsidP="00990778">
      <w:pPr>
        <w:spacing w:line="360" w:lineRule="auto"/>
        <w:jc w:val="both"/>
        <w:rPr>
          <w:rFonts w:ascii="Arial" w:hAnsi="Arial" w:cs="Arial"/>
        </w:rPr>
      </w:pPr>
      <w:r w:rsidRPr="00990778">
        <w:rPr>
          <w:rFonts w:ascii="Arial" w:hAnsi="Arial" w:cs="Arial"/>
        </w:rPr>
        <w:t xml:space="preserve">Its main benefit is the effective use of limited internal expertise. The client can focus on areas where organisational knowledge is essential, including requirements definition, stakeholder engagement, assurance and integration, while purchasing highly technical or resource intensive work from the market. As the client remains actively involved, it has better access to project information and can identify issues earlier. The approach can also support early contractor involvement, enabling suppliers to contribute practical construction and cost advice before designs are finalised. Rahmani, Khalfan and Maqsood (2022) argue that these decisions require careful timing. </w:t>
      </w:r>
      <w:proofErr w:type="spellStart"/>
      <w:r w:rsidRPr="00990778">
        <w:rPr>
          <w:rFonts w:ascii="Arial" w:hAnsi="Arial" w:cs="Arial"/>
        </w:rPr>
        <w:t>Engebø</w:t>
      </w:r>
      <w:proofErr w:type="spellEnd"/>
      <w:r w:rsidRPr="00990778">
        <w:rPr>
          <w:rFonts w:ascii="Arial" w:hAnsi="Arial" w:cs="Arial"/>
        </w:rPr>
        <w:t xml:space="preserve"> </w:t>
      </w:r>
      <w:r w:rsidRPr="0091054E">
        <w:rPr>
          <w:rFonts w:ascii="Arial" w:hAnsi="Arial" w:cs="Arial"/>
          <w:i/>
          <w:iCs/>
        </w:rPr>
        <w:t>et al.</w:t>
      </w:r>
      <w:r w:rsidRPr="00990778">
        <w:rPr>
          <w:rFonts w:ascii="Arial" w:hAnsi="Arial" w:cs="Arial"/>
        </w:rPr>
        <w:t xml:space="preserve"> (2020) similarly found that collaborative arrangements can improve performance when they are supported by suitable governance.</w:t>
      </w:r>
    </w:p>
    <w:p w14:paraId="3F5B73EF" w14:textId="5D2CB29C" w:rsidR="00990778" w:rsidRPr="00990778" w:rsidRDefault="00990778" w:rsidP="00990778">
      <w:pPr>
        <w:spacing w:line="360" w:lineRule="auto"/>
        <w:jc w:val="both"/>
        <w:rPr>
          <w:rFonts w:ascii="Arial" w:hAnsi="Arial" w:cs="Arial"/>
        </w:rPr>
      </w:pPr>
      <w:r w:rsidRPr="00990778">
        <w:rPr>
          <w:rFonts w:ascii="Arial" w:hAnsi="Arial" w:cs="Arial"/>
        </w:rPr>
        <w:lastRenderedPageBreak/>
        <w:t>However, hybrid delivery requires highly developed project management because the client must both perform internal work and oversee external contractors. Delays caused by internal teams can affect contractors and lead to claims, while responsibilities may be difficult to separate across internal and external boundaries. Rodrigues and Lindhard (2021) found that collaborative arrangements require continuing investment in trust, shared objectives and governance, which can be harder to establish than contract terms suggest. Work package boundaries should therefore be placed where activities have limited dependencies.</w:t>
      </w:r>
    </w:p>
    <w:p w14:paraId="6E35C77C" w14:textId="16CCFF0A" w:rsidR="00990778" w:rsidRPr="00990778" w:rsidRDefault="00990778" w:rsidP="00990778">
      <w:pPr>
        <w:spacing w:line="360" w:lineRule="auto"/>
        <w:jc w:val="both"/>
        <w:rPr>
          <w:rFonts w:ascii="Arial" w:hAnsi="Arial" w:cs="Arial"/>
        </w:rPr>
      </w:pPr>
      <w:r w:rsidRPr="00990778">
        <w:rPr>
          <w:rFonts w:ascii="Arial" w:hAnsi="Arial" w:cs="Arial"/>
        </w:rPr>
        <w:t>The hybrid approach is well suited to transformation and technology enabled programmes, estate programmes managed by capable clients and projects where essential business knowledge remains internal but technical delivery can be outsourced.</w:t>
      </w:r>
    </w:p>
    <w:p w14:paraId="694CD7CE" w14:textId="2486905E" w:rsidR="005A7D00" w:rsidRPr="00990778" w:rsidRDefault="005A7D00" w:rsidP="00990778">
      <w:pPr>
        <w:pStyle w:val="Heading1"/>
        <w:numPr>
          <w:ilvl w:val="1"/>
          <w:numId w:val="3"/>
        </w:numPr>
        <w:spacing w:line="360" w:lineRule="auto"/>
        <w:jc w:val="both"/>
        <w:rPr>
          <w:rFonts w:ascii="Arial" w:hAnsi="Arial" w:cs="Arial"/>
        </w:rPr>
      </w:pPr>
      <w:bookmarkStart w:id="6" w:name="_Toc238428864"/>
      <w:r w:rsidRPr="00990778">
        <w:rPr>
          <w:rFonts w:ascii="Arial" w:hAnsi="Arial" w:cs="Arial"/>
        </w:rPr>
        <w:t>Application Exemplified</w:t>
      </w:r>
      <w:bookmarkEnd w:id="6"/>
    </w:p>
    <w:p w14:paraId="663C08EC" w14:textId="77777777" w:rsidR="00990778" w:rsidRPr="00990778" w:rsidRDefault="00990778" w:rsidP="00990778">
      <w:pPr>
        <w:spacing w:line="360" w:lineRule="auto"/>
        <w:jc w:val="both"/>
        <w:rPr>
          <w:rFonts w:ascii="Arial" w:hAnsi="Arial" w:cs="Arial"/>
        </w:rPr>
      </w:pPr>
      <w:r w:rsidRPr="00990778">
        <w:rPr>
          <w:rFonts w:ascii="Arial" w:hAnsi="Arial" w:cs="Arial"/>
        </w:rPr>
        <w:t>An NHS Trust establishing a community diagnostic centre must convert a leased retail unit into a clinical setting, install imaging equipment and develop patient pathways and booking systems before opening.</w:t>
      </w:r>
    </w:p>
    <w:p w14:paraId="282F3F92" w14:textId="4EE97A2C" w:rsidR="00990778" w:rsidRPr="00990778" w:rsidRDefault="00990778" w:rsidP="00990778">
      <w:pPr>
        <w:spacing w:line="360" w:lineRule="auto"/>
        <w:jc w:val="both"/>
        <w:rPr>
          <w:rFonts w:ascii="Arial" w:hAnsi="Arial" w:cs="Arial"/>
        </w:rPr>
      </w:pPr>
      <w:r w:rsidRPr="00990778">
        <w:rPr>
          <w:rFonts w:ascii="Arial" w:hAnsi="Arial" w:cs="Arial"/>
        </w:rPr>
        <w:t xml:space="preserve">A turnkey contract may suit the building conversion because the requirements are clear, the technology is </w:t>
      </w:r>
      <w:proofErr w:type="gramStart"/>
      <w:r w:rsidRPr="00990778">
        <w:rPr>
          <w:rFonts w:ascii="Arial" w:hAnsi="Arial" w:cs="Arial"/>
        </w:rPr>
        <w:t>established</w:t>
      </w:r>
      <w:proofErr w:type="gramEnd"/>
      <w:r w:rsidRPr="00990778">
        <w:rPr>
          <w:rFonts w:ascii="Arial" w:hAnsi="Arial" w:cs="Arial"/>
        </w:rPr>
        <w:t xml:space="preserve"> and the Trust has limited capital management capacity. One contractor could deliver the building shell, services and fit out under a single warranty and fixed completion date (Salmon, 2020). However, turnkey delivery would be less suitable for clinical processes and patient pathways because these rely on specialist knowledge held within the Trust and cannot be fully specified for external pricing. A multi</w:t>
      </w:r>
      <w:r w:rsidRPr="00990778">
        <w:rPr>
          <w:rFonts w:ascii="Arial" w:hAnsi="Arial" w:cs="Arial"/>
        </w:rPr>
        <w:t>-</w:t>
      </w:r>
      <w:r w:rsidRPr="00990778">
        <w:rPr>
          <w:rFonts w:ascii="Arial" w:hAnsi="Arial" w:cs="Arial"/>
        </w:rPr>
        <w:t>contract approach could achieve competition across construction, equipment, IT and furniture packages, but it would require a small internal team to manage several interfaces within a fixed timeframe. Chen and Liu (2024) indicate that fragmented delivery is less effective where work packages have strong interdependencies. A fully internal approach is not feasible because building works require certified trades and statutory approval.</w:t>
      </w:r>
    </w:p>
    <w:p w14:paraId="0B841C07" w14:textId="31C3A087" w:rsidR="00990778" w:rsidRPr="00990778" w:rsidRDefault="00990778" w:rsidP="00990778">
      <w:pPr>
        <w:spacing w:line="360" w:lineRule="auto"/>
        <w:jc w:val="both"/>
        <w:rPr>
          <w:rFonts w:ascii="Arial" w:hAnsi="Arial" w:cs="Arial"/>
        </w:rPr>
      </w:pPr>
      <w:r w:rsidRPr="00990778">
        <w:rPr>
          <w:rFonts w:ascii="Arial" w:hAnsi="Arial" w:cs="Arial"/>
        </w:rPr>
        <w:t xml:space="preserve">The hybrid approach is therefore the most appropriate option. The conversion can be procured as one design and build package, while imaging equipment is purchased separately from the manufacturer because installation and calibration are closely </w:t>
      </w:r>
      <w:r w:rsidRPr="00990778">
        <w:rPr>
          <w:rFonts w:ascii="Arial" w:hAnsi="Arial" w:cs="Arial"/>
        </w:rPr>
        <w:lastRenderedPageBreak/>
        <w:t xml:space="preserve">linked to its warranty. The Trust should retain responsibility for pathway design, clinical governance, staff training and system configuration, as these activities depend on internal knowledge. It should also coordinate the overall programme. According to the Cabinet Office (2022), delivery model assessment and should cost modelling support transparent and </w:t>
      </w:r>
      <w:proofErr w:type="gramStart"/>
      <w:r w:rsidRPr="00990778">
        <w:rPr>
          <w:rFonts w:ascii="Arial" w:hAnsi="Arial" w:cs="Arial"/>
        </w:rPr>
        <w:t>evidence based</w:t>
      </w:r>
      <w:proofErr w:type="gramEnd"/>
      <w:r w:rsidRPr="00990778">
        <w:rPr>
          <w:rFonts w:ascii="Arial" w:hAnsi="Arial" w:cs="Arial"/>
        </w:rPr>
        <w:t xml:space="preserve"> selection. The RIBA (2020) Plan of Work remains neutral regarding procurement, allowing the strategy to be selected after the project brief is clear. This approach increases coordination demands but protects clinical control and strengthens capability for future projects.</w:t>
      </w:r>
    </w:p>
    <w:p w14:paraId="04F3CD94" w14:textId="1A49B254" w:rsidR="005A7D00" w:rsidRPr="00990778" w:rsidRDefault="005A7D00" w:rsidP="00990778">
      <w:pPr>
        <w:pStyle w:val="Heading1"/>
        <w:numPr>
          <w:ilvl w:val="0"/>
          <w:numId w:val="3"/>
        </w:numPr>
        <w:spacing w:line="360" w:lineRule="auto"/>
        <w:jc w:val="both"/>
        <w:rPr>
          <w:rFonts w:ascii="Arial" w:hAnsi="Arial" w:cs="Arial"/>
          <w:b/>
          <w:bCs/>
        </w:rPr>
      </w:pPr>
      <w:bookmarkStart w:id="7" w:name="_Toc238428865"/>
      <w:r w:rsidRPr="00990778">
        <w:rPr>
          <w:rFonts w:ascii="Arial" w:hAnsi="Arial" w:cs="Arial"/>
          <w:b/>
          <w:bCs/>
        </w:rPr>
        <w:t>Conclusion</w:t>
      </w:r>
      <w:bookmarkEnd w:id="7"/>
    </w:p>
    <w:p w14:paraId="1B0203D9" w14:textId="0C18B74D" w:rsidR="005A7D00" w:rsidRPr="00990778" w:rsidRDefault="005A7D00" w:rsidP="00990778">
      <w:pPr>
        <w:spacing w:line="360" w:lineRule="auto"/>
        <w:jc w:val="both"/>
        <w:rPr>
          <w:rFonts w:ascii="Arial" w:hAnsi="Arial" w:cs="Arial"/>
        </w:rPr>
      </w:pPr>
      <w:r w:rsidRPr="00990778">
        <w:rPr>
          <w:rFonts w:ascii="Arial" w:hAnsi="Arial" w:cs="Arial"/>
        </w:rPr>
        <w:t>The four contracting methods represent different levels of responsibility retained by the client. Turnkey assigns most delivery responsibilities to one contractor, making administration simpler and potentially faster, although it may increase costs, limit changes and create dependence on a single supplier. Multi</w:t>
      </w:r>
      <w:r w:rsidRPr="00990778">
        <w:rPr>
          <w:rFonts w:ascii="Arial" w:hAnsi="Arial" w:cs="Arial"/>
        </w:rPr>
        <w:t>-</w:t>
      </w:r>
      <w:r w:rsidRPr="00990778">
        <w:rPr>
          <w:rFonts w:ascii="Arial" w:hAnsi="Arial" w:cs="Arial"/>
        </w:rPr>
        <w:t>contract delivery appoints specialist contractors, improving competition, quality and cost visibility, but leaves the client responsible for coordinating interfaces. DIY delivery keeps work within the organisation, providing control, flexibility and learning, while requiring sufficient internal capability and retaining all project risks. The hybrid method allocates responsibilities across internal and external packages, which can improve efficiency but requires strong project management.</w:t>
      </w:r>
    </w:p>
    <w:p w14:paraId="2E28F9BE" w14:textId="5CE5EF26" w:rsidR="005A7D00" w:rsidRPr="00990778" w:rsidRDefault="005A7D00" w:rsidP="00990778">
      <w:pPr>
        <w:spacing w:line="360" w:lineRule="auto"/>
        <w:jc w:val="both"/>
        <w:rPr>
          <w:rFonts w:ascii="Arial" w:hAnsi="Arial" w:cs="Arial"/>
        </w:rPr>
      </w:pPr>
      <w:r w:rsidRPr="00990778">
        <w:rPr>
          <w:rFonts w:ascii="Arial" w:hAnsi="Arial" w:cs="Arial"/>
        </w:rPr>
        <w:t>Evidence suggests that no method is always superior, since poor outcomes often result from selecting an approach through routine rather than careful assessment (Ying, Tookey and Zhao, 2022). Decisions should consider scope maturity, package dependencies, supplier competition, client capability and risk appetite. As the Cabinet Office (2022) requires for public works, structured assessment before commitment supports effective risk management. According to ICE (2018), risk assigned to an organisation unable to manage it is not removed but likely to return to the owner in a more difficult form.</w:t>
      </w:r>
    </w:p>
    <w:p w14:paraId="333F9CD2" w14:textId="3AD85A8E" w:rsidR="00653256" w:rsidRPr="00990778" w:rsidRDefault="004D4DC5" w:rsidP="00990778">
      <w:pPr>
        <w:pStyle w:val="Heading1"/>
        <w:spacing w:line="360" w:lineRule="auto"/>
        <w:jc w:val="both"/>
        <w:rPr>
          <w:rFonts w:ascii="Arial" w:hAnsi="Arial" w:cs="Arial"/>
          <w:b/>
          <w:bCs/>
        </w:rPr>
      </w:pPr>
      <w:bookmarkStart w:id="8" w:name="_Toc238428866"/>
      <w:r w:rsidRPr="00990778">
        <w:rPr>
          <w:rFonts w:ascii="Arial" w:hAnsi="Arial" w:cs="Arial"/>
          <w:b/>
          <w:bCs/>
        </w:rPr>
        <w:lastRenderedPageBreak/>
        <w:t>References</w:t>
      </w:r>
      <w:bookmarkEnd w:id="8"/>
    </w:p>
    <w:p w14:paraId="3203727B" w14:textId="77777777" w:rsidR="005A7D00" w:rsidRPr="00990778" w:rsidRDefault="005A7D00" w:rsidP="00990778">
      <w:pPr>
        <w:pStyle w:val="FirstParagraph"/>
        <w:spacing w:line="360" w:lineRule="auto"/>
        <w:jc w:val="both"/>
        <w:rPr>
          <w:rFonts w:ascii="Arial" w:hAnsi="Arial" w:cs="Arial"/>
        </w:rPr>
      </w:pPr>
      <w:r w:rsidRPr="00990778">
        <w:rPr>
          <w:rFonts w:ascii="Arial" w:hAnsi="Arial" w:cs="Arial"/>
        </w:rPr>
        <w:t xml:space="preserve">APM (2019) </w:t>
      </w:r>
      <w:r w:rsidRPr="00990778">
        <w:rPr>
          <w:rFonts w:ascii="Arial" w:hAnsi="Arial" w:cs="Arial"/>
          <w:i/>
          <w:iCs/>
        </w:rPr>
        <w:t>APM Body of Knowledge</w:t>
      </w:r>
      <w:r w:rsidRPr="00990778">
        <w:rPr>
          <w:rFonts w:ascii="Arial" w:hAnsi="Arial" w:cs="Arial"/>
        </w:rPr>
        <w:t xml:space="preserve">. 7th </w:t>
      </w:r>
      <w:proofErr w:type="spellStart"/>
      <w:r w:rsidRPr="00990778">
        <w:rPr>
          <w:rFonts w:ascii="Arial" w:hAnsi="Arial" w:cs="Arial"/>
        </w:rPr>
        <w:t>edn</w:t>
      </w:r>
      <w:proofErr w:type="spellEnd"/>
      <w:r w:rsidRPr="00990778">
        <w:rPr>
          <w:rFonts w:ascii="Arial" w:hAnsi="Arial" w:cs="Arial"/>
        </w:rPr>
        <w:t xml:space="preserve">. Princes Risborough: Association for Project Management. Available at: </w:t>
      </w:r>
      <w:hyperlink r:id="rId6" w:history="1">
        <w:r w:rsidRPr="00990778">
          <w:rPr>
            <w:rStyle w:val="Hyperlink"/>
            <w:rFonts w:ascii="Arial" w:hAnsi="Arial" w:cs="Arial"/>
          </w:rPr>
          <w:t>https://www.apm.org.uk/media/qpyau3pc/apm-body-of-knowledge-7th-edition-for-supporting-2025-consultation</w:t>
        </w:r>
        <w:r w:rsidRPr="00990778">
          <w:rPr>
            <w:rStyle w:val="Hyperlink"/>
            <w:rFonts w:ascii="Arial" w:hAnsi="Arial" w:cs="Arial"/>
          </w:rPr>
          <w:t>.</w:t>
        </w:r>
        <w:r w:rsidRPr="00990778">
          <w:rPr>
            <w:rStyle w:val="Hyperlink"/>
            <w:rFonts w:ascii="Arial" w:hAnsi="Arial" w:cs="Arial"/>
          </w:rPr>
          <w:t>pdf</w:t>
        </w:r>
      </w:hyperlink>
      <w:r w:rsidRPr="00990778">
        <w:rPr>
          <w:rFonts w:ascii="Arial" w:hAnsi="Arial" w:cs="Arial"/>
        </w:rPr>
        <w:t xml:space="preserve"> (Accessed: 23 August 2026).</w:t>
      </w:r>
    </w:p>
    <w:p w14:paraId="494BA15D" w14:textId="77777777" w:rsidR="005A7D00" w:rsidRPr="00990778" w:rsidRDefault="005A7D00" w:rsidP="00990778">
      <w:pPr>
        <w:pStyle w:val="BodyText"/>
        <w:spacing w:line="360" w:lineRule="auto"/>
        <w:jc w:val="both"/>
        <w:rPr>
          <w:rFonts w:ascii="Arial" w:hAnsi="Arial" w:cs="Arial"/>
        </w:rPr>
      </w:pPr>
      <w:r w:rsidRPr="00990778">
        <w:rPr>
          <w:rFonts w:ascii="Arial" w:hAnsi="Arial" w:cs="Arial"/>
        </w:rPr>
        <w:t xml:space="preserve">Cabinet Office (2022) </w:t>
      </w:r>
      <w:r w:rsidRPr="00990778">
        <w:rPr>
          <w:rFonts w:ascii="Arial" w:hAnsi="Arial" w:cs="Arial"/>
          <w:i/>
          <w:iCs/>
        </w:rPr>
        <w:t xml:space="preserve">The Construction Playbook: government guidance on sourcing and contracting public works projects and </w:t>
      </w:r>
      <w:proofErr w:type="spellStart"/>
      <w:r w:rsidRPr="00990778">
        <w:rPr>
          <w:rFonts w:ascii="Arial" w:hAnsi="Arial" w:cs="Arial"/>
          <w:i/>
          <w:iCs/>
        </w:rPr>
        <w:t>programmes</w:t>
      </w:r>
      <w:proofErr w:type="spellEnd"/>
      <w:r w:rsidRPr="00990778">
        <w:rPr>
          <w:rFonts w:ascii="Arial" w:hAnsi="Arial" w:cs="Arial"/>
        </w:rPr>
        <w:t xml:space="preserve">. Version 1.1. London: Cabinet Office. Available at: </w:t>
      </w:r>
      <w:hyperlink r:id="rId7" w:history="1">
        <w:r w:rsidRPr="00990778">
          <w:rPr>
            <w:rStyle w:val="Hyperlink"/>
            <w:rFonts w:ascii="Arial" w:hAnsi="Arial" w:cs="Arial"/>
          </w:rPr>
          <w:t>https://www.gov.uk/govern</w:t>
        </w:r>
        <w:r w:rsidRPr="00990778">
          <w:rPr>
            <w:rStyle w:val="Hyperlink"/>
            <w:rFonts w:ascii="Arial" w:hAnsi="Arial" w:cs="Arial"/>
          </w:rPr>
          <w:t>m</w:t>
        </w:r>
        <w:r w:rsidRPr="00990778">
          <w:rPr>
            <w:rStyle w:val="Hyperlink"/>
            <w:rFonts w:ascii="Arial" w:hAnsi="Arial" w:cs="Arial"/>
          </w:rPr>
          <w:t>ent/publications/the-construction-playbook</w:t>
        </w:r>
      </w:hyperlink>
      <w:r w:rsidRPr="00990778">
        <w:rPr>
          <w:rFonts w:ascii="Arial" w:hAnsi="Arial" w:cs="Arial"/>
        </w:rPr>
        <w:t xml:space="preserve"> (Accessed: 23 August 2026).</w:t>
      </w:r>
    </w:p>
    <w:p w14:paraId="757A4DF7" w14:textId="77777777" w:rsidR="005A7D00" w:rsidRPr="00990778" w:rsidRDefault="005A7D00" w:rsidP="00990778">
      <w:pPr>
        <w:pStyle w:val="BodyText"/>
        <w:spacing w:line="360" w:lineRule="auto"/>
        <w:jc w:val="both"/>
        <w:rPr>
          <w:rFonts w:ascii="Arial" w:hAnsi="Arial" w:cs="Arial"/>
        </w:rPr>
      </w:pPr>
      <w:r w:rsidRPr="00990778">
        <w:rPr>
          <w:rFonts w:ascii="Arial" w:hAnsi="Arial" w:cs="Arial"/>
        </w:rPr>
        <w:t xml:space="preserve">Chen, S. and Liu, X. (2024) ‘Key factors affecting project delivery system selection in the Chinese construction industry’, </w:t>
      </w:r>
      <w:proofErr w:type="spellStart"/>
      <w:r w:rsidRPr="00990778">
        <w:rPr>
          <w:rFonts w:ascii="Arial" w:hAnsi="Arial" w:cs="Arial"/>
          <w:i/>
          <w:iCs/>
        </w:rPr>
        <w:t>Heliyon</w:t>
      </w:r>
      <w:proofErr w:type="spellEnd"/>
      <w:r w:rsidRPr="00990778">
        <w:rPr>
          <w:rFonts w:ascii="Arial" w:hAnsi="Arial" w:cs="Arial"/>
        </w:rPr>
        <w:t xml:space="preserve">, 10(19), e39201. Available at: </w:t>
      </w:r>
      <w:r w:rsidRPr="00990778">
        <w:rPr>
          <w:rFonts w:ascii="Arial" w:hAnsi="Arial" w:cs="Arial"/>
        </w:rPr>
        <w:fldChar w:fldCharType="begin"/>
      </w:r>
      <w:r w:rsidRPr="00990778">
        <w:rPr>
          <w:rFonts w:ascii="Arial" w:hAnsi="Arial" w:cs="Arial"/>
        </w:rPr>
        <w:instrText>HYPERLINK "https://doi.org/10.1016/j.heliyon.2024.e39201"</w:instrText>
      </w:r>
      <w:r w:rsidRPr="00990778">
        <w:rPr>
          <w:rFonts w:ascii="Arial" w:hAnsi="Arial" w:cs="Arial"/>
        </w:rPr>
        <w:fldChar w:fldCharType="separate"/>
      </w:r>
      <w:r w:rsidRPr="00990778">
        <w:rPr>
          <w:rStyle w:val="Hyperlink"/>
          <w:rFonts w:ascii="Arial" w:hAnsi="Arial" w:cs="Arial"/>
        </w:rPr>
        <w:t>https://doi.org/10.1016/j.heliyon.</w:t>
      </w:r>
      <w:r w:rsidRPr="00990778">
        <w:rPr>
          <w:rStyle w:val="Hyperlink"/>
          <w:rFonts w:ascii="Arial" w:hAnsi="Arial" w:cs="Arial"/>
        </w:rPr>
        <w:t>2</w:t>
      </w:r>
      <w:r w:rsidRPr="00990778">
        <w:rPr>
          <w:rStyle w:val="Hyperlink"/>
          <w:rFonts w:ascii="Arial" w:hAnsi="Arial" w:cs="Arial"/>
        </w:rPr>
        <w:t>024.e39201</w:t>
      </w:r>
      <w:r w:rsidRPr="00990778">
        <w:rPr>
          <w:rFonts w:ascii="Arial" w:hAnsi="Arial" w:cs="Arial"/>
        </w:rPr>
        <w:fldChar w:fldCharType="end"/>
      </w:r>
      <w:r w:rsidRPr="00990778">
        <w:rPr>
          <w:rFonts w:ascii="Arial" w:hAnsi="Arial" w:cs="Arial"/>
        </w:rPr>
        <w:t xml:space="preserve"> (Accessed: 23 August 2026).</w:t>
      </w:r>
    </w:p>
    <w:p w14:paraId="700DED1F" w14:textId="77777777" w:rsidR="005A7D00" w:rsidRPr="00990778" w:rsidRDefault="005A7D00" w:rsidP="00990778">
      <w:pPr>
        <w:pStyle w:val="BodyText"/>
        <w:spacing w:line="360" w:lineRule="auto"/>
        <w:jc w:val="both"/>
        <w:rPr>
          <w:rFonts w:ascii="Arial" w:hAnsi="Arial" w:cs="Arial"/>
        </w:rPr>
      </w:pPr>
      <w:proofErr w:type="spellStart"/>
      <w:r w:rsidRPr="00990778">
        <w:rPr>
          <w:rFonts w:ascii="Arial" w:hAnsi="Arial" w:cs="Arial"/>
        </w:rPr>
        <w:t>Engebø</w:t>
      </w:r>
      <w:proofErr w:type="spellEnd"/>
      <w:r w:rsidRPr="00990778">
        <w:rPr>
          <w:rFonts w:ascii="Arial" w:hAnsi="Arial" w:cs="Arial"/>
        </w:rPr>
        <w:t xml:space="preserve">, A., </w:t>
      </w:r>
      <w:proofErr w:type="spellStart"/>
      <w:r w:rsidRPr="00990778">
        <w:rPr>
          <w:rFonts w:ascii="Arial" w:hAnsi="Arial" w:cs="Arial"/>
        </w:rPr>
        <w:t>Lædre</w:t>
      </w:r>
      <w:proofErr w:type="spellEnd"/>
      <w:r w:rsidRPr="00990778">
        <w:rPr>
          <w:rFonts w:ascii="Arial" w:hAnsi="Arial" w:cs="Arial"/>
        </w:rPr>
        <w:t xml:space="preserve">, O., Young, B., Larssen, P.F., Lohne, J. and Klakegg, O.J. (2020) ‘Collaborative project delivery methods: a scoping review’, </w:t>
      </w:r>
      <w:r w:rsidRPr="00990778">
        <w:rPr>
          <w:rFonts w:ascii="Arial" w:hAnsi="Arial" w:cs="Arial"/>
          <w:i/>
          <w:iCs/>
        </w:rPr>
        <w:t>Journal of Civil Engineering and Management</w:t>
      </w:r>
      <w:r w:rsidRPr="00990778">
        <w:rPr>
          <w:rFonts w:ascii="Arial" w:hAnsi="Arial" w:cs="Arial"/>
        </w:rPr>
        <w:t xml:space="preserve">, 26(3), pp. 278–303. Available at: </w:t>
      </w:r>
      <w:hyperlink r:id="rId8" w:history="1">
        <w:r w:rsidRPr="00990778">
          <w:rPr>
            <w:rStyle w:val="Hyperlink"/>
            <w:rFonts w:ascii="Arial" w:hAnsi="Arial" w:cs="Arial"/>
          </w:rPr>
          <w:t>https://d</w:t>
        </w:r>
        <w:r w:rsidRPr="00990778">
          <w:rPr>
            <w:rStyle w:val="Hyperlink"/>
            <w:rFonts w:ascii="Arial" w:hAnsi="Arial" w:cs="Arial"/>
          </w:rPr>
          <w:t>o</w:t>
        </w:r>
        <w:r w:rsidRPr="00990778">
          <w:rPr>
            <w:rStyle w:val="Hyperlink"/>
            <w:rFonts w:ascii="Arial" w:hAnsi="Arial" w:cs="Arial"/>
          </w:rPr>
          <w:t>i.org/10.3846/jcem.2020.12186</w:t>
        </w:r>
      </w:hyperlink>
      <w:r w:rsidRPr="00990778">
        <w:rPr>
          <w:rFonts w:ascii="Arial" w:hAnsi="Arial" w:cs="Arial"/>
        </w:rPr>
        <w:t xml:space="preserve"> (Accessed: 23 August 2026).</w:t>
      </w:r>
    </w:p>
    <w:p w14:paraId="614EA9C8" w14:textId="77777777" w:rsidR="005A7D00" w:rsidRPr="00990778" w:rsidRDefault="005A7D00" w:rsidP="00990778">
      <w:pPr>
        <w:pStyle w:val="BodyText"/>
        <w:spacing w:line="360" w:lineRule="auto"/>
        <w:jc w:val="both"/>
        <w:rPr>
          <w:rFonts w:ascii="Arial" w:hAnsi="Arial" w:cs="Arial"/>
        </w:rPr>
      </w:pPr>
      <w:r w:rsidRPr="00990778">
        <w:rPr>
          <w:rFonts w:ascii="Arial" w:hAnsi="Arial" w:cs="Arial"/>
        </w:rPr>
        <w:t xml:space="preserve">ICE (2018) </w:t>
      </w:r>
      <w:r w:rsidRPr="00990778">
        <w:rPr>
          <w:rFonts w:ascii="Arial" w:hAnsi="Arial" w:cs="Arial"/>
          <w:i/>
          <w:iCs/>
        </w:rPr>
        <w:t>Project 13: from transactions to enterprises</w:t>
      </w:r>
      <w:r w:rsidRPr="00990778">
        <w:rPr>
          <w:rFonts w:ascii="Arial" w:hAnsi="Arial" w:cs="Arial"/>
        </w:rPr>
        <w:t xml:space="preserve">. London: Institution of Civil Engineers / Infrastructure Client Group. Available at: </w:t>
      </w:r>
      <w:hyperlink r:id="rId9" w:history="1">
        <w:r w:rsidRPr="00990778">
          <w:rPr>
            <w:rStyle w:val="Hyperlink"/>
            <w:rFonts w:ascii="Arial" w:hAnsi="Arial" w:cs="Arial"/>
          </w:rPr>
          <w:t>https://www.ice.org.uk/areas-of-interest/infrastructure-delivery/project-13-from-transa</w:t>
        </w:r>
        <w:r w:rsidRPr="00990778">
          <w:rPr>
            <w:rStyle w:val="Hyperlink"/>
            <w:rFonts w:ascii="Arial" w:hAnsi="Arial" w:cs="Arial"/>
          </w:rPr>
          <w:t>c</w:t>
        </w:r>
        <w:r w:rsidRPr="00990778">
          <w:rPr>
            <w:rStyle w:val="Hyperlink"/>
            <w:rFonts w:ascii="Arial" w:hAnsi="Arial" w:cs="Arial"/>
          </w:rPr>
          <w:t>tions-to-enterprises</w:t>
        </w:r>
      </w:hyperlink>
      <w:r w:rsidRPr="00990778">
        <w:rPr>
          <w:rFonts w:ascii="Arial" w:hAnsi="Arial" w:cs="Arial"/>
        </w:rPr>
        <w:t xml:space="preserve"> (Accessed: 23 August 2026).</w:t>
      </w:r>
    </w:p>
    <w:p w14:paraId="21D450AC" w14:textId="77777777" w:rsidR="005A7D00" w:rsidRPr="00990778" w:rsidRDefault="005A7D00" w:rsidP="00990778">
      <w:pPr>
        <w:pStyle w:val="BodyText"/>
        <w:spacing w:line="360" w:lineRule="auto"/>
        <w:jc w:val="both"/>
        <w:rPr>
          <w:rFonts w:ascii="Arial" w:hAnsi="Arial" w:cs="Arial"/>
        </w:rPr>
      </w:pPr>
      <w:r w:rsidRPr="00990778">
        <w:rPr>
          <w:rFonts w:ascii="Arial" w:hAnsi="Arial" w:cs="Arial"/>
        </w:rPr>
        <w:t xml:space="preserve">Javed, A., Amidu, A.-R., </w:t>
      </w:r>
      <w:proofErr w:type="spellStart"/>
      <w:r w:rsidRPr="00990778">
        <w:rPr>
          <w:rFonts w:ascii="Arial" w:hAnsi="Arial" w:cs="Arial"/>
        </w:rPr>
        <w:t>Bolomope</w:t>
      </w:r>
      <w:proofErr w:type="spellEnd"/>
      <w:r w:rsidRPr="00990778">
        <w:rPr>
          <w:rFonts w:ascii="Arial" w:hAnsi="Arial" w:cs="Arial"/>
        </w:rPr>
        <w:t xml:space="preserve">, M. and Ajayi, S. (2022) ‘Decision-making framework for construction clients in selecting appropriate procurement route’, </w:t>
      </w:r>
      <w:r w:rsidRPr="00990778">
        <w:rPr>
          <w:rFonts w:ascii="Arial" w:hAnsi="Arial" w:cs="Arial"/>
          <w:i/>
          <w:iCs/>
        </w:rPr>
        <w:t>Buildings</w:t>
      </w:r>
      <w:r w:rsidRPr="00990778">
        <w:rPr>
          <w:rFonts w:ascii="Arial" w:hAnsi="Arial" w:cs="Arial"/>
        </w:rPr>
        <w:t xml:space="preserve">, 12(12), 2192. Available at: </w:t>
      </w:r>
      <w:hyperlink r:id="rId10" w:history="1">
        <w:r w:rsidRPr="00990778">
          <w:rPr>
            <w:rStyle w:val="Hyperlink"/>
            <w:rFonts w:ascii="Arial" w:hAnsi="Arial" w:cs="Arial"/>
          </w:rPr>
          <w:t>https://doi.org/10.3390/buil</w:t>
        </w:r>
        <w:r w:rsidRPr="00990778">
          <w:rPr>
            <w:rStyle w:val="Hyperlink"/>
            <w:rFonts w:ascii="Arial" w:hAnsi="Arial" w:cs="Arial"/>
          </w:rPr>
          <w:t>d</w:t>
        </w:r>
        <w:r w:rsidRPr="00990778">
          <w:rPr>
            <w:rStyle w:val="Hyperlink"/>
            <w:rFonts w:ascii="Arial" w:hAnsi="Arial" w:cs="Arial"/>
          </w:rPr>
          <w:t>ings12122192</w:t>
        </w:r>
      </w:hyperlink>
      <w:r w:rsidRPr="00990778">
        <w:rPr>
          <w:rFonts w:ascii="Arial" w:hAnsi="Arial" w:cs="Arial"/>
        </w:rPr>
        <w:t xml:space="preserve"> (Accessed: 23 August 2026).</w:t>
      </w:r>
    </w:p>
    <w:p w14:paraId="6927A95A" w14:textId="77777777" w:rsidR="005A7D00" w:rsidRPr="00990778" w:rsidRDefault="005A7D00" w:rsidP="00990778">
      <w:pPr>
        <w:pStyle w:val="BodyText"/>
        <w:spacing w:line="360" w:lineRule="auto"/>
        <w:jc w:val="both"/>
        <w:rPr>
          <w:rFonts w:ascii="Arial" w:hAnsi="Arial" w:cs="Arial"/>
        </w:rPr>
      </w:pPr>
      <w:r w:rsidRPr="00990778">
        <w:rPr>
          <w:rFonts w:ascii="Arial" w:hAnsi="Arial" w:cs="Arial"/>
        </w:rPr>
        <w:t xml:space="preserve">Kebede, S. and </w:t>
      </w:r>
      <w:proofErr w:type="spellStart"/>
      <w:r w:rsidRPr="00990778">
        <w:rPr>
          <w:rFonts w:ascii="Arial" w:hAnsi="Arial" w:cs="Arial"/>
        </w:rPr>
        <w:t>Tiewei</w:t>
      </w:r>
      <w:proofErr w:type="spellEnd"/>
      <w:r w:rsidRPr="00990778">
        <w:rPr>
          <w:rFonts w:ascii="Arial" w:hAnsi="Arial" w:cs="Arial"/>
        </w:rPr>
        <w:t xml:space="preserve">, Z. (2021) ‘Public work contract laws on project delivery systems and their nexus with project efficiency: evidence from Ethiopia’, </w:t>
      </w:r>
      <w:proofErr w:type="spellStart"/>
      <w:r w:rsidRPr="00990778">
        <w:rPr>
          <w:rFonts w:ascii="Arial" w:hAnsi="Arial" w:cs="Arial"/>
          <w:i/>
          <w:iCs/>
        </w:rPr>
        <w:t>Heliyon</w:t>
      </w:r>
      <w:proofErr w:type="spellEnd"/>
      <w:r w:rsidRPr="00990778">
        <w:rPr>
          <w:rFonts w:ascii="Arial" w:hAnsi="Arial" w:cs="Arial"/>
        </w:rPr>
        <w:t xml:space="preserve">, 7(3), e06462. Available at: </w:t>
      </w:r>
      <w:hyperlink r:id="rId11" w:history="1">
        <w:r w:rsidRPr="00990778">
          <w:rPr>
            <w:rStyle w:val="Hyperlink"/>
            <w:rFonts w:ascii="Arial" w:hAnsi="Arial" w:cs="Arial"/>
          </w:rPr>
          <w:t>https://doi.org/10.1016/j.heli</w:t>
        </w:r>
        <w:r w:rsidRPr="00990778">
          <w:rPr>
            <w:rStyle w:val="Hyperlink"/>
            <w:rFonts w:ascii="Arial" w:hAnsi="Arial" w:cs="Arial"/>
          </w:rPr>
          <w:t>y</w:t>
        </w:r>
        <w:r w:rsidRPr="00990778">
          <w:rPr>
            <w:rStyle w:val="Hyperlink"/>
            <w:rFonts w:ascii="Arial" w:hAnsi="Arial" w:cs="Arial"/>
          </w:rPr>
          <w:t>on.2021.e06462</w:t>
        </w:r>
      </w:hyperlink>
      <w:r w:rsidRPr="00990778">
        <w:rPr>
          <w:rFonts w:ascii="Arial" w:hAnsi="Arial" w:cs="Arial"/>
        </w:rPr>
        <w:t xml:space="preserve"> (Accessed: 23 August 2026).</w:t>
      </w:r>
    </w:p>
    <w:p w14:paraId="3198DDDA" w14:textId="4EEF2A88" w:rsidR="005A7D00" w:rsidRPr="00990778" w:rsidRDefault="0091054E" w:rsidP="00990778">
      <w:pPr>
        <w:pStyle w:val="BodyText"/>
        <w:spacing w:line="360" w:lineRule="auto"/>
        <w:jc w:val="both"/>
        <w:rPr>
          <w:rFonts w:ascii="Arial" w:hAnsi="Arial" w:cs="Arial"/>
        </w:rPr>
      </w:pPr>
      <w:r w:rsidRPr="00F75477">
        <w:rPr>
          <w:rFonts w:ascii="Arial" w:hAnsi="Arial" w:cs="Arial"/>
          <w:sz w:val="26"/>
          <w:szCs w:val="26"/>
          <w:lang w:val="en-GB"/>
        </w:rPr>
        <w:lastRenderedPageBreak/>
        <w:t xml:space="preserve">Larson, E.W. and Gray, C.F. (2014) </w:t>
      </w:r>
      <w:r w:rsidRPr="00F75477">
        <w:rPr>
          <w:rFonts w:ascii="Arial" w:hAnsi="Arial" w:cs="Arial"/>
          <w:i/>
          <w:iCs/>
          <w:sz w:val="26"/>
          <w:szCs w:val="26"/>
          <w:lang w:val="en-GB"/>
        </w:rPr>
        <w:t xml:space="preserve">Project </w:t>
      </w:r>
      <w:proofErr w:type="gramStart"/>
      <w:r w:rsidRPr="00F75477">
        <w:rPr>
          <w:rFonts w:ascii="Arial" w:hAnsi="Arial" w:cs="Arial"/>
          <w:i/>
          <w:iCs/>
          <w:sz w:val="26"/>
          <w:szCs w:val="26"/>
          <w:lang w:val="en-GB"/>
        </w:rPr>
        <w:t>management :</w:t>
      </w:r>
      <w:proofErr w:type="gramEnd"/>
      <w:r w:rsidRPr="00F75477">
        <w:rPr>
          <w:rFonts w:ascii="Arial" w:hAnsi="Arial" w:cs="Arial"/>
          <w:i/>
          <w:iCs/>
          <w:sz w:val="26"/>
          <w:szCs w:val="26"/>
          <w:lang w:val="en-GB"/>
        </w:rPr>
        <w:t xml:space="preserve"> the managerial process. </w:t>
      </w:r>
      <w:r w:rsidRPr="00F75477">
        <w:rPr>
          <w:rFonts w:ascii="Arial" w:hAnsi="Arial" w:cs="Arial"/>
          <w:sz w:val="26"/>
          <w:szCs w:val="26"/>
          <w:lang w:val="en-GB"/>
        </w:rPr>
        <w:t xml:space="preserve">Sixth edition, </w:t>
      </w:r>
      <w:proofErr w:type="gramStart"/>
      <w:r w:rsidRPr="00F75477">
        <w:rPr>
          <w:rFonts w:ascii="Arial" w:hAnsi="Arial" w:cs="Arial"/>
          <w:sz w:val="26"/>
          <w:szCs w:val="26"/>
          <w:lang w:val="en-GB"/>
        </w:rPr>
        <w:t>International</w:t>
      </w:r>
      <w:proofErr w:type="gramEnd"/>
      <w:r w:rsidRPr="00F75477">
        <w:rPr>
          <w:rFonts w:ascii="Arial" w:hAnsi="Arial" w:cs="Arial"/>
          <w:sz w:val="26"/>
          <w:szCs w:val="26"/>
          <w:lang w:val="en-GB"/>
        </w:rPr>
        <w:t xml:space="preserve"> student edition. New York, NY: McGraw-Hill Education</w:t>
      </w:r>
      <w:r w:rsidR="005A7D00" w:rsidRPr="00990778">
        <w:rPr>
          <w:rFonts w:ascii="Arial" w:hAnsi="Arial" w:cs="Arial"/>
        </w:rPr>
        <w:t>.</w:t>
      </w:r>
    </w:p>
    <w:p w14:paraId="5083CD36" w14:textId="77777777" w:rsidR="005A7D00" w:rsidRPr="00990778" w:rsidRDefault="005A7D00" w:rsidP="00990778">
      <w:pPr>
        <w:pStyle w:val="BodyText"/>
        <w:spacing w:line="360" w:lineRule="auto"/>
        <w:jc w:val="both"/>
        <w:rPr>
          <w:rFonts w:ascii="Arial" w:hAnsi="Arial" w:cs="Arial"/>
        </w:rPr>
      </w:pPr>
      <w:r w:rsidRPr="00990778">
        <w:rPr>
          <w:rFonts w:ascii="Arial" w:hAnsi="Arial" w:cs="Arial"/>
        </w:rPr>
        <w:t xml:space="preserve">Marović, I., </w:t>
      </w:r>
      <w:proofErr w:type="spellStart"/>
      <w:r w:rsidRPr="00990778">
        <w:rPr>
          <w:rFonts w:ascii="Arial" w:hAnsi="Arial" w:cs="Arial"/>
        </w:rPr>
        <w:t>Perić</w:t>
      </w:r>
      <w:proofErr w:type="spellEnd"/>
      <w:r w:rsidRPr="00990778">
        <w:rPr>
          <w:rFonts w:ascii="Arial" w:hAnsi="Arial" w:cs="Arial"/>
        </w:rPr>
        <w:t xml:space="preserve">, M. and Hanák, T. (2021) ‘A multi-criteria decision support concept for selecting the optimal contractor’, </w:t>
      </w:r>
      <w:r w:rsidRPr="00990778">
        <w:rPr>
          <w:rFonts w:ascii="Arial" w:hAnsi="Arial" w:cs="Arial"/>
          <w:i/>
          <w:iCs/>
        </w:rPr>
        <w:t>Applied Sciences</w:t>
      </w:r>
      <w:r w:rsidRPr="00990778">
        <w:rPr>
          <w:rFonts w:ascii="Arial" w:hAnsi="Arial" w:cs="Arial"/>
        </w:rPr>
        <w:t xml:space="preserve">, 11(4), 1660. Available at: </w:t>
      </w:r>
      <w:hyperlink r:id="rId12" w:history="1">
        <w:r w:rsidRPr="00990778">
          <w:rPr>
            <w:rStyle w:val="Hyperlink"/>
            <w:rFonts w:ascii="Arial" w:hAnsi="Arial" w:cs="Arial"/>
          </w:rPr>
          <w:t>https://doi.org/10.3390/app1</w:t>
        </w:r>
        <w:r w:rsidRPr="00990778">
          <w:rPr>
            <w:rStyle w:val="Hyperlink"/>
            <w:rFonts w:ascii="Arial" w:hAnsi="Arial" w:cs="Arial"/>
          </w:rPr>
          <w:t>1</w:t>
        </w:r>
        <w:r w:rsidRPr="00990778">
          <w:rPr>
            <w:rStyle w:val="Hyperlink"/>
            <w:rFonts w:ascii="Arial" w:hAnsi="Arial" w:cs="Arial"/>
          </w:rPr>
          <w:t>041660</w:t>
        </w:r>
      </w:hyperlink>
      <w:r w:rsidRPr="00990778">
        <w:rPr>
          <w:rFonts w:ascii="Arial" w:hAnsi="Arial" w:cs="Arial"/>
        </w:rPr>
        <w:t xml:space="preserve"> (Accessed: 23 August 2026).</w:t>
      </w:r>
    </w:p>
    <w:p w14:paraId="6B64625D" w14:textId="77777777" w:rsidR="005A7D00" w:rsidRPr="00990778" w:rsidRDefault="005A7D00" w:rsidP="00990778">
      <w:pPr>
        <w:pStyle w:val="BodyText"/>
        <w:spacing w:line="360" w:lineRule="auto"/>
        <w:jc w:val="both"/>
        <w:rPr>
          <w:rFonts w:ascii="Arial" w:hAnsi="Arial" w:cs="Arial"/>
        </w:rPr>
      </w:pPr>
      <w:r w:rsidRPr="00990778">
        <w:rPr>
          <w:rFonts w:ascii="Arial" w:hAnsi="Arial" w:cs="Arial"/>
        </w:rPr>
        <w:t xml:space="preserve">Meredith, J., Shafer, S., Mantel, S. and Sutton, M. (2016) </w:t>
      </w:r>
      <w:r w:rsidRPr="00990778">
        <w:rPr>
          <w:rFonts w:ascii="Arial" w:hAnsi="Arial" w:cs="Arial"/>
          <w:i/>
          <w:iCs/>
        </w:rPr>
        <w:t>Project Management in Practice</w:t>
      </w:r>
      <w:r w:rsidRPr="00990778">
        <w:rPr>
          <w:rFonts w:ascii="Arial" w:hAnsi="Arial" w:cs="Arial"/>
        </w:rPr>
        <w:t xml:space="preserve">. 6th </w:t>
      </w:r>
      <w:proofErr w:type="spellStart"/>
      <w:r w:rsidRPr="00990778">
        <w:rPr>
          <w:rFonts w:ascii="Arial" w:hAnsi="Arial" w:cs="Arial"/>
        </w:rPr>
        <w:t>edn</w:t>
      </w:r>
      <w:proofErr w:type="spellEnd"/>
      <w:r w:rsidRPr="00990778">
        <w:rPr>
          <w:rFonts w:ascii="Arial" w:hAnsi="Arial" w:cs="Arial"/>
        </w:rPr>
        <w:t xml:space="preserve">. Hoboken, NJ: Wiley. Available at: </w:t>
      </w:r>
      <w:hyperlink r:id="rId13" w:history="1">
        <w:r w:rsidRPr="00990778">
          <w:rPr>
            <w:rStyle w:val="Hyperlink"/>
            <w:rFonts w:ascii="Arial" w:hAnsi="Arial" w:cs="Arial"/>
          </w:rPr>
          <w:t>https://</w:t>
        </w:r>
        <w:r w:rsidRPr="00990778">
          <w:rPr>
            <w:rStyle w:val="Hyperlink"/>
            <w:rFonts w:ascii="Arial" w:hAnsi="Arial" w:cs="Arial"/>
          </w:rPr>
          <w:t>w</w:t>
        </w:r>
        <w:r w:rsidRPr="00990778">
          <w:rPr>
            <w:rStyle w:val="Hyperlink"/>
            <w:rFonts w:ascii="Arial" w:hAnsi="Arial" w:cs="Arial"/>
          </w:rPr>
          <w:t>ww.perlego.com/book/1646054</w:t>
        </w:r>
      </w:hyperlink>
      <w:r w:rsidRPr="00990778">
        <w:rPr>
          <w:rFonts w:ascii="Arial" w:hAnsi="Arial" w:cs="Arial"/>
        </w:rPr>
        <w:t xml:space="preserve"> (Accessed: 23 August 2026).</w:t>
      </w:r>
    </w:p>
    <w:p w14:paraId="051E6A26" w14:textId="77777777" w:rsidR="005A7D00" w:rsidRPr="00990778" w:rsidRDefault="005A7D00" w:rsidP="00990778">
      <w:pPr>
        <w:pStyle w:val="BodyText"/>
        <w:spacing w:line="360" w:lineRule="auto"/>
        <w:jc w:val="both"/>
        <w:rPr>
          <w:rFonts w:ascii="Arial" w:hAnsi="Arial" w:cs="Arial"/>
        </w:rPr>
      </w:pPr>
      <w:r w:rsidRPr="00990778">
        <w:rPr>
          <w:rFonts w:ascii="Arial" w:hAnsi="Arial" w:cs="Arial"/>
        </w:rPr>
        <w:t xml:space="preserve">PMI (2021) </w:t>
      </w:r>
      <w:r w:rsidRPr="00990778">
        <w:rPr>
          <w:rFonts w:ascii="Arial" w:hAnsi="Arial" w:cs="Arial"/>
          <w:i/>
          <w:iCs/>
        </w:rPr>
        <w:t>A Guide to the Project Management Body of Knowledge (PMBOK Guide)</w:t>
      </w:r>
      <w:r w:rsidRPr="00990778">
        <w:rPr>
          <w:rFonts w:ascii="Arial" w:hAnsi="Arial" w:cs="Arial"/>
        </w:rPr>
        <w:t xml:space="preserve">. 7th </w:t>
      </w:r>
      <w:proofErr w:type="spellStart"/>
      <w:r w:rsidRPr="00990778">
        <w:rPr>
          <w:rFonts w:ascii="Arial" w:hAnsi="Arial" w:cs="Arial"/>
        </w:rPr>
        <w:t>edn</w:t>
      </w:r>
      <w:proofErr w:type="spellEnd"/>
      <w:r w:rsidRPr="00990778">
        <w:rPr>
          <w:rFonts w:ascii="Arial" w:hAnsi="Arial" w:cs="Arial"/>
        </w:rPr>
        <w:t>. Newtown Square, PA: Project Management Institute. Available at: https://www.perlego.com/book/2825638 (Accessed: 23 August 2026).</w:t>
      </w:r>
    </w:p>
    <w:p w14:paraId="7ADAD78B" w14:textId="77777777" w:rsidR="005A7D00" w:rsidRPr="00990778" w:rsidRDefault="005A7D00" w:rsidP="00990778">
      <w:pPr>
        <w:pStyle w:val="BodyText"/>
        <w:spacing w:line="360" w:lineRule="auto"/>
        <w:jc w:val="both"/>
        <w:rPr>
          <w:rFonts w:ascii="Arial" w:hAnsi="Arial" w:cs="Arial"/>
        </w:rPr>
      </w:pPr>
      <w:r w:rsidRPr="00990778">
        <w:rPr>
          <w:rFonts w:ascii="Arial" w:hAnsi="Arial" w:cs="Arial"/>
        </w:rPr>
        <w:t xml:space="preserve">Rahmani, F., Khalfan, M. and Maqsood, T. (2022) ‘A conceptual model for selecting early contractor involvement (ECI) for a project’, </w:t>
      </w:r>
      <w:r w:rsidRPr="00990778">
        <w:rPr>
          <w:rFonts w:ascii="Arial" w:hAnsi="Arial" w:cs="Arial"/>
          <w:i/>
          <w:iCs/>
        </w:rPr>
        <w:t>Buildings</w:t>
      </w:r>
      <w:r w:rsidRPr="00990778">
        <w:rPr>
          <w:rFonts w:ascii="Arial" w:hAnsi="Arial" w:cs="Arial"/>
        </w:rPr>
        <w:t xml:space="preserve">, 12(6), 786. Available at: </w:t>
      </w:r>
      <w:hyperlink r:id="rId14" w:history="1">
        <w:r w:rsidRPr="00990778">
          <w:rPr>
            <w:rStyle w:val="Hyperlink"/>
            <w:rFonts w:ascii="Arial" w:hAnsi="Arial" w:cs="Arial"/>
          </w:rPr>
          <w:t>https://doi.org/10.3390/buildings12</w:t>
        </w:r>
        <w:r w:rsidRPr="00990778">
          <w:rPr>
            <w:rStyle w:val="Hyperlink"/>
            <w:rFonts w:ascii="Arial" w:hAnsi="Arial" w:cs="Arial"/>
          </w:rPr>
          <w:t>0</w:t>
        </w:r>
        <w:r w:rsidRPr="00990778">
          <w:rPr>
            <w:rStyle w:val="Hyperlink"/>
            <w:rFonts w:ascii="Arial" w:hAnsi="Arial" w:cs="Arial"/>
          </w:rPr>
          <w:t>60786</w:t>
        </w:r>
      </w:hyperlink>
      <w:r w:rsidRPr="00990778">
        <w:rPr>
          <w:rFonts w:ascii="Arial" w:hAnsi="Arial" w:cs="Arial"/>
        </w:rPr>
        <w:t xml:space="preserve"> (Accessed: 23 August 2026).</w:t>
      </w:r>
    </w:p>
    <w:p w14:paraId="388BE1FD" w14:textId="77777777" w:rsidR="005A7D00" w:rsidRPr="00990778" w:rsidRDefault="005A7D00" w:rsidP="00990778">
      <w:pPr>
        <w:pStyle w:val="BodyText"/>
        <w:spacing w:line="360" w:lineRule="auto"/>
        <w:jc w:val="both"/>
        <w:rPr>
          <w:rFonts w:ascii="Arial" w:hAnsi="Arial" w:cs="Arial"/>
        </w:rPr>
      </w:pPr>
      <w:r w:rsidRPr="00990778">
        <w:rPr>
          <w:rFonts w:ascii="Arial" w:hAnsi="Arial" w:cs="Arial"/>
        </w:rPr>
        <w:t xml:space="preserve">RIBA (2020) </w:t>
      </w:r>
      <w:r w:rsidRPr="00990778">
        <w:rPr>
          <w:rFonts w:ascii="Arial" w:hAnsi="Arial" w:cs="Arial"/>
          <w:i/>
          <w:iCs/>
        </w:rPr>
        <w:t>RIBA Plan of Work 2020 Overview</w:t>
      </w:r>
      <w:r w:rsidRPr="00990778">
        <w:rPr>
          <w:rFonts w:ascii="Arial" w:hAnsi="Arial" w:cs="Arial"/>
        </w:rPr>
        <w:t xml:space="preserve">. London: Royal Institute of British Architects. Available at: </w:t>
      </w:r>
      <w:hyperlink r:id="rId15" w:history="1">
        <w:r w:rsidRPr="00990778">
          <w:rPr>
            <w:rStyle w:val="Hyperlink"/>
            <w:rFonts w:ascii="Arial" w:hAnsi="Arial" w:cs="Arial"/>
          </w:rPr>
          <w:t>https://www.r</w:t>
        </w:r>
        <w:r w:rsidRPr="00990778">
          <w:rPr>
            <w:rStyle w:val="Hyperlink"/>
            <w:rFonts w:ascii="Arial" w:hAnsi="Arial" w:cs="Arial"/>
          </w:rPr>
          <w:t>i</w:t>
        </w:r>
        <w:r w:rsidRPr="00990778">
          <w:rPr>
            <w:rStyle w:val="Hyperlink"/>
            <w:rFonts w:ascii="Arial" w:hAnsi="Arial" w:cs="Arial"/>
          </w:rPr>
          <w:t>ba.org/media/syneeeto/2020ribaplanofworkoverviewpdf.pdf</w:t>
        </w:r>
      </w:hyperlink>
      <w:r w:rsidRPr="00990778">
        <w:rPr>
          <w:rFonts w:ascii="Arial" w:hAnsi="Arial" w:cs="Arial"/>
        </w:rPr>
        <w:t xml:space="preserve"> (Accessed: 23 August 2026).</w:t>
      </w:r>
    </w:p>
    <w:p w14:paraId="69696F5D" w14:textId="77777777" w:rsidR="005A7D00" w:rsidRPr="00990778" w:rsidRDefault="005A7D00" w:rsidP="00990778">
      <w:pPr>
        <w:pStyle w:val="BodyText"/>
        <w:spacing w:line="360" w:lineRule="auto"/>
        <w:jc w:val="both"/>
        <w:rPr>
          <w:rFonts w:ascii="Arial" w:hAnsi="Arial" w:cs="Arial"/>
        </w:rPr>
      </w:pPr>
      <w:r w:rsidRPr="00990778">
        <w:rPr>
          <w:rFonts w:ascii="Arial" w:hAnsi="Arial" w:cs="Arial"/>
        </w:rPr>
        <w:t xml:space="preserve">Rodrigues, M.R. and Lindhard, S. (2021) ‘Benefits and challenges to applying IPD: experiences from a Norwegian mega-project’, </w:t>
      </w:r>
      <w:r w:rsidRPr="00990778">
        <w:rPr>
          <w:rFonts w:ascii="Arial" w:hAnsi="Arial" w:cs="Arial"/>
          <w:i/>
          <w:iCs/>
        </w:rPr>
        <w:t>Construction Innovation</w:t>
      </w:r>
      <w:r w:rsidRPr="00990778">
        <w:rPr>
          <w:rFonts w:ascii="Arial" w:hAnsi="Arial" w:cs="Arial"/>
        </w:rPr>
        <w:t xml:space="preserve">, 23(2), pp. 287–305. Available at: </w:t>
      </w:r>
      <w:hyperlink r:id="rId16" w:history="1">
        <w:r w:rsidRPr="00990778">
          <w:rPr>
            <w:rStyle w:val="Hyperlink"/>
            <w:rFonts w:ascii="Arial" w:hAnsi="Arial" w:cs="Arial"/>
          </w:rPr>
          <w:t>https://doi.org/10.1108/CI-03-2021-0042</w:t>
        </w:r>
      </w:hyperlink>
      <w:r w:rsidRPr="00990778">
        <w:rPr>
          <w:rFonts w:ascii="Arial" w:hAnsi="Arial" w:cs="Arial"/>
        </w:rPr>
        <w:t xml:space="preserve"> (Accessed: 23 August 2026).</w:t>
      </w:r>
    </w:p>
    <w:p w14:paraId="0CE2356E" w14:textId="77777777" w:rsidR="005A7D00" w:rsidRPr="00990778" w:rsidRDefault="005A7D00" w:rsidP="00990778">
      <w:pPr>
        <w:pStyle w:val="BodyText"/>
        <w:spacing w:line="360" w:lineRule="auto"/>
        <w:jc w:val="both"/>
        <w:rPr>
          <w:rFonts w:ascii="Arial" w:hAnsi="Arial" w:cs="Arial"/>
        </w:rPr>
      </w:pPr>
      <w:r w:rsidRPr="00990778">
        <w:rPr>
          <w:rFonts w:ascii="Arial" w:hAnsi="Arial" w:cs="Arial"/>
        </w:rPr>
        <w:t xml:space="preserve">Salmon, W. (2020) </w:t>
      </w:r>
      <w:r w:rsidRPr="00990778">
        <w:rPr>
          <w:rFonts w:ascii="Arial" w:hAnsi="Arial" w:cs="Arial"/>
          <w:i/>
          <w:iCs/>
        </w:rPr>
        <w:t>Practical Risk Management for EPC / Design-Build Projects</w:t>
      </w:r>
      <w:r w:rsidRPr="00990778">
        <w:rPr>
          <w:rFonts w:ascii="Arial" w:hAnsi="Arial" w:cs="Arial"/>
        </w:rPr>
        <w:t xml:space="preserve">. 1st </w:t>
      </w:r>
      <w:proofErr w:type="spellStart"/>
      <w:r w:rsidRPr="00990778">
        <w:rPr>
          <w:rFonts w:ascii="Arial" w:hAnsi="Arial" w:cs="Arial"/>
        </w:rPr>
        <w:t>edn</w:t>
      </w:r>
      <w:proofErr w:type="spellEnd"/>
      <w:r w:rsidRPr="00990778">
        <w:rPr>
          <w:rFonts w:ascii="Arial" w:hAnsi="Arial" w:cs="Arial"/>
        </w:rPr>
        <w:t xml:space="preserve">. Chichester: Wiley-Blackwell. Available at: </w:t>
      </w:r>
      <w:hyperlink r:id="rId17" w:history="1">
        <w:r w:rsidRPr="00990778">
          <w:rPr>
            <w:rStyle w:val="Hyperlink"/>
            <w:rFonts w:ascii="Arial" w:hAnsi="Arial" w:cs="Arial"/>
          </w:rPr>
          <w:t>https://www.perlego.com/book/1386131</w:t>
        </w:r>
      </w:hyperlink>
      <w:r w:rsidRPr="00990778">
        <w:rPr>
          <w:rFonts w:ascii="Arial" w:hAnsi="Arial" w:cs="Arial"/>
        </w:rPr>
        <w:t xml:space="preserve"> (Accessed: 23 August 2026).</w:t>
      </w:r>
    </w:p>
    <w:p w14:paraId="5D286CFD" w14:textId="77777777" w:rsidR="005A7D00" w:rsidRPr="00990778" w:rsidRDefault="005A7D00" w:rsidP="00990778">
      <w:pPr>
        <w:pStyle w:val="BodyText"/>
        <w:spacing w:line="360" w:lineRule="auto"/>
        <w:jc w:val="both"/>
        <w:rPr>
          <w:rFonts w:ascii="Arial" w:hAnsi="Arial" w:cs="Arial"/>
        </w:rPr>
      </w:pPr>
      <w:r w:rsidRPr="00990778">
        <w:rPr>
          <w:rFonts w:ascii="Arial" w:hAnsi="Arial" w:cs="Arial"/>
        </w:rPr>
        <w:t xml:space="preserve">Turner, R. (2017) </w:t>
      </w:r>
      <w:r w:rsidRPr="00990778">
        <w:rPr>
          <w:rFonts w:ascii="Arial" w:hAnsi="Arial" w:cs="Arial"/>
          <w:i/>
          <w:iCs/>
        </w:rPr>
        <w:t>Contracting for Project Management</w:t>
      </w:r>
      <w:r w:rsidRPr="00990778">
        <w:rPr>
          <w:rFonts w:ascii="Arial" w:hAnsi="Arial" w:cs="Arial"/>
        </w:rPr>
        <w:t xml:space="preserve">. 1st </w:t>
      </w:r>
      <w:proofErr w:type="spellStart"/>
      <w:r w:rsidRPr="00990778">
        <w:rPr>
          <w:rFonts w:ascii="Arial" w:hAnsi="Arial" w:cs="Arial"/>
        </w:rPr>
        <w:t>edn</w:t>
      </w:r>
      <w:proofErr w:type="spellEnd"/>
      <w:r w:rsidRPr="00990778">
        <w:rPr>
          <w:rFonts w:ascii="Arial" w:hAnsi="Arial" w:cs="Arial"/>
        </w:rPr>
        <w:t xml:space="preserve">. Abingdon: Routledge. Available at: </w:t>
      </w:r>
      <w:hyperlink r:id="rId18" w:history="1">
        <w:r w:rsidRPr="00990778">
          <w:rPr>
            <w:rStyle w:val="Hyperlink"/>
            <w:rFonts w:ascii="Arial" w:hAnsi="Arial" w:cs="Arial"/>
          </w:rPr>
          <w:t>https://www.perlego.com/book/1572356</w:t>
        </w:r>
      </w:hyperlink>
      <w:r w:rsidRPr="00990778">
        <w:rPr>
          <w:rFonts w:ascii="Arial" w:hAnsi="Arial" w:cs="Arial"/>
        </w:rPr>
        <w:t xml:space="preserve"> (Accessed: 23 August 2026).</w:t>
      </w:r>
    </w:p>
    <w:p w14:paraId="72EA104E" w14:textId="77777777" w:rsidR="005A7D00" w:rsidRPr="00990778" w:rsidRDefault="005A7D00" w:rsidP="00990778">
      <w:pPr>
        <w:pStyle w:val="BodyText"/>
        <w:spacing w:line="360" w:lineRule="auto"/>
        <w:jc w:val="both"/>
        <w:rPr>
          <w:rFonts w:ascii="Arial" w:hAnsi="Arial" w:cs="Arial"/>
        </w:rPr>
      </w:pPr>
      <w:r w:rsidRPr="00990778">
        <w:rPr>
          <w:rFonts w:ascii="Arial" w:hAnsi="Arial" w:cs="Arial"/>
        </w:rPr>
        <w:lastRenderedPageBreak/>
        <w:t xml:space="preserve">Williamson, O.E. (1985) </w:t>
      </w:r>
      <w:r w:rsidRPr="00990778">
        <w:rPr>
          <w:rFonts w:ascii="Arial" w:hAnsi="Arial" w:cs="Arial"/>
          <w:i/>
          <w:iCs/>
        </w:rPr>
        <w:t>The Economic Institutions of Capitalism: Firms, Markets, Relational Contracting</w:t>
      </w:r>
      <w:r w:rsidRPr="00990778">
        <w:rPr>
          <w:rFonts w:ascii="Arial" w:hAnsi="Arial" w:cs="Arial"/>
        </w:rPr>
        <w:t>. New York: Free Press.</w:t>
      </w:r>
    </w:p>
    <w:p w14:paraId="18807DD8" w14:textId="77777777" w:rsidR="005A7D00" w:rsidRPr="00990778" w:rsidRDefault="005A7D00" w:rsidP="00990778">
      <w:pPr>
        <w:pStyle w:val="BodyText"/>
        <w:spacing w:line="360" w:lineRule="auto"/>
        <w:jc w:val="both"/>
        <w:rPr>
          <w:rFonts w:ascii="Arial" w:hAnsi="Arial" w:cs="Arial"/>
        </w:rPr>
      </w:pPr>
      <w:r w:rsidRPr="00990778">
        <w:rPr>
          <w:rFonts w:ascii="Arial" w:hAnsi="Arial" w:cs="Arial"/>
        </w:rPr>
        <w:t xml:space="preserve">Ying, F., Tookey, J. and Zhao, N. (2022) ‘Construction procurement selection criteria: a review and research agenda’, </w:t>
      </w:r>
      <w:r w:rsidRPr="00990778">
        <w:rPr>
          <w:rFonts w:ascii="Arial" w:hAnsi="Arial" w:cs="Arial"/>
          <w:i/>
          <w:iCs/>
        </w:rPr>
        <w:t>Sustainability</w:t>
      </w:r>
      <w:r w:rsidRPr="00990778">
        <w:rPr>
          <w:rFonts w:ascii="Arial" w:hAnsi="Arial" w:cs="Arial"/>
        </w:rPr>
        <w:t xml:space="preserve">, 14(22), 15242. Available at: </w:t>
      </w:r>
      <w:hyperlink r:id="rId19" w:history="1">
        <w:r w:rsidRPr="00990778">
          <w:rPr>
            <w:rStyle w:val="Hyperlink"/>
            <w:rFonts w:ascii="Arial" w:hAnsi="Arial" w:cs="Arial"/>
          </w:rPr>
          <w:t>https://doi.org/10.3390/su142215242</w:t>
        </w:r>
      </w:hyperlink>
      <w:r w:rsidRPr="00990778">
        <w:rPr>
          <w:rFonts w:ascii="Arial" w:hAnsi="Arial" w:cs="Arial"/>
        </w:rPr>
        <w:t xml:space="preserve"> (Accessed: 23 August 2026).</w:t>
      </w:r>
    </w:p>
    <w:p w14:paraId="0C8EA793" w14:textId="41DF19F8" w:rsidR="00653256" w:rsidRPr="00990778" w:rsidRDefault="00653256" w:rsidP="00990778">
      <w:pPr>
        <w:pStyle w:val="my-2"/>
        <w:spacing w:line="360" w:lineRule="auto"/>
        <w:jc w:val="both"/>
        <w:rPr>
          <w:rFonts w:ascii="Arial" w:hAnsi="Arial" w:cs="Arial"/>
          <w:color w:val="000000" w:themeColor="text1"/>
        </w:rPr>
      </w:pPr>
    </w:p>
    <w:sectPr w:rsidR="00653256" w:rsidRPr="00990778" w:rsidSect="00F902A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2F7095"/>
    <w:multiLevelType w:val="hybridMultilevel"/>
    <w:tmpl w:val="C61A8A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40820DA"/>
    <w:multiLevelType w:val="hybridMultilevel"/>
    <w:tmpl w:val="FC4E02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FB104B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67785552">
    <w:abstractNumId w:val="0"/>
  </w:num>
  <w:num w:numId="2" w16cid:durableId="1220046284">
    <w:abstractNumId w:val="1"/>
  </w:num>
  <w:num w:numId="3" w16cid:durableId="203104550">
    <w:abstractNumId w:val="2"/>
  </w:num>
  <w:num w:numId="4" w16cid:durableId="5864228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988"/>
    <w:rsid w:val="00041988"/>
    <w:rsid w:val="000A52A8"/>
    <w:rsid w:val="001253D3"/>
    <w:rsid w:val="00281A89"/>
    <w:rsid w:val="0029523F"/>
    <w:rsid w:val="00303E57"/>
    <w:rsid w:val="003A5347"/>
    <w:rsid w:val="003B13DC"/>
    <w:rsid w:val="00412D70"/>
    <w:rsid w:val="00435176"/>
    <w:rsid w:val="004A6CAC"/>
    <w:rsid w:val="004D04F0"/>
    <w:rsid w:val="004D4DC5"/>
    <w:rsid w:val="004F48EE"/>
    <w:rsid w:val="00514A21"/>
    <w:rsid w:val="00562A13"/>
    <w:rsid w:val="00564930"/>
    <w:rsid w:val="005A7D00"/>
    <w:rsid w:val="005C608A"/>
    <w:rsid w:val="005D0E58"/>
    <w:rsid w:val="0062673D"/>
    <w:rsid w:val="0063544A"/>
    <w:rsid w:val="00653256"/>
    <w:rsid w:val="00657B55"/>
    <w:rsid w:val="006974DE"/>
    <w:rsid w:val="006F34D4"/>
    <w:rsid w:val="00701F0A"/>
    <w:rsid w:val="00744B22"/>
    <w:rsid w:val="007A2FF8"/>
    <w:rsid w:val="007B2A25"/>
    <w:rsid w:val="008133D8"/>
    <w:rsid w:val="00814CCC"/>
    <w:rsid w:val="008B61AD"/>
    <w:rsid w:val="008D3588"/>
    <w:rsid w:val="0091054E"/>
    <w:rsid w:val="00966C9D"/>
    <w:rsid w:val="00990778"/>
    <w:rsid w:val="009929B3"/>
    <w:rsid w:val="009D7E13"/>
    <w:rsid w:val="00AA4728"/>
    <w:rsid w:val="00AA57DD"/>
    <w:rsid w:val="00B22466"/>
    <w:rsid w:val="00B71CE7"/>
    <w:rsid w:val="00C42469"/>
    <w:rsid w:val="00C43438"/>
    <w:rsid w:val="00C441C2"/>
    <w:rsid w:val="00C64068"/>
    <w:rsid w:val="00CE3EFA"/>
    <w:rsid w:val="00D26AB7"/>
    <w:rsid w:val="00D77F7A"/>
    <w:rsid w:val="00D8422D"/>
    <w:rsid w:val="00DC352C"/>
    <w:rsid w:val="00ED2F8E"/>
    <w:rsid w:val="00F36AA4"/>
    <w:rsid w:val="00F71CFA"/>
    <w:rsid w:val="00F902A0"/>
    <w:rsid w:val="00FC08F0"/>
    <w:rsid w:val="00FF34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AA579"/>
  <w15:chartTrackingRefBased/>
  <w15:docId w15:val="{296EF89A-800F-214F-8C64-FF1701229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198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4198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4198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4198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4198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419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19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19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19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198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4198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4198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4198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4198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419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19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19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1988"/>
    <w:rPr>
      <w:rFonts w:eastAsiaTheme="majorEastAsia" w:cstheme="majorBidi"/>
      <w:color w:val="272727" w:themeColor="text1" w:themeTint="D8"/>
    </w:rPr>
  </w:style>
  <w:style w:type="paragraph" w:styleId="Title">
    <w:name w:val="Title"/>
    <w:basedOn w:val="Normal"/>
    <w:next w:val="Normal"/>
    <w:link w:val="TitleChar"/>
    <w:uiPriority w:val="10"/>
    <w:qFormat/>
    <w:rsid w:val="000419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19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19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19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1988"/>
    <w:pPr>
      <w:spacing w:before="160"/>
      <w:jc w:val="center"/>
    </w:pPr>
    <w:rPr>
      <w:i/>
      <w:iCs/>
      <w:color w:val="404040" w:themeColor="text1" w:themeTint="BF"/>
    </w:rPr>
  </w:style>
  <w:style w:type="character" w:customStyle="1" w:styleId="QuoteChar">
    <w:name w:val="Quote Char"/>
    <w:basedOn w:val="DefaultParagraphFont"/>
    <w:link w:val="Quote"/>
    <w:uiPriority w:val="29"/>
    <w:rsid w:val="00041988"/>
    <w:rPr>
      <w:i/>
      <w:iCs/>
      <w:color w:val="404040" w:themeColor="text1" w:themeTint="BF"/>
    </w:rPr>
  </w:style>
  <w:style w:type="paragraph" w:styleId="ListParagraph">
    <w:name w:val="List Paragraph"/>
    <w:basedOn w:val="Normal"/>
    <w:uiPriority w:val="34"/>
    <w:qFormat/>
    <w:rsid w:val="00041988"/>
    <w:pPr>
      <w:ind w:left="720"/>
      <w:contextualSpacing/>
    </w:pPr>
  </w:style>
  <w:style w:type="character" w:styleId="IntenseEmphasis">
    <w:name w:val="Intense Emphasis"/>
    <w:basedOn w:val="DefaultParagraphFont"/>
    <w:uiPriority w:val="21"/>
    <w:qFormat/>
    <w:rsid w:val="00041988"/>
    <w:rPr>
      <w:i/>
      <w:iCs/>
      <w:color w:val="2F5496" w:themeColor="accent1" w:themeShade="BF"/>
    </w:rPr>
  </w:style>
  <w:style w:type="paragraph" w:styleId="IntenseQuote">
    <w:name w:val="Intense Quote"/>
    <w:basedOn w:val="Normal"/>
    <w:next w:val="Normal"/>
    <w:link w:val="IntenseQuoteChar"/>
    <w:uiPriority w:val="30"/>
    <w:qFormat/>
    <w:rsid w:val="0004198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41988"/>
    <w:rPr>
      <w:i/>
      <w:iCs/>
      <w:color w:val="2F5496" w:themeColor="accent1" w:themeShade="BF"/>
    </w:rPr>
  </w:style>
  <w:style w:type="character" w:styleId="IntenseReference">
    <w:name w:val="Intense Reference"/>
    <w:basedOn w:val="DefaultParagraphFont"/>
    <w:uiPriority w:val="32"/>
    <w:qFormat/>
    <w:rsid w:val="00041988"/>
    <w:rPr>
      <w:b/>
      <w:bCs/>
      <w:smallCaps/>
      <w:color w:val="2F5496" w:themeColor="accent1" w:themeShade="BF"/>
      <w:spacing w:val="5"/>
    </w:rPr>
  </w:style>
  <w:style w:type="paragraph" w:styleId="NoSpacing">
    <w:name w:val="No Spacing"/>
    <w:link w:val="NoSpacingChar"/>
    <w:uiPriority w:val="1"/>
    <w:qFormat/>
    <w:rsid w:val="00F902A0"/>
    <w:pPr>
      <w:spacing w:after="0" w:line="240" w:lineRule="auto"/>
    </w:pPr>
    <w:rPr>
      <w:kern w:val="0"/>
      <w:sz w:val="22"/>
      <w:szCs w:val="22"/>
      <w:lang w:val="en-US" w:eastAsia="zh-CN"/>
      <w14:ligatures w14:val="none"/>
    </w:rPr>
  </w:style>
  <w:style w:type="character" w:customStyle="1" w:styleId="NoSpacingChar">
    <w:name w:val="No Spacing Char"/>
    <w:basedOn w:val="DefaultParagraphFont"/>
    <w:link w:val="NoSpacing"/>
    <w:uiPriority w:val="1"/>
    <w:rsid w:val="00F902A0"/>
    <w:rPr>
      <w:kern w:val="0"/>
      <w:sz w:val="22"/>
      <w:szCs w:val="22"/>
      <w:lang w:val="en-US" w:eastAsia="zh-CN"/>
      <w14:ligatures w14:val="none"/>
    </w:rPr>
  </w:style>
  <w:style w:type="paragraph" w:styleId="TOCHeading">
    <w:name w:val="TOC Heading"/>
    <w:basedOn w:val="Heading1"/>
    <w:next w:val="Normal"/>
    <w:uiPriority w:val="39"/>
    <w:unhideWhenUsed/>
    <w:qFormat/>
    <w:rsid w:val="00562A13"/>
    <w:pPr>
      <w:spacing w:before="480" w:after="0" w:line="276" w:lineRule="auto"/>
      <w:outlineLvl w:val="9"/>
    </w:pPr>
    <w:rPr>
      <w:b/>
      <w:bCs/>
      <w:kern w:val="0"/>
      <w:sz w:val="28"/>
      <w:szCs w:val="28"/>
      <w:lang w:val="en-US" w:eastAsia="en-US"/>
      <w14:ligatures w14:val="none"/>
    </w:rPr>
  </w:style>
  <w:style w:type="paragraph" w:styleId="TOC2">
    <w:name w:val="toc 2"/>
    <w:basedOn w:val="Normal"/>
    <w:next w:val="Normal"/>
    <w:autoRedefine/>
    <w:uiPriority w:val="39"/>
    <w:unhideWhenUsed/>
    <w:rsid w:val="00562A13"/>
    <w:pPr>
      <w:spacing w:after="0"/>
      <w:ind w:left="240"/>
    </w:pPr>
    <w:rPr>
      <w:rFonts w:cstheme="minorHAnsi"/>
      <w:smallCaps/>
      <w:sz w:val="20"/>
      <w:szCs w:val="20"/>
    </w:rPr>
  </w:style>
  <w:style w:type="paragraph" w:styleId="TOC1">
    <w:name w:val="toc 1"/>
    <w:basedOn w:val="Normal"/>
    <w:next w:val="Normal"/>
    <w:autoRedefine/>
    <w:uiPriority w:val="39"/>
    <w:unhideWhenUsed/>
    <w:rsid w:val="00562A13"/>
    <w:pPr>
      <w:spacing w:before="120" w:after="120"/>
    </w:pPr>
    <w:rPr>
      <w:rFonts w:cstheme="minorHAnsi"/>
      <w:b/>
      <w:bCs/>
      <w:caps/>
      <w:sz w:val="20"/>
      <w:szCs w:val="20"/>
    </w:rPr>
  </w:style>
  <w:style w:type="paragraph" w:styleId="TOC3">
    <w:name w:val="toc 3"/>
    <w:basedOn w:val="Normal"/>
    <w:next w:val="Normal"/>
    <w:autoRedefine/>
    <w:uiPriority w:val="39"/>
    <w:unhideWhenUsed/>
    <w:rsid w:val="00562A13"/>
    <w:pPr>
      <w:spacing w:after="0"/>
      <w:ind w:left="480"/>
    </w:pPr>
    <w:rPr>
      <w:rFonts w:cstheme="minorHAnsi"/>
      <w:i/>
      <w:iCs/>
      <w:sz w:val="20"/>
      <w:szCs w:val="20"/>
    </w:rPr>
  </w:style>
  <w:style w:type="paragraph" w:styleId="TOC4">
    <w:name w:val="toc 4"/>
    <w:basedOn w:val="Normal"/>
    <w:next w:val="Normal"/>
    <w:autoRedefine/>
    <w:uiPriority w:val="39"/>
    <w:semiHidden/>
    <w:unhideWhenUsed/>
    <w:rsid w:val="00562A13"/>
    <w:pPr>
      <w:spacing w:after="0"/>
      <w:ind w:left="720"/>
    </w:pPr>
    <w:rPr>
      <w:rFonts w:cstheme="minorHAnsi"/>
      <w:sz w:val="18"/>
      <w:szCs w:val="18"/>
    </w:rPr>
  </w:style>
  <w:style w:type="paragraph" w:styleId="TOC5">
    <w:name w:val="toc 5"/>
    <w:basedOn w:val="Normal"/>
    <w:next w:val="Normal"/>
    <w:autoRedefine/>
    <w:uiPriority w:val="39"/>
    <w:semiHidden/>
    <w:unhideWhenUsed/>
    <w:rsid w:val="00562A13"/>
    <w:pPr>
      <w:spacing w:after="0"/>
      <w:ind w:left="960"/>
    </w:pPr>
    <w:rPr>
      <w:rFonts w:cstheme="minorHAnsi"/>
      <w:sz w:val="18"/>
      <w:szCs w:val="18"/>
    </w:rPr>
  </w:style>
  <w:style w:type="paragraph" w:styleId="TOC6">
    <w:name w:val="toc 6"/>
    <w:basedOn w:val="Normal"/>
    <w:next w:val="Normal"/>
    <w:autoRedefine/>
    <w:uiPriority w:val="39"/>
    <w:semiHidden/>
    <w:unhideWhenUsed/>
    <w:rsid w:val="00562A13"/>
    <w:pPr>
      <w:spacing w:after="0"/>
      <w:ind w:left="1200"/>
    </w:pPr>
    <w:rPr>
      <w:rFonts w:cstheme="minorHAnsi"/>
      <w:sz w:val="18"/>
      <w:szCs w:val="18"/>
    </w:rPr>
  </w:style>
  <w:style w:type="paragraph" w:styleId="TOC7">
    <w:name w:val="toc 7"/>
    <w:basedOn w:val="Normal"/>
    <w:next w:val="Normal"/>
    <w:autoRedefine/>
    <w:uiPriority w:val="39"/>
    <w:semiHidden/>
    <w:unhideWhenUsed/>
    <w:rsid w:val="00562A13"/>
    <w:pPr>
      <w:spacing w:after="0"/>
      <w:ind w:left="1440"/>
    </w:pPr>
    <w:rPr>
      <w:rFonts w:cstheme="minorHAnsi"/>
      <w:sz w:val="18"/>
      <w:szCs w:val="18"/>
    </w:rPr>
  </w:style>
  <w:style w:type="paragraph" w:styleId="TOC8">
    <w:name w:val="toc 8"/>
    <w:basedOn w:val="Normal"/>
    <w:next w:val="Normal"/>
    <w:autoRedefine/>
    <w:uiPriority w:val="39"/>
    <w:semiHidden/>
    <w:unhideWhenUsed/>
    <w:rsid w:val="00562A13"/>
    <w:pPr>
      <w:spacing w:after="0"/>
      <w:ind w:left="1680"/>
    </w:pPr>
    <w:rPr>
      <w:rFonts w:cstheme="minorHAnsi"/>
      <w:sz w:val="18"/>
      <w:szCs w:val="18"/>
    </w:rPr>
  </w:style>
  <w:style w:type="paragraph" w:styleId="TOC9">
    <w:name w:val="toc 9"/>
    <w:basedOn w:val="Normal"/>
    <w:next w:val="Normal"/>
    <w:autoRedefine/>
    <w:uiPriority w:val="39"/>
    <w:semiHidden/>
    <w:unhideWhenUsed/>
    <w:rsid w:val="00562A13"/>
    <w:pPr>
      <w:spacing w:after="0"/>
      <w:ind w:left="1920"/>
    </w:pPr>
    <w:rPr>
      <w:rFonts w:cstheme="minorHAnsi"/>
      <w:sz w:val="18"/>
      <w:szCs w:val="18"/>
    </w:rPr>
  </w:style>
  <w:style w:type="character" w:styleId="Hyperlink">
    <w:name w:val="Hyperlink"/>
    <w:basedOn w:val="DefaultParagraphFont"/>
    <w:uiPriority w:val="99"/>
    <w:unhideWhenUsed/>
    <w:rsid w:val="00562A13"/>
    <w:rPr>
      <w:color w:val="0563C1" w:themeColor="hyperlink"/>
      <w:u w:val="single"/>
    </w:rPr>
  </w:style>
  <w:style w:type="table" w:styleId="TableGrid">
    <w:name w:val="Table Grid"/>
    <w:basedOn w:val="TableNormal"/>
    <w:uiPriority w:val="39"/>
    <w:rsid w:val="009929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5C60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4">
    <w:name w:val="Plain Table 4"/>
    <w:basedOn w:val="TableNormal"/>
    <w:uiPriority w:val="44"/>
    <w:rsid w:val="005C608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my-2">
    <w:name w:val="my-2"/>
    <w:basedOn w:val="Normal"/>
    <w:rsid w:val="008133D8"/>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8133D8"/>
  </w:style>
  <w:style w:type="character" w:styleId="Emphasis">
    <w:name w:val="Emphasis"/>
    <w:basedOn w:val="DefaultParagraphFont"/>
    <w:uiPriority w:val="20"/>
    <w:qFormat/>
    <w:rsid w:val="008133D8"/>
    <w:rPr>
      <w:i/>
      <w:iCs/>
    </w:rPr>
  </w:style>
  <w:style w:type="character" w:styleId="UnresolvedMention">
    <w:name w:val="Unresolved Mention"/>
    <w:basedOn w:val="DefaultParagraphFont"/>
    <w:uiPriority w:val="99"/>
    <w:semiHidden/>
    <w:unhideWhenUsed/>
    <w:rsid w:val="008133D8"/>
    <w:rPr>
      <w:color w:val="605E5C"/>
      <w:shd w:val="clear" w:color="auto" w:fill="E1DFDD"/>
    </w:rPr>
  </w:style>
  <w:style w:type="character" w:styleId="FollowedHyperlink">
    <w:name w:val="FollowedHyperlink"/>
    <w:basedOn w:val="DefaultParagraphFont"/>
    <w:uiPriority w:val="99"/>
    <w:semiHidden/>
    <w:unhideWhenUsed/>
    <w:rsid w:val="008133D8"/>
    <w:rPr>
      <w:color w:val="954F72" w:themeColor="followedHyperlink"/>
      <w:u w:val="single"/>
    </w:rPr>
  </w:style>
  <w:style w:type="paragraph" w:styleId="BodyText">
    <w:name w:val="Body Text"/>
    <w:basedOn w:val="Normal"/>
    <w:link w:val="BodyTextChar"/>
    <w:qFormat/>
    <w:rsid w:val="005A7D00"/>
    <w:pPr>
      <w:spacing w:before="180" w:after="180" w:line="240" w:lineRule="auto"/>
    </w:pPr>
    <w:rPr>
      <w:rFonts w:eastAsiaTheme="minorHAnsi"/>
      <w:kern w:val="0"/>
      <w:lang w:val="en-US" w:eastAsia="en-US"/>
      <w14:ligatures w14:val="none"/>
    </w:rPr>
  </w:style>
  <w:style w:type="character" w:customStyle="1" w:styleId="BodyTextChar">
    <w:name w:val="Body Text Char"/>
    <w:basedOn w:val="DefaultParagraphFont"/>
    <w:link w:val="BodyText"/>
    <w:rsid w:val="005A7D00"/>
    <w:rPr>
      <w:rFonts w:eastAsiaTheme="minorHAnsi"/>
      <w:kern w:val="0"/>
      <w:lang w:val="en-US" w:eastAsia="en-US"/>
      <w14:ligatures w14:val="none"/>
    </w:rPr>
  </w:style>
  <w:style w:type="paragraph" w:customStyle="1" w:styleId="FirstParagraph">
    <w:name w:val="First Paragraph"/>
    <w:basedOn w:val="BodyText"/>
    <w:next w:val="BodyText"/>
    <w:qFormat/>
    <w:rsid w:val="005A7D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179939">
      <w:bodyDiv w:val="1"/>
      <w:marLeft w:val="0"/>
      <w:marRight w:val="0"/>
      <w:marTop w:val="0"/>
      <w:marBottom w:val="0"/>
      <w:divBdr>
        <w:top w:val="none" w:sz="0" w:space="0" w:color="auto"/>
        <w:left w:val="none" w:sz="0" w:space="0" w:color="auto"/>
        <w:bottom w:val="none" w:sz="0" w:space="0" w:color="auto"/>
        <w:right w:val="none" w:sz="0" w:space="0" w:color="auto"/>
      </w:divBdr>
    </w:div>
    <w:div w:id="132453792">
      <w:bodyDiv w:val="1"/>
      <w:marLeft w:val="0"/>
      <w:marRight w:val="0"/>
      <w:marTop w:val="0"/>
      <w:marBottom w:val="0"/>
      <w:divBdr>
        <w:top w:val="none" w:sz="0" w:space="0" w:color="auto"/>
        <w:left w:val="none" w:sz="0" w:space="0" w:color="auto"/>
        <w:bottom w:val="none" w:sz="0" w:space="0" w:color="auto"/>
        <w:right w:val="none" w:sz="0" w:space="0" w:color="auto"/>
      </w:divBdr>
    </w:div>
    <w:div w:id="160584845">
      <w:bodyDiv w:val="1"/>
      <w:marLeft w:val="0"/>
      <w:marRight w:val="0"/>
      <w:marTop w:val="0"/>
      <w:marBottom w:val="0"/>
      <w:divBdr>
        <w:top w:val="none" w:sz="0" w:space="0" w:color="auto"/>
        <w:left w:val="none" w:sz="0" w:space="0" w:color="auto"/>
        <w:bottom w:val="none" w:sz="0" w:space="0" w:color="auto"/>
        <w:right w:val="none" w:sz="0" w:space="0" w:color="auto"/>
      </w:divBdr>
    </w:div>
    <w:div w:id="182478100">
      <w:bodyDiv w:val="1"/>
      <w:marLeft w:val="0"/>
      <w:marRight w:val="0"/>
      <w:marTop w:val="0"/>
      <w:marBottom w:val="0"/>
      <w:divBdr>
        <w:top w:val="none" w:sz="0" w:space="0" w:color="auto"/>
        <w:left w:val="none" w:sz="0" w:space="0" w:color="auto"/>
        <w:bottom w:val="none" w:sz="0" w:space="0" w:color="auto"/>
        <w:right w:val="none" w:sz="0" w:space="0" w:color="auto"/>
      </w:divBdr>
    </w:div>
    <w:div w:id="233122866">
      <w:bodyDiv w:val="1"/>
      <w:marLeft w:val="0"/>
      <w:marRight w:val="0"/>
      <w:marTop w:val="0"/>
      <w:marBottom w:val="0"/>
      <w:divBdr>
        <w:top w:val="none" w:sz="0" w:space="0" w:color="auto"/>
        <w:left w:val="none" w:sz="0" w:space="0" w:color="auto"/>
        <w:bottom w:val="none" w:sz="0" w:space="0" w:color="auto"/>
        <w:right w:val="none" w:sz="0" w:space="0" w:color="auto"/>
      </w:divBdr>
    </w:div>
    <w:div w:id="260800002">
      <w:bodyDiv w:val="1"/>
      <w:marLeft w:val="0"/>
      <w:marRight w:val="0"/>
      <w:marTop w:val="0"/>
      <w:marBottom w:val="0"/>
      <w:divBdr>
        <w:top w:val="none" w:sz="0" w:space="0" w:color="auto"/>
        <w:left w:val="none" w:sz="0" w:space="0" w:color="auto"/>
        <w:bottom w:val="none" w:sz="0" w:space="0" w:color="auto"/>
        <w:right w:val="none" w:sz="0" w:space="0" w:color="auto"/>
      </w:divBdr>
    </w:div>
    <w:div w:id="352461427">
      <w:bodyDiv w:val="1"/>
      <w:marLeft w:val="0"/>
      <w:marRight w:val="0"/>
      <w:marTop w:val="0"/>
      <w:marBottom w:val="0"/>
      <w:divBdr>
        <w:top w:val="none" w:sz="0" w:space="0" w:color="auto"/>
        <w:left w:val="none" w:sz="0" w:space="0" w:color="auto"/>
        <w:bottom w:val="none" w:sz="0" w:space="0" w:color="auto"/>
        <w:right w:val="none" w:sz="0" w:space="0" w:color="auto"/>
      </w:divBdr>
    </w:div>
    <w:div w:id="432633420">
      <w:bodyDiv w:val="1"/>
      <w:marLeft w:val="0"/>
      <w:marRight w:val="0"/>
      <w:marTop w:val="0"/>
      <w:marBottom w:val="0"/>
      <w:divBdr>
        <w:top w:val="none" w:sz="0" w:space="0" w:color="auto"/>
        <w:left w:val="none" w:sz="0" w:space="0" w:color="auto"/>
        <w:bottom w:val="none" w:sz="0" w:space="0" w:color="auto"/>
        <w:right w:val="none" w:sz="0" w:space="0" w:color="auto"/>
      </w:divBdr>
    </w:div>
    <w:div w:id="538980781">
      <w:bodyDiv w:val="1"/>
      <w:marLeft w:val="0"/>
      <w:marRight w:val="0"/>
      <w:marTop w:val="0"/>
      <w:marBottom w:val="0"/>
      <w:divBdr>
        <w:top w:val="none" w:sz="0" w:space="0" w:color="auto"/>
        <w:left w:val="none" w:sz="0" w:space="0" w:color="auto"/>
        <w:bottom w:val="none" w:sz="0" w:space="0" w:color="auto"/>
        <w:right w:val="none" w:sz="0" w:space="0" w:color="auto"/>
      </w:divBdr>
    </w:div>
    <w:div w:id="602231860">
      <w:bodyDiv w:val="1"/>
      <w:marLeft w:val="0"/>
      <w:marRight w:val="0"/>
      <w:marTop w:val="0"/>
      <w:marBottom w:val="0"/>
      <w:divBdr>
        <w:top w:val="none" w:sz="0" w:space="0" w:color="auto"/>
        <w:left w:val="none" w:sz="0" w:space="0" w:color="auto"/>
        <w:bottom w:val="none" w:sz="0" w:space="0" w:color="auto"/>
        <w:right w:val="none" w:sz="0" w:space="0" w:color="auto"/>
      </w:divBdr>
    </w:div>
    <w:div w:id="672728216">
      <w:bodyDiv w:val="1"/>
      <w:marLeft w:val="0"/>
      <w:marRight w:val="0"/>
      <w:marTop w:val="0"/>
      <w:marBottom w:val="0"/>
      <w:divBdr>
        <w:top w:val="none" w:sz="0" w:space="0" w:color="auto"/>
        <w:left w:val="none" w:sz="0" w:space="0" w:color="auto"/>
        <w:bottom w:val="none" w:sz="0" w:space="0" w:color="auto"/>
        <w:right w:val="none" w:sz="0" w:space="0" w:color="auto"/>
      </w:divBdr>
    </w:div>
    <w:div w:id="728118632">
      <w:bodyDiv w:val="1"/>
      <w:marLeft w:val="0"/>
      <w:marRight w:val="0"/>
      <w:marTop w:val="0"/>
      <w:marBottom w:val="0"/>
      <w:divBdr>
        <w:top w:val="none" w:sz="0" w:space="0" w:color="auto"/>
        <w:left w:val="none" w:sz="0" w:space="0" w:color="auto"/>
        <w:bottom w:val="none" w:sz="0" w:space="0" w:color="auto"/>
        <w:right w:val="none" w:sz="0" w:space="0" w:color="auto"/>
      </w:divBdr>
    </w:div>
    <w:div w:id="728500278">
      <w:bodyDiv w:val="1"/>
      <w:marLeft w:val="0"/>
      <w:marRight w:val="0"/>
      <w:marTop w:val="0"/>
      <w:marBottom w:val="0"/>
      <w:divBdr>
        <w:top w:val="none" w:sz="0" w:space="0" w:color="auto"/>
        <w:left w:val="none" w:sz="0" w:space="0" w:color="auto"/>
        <w:bottom w:val="none" w:sz="0" w:space="0" w:color="auto"/>
        <w:right w:val="none" w:sz="0" w:space="0" w:color="auto"/>
      </w:divBdr>
    </w:div>
    <w:div w:id="843785002">
      <w:bodyDiv w:val="1"/>
      <w:marLeft w:val="0"/>
      <w:marRight w:val="0"/>
      <w:marTop w:val="0"/>
      <w:marBottom w:val="0"/>
      <w:divBdr>
        <w:top w:val="none" w:sz="0" w:space="0" w:color="auto"/>
        <w:left w:val="none" w:sz="0" w:space="0" w:color="auto"/>
        <w:bottom w:val="none" w:sz="0" w:space="0" w:color="auto"/>
        <w:right w:val="none" w:sz="0" w:space="0" w:color="auto"/>
      </w:divBdr>
    </w:div>
    <w:div w:id="848719421">
      <w:bodyDiv w:val="1"/>
      <w:marLeft w:val="0"/>
      <w:marRight w:val="0"/>
      <w:marTop w:val="0"/>
      <w:marBottom w:val="0"/>
      <w:divBdr>
        <w:top w:val="none" w:sz="0" w:space="0" w:color="auto"/>
        <w:left w:val="none" w:sz="0" w:space="0" w:color="auto"/>
        <w:bottom w:val="none" w:sz="0" w:space="0" w:color="auto"/>
        <w:right w:val="none" w:sz="0" w:space="0" w:color="auto"/>
      </w:divBdr>
    </w:div>
    <w:div w:id="1061295458">
      <w:bodyDiv w:val="1"/>
      <w:marLeft w:val="0"/>
      <w:marRight w:val="0"/>
      <w:marTop w:val="0"/>
      <w:marBottom w:val="0"/>
      <w:divBdr>
        <w:top w:val="none" w:sz="0" w:space="0" w:color="auto"/>
        <w:left w:val="none" w:sz="0" w:space="0" w:color="auto"/>
        <w:bottom w:val="none" w:sz="0" w:space="0" w:color="auto"/>
        <w:right w:val="none" w:sz="0" w:space="0" w:color="auto"/>
      </w:divBdr>
    </w:div>
    <w:div w:id="1071542163">
      <w:bodyDiv w:val="1"/>
      <w:marLeft w:val="0"/>
      <w:marRight w:val="0"/>
      <w:marTop w:val="0"/>
      <w:marBottom w:val="0"/>
      <w:divBdr>
        <w:top w:val="none" w:sz="0" w:space="0" w:color="auto"/>
        <w:left w:val="none" w:sz="0" w:space="0" w:color="auto"/>
        <w:bottom w:val="none" w:sz="0" w:space="0" w:color="auto"/>
        <w:right w:val="none" w:sz="0" w:space="0" w:color="auto"/>
      </w:divBdr>
    </w:div>
    <w:div w:id="1174220979">
      <w:bodyDiv w:val="1"/>
      <w:marLeft w:val="0"/>
      <w:marRight w:val="0"/>
      <w:marTop w:val="0"/>
      <w:marBottom w:val="0"/>
      <w:divBdr>
        <w:top w:val="none" w:sz="0" w:space="0" w:color="auto"/>
        <w:left w:val="none" w:sz="0" w:space="0" w:color="auto"/>
        <w:bottom w:val="none" w:sz="0" w:space="0" w:color="auto"/>
        <w:right w:val="none" w:sz="0" w:space="0" w:color="auto"/>
      </w:divBdr>
      <w:divsChild>
        <w:div w:id="492141238">
          <w:marLeft w:val="0"/>
          <w:marRight w:val="0"/>
          <w:marTop w:val="0"/>
          <w:marBottom w:val="0"/>
          <w:divBdr>
            <w:top w:val="none" w:sz="0" w:space="0" w:color="auto"/>
            <w:left w:val="none" w:sz="0" w:space="0" w:color="auto"/>
            <w:bottom w:val="none" w:sz="0" w:space="0" w:color="auto"/>
            <w:right w:val="none" w:sz="0" w:space="0" w:color="auto"/>
          </w:divBdr>
          <w:divsChild>
            <w:div w:id="83781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382844">
      <w:bodyDiv w:val="1"/>
      <w:marLeft w:val="0"/>
      <w:marRight w:val="0"/>
      <w:marTop w:val="0"/>
      <w:marBottom w:val="0"/>
      <w:divBdr>
        <w:top w:val="none" w:sz="0" w:space="0" w:color="auto"/>
        <w:left w:val="none" w:sz="0" w:space="0" w:color="auto"/>
        <w:bottom w:val="none" w:sz="0" w:space="0" w:color="auto"/>
        <w:right w:val="none" w:sz="0" w:space="0" w:color="auto"/>
      </w:divBdr>
    </w:div>
    <w:div w:id="1397388732">
      <w:bodyDiv w:val="1"/>
      <w:marLeft w:val="0"/>
      <w:marRight w:val="0"/>
      <w:marTop w:val="0"/>
      <w:marBottom w:val="0"/>
      <w:divBdr>
        <w:top w:val="none" w:sz="0" w:space="0" w:color="auto"/>
        <w:left w:val="none" w:sz="0" w:space="0" w:color="auto"/>
        <w:bottom w:val="none" w:sz="0" w:space="0" w:color="auto"/>
        <w:right w:val="none" w:sz="0" w:space="0" w:color="auto"/>
      </w:divBdr>
    </w:div>
    <w:div w:id="1410887702">
      <w:bodyDiv w:val="1"/>
      <w:marLeft w:val="0"/>
      <w:marRight w:val="0"/>
      <w:marTop w:val="0"/>
      <w:marBottom w:val="0"/>
      <w:divBdr>
        <w:top w:val="none" w:sz="0" w:space="0" w:color="auto"/>
        <w:left w:val="none" w:sz="0" w:space="0" w:color="auto"/>
        <w:bottom w:val="none" w:sz="0" w:space="0" w:color="auto"/>
        <w:right w:val="none" w:sz="0" w:space="0" w:color="auto"/>
      </w:divBdr>
    </w:div>
    <w:div w:id="1755131595">
      <w:bodyDiv w:val="1"/>
      <w:marLeft w:val="0"/>
      <w:marRight w:val="0"/>
      <w:marTop w:val="0"/>
      <w:marBottom w:val="0"/>
      <w:divBdr>
        <w:top w:val="none" w:sz="0" w:space="0" w:color="auto"/>
        <w:left w:val="none" w:sz="0" w:space="0" w:color="auto"/>
        <w:bottom w:val="none" w:sz="0" w:space="0" w:color="auto"/>
        <w:right w:val="none" w:sz="0" w:space="0" w:color="auto"/>
      </w:divBdr>
    </w:div>
    <w:div w:id="1847943793">
      <w:bodyDiv w:val="1"/>
      <w:marLeft w:val="0"/>
      <w:marRight w:val="0"/>
      <w:marTop w:val="0"/>
      <w:marBottom w:val="0"/>
      <w:divBdr>
        <w:top w:val="none" w:sz="0" w:space="0" w:color="auto"/>
        <w:left w:val="none" w:sz="0" w:space="0" w:color="auto"/>
        <w:bottom w:val="none" w:sz="0" w:space="0" w:color="auto"/>
        <w:right w:val="none" w:sz="0" w:space="0" w:color="auto"/>
      </w:divBdr>
    </w:div>
    <w:div w:id="1947039241">
      <w:bodyDiv w:val="1"/>
      <w:marLeft w:val="0"/>
      <w:marRight w:val="0"/>
      <w:marTop w:val="0"/>
      <w:marBottom w:val="0"/>
      <w:divBdr>
        <w:top w:val="none" w:sz="0" w:space="0" w:color="auto"/>
        <w:left w:val="none" w:sz="0" w:space="0" w:color="auto"/>
        <w:bottom w:val="none" w:sz="0" w:space="0" w:color="auto"/>
        <w:right w:val="none" w:sz="0" w:space="0" w:color="auto"/>
      </w:divBdr>
    </w:div>
    <w:div w:id="1958562735">
      <w:bodyDiv w:val="1"/>
      <w:marLeft w:val="0"/>
      <w:marRight w:val="0"/>
      <w:marTop w:val="0"/>
      <w:marBottom w:val="0"/>
      <w:divBdr>
        <w:top w:val="none" w:sz="0" w:space="0" w:color="auto"/>
        <w:left w:val="none" w:sz="0" w:space="0" w:color="auto"/>
        <w:bottom w:val="none" w:sz="0" w:space="0" w:color="auto"/>
        <w:right w:val="none" w:sz="0" w:space="0" w:color="auto"/>
      </w:divBdr>
    </w:div>
    <w:div w:id="2051761627">
      <w:bodyDiv w:val="1"/>
      <w:marLeft w:val="0"/>
      <w:marRight w:val="0"/>
      <w:marTop w:val="0"/>
      <w:marBottom w:val="0"/>
      <w:divBdr>
        <w:top w:val="none" w:sz="0" w:space="0" w:color="auto"/>
        <w:left w:val="none" w:sz="0" w:space="0" w:color="auto"/>
        <w:bottom w:val="none" w:sz="0" w:space="0" w:color="auto"/>
        <w:right w:val="none" w:sz="0" w:space="0" w:color="auto"/>
      </w:divBdr>
    </w:div>
    <w:div w:id="2090341701">
      <w:bodyDiv w:val="1"/>
      <w:marLeft w:val="0"/>
      <w:marRight w:val="0"/>
      <w:marTop w:val="0"/>
      <w:marBottom w:val="0"/>
      <w:divBdr>
        <w:top w:val="none" w:sz="0" w:space="0" w:color="auto"/>
        <w:left w:val="none" w:sz="0" w:space="0" w:color="auto"/>
        <w:bottom w:val="none" w:sz="0" w:space="0" w:color="auto"/>
        <w:right w:val="none" w:sz="0" w:space="0" w:color="auto"/>
      </w:divBdr>
    </w:div>
    <w:div w:id="2143376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846/jcem.2020.12186" TargetMode="External"/><Relationship Id="rId13" Type="http://schemas.openxmlformats.org/officeDocument/2006/relationships/hyperlink" Target="https://www.perlego.com/book/1646054" TargetMode="External"/><Relationship Id="rId18" Type="http://schemas.openxmlformats.org/officeDocument/2006/relationships/hyperlink" Target="https://www.perlego.com/book/1572356"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gov.uk/government/publications/the-construction-playbook" TargetMode="External"/><Relationship Id="rId12" Type="http://schemas.openxmlformats.org/officeDocument/2006/relationships/hyperlink" Target="https://doi.org/10.3390/app11041660" TargetMode="External"/><Relationship Id="rId17" Type="http://schemas.openxmlformats.org/officeDocument/2006/relationships/hyperlink" Target="https://www.perlego.com/book/1386131" TargetMode="External"/><Relationship Id="rId2" Type="http://schemas.openxmlformats.org/officeDocument/2006/relationships/numbering" Target="numbering.xml"/><Relationship Id="rId16" Type="http://schemas.openxmlformats.org/officeDocument/2006/relationships/hyperlink" Target="https://doi.org/10.1108/CI-03-2021-004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apm.org.uk/media/qpyau3pc/apm-body-of-knowledge-7th-edition-for-supporting-2025-consultation.pdf" TargetMode="External"/><Relationship Id="rId11" Type="http://schemas.openxmlformats.org/officeDocument/2006/relationships/hyperlink" Target="https://doi.org/10.1016/j.heliyon.2021.e06462" TargetMode="External"/><Relationship Id="rId5" Type="http://schemas.openxmlformats.org/officeDocument/2006/relationships/webSettings" Target="webSettings.xml"/><Relationship Id="rId15" Type="http://schemas.openxmlformats.org/officeDocument/2006/relationships/hyperlink" Target="https://www.riba.org/media/syneeeto/2020ribaplanofworkoverviewpdf.pdf" TargetMode="External"/><Relationship Id="rId10" Type="http://schemas.openxmlformats.org/officeDocument/2006/relationships/hyperlink" Target="https://doi.org/10.3390/buildings12122192" TargetMode="External"/><Relationship Id="rId19" Type="http://schemas.openxmlformats.org/officeDocument/2006/relationships/hyperlink" Target="https://doi.org/10.3390/su142215242" TargetMode="External"/><Relationship Id="rId4" Type="http://schemas.openxmlformats.org/officeDocument/2006/relationships/settings" Target="settings.xml"/><Relationship Id="rId9" Type="http://schemas.openxmlformats.org/officeDocument/2006/relationships/hyperlink" Target="https://www.ice.org.uk/areas-of-interest/infrastructure-delivery/project-13-from-transactions-to-enterprises" TargetMode="External"/><Relationship Id="rId14" Type="http://schemas.openxmlformats.org/officeDocument/2006/relationships/hyperlink" Target="https://doi.org/10.3390/buildings120607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C2113CD2-E709-694D-A2D2-5644F8868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11</Pages>
  <Words>2892</Words>
  <Characters>16490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Project Plan: Unified CRM System Implementation at Zenergi</vt:lpstr>
    </vt:vector>
  </TitlesOfParts>
  <Company>Project Management (LCBB6006)</Company>
  <LinksUpToDate>false</LinksUpToDate>
  <CharactersWithSpaces>19344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Coursework: Essay</dc:title>
  <dc:subject/>
  <dc:creator>Adelina-Gabriela Stanciu (2245080)</dc:creator>
  <cp:keywords/>
  <dc:description/>
  <cp:lastModifiedBy>Adelina Gabriela Stanciu (2245080)</cp:lastModifiedBy>
  <cp:revision>3</cp:revision>
  <dcterms:created xsi:type="dcterms:W3CDTF">2026-08-23T22:48:00Z</dcterms:created>
  <dcterms:modified xsi:type="dcterms:W3CDTF">2026-08-24T00:05:00Z</dcterms:modified>
</cp:coreProperties>
</file>