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ABDC3F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57B48">
              <w:rPr>
                <w:rFonts w:ascii="Times New Roman" w:hAnsi="Times New Roman" w:cs="Times New Roman"/>
                <w:b/>
                <w:color w:val="auto"/>
                <w:sz w:val="48"/>
              </w:rPr>
              <w:t>Alaw Medi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149E9C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57B48">
              <w:rPr>
                <w:rFonts w:ascii="Times New Roman" w:hAnsi="Times New Roman" w:cs="Times New Roman"/>
                <w:b/>
                <w:color w:val="auto"/>
                <w:sz w:val="48"/>
              </w:rPr>
              <w:t xml:space="preserve"> </w:t>
            </w:r>
            <w:r w:rsidR="00657B48" w:rsidRPr="00657B48">
              <w:rPr>
                <w:rFonts w:ascii="Times New Roman" w:hAnsi="Times New Roman" w:cs="Times New Roman"/>
                <w:b/>
                <w:color w:val="auto"/>
                <w:sz w:val="48"/>
              </w:rPr>
              <w:t>2434211@student.uwtsd.ac.uk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CF5A759" w14:textId="3B36AF44" w:rsidR="00657B48" w:rsidRPr="005D3F07" w:rsidRDefault="00657B48"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2434211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799B13AC" w14:textId="77777777" w:rsidR="00657B48"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5CC09DD3" w14:textId="77777777" w:rsidR="00657B48" w:rsidRDefault="00657B48" w:rsidP="00FF7EBB">
            <w:pPr>
              <w:jc w:val="both"/>
              <w:rPr>
                <w:sz w:val="24"/>
                <w:szCs w:val="24"/>
              </w:rPr>
            </w:pPr>
          </w:p>
          <w:p w14:paraId="6473841D" w14:textId="77777777" w:rsidR="00657B48" w:rsidRDefault="00657B48" w:rsidP="00657B48">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17A49383" w14:textId="4D4EA299" w:rsidR="008B28E7" w:rsidRDefault="00BB7FD2" w:rsidP="00FF7EBB">
            <w:pPr>
              <w:jc w:val="both"/>
              <w:rPr>
                <w:sz w:val="24"/>
                <w:szCs w:val="24"/>
              </w:rPr>
            </w:pPr>
            <w:r>
              <w:rPr>
                <w:sz w:val="24"/>
                <w:szCs w:val="24"/>
              </w:rPr>
              <w:t xml:space="preserve"> </w:t>
            </w:r>
          </w:p>
          <w:p w14:paraId="1FBBCFA0" w14:textId="77777777" w:rsidR="006108C9" w:rsidRDefault="006108C9" w:rsidP="00FF7EBB">
            <w:pPr>
              <w:jc w:val="both"/>
              <w:rPr>
                <w:sz w:val="24"/>
                <w:szCs w:val="24"/>
              </w:rPr>
            </w:pPr>
          </w:p>
          <w:p w14:paraId="6AE5F943" w14:textId="77777777" w:rsidR="00657B48" w:rsidRDefault="00657B48" w:rsidP="00657B48">
            <w:pPr>
              <w:spacing w:line="360" w:lineRule="auto"/>
              <w:jc w:val="both"/>
              <w:rPr>
                <w:sz w:val="24"/>
                <w:szCs w:val="24"/>
              </w:rPr>
            </w:pPr>
            <w:r w:rsidRPr="006A7362">
              <w:rPr>
                <w:sz w:val="24"/>
                <w:szCs w:val="24"/>
              </w:rPr>
              <w:t xml:space="preserve">A person is considered an adult, at age 18. An adult, who is described to be an adult at risk, is somebody who is experiencing or is at risk of abuse or neglect (SSWBA, 2014) as is stated in Part 7, section 125(1) of SSWBA 2014 which informs practice to all professionals in the care sector working with adults in Wales. This is, therefore, the relevant legislation for safeguarding adults in Wales. The procedure for safeguarding adults at risk is a combination of local, organisational and national procedures. </w:t>
            </w:r>
          </w:p>
          <w:p w14:paraId="728654D5" w14:textId="77777777" w:rsidR="002F4584" w:rsidRPr="006A7362" w:rsidRDefault="002F4584" w:rsidP="00657B48">
            <w:pPr>
              <w:spacing w:line="360" w:lineRule="auto"/>
              <w:jc w:val="both"/>
              <w:rPr>
                <w:sz w:val="24"/>
                <w:szCs w:val="24"/>
              </w:rPr>
            </w:pPr>
          </w:p>
          <w:p w14:paraId="13987368" w14:textId="77777777" w:rsidR="00657B48" w:rsidRDefault="00657B48" w:rsidP="00657B48">
            <w:pPr>
              <w:spacing w:line="360" w:lineRule="auto"/>
              <w:jc w:val="both"/>
              <w:rPr>
                <w:sz w:val="24"/>
                <w:szCs w:val="24"/>
              </w:rPr>
            </w:pPr>
            <w:r w:rsidRPr="006A7362">
              <w:rPr>
                <w:sz w:val="24"/>
                <w:szCs w:val="24"/>
              </w:rPr>
              <w:t xml:space="preserve">The SSWBA (2014) provides the legal framework for Local Authorities, in this case to safeguard Adults at risk of abuse or neglect. It supports an easy-to-follow statutory framework in how social workers should fulfil duties in safeguarding, Issued under the SSWBA 2014. The name of this particular guidance is the Working Together to Safeguard People. However, the Wales Safeguarding Procedures (2019) then is a tool that supports guidance for social workers to respond effectively and efficiently with assessments and working with Service users. A key for Social Workers in their role to safeguarding adults at risk is to ensure that they work in line with principles of the procedures, which is person-centred approach to practice. Each local authority and organisations will work with these steps, to ensure adults are safeguarded. There is a local Safeguarding Board, necessary to ensure that Authorities follow </w:t>
            </w:r>
            <w:r w:rsidRPr="006A7362">
              <w:rPr>
                <w:sz w:val="24"/>
                <w:szCs w:val="24"/>
              </w:rPr>
              <w:lastRenderedPageBreak/>
              <w:t xml:space="preserve">guidance and their duties appropriately; their frequent reviewing of practice ensures that the requirements are abided by and that they practice to the expectations set out. They are the ones who have developed this tool to ensure a consistent response to safeguarding with both Adults, and Children respectfully in Wales. This ultimately sets out the implementation of practice in specific authorities / regions. </w:t>
            </w:r>
          </w:p>
          <w:p w14:paraId="65FCA2E7" w14:textId="77777777" w:rsidR="00657B48" w:rsidRPr="006A7362" w:rsidRDefault="00657B48" w:rsidP="00657B48">
            <w:pPr>
              <w:spacing w:line="360" w:lineRule="auto"/>
              <w:jc w:val="both"/>
              <w:rPr>
                <w:sz w:val="24"/>
                <w:szCs w:val="24"/>
              </w:rPr>
            </w:pPr>
          </w:p>
          <w:p w14:paraId="5A901E31" w14:textId="77777777" w:rsidR="00657B48" w:rsidRDefault="00657B48" w:rsidP="00657B48">
            <w:pPr>
              <w:spacing w:line="360" w:lineRule="auto"/>
              <w:jc w:val="both"/>
              <w:rPr>
                <w:sz w:val="24"/>
                <w:szCs w:val="24"/>
              </w:rPr>
            </w:pPr>
            <w:r w:rsidRPr="006A7362">
              <w:rPr>
                <w:sz w:val="24"/>
                <w:szCs w:val="24"/>
              </w:rPr>
              <w:t xml:space="preserve">Indicators of abuse for adults is extensive and can come in different forms of categories; which ranges but not set to financial abuse, county lines exploitation, self-neglect and hoarding, modern slavery and domestic abuse. If there is cause of concern that an adult is unsafe there is a duty to report and a duty to enquire, under section 126 of SSWBA 2014, to determine eligibility for care and support or safety from harm. </w:t>
            </w:r>
          </w:p>
          <w:p w14:paraId="7383A19E" w14:textId="77777777" w:rsidR="00657B48" w:rsidRPr="006A7362" w:rsidRDefault="00657B48" w:rsidP="00657B48">
            <w:pPr>
              <w:spacing w:line="360" w:lineRule="auto"/>
              <w:jc w:val="both"/>
              <w:rPr>
                <w:sz w:val="24"/>
                <w:szCs w:val="24"/>
              </w:rPr>
            </w:pPr>
          </w:p>
          <w:p w14:paraId="65E32D98" w14:textId="77777777" w:rsidR="00657B48" w:rsidRDefault="00657B48" w:rsidP="00657B48">
            <w:pPr>
              <w:spacing w:line="360" w:lineRule="auto"/>
              <w:jc w:val="both"/>
              <w:rPr>
                <w:sz w:val="24"/>
                <w:szCs w:val="24"/>
              </w:rPr>
            </w:pPr>
            <w:r w:rsidRPr="006A7362">
              <w:rPr>
                <w:sz w:val="24"/>
                <w:szCs w:val="24"/>
              </w:rPr>
              <w:t>It’s vital for social workers to consider Consent by means of respecting the adults’ wishes as they have their own right to make choices even if they are unwise. Therefore, practitioners work closely and In line with the Mental Capacity Act [MCA] (2005). This provides a framework to promote and safeguard decision making (SCIE, 2020). This legislation is where a professional decides whether someone has capacity to make informed decisions about their lives; and if not, how best to work in their best interest (MCA, 2005). It is important that this is considered in hand with the Equality Act (2010) to which it acts, to support individuals from its protected characteristics to ensure that discrimination is prohibited and coincides with the human rights act (1998), especially article 5, and article 8 and article 14. In relation to safeguarding adults; Age and disability are arguably the key ones in this matter to consider. Whatever the involvement, the social worker must always seek to find the outcomes that the adults wish to achieve in day-to-day life (SSWBA, 2014: p3, 4(a)).</w:t>
            </w:r>
          </w:p>
          <w:p w14:paraId="1FE22A29" w14:textId="4ADFC5FF" w:rsidR="00657B48" w:rsidRPr="00657B48" w:rsidRDefault="00657B48" w:rsidP="00657B48">
            <w:pPr>
              <w:jc w:val="both"/>
              <w:rPr>
                <w:b/>
                <w:bCs/>
                <w:sz w:val="24"/>
                <w:szCs w:val="24"/>
              </w:rPr>
            </w:pPr>
            <w:r w:rsidRPr="00657B48">
              <w:rPr>
                <w:b/>
                <w:bCs/>
                <w:sz w:val="24"/>
                <w:szCs w:val="24"/>
              </w:rPr>
              <w:t>544 words</w:t>
            </w:r>
          </w:p>
          <w:p w14:paraId="03BD6D93" w14:textId="56AD433A" w:rsidR="007A628F" w:rsidRPr="008B28E7" w:rsidRDefault="007A628F" w:rsidP="00657B48">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7B7B4827" w14:textId="17028462"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6C84530C" w14:textId="77777777" w:rsidR="00657B48" w:rsidRDefault="00657B48" w:rsidP="00FC0334">
            <w:pPr>
              <w:jc w:val="both"/>
              <w:rPr>
                <w:i/>
                <w:sz w:val="24"/>
                <w:szCs w:val="24"/>
              </w:rPr>
            </w:pPr>
          </w:p>
          <w:p w14:paraId="7ADD931A" w14:textId="77777777" w:rsidR="00657B48" w:rsidRDefault="00657B48" w:rsidP="00657B48">
            <w:pPr>
              <w:spacing w:line="360" w:lineRule="auto"/>
              <w:jc w:val="both"/>
              <w:rPr>
                <w:sz w:val="24"/>
                <w:szCs w:val="24"/>
              </w:rPr>
            </w:pPr>
            <w:r w:rsidRPr="00F925C7">
              <w:rPr>
                <w:sz w:val="24"/>
                <w:szCs w:val="24"/>
              </w:rPr>
              <w:lastRenderedPageBreak/>
              <w:t xml:space="preserve">The purpose of this task is to reflect on the differences between safeguarding adults and children’s work. Both Adults and Children social services sectors in Wales are practising under the Social Services and Wellbeing (Wales) Act (2014), there are significant differences between safeguarding adults and children, but values of the social worker overlap in the field by practising in line with the sections of the Code of Professional Practice (SCW, 2017) and ensuring the individual’s wellbeing is integral. </w:t>
            </w:r>
          </w:p>
          <w:p w14:paraId="649A55DF" w14:textId="77777777" w:rsidR="00657B48" w:rsidRPr="00F925C7" w:rsidRDefault="00657B48" w:rsidP="00657B48">
            <w:pPr>
              <w:spacing w:line="360" w:lineRule="auto"/>
              <w:jc w:val="both"/>
              <w:rPr>
                <w:sz w:val="24"/>
                <w:szCs w:val="24"/>
              </w:rPr>
            </w:pPr>
          </w:p>
          <w:p w14:paraId="21615258" w14:textId="77777777" w:rsidR="00657B48" w:rsidRDefault="00657B48" w:rsidP="00657B48">
            <w:pPr>
              <w:spacing w:line="360" w:lineRule="auto"/>
              <w:jc w:val="both"/>
              <w:rPr>
                <w:sz w:val="24"/>
                <w:szCs w:val="24"/>
              </w:rPr>
            </w:pPr>
            <w:r w:rsidRPr="00F925C7">
              <w:rPr>
                <w:sz w:val="24"/>
                <w:szCs w:val="24"/>
              </w:rPr>
              <w:t>One of the key differences between safeguarding adults and children is that adults’ main focus is on empowerment of the individual, whilst children’s is also based on empowerment, but mainly on protection (Evans, 2023). The difference is that practitioners tend to support adults to make informed choices to work on improvement in their quality of life, whereas children’s is protecting them from harm (Evans, 2023). To illustrate this point, all children who are deemed to be at risk by the Local Authority, will be dealt with under Section 47 of the SSWBA (2014)’s Duty to Investigate if there is a reasonable cause to suspect a child is at risk. Parents’ wish or lack of consent won’t override a child’s safety, there is a duty by the Local Authority to act to protect a child from abuse / harm, as they are deemed unable to do it themselves (Currie, 2017). Compared to adults, which is protected under the Mental Capacity Act (2005) in Wales, they have the right to make unwise choices; and should be presumed to have capacity unless proven otherwise (NICE, 2018). While supporting adults, the emphasis is on promoting independence, respecting choices and improving their own decisions and goal outcomes (SCIE, 2017). On the contrary, children’s decision-making competency is assessed via Gillick Competence (NSPCC, 2022), determining maturity in terms of their wishes about themselves and consent to share information. Practitioners should always ensure that children are aware that no information of concern will be kept in confidence. Safeguarding will override in this instance. This can be difficult to balance, whilst national and European legislation of UNCRC Right of the Child – mandate in Article 12, that the voice of the child must always be considered in decision-making, in relation to their welfare (UNCRC, 1989), on par to ‘what matters’ to the child (SCW, 2025) in line with the requirements of the Social Services and Wellbeing (Wales) Act 2014 of working with children.</w:t>
            </w:r>
          </w:p>
          <w:p w14:paraId="08760B3D" w14:textId="0D8BE513" w:rsidR="00FC0334" w:rsidRPr="00657B48" w:rsidRDefault="00657B48" w:rsidP="00657B48">
            <w:pPr>
              <w:spacing w:line="360" w:lineRule="auto"/>
              <w:jc w:val="both"/>
              <w:rPr>
                <w:b/>
                <w:bCs/>
                <w:sz w:val="24"/>
                <w:szCs w:val="24"/>
              </w:rPr>
            </w:pPr>
            <w:r w:rsidRPr="00657B48">
              <w:rPr>
                <w:b/>
                <w:bCs/>
                <w:sz w:val="24"/>
                <w:szCs w:val="24"/>
              </w:rPr>
              <w:t>401 words</w:t>
            </w: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BA187" w14:textId="77777777" w:rsidR="00D6457E" w:rsidRDefault="00D6457E">
      <w:r>
        <w:separator/>
      </w:r>
    </w:p>
  </w:endnote>
  <w:endnote w:type="continuationSeparator" w:id="0">
    <w:p w14:paraId="008200A4" w14:textId="77777777" w:rsidR="00D6457E" w:rsidRDefault="00D64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124A7" w14:textId="77777777" w:rsidR="00D6457E" w:rsidRDefault="00D6457E">
      <w:r>
        <w:separator/>
      </w:r>
    </w:p>
  </w:footnote>
  <w:footnote w:type="continuationSeparator" w:id="0">
    <w:p w14:paraId="5A435149" w14:textId="77777777" w:rsidR="00D6457E" w:rsidRDefault="00D645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584"/>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57B48"/>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E08"/>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7E"/>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2BB"/>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1077</Words>
  <Characters>6140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Alaw Medi Evans (PLANT)</cp:lastModifiedBy>
  <cp:revision>3</cp:revision>
  <cp:lastPrinted>2020-02-11T19:20:00Z</cp:lastPrinted>
  <dcterms:created xsi:type="dcterms:W3CDTF">2026-02-23T17:38:00Z</dcterms:created>
  <dcterms:modified xsi:type="dcterms:W3CDTF">2026-02-23T17:40:00Z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