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A4551B" w:rsidP="533CB548" w:rsidRDefault="5C5D2A70" w14:paraId="7663102B" w14:textId="1454C74B">
      <w:pPr>
        <w:pStyle w:val="ListParagraph"/>
        <w:numPr>
          <w:ilvl w:val="0"/>
          <w:numId w:val="1"/>
        </w:num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33CB548" w:rsidR="47BE22EC">
        <w:rPr>
          <w:rFonts w:ascii="Arial" w:hAnsi="Arial" w:eastAsia="Arial" w:cs="Arial"/>
          <w:b w:val="0"/>
          <w:bCs w:val="0"/>
          <w:i w:val="0"/>
          <w:iCs w:val="0"/>
          <w:caps w:val="0"/>
          <w:smallCaps w:val="0"/>
          <w:noProof w:val="0"/>
          <w:color w:val="000000" w:themeColor="text1" w:themeTint="FF" w:themeShade="FF"/>
          <w:sz w:val="22"/>
          <w:szCs w:val="22"/>
          <w:lang w:val="en-GB"/>
        </w:rPr>
        <w:t>Name: Rachel Michael</w:t>
      </w:r>
    </w:p>
    <w:p w:rsidR="00A4551B" w:rsidP="533CB548" w:rsidRDefault="5C5D2A70" w14:paraId="2EC5FAE5" w14:textId="35352BB2">
      <w:pPr>
        <w:pStyle w:val="ListParagraph"/>
        <w:numPr>
          <w:ilvl w:val="0"/>
          <w:numId w:val="1"/>
        </w:num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33CB548" w:rsidR="47BE22EC">
        <w:rPr>
          <w:rFonts w:ascii="Arial" w:hAnsi="Arial" w:eastAsia="Arial" w:cs="Arial"/>
          <w:b w:val="0"/>
          <w:bCs w:val="0"/>
          <w:i w:val="0"/>
          <w:iCs w:val="0"/>
          <w:caps w:val="0"/>
          <w:smallCaps w:val="0"/>
          <w:noProof w:val="0"/>
          <w:color w:val="000000" w:themeColor="text1" w:themeTint="FF" w:themeShade="FF"/>
          <w:sz w:val="22"/>
          <w:szCs w:val="22"/>
          <w:lang w:val="en-GB"/>
        </w:rPr>
        <w:t>Student Number: 2536765</w:t>
      </w:r>
    </w:p>
    <w:p w:rsidR="00A4551B" w:rsidP="533CB548" w:rsidRDefault="5C5D2A70" w14:paraId="61D8F8CF" w14:textId="6044D9DE">
      <w:pPr>
        <w:pStyle w:val="ListParagraph"/>
        <w:numPr>
          <w:ilvl w:val="0"/>
          <w:numId w:val="1"/>
        </w:num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33CB548" w:rsidR="47BE22EC">
        <w:rPr>
          <w:rFonts w:ascii="Arial" w:hAnsi="Arial" w:eastAsia="Arial" w:cs="Arial"/>
          <w:b w:val="0"/>
          <w:bCs w:val="0"/>
          <w:i w:val="0"/>
          <w:iCs w:val="0"/>
          <w:caps w:val="0"/>
          <w:smallCaps w:val="0"/>
          <w:noProof w:val="0"/>
          <w:color w:val="000000" w:themeColor="text1" w:themeTint="FF" w:themeShade="FF"/>
          <w:sz w:val="22"/>
          <w:szCs w:val="22"/>
          <w:lang w:val="en-GB"/>
        </w:rPr>
        <w:t>Module Code: LCHS4003</w:t>
      </w:r>
    </w:p>
    <w:p w:rsidR="00A4551B" w:rsidP="533CB548" w:rsidRDefault="5C5D2A70" w14:paraId="1C493CBD" w14:textId="3B152B0D">
      <w:pPr>
        <w:pStyle w:val="ListParagraph"/>
        <w:numPr>
          <w:ilvl w:val="0"/>
          <w:numId w:val="1"/>
        </w:num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33CB548" w:rsidR="47BE22EC">
        <w:rPr>
          <w:rFonts w:ascii="Arial" w:hAnsi="Arial" w:eastAsia="Arial" w:cs="Arial"/>
          <w:b w:val="0"/>
          <w:bCs w:val="0"/>
          <w:i w:val="0"/>
          <w:iCs w:val="0"/>
          <w:caps w:val="0"/>
          <w:smallCaps w:val="0"/>
          <w:noProof w:val="0"/>
          <w:color w:val="000000" w:themeColor="text1" w:themeTint="FF" w:themeShade="FF"/>
          <w:sz w:val="22"/>
          <w:szCs w:val="22"/>
          <w:lang w:val="en-GB"/>
        </w:rPr>
        <w:t>Module Title: Introduction to Health and Social Care</w:t>
      </w:r>
    </w:p>
    <w:p w:rsidR="00A4551B" w:rsidP="533CB548" w:rsidRDefault="5C5D2A70" w14:paraId="5548CA57" w14:textId="42CEC0E8">
      <w:pPr>
        <w:pStyle w:val="ListParagraph"/>
        <w:numPr>
          <w:ilvl w:val="0"/>
          <w:numId w:val="1"/>
        </w:num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33CB548" w:rsidR="47BE22EC">
        <w:rPr>
          <w:rFonts w:ascii="Arial" w:hAnsi="Arial" w:eastAsia="Arial" w:cs="Arial"/>
          <w:b w:val="0"/>
          <w:bCs w:val="0"/>
          <w:i w:val="0"/>
          <w:iCs w:val="0"/>
          <w:caps w:val="0"/>
          <w:smallCaps w:val="0"/>
          <w:noProof w:val="0"/>
          <w:color w:val="000000" w:themeColor="text1" w:themeTint="FF" w:themeShade="FF"/>
          <w:sz w:val="22"/>
          <w:szCs w:val="22"/>
          <w:lang w:val="en-GB"/>
        </w:rPr>
        <w:t>Lecturer Name:</w:t>
      </w:r>
      <w:r w:rsidRPr="533CB548" w:rsidR="47BE22EC">
        <w:rPr>
          <w:rFonts w:ascii="Arial" w:hAnsi="Arial" w:eastAsia="Arial" w:cs="Arial"/>
          <w:b w:val="0"/>
          <w:bCs w:val="0"/>
          <w:i w:val="0"/>
          <w:iCs w:val="0"/>
          <w:caps w:val="0"/>
          <w:smallCaps w:val="0"/>
          <w:noProof w:val="0"/>
          <w:color w:val="000000" w:themeColor="text1" w:themeTint="FF" w:themeShade="FF"/>
          <w:sz w:val="22"/>
          <w:szCs w:val="22"/>
          <w:lang w:val="en-GB"/>
        </w:rPr>
        <w:t xml:space="preserve"> Zarah Ahmed</w:t>
      </w:r>
    </w:p>
    <w:p w:rsidR="00A4551B" w:rsidP="533CB548" w:rsidRDefault="5C5D2A70" w14:paraId="3F7AFF2E" w14:textId="2C2290F6">
      <w:pPr>
        <w:pStyle w:val="ListParagraph"/>
        <w:numPr>
          <w:ilvl w:val="0"/>
          <w:numId w:val="1"/>
        </w:numPr>
        <w:spacing w:after="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33CB548" w:rsidR="47BE22EC">
        <w:rPr>
          <w:rFonts w:ascii="Arial" w:hAnsi="Arial" w:eastAsia="Arial" w:cs="Arial"/>
          <w:b w:val="0"/>
          <w:bCs w:val="0"/>
          <w:i w:val="0"/>
          <w:iCs w:val="0"/>
          <w:caps w:val="0"/>
          <w:smallCaps w:val="0"/>
          <w:noProof w:val="0"/>
          <w:color w:val="000000" w:themeColor="text1" w:themeTint="FF" w:themeShade="FF"/>
          <w:sz w:val="22"/>
          <w:szCs w:val="22"/>
          <w:lang w:val="en-GB"/>
        </w:rPr>
        <w:t>Assignment Title: Portfolio</w:t>
      </w:r>
    </w:p>
    <w:p w:rsidR="00A4551B" w:rsidP="533CB548" w:rsidRDefault="5C5D2A70" w14:paraId="2E2B0A5E" w14:textId="2B3B9C9B">
      <w:pPr>
        <w:spacing w:line="360" w:lineRule="auto"/>
        <w:rPr>
          <w:rFonts w:ascii="Arial" w:hAnsi="Arial" w:eastAsia="Arial" w:cs="Arial"/>
          <w:sz w:val="22"/>
          <w:szCs w:val="22"/>
        </w:rPr>
      </w:pPr>
    </w:p>
    <w:p w:rsidR="00A4551B" w:rsidP="533CB548" w:rsidRDefault="5C5D2A70" w14:paraId="477F7CAA" w14:textId="45B7393B">
      <w:pPr>
        <w:spacing w:line="360" w:lineRule="auto"/>
        <w:rPr>
          <w:rFonts w:ascii="Arial" w:hAnsi="Arial" w:eastAsia="Arial" w:cs="Arial"/>
          <w:sz w:val="22"/>
          <w:szCs w:val="22"/>
        </w:rPr>
      </w:pPr>
    </w:p>
    <w:p w:rsidR="00A4551B" w:rsidP="533CB548" w:rsidRDefault="5C5D2A70" w14:paraId="071CA69F" w14:textId="19C8C19B">
      <w:pPr>
        <w:spacing w:line="360" w:lineRule="auto"/>
        <w:rPr>
          <w:rFonts w:ascii="Arial" w:hAnsi="Arial" w:eastAsia="Arial" w:cs="Arial"/>
          <w:sz w:val="22"/>
          <w:szCs w:val="22"/>
        </w:rPr>
      </w:pPr>
    </w:p>
    <w:p w:rsidR="00A4551B" w:rsidP="533CB548" w:rsidRDefault="5C5D2A70" w14:paraId="624FB4EE" w14:textId="0EFF60ED">
      <w:pPr>
        <w:spacing w:line="360" w:lineRule="auto"/>
        <w:rPr>
          <w:rFonts w:ascii="Arial" w:hAnsi="Arial" w:eastAsia="Arial" w:cs="Arial"/>
          <w:sz w:val="22"/>
          <w:szCs w:val="22"/>
        </w:rPr>
      </w:pPr>
    </w:p>
    <w:p w:rsidR="00A4551B" w:rsidP="533CB548" w:rsidRDefault="5C5D2A70" w14:paraId="0F731F69" w14:textId="4BA86ED7">
      <w:pPr>
        <w:spacing w:line="360" w:lineRule="auto"/>
        <w:rPr>
          <w:rFonts w:ascii="Arial" w:hAnsi="Arial" w:eastAsia="Arial" w:cs="Arial"/>
          <w:sz w:val="22"/>
          <w:szCs w:val="22"/>
        </w:rPr>
      </w:pPr>
    </w:p>
    <w:p w:rsidR="00A4551B" w:rsidP="533CB548" w:rsidRDefault="5C5D2A70" w14:paraId="641713AE" w14:textId="7EF5D461">
      <w:pPr>
        <w:spacing w:line="360" w:lineRule="auto"/>
        <w:rPr>
          <w:rFonts w:ascii="Arial" w:hAnsi="Arial" w:eastAsia="Arial" w:cs="Arial"/>
          <w:sz w:val="22"/>
          <w:szCs w:val="22"/>
        </w:rPr>
      </w:pPr>
    </w:p>
    <w:p w:rsidR="00A4551B" w:rsidP="533CB548" w:rsidRDefault="5C5D2A70" w14:paraId="6745BFB7" w14:textId="70D45FFB">
      <w:pPr>
        <w:spacing w:line="360" w:lineRule="auto"/>
        <w:rPr>
          <w:rFonts w:ascii="Arial" w:hAnsi="Arial" w:eastAsia="Arial" w:cs="Arial"/>
          <w:sz w:val="22"/>
          <w:szCs w:val="22"/>
        </w:rPr>
      </w:pPr>
    </w:p>
    <w:p w:rsidR="00A4551B" w:rsidP="533CB548" w:rsidRDefault="5C5D2A70" w14:paraId="35E64A9F" w14:textId="242E6C25">
      <w:pPr>
        <w:spacing w:line="360" w:lineRule="auto"/>
        <w:rPr>
          <w:rFonts w:ascii="Arial" w:hAnsi="Arial" w:eastAsia="Arial" w:cs="Arial"/>
          <w:sz w:val="22"/>
          <w:szCs w:val="22"/>
        </w:rPr>
      </w:pPr>
    </w:p>
    <w:p w:rsidR="00A4551B" w:rsidP="533CB548" w:rsidRDefault="5C5D2A70" w14:paraId="4B89F0C0" w14:textId="25B62A02">
      <w:pPr>
        <w:spacing w:line="360" w:lineRule="auto"/>
        <w:rPr>
          <w:rFonts w:ascii="Arial" w:hAnsi="Arial" w:eastAsia="Arial" w:cs="Arial"/>
          <w:sz w:val="22"/>
          <w:szCs w:val="22"/>
        </w:rPr>
      </w:pPr>
    </w:p>
    <w:p w:rsidR="00A4551B" w:rsidP="533CB548" w:rsidRDefault="5C5D2A70" w14:paraId="7B038B05" w14:textId="749785D6">
      <w:pPr>
        <w:spacing w:line="360" w:lineRule="auto"/>
        <w:rPr>
          <w:rFonts w:ascii="Arial" w:hAnsi="Arial" w:eastAsia="Arial" w:cs="Arial"/>
          <w:sz w:val="22"/>
          <w:szCs w:val="22"/>
        </w:rPr>
      </w:pPr>
    </w:p>
    <w:p w:rsidR="00A4551B" w:rsidP="533CB548" w:rsidRDefault="5C5D2A70" w14:paraId="5D9133D6" w14:textId="40CC9B10">
      <w:pPr>
        <w:spacing w:line="360" w:lineRule="auto"/>
        <w:rPr>
          <w:rFonts w:ascii="Arial" w:hAnsi="Arial" w:eastAsia="Arial" w:cs="Arial"/>
          <w:sz w:val="22"/>
          <w:szCs w:val="22"/>
        </w:rPr>
      </w:pPr>
    </w:p>
    <w:p w:rsidR="00A4551B" w:rsidP="533CB548" w:rsidRDefault="5C5D2A70" w14:paraId="3BBB2549" w14:textId="0450CB7D">
      <w:pPr>
        <w:spacing w:line="360" w:lineRule="auto"/>
        <w:rPr>
          <w:rFonts w:ascii="Arial" w:hAnsi="Arial" w:eastAsia="Arial" w:cs="Arial"/>
          <w:sz w:val="22"/>
          <w:szCs w:val="22"/>
        </w:rPr>
      </w:pPr>
    </w:p>
    <w:p w:rsidR="00A4551B" w:rsidP="533CB548" w:rsidRDefault="5C5D2A70" w14:paraId="6F4F300D" w14:textId="0F0A2A37">
      <w:pPr>
        <w:spacing w:line="360" w:lineRule="auto"/>
        <w:rPr>
          <w:rFonts w:ascii="Arial" w:hAnsi="Arial" w:eastAsia="Arial" w:cs="Arial"/>
          <w:sz w:val="22"/>
          <w:szCs w:val="22"/>
        </w:rPr>
      </w:pPr>
    </w:p>
    <w:p w:rsidR="00A4551B" w:rsidP="533CB548" w:rsidRDefault="5C5D2A70" w14:paraId="2D913A09" w14:textId="62766885">
      <w:pPr>
        <w:spacing w:line="360" w:lineRule="auto"/>
        <w:rPr>
          <w:rFonts w:ascii="Arial" w:hAnsi="Arial" w:eastAsia="Arial" w:cs="Arial"/>
          <w:sz w:val="22"/>
          <w:szCs w:val="22"/>
        </w:rPr>
      </w:pPr>
    </w:p>
    <w:p w:rsidR="00A4551B" w:rsidP="533CB548" w:rsidRDefault="5C5D2A70" w14:paraId="1AC41877" w14:textId="48220A1D">
      <w:pPr>
        <w:spacing w:line="360" w:lineRule="auto"/>
        <w:rPr>
          <w:rFonts w:ascii="Arial" w:hAnsi="Arial" w:eastAsia="Arial" w:cs="Arial"/>
          <w:sz w:val="22"/>
          <w:szCs w:val="22"/>
        </w:rPr>
      </w:pPr>
    </w:p>
    <w:p w:rsidR="00A4551B" w:rsidP="533CB548" w:rsidRDefault="5C5D2A70" w14:paraId="3AA33CB1" w14:textId="1AC3A711">
      <w:pPr>
        <w:spacing w:line="360" w:lineRule="auto"/>
        <w:rPr>
          <w:rFonts w:ascii="Arial" w:hAnsi="Arial" w:eastAsia="Arial" w:cs="Arial"/>
          <w:sz w:val="22"/>
          <w:szCs w:val="22"/>
        </w:rPr>
      </w:pPr>
    </w:p>
    <w:p w:rsidR="00A4551B" w:rsidP="533CB548" w:rsidRDefault="5C5D2A70" w14:paraId="47C08779" w14:textId="4490BCFD">
      <w:pPr>
        <w:spacing w:line="360" w:lineRule="auto"/>
        <w:rPr>
          <w:rFonts w:ascii="Arial" w:hAnsi="Arial" w:eastAsia="Arial" w:cs="Arial"/>
          <w:sz w:val="22"/>
          <w:szCs w:val="22"/>
        </w:rPr>
      </w:pPr>
    </w:p>
    <w:p w:rsidR="00A4551B" w:rsidP="533CB548" w:rsidRDefault="5C5D2A70" w14:paraId="02505220" w14:textId="02F354D0">
      <w:pPr>
        <w:spacing w:line="360" w:lineRule="auto"/>
        <w:rPr>
          <w:rFonts w:ascii="Arial" w:hAnsi="Arial" w:eastAsia="Arial" w:cs="Arial"/>
          <w:sz w:val="22"/>
          <w:szCs w:val="22"/>
        </w:rPr>
      </w:pPr>
    </w:p>
    <w:p w:rsidR="00A4551B" w:rsidP="533CB548" w:rsidRDefault="5C5D2A70" w14:paraId="66659249" w14:textId="517F72CB">
      <w:pPr>
        <w:spacing w:line="360" w:lineRule="auto"/>
        <w:rPr>
          <w:rFonts w:ascii="Arial" w:hAnsi="Arial" w:eastAsia="Arial" w:cs="Arial"/>
          <w:sz w:val="22"/>
          <w:szCs w:val="22"/>
        </w:rPr>
      </w:pPr>
    </w:p>
    <w:p w:rsidR="00A4551B" w:rsidP="533CB548" w:rsidRDefault="5C5D2A70" w14:paraId="48121B32" w14:textId="3AE68DCA">
      <w:pPr>
        <w:pStyle w:val="Normal"/>
        <w:spacing w:line="360" w:lineRule="auto"/>
        <w:rPr>
          <w:rFonts w:ascii="Arial" w:hAnsi="Arial" w:eastAsia="Arial" w:cs="Arial"/>
          <w:sz w:val="22"/>
          <w:szCs w:val="22"/>
        </w:rPr>
      </w:pPr>
    </w:p>
    <w:p w:rsidR="45D89B4C" w:rsidP="45D89B4C" w:rsidRDefault="45D89B4C" w14:paraId="6EC566ED" w14:textId="6D2C2C55">
      <w:pPr>
        <w:pStyle w:val="Normal"/>
        <w:spacing w:line="360" w:lineRule="auto"/>
        <w:rPr>
          <w:rFonts w:ascii="Arial" w:hAnsi="Arial" w:eastAsia="Arial" w:cs="Arial"/>
          <w:sz w:val="22"/>
          <w:szCs w:val="22"/>
        </w:rPr>
      </w:pPr>
    </w:p>
    <w:p w:rsidR="45D89B4C" w:rsidP="45D89B4C" w:rsidRDefault="45D89B4C" w14:paraId="4815195D" w14:textId="57CC311C">
      <w:pPr>
        <w:pStyle w:val="Normal"/>
        <w:spacing w:line="360" w:lineRule="auto"/>
        <w:rPr>
          <w:rFonts w:ascii="Arial" w:hAnsi="Arial" w:eastAsia="Arial" w:cs="Arial"/>
          <w:sz w:val="22"/>
          <w:szCs w:val="22"/>
        </w:rPr>
      </w:pPr>
    </w:p>
    <w:p w:rsidR="00A4551B" w:rsidP="533CB548" w:rsidRDefault="5C5D2A70" w14:paraId="501DEABF" w14:textId="35A6D21E">
      <w:pPr>
        <w:pStyle w:val="Normal"/>
        <w:spacing w:line="360" w:lineRule="auto"/>
        <w:rPr>
          <w:rFonts w:ascii="Arial" w:hAnsi="Arial" w:eastAsia="Arial" w:cs="Arial"/>
          <w:sz w:val="22"/>
          <w:szCs w:val="22"/>
        </w:rPr>
      </w:pPr>
      <w:r w:rsidRPr="533CB548" w:rsidR="4567114D">
        <w:rPr>
          <w:rFonts w:ascii="Arial" w:hAnsi="Arial" w:eastAsia="Arial" w:cs="Arial"/>
          <w:sz w:val="22"/>
          <w:szCs w:val="22"/>
        </w:rPr>
        <w:t>Task 1: Addressing a Shortage of Domiciliary Care</w:t>
      </w:r>
    </w:p>
    <w:p w:rsidR="00A4551B" w:rsidP="533CB548" w:rsidRDefault="5C5D2A70" w14:paraId="0CAAD51F" w14:textId="4C969BB1">
      <w:pPr>
        <w:spacing w:line="360" w:lineRule="auto"/>
        <w:rPr>
          <w:rFonts w:ascii="Arial" w:hAnsi="Arial" w:eastAsia="Arial" w:cs="Arial"/>
          <w:sz w:val="22"/>
          <w:szCs w:val="22"/>
        </w:rPr>
      </w:pPr>
      <w:r w:rsidRPr="45D89B4C" w:rsidR="4567114D">
        <w:rPr>
          <w:rFonts w:ascii="Arial" w:hAnsi="Arial" w:eastAsia="Arial" w:cs="Arial"/>
          <w:sz w:val="22"/>
          <w:szCs w:val="22"/>
        </w:rPr>
        <w:t xml:space="preserve">To: Councillor Ken Wood, Sutton </w:t>
      </w:r>
      <w:r w:rsidRPr="45D89B4C" w:rsidR="0D2E77CF">
        <w:rPr>
          <w:rFonts w:ascii="Arial" w:hAnsi="Arial" w:eastAsia="Arial" w:cs="Arial"/>
          <w:sz w:val="22"/>
          <w:szCs w:val="22"/>
        </w:rPr>
        <w:t>Coldfield, Walmley</w:t>
      </w:r>
      <w:r w:rsidRPr="45D89B4C" w:rsidR="4567114D">
        <w:rPr>
          <w:rFonts w:ascii="Arial" w:hAnsi="Arial" w:eastAsia="Arial" w:cs="Arial"/>
          <w:sz w:val="22"/>
          <w:szCs w:val="22"/>
        </w:rPr>
        <w:t xml:space="preserve"> &amp; Minworth Ward</w:t>
      </w:r>
      <w:r>
        <w:br/>
      </w:r>
      <w:r w:rsidRPr="45D89B4C" w:rsidR="4567114D">
        <w:rPr>
          <w:rFonts w:ascii="Arial" w:hAnsi="Arial" w:eastAsia="Arial" w:cs="Arial"/>
          <w:sz w:val="22"/>
          <w:szCs w:val="22"/>
        </w:rPr>
        <w:t>Local authority: Birmingham City Council</w:t>
      </w:r>
      <w:r>
        <w:br/>
      </w:r>
      <w:r w:rsidRPr="45D89B4C" w:rsidR="4567114D">
        <w:rPr>
          <w:rFonts w:ascii="Arial" w:hAnsi="Arial" w:eastAsia="Arial" w:cs="Arial"/>
          <w:sz w:val="22"/>
          <w:szCs w:val="22"/>
        </w:rPr>
        <w:t>From: Rachael Michael OKOI</w:t>
      </w:r>
      <w:r>
        <w:br/>
      </w:r>
      <w:r w:rsidRPr="45D89B4C" w:rsidR="4567114D">
        <w:rPr>
          <w:rFonts w:ascii="Arial" w:hAnsi="Arial" w:eastAsia="Arial" w:cs="Arial"/>
          <w:sz w:val="22"/>
          <w:szCs w:val="22"/>
        </w:rPr>
        <w:t>Date: 6 October 2026</w:t>
      </w:r>
      <w:r>
        <w:br/>
      </w:r>
      <w:r w:rsidRPr="45D89B4C" w:rsidR="4567114D">
        <w:rPr>
          <w:rFonts w:ascii="Arial" w:hAnsi="Arial" w:eastAsia="Arial" w:cs="Arial"/>
          <w:sz w:val="22"/>
          <w:szCs w:val="22"/>
        </w:rPr>
        <w:t>Subject: Proposed response to the domiciliary care shortage scenario</w:t>
      </w:r>
      <w:r>
        <w:br/>
      </w:r>
      <w:r w:rsidRPr="45D89B4C" w:rsidR="4567114D">
        <w:rPr>
          <w:rFonts w:ascii="Arial" w:hAnsi="Arial" w:eastAsia="Arial" w:cs="Arial"/>
          <w:sz w:val="22"/>
          <w:szCs w:val="22"/>
        </w:rPr>
        <w:t>Area: Sutton</w:t>
      </w:r>
      <w:r w:rsidRPr="45D89B4C" w:rsidR="456358AC">
        <w:rPr>
          <w:rFonts w:ascii="Arial" w:hAnsi="Arial" w:eastAsia="Arial" w:cs="Arial"/>
          <w:sz w:val="22"/>
          <w:szCs w:val="22"/>
        </w:rPr>
        <w:t xml:space="preserve"> </w:t>
      </w:r>
      <w:r w:rsidRPr="45D89B4C" w:rsidR="456358AC">
        <w:rPr>
          <w:rFonts w:ascii="Arial" w:hAnsi="Arial" w:eastAsia="Arial" w:cs="Arial"/>
          <w:sz w:val="22"/>
          <w:szCs w:val="22"/>
        </w:rPr>
        <w:t>Coldfield, Walmley</w:t>
      </w:r>
      <w:r w:rsidRPr="45D89B4C" w:rsidR="4567114D">
        <w:rPr>
          <w:rFonts w:ascii="Arial" w:hAnsi="Arial" w:eastAsia="Arial" w:cs="Arial"/>
          <w:sz w:val="22"/>
          <w:szCs w:val="22"/>
        </w:rPr>
        <w:t xml:space="preserve"> &amp; Minworth </w:t>
      </w:r>
    </w:p>
    <w:p w:rsidR="00A4551B" w:rsidP="533CB548" w:rsidRDefault="00A4551B" w14:paraId="58F64017" w14:textId="20DBA28D">
      <w:pPr>
        <w:spacing w:line="360" w:lineRule="auto"/>
        <w:jc w:val="both"/>
        <w:rPr>
          <w:rFonts w:ascii="Arial" w:hAnsi="Arial" w:eastAsia="Arial" w:cs="Arial"/>
          <w:sz w:val="22"/>
          <w:szCs w:val="22"/>
        </w:rPr>
      </w:pPr>
    </w:p>
    <w:p w:rsidR="00A4551B" w:rsidP="533CB548" w:rsidRDefault="00A4551B" w14:paraId="28F93E90" w14:textId="349E62BE">
      <w:pPr>
        <w:spacing w:line="360" w:lineRule="auto"/>
        <w:jc w:val="both"/>
        <w:rPr>
          <w:rFonts w:ascii="Arial" w:hAnsi="Arial" w:eastAsia="Arial" w:cs="Arial"/>
          <w:sz w:val="22"/>
          <w:szCs w:val="22"/>
        </w:rPr>
      </w:pPr>
    </w:p>
    <w:p w:rsidR="00A4551B" w:rsidP="533CB548" w:rsidRDefault="5C5D2A70" w14:paraId="2AF4ADBF" w14:textId="12E5F147">
      <w:pPr>
        <w:spacing w:line="360" w:lineRule="auto"/>
        <w:jc w:val="both"/>
        <w:rPr>
          <w:rFonts w:ascii="Arial" w:hAnsi="Arial" w:eastAsia="Arial" w:cs="Arial"/>
          <w:sz w:val="22"/>
          <w:szCs w:val="22"/>
        </w:rPr>
      </w:pPr>
      <w:r w:rsidRPr="533CB548" w:rsidR="4567114D">
        <w:rPr>
          <w:rFonts w:ascii="Arial" w:hAnsi="Arial" w:eastAsia="Arial" w:cs="Arial"/>
          <w:sz w:val="22"/>
          <w:szCs w:val="22"/>
        </w:rPr>
        <w:t>Introduction</w:t>
      </w:r>
    </w:p>
    <w:p w:rsidR="00A4551B" w:rsidP="533CB548" w:rsidRDefault="2B9077C4" w14:paraId="39F839A7" w14:textId="60F789C4">
      <w:pPr>
        <w:spacing w:line="360" w:lineRule="auto"/>
        <w:jc w:val="both"/>
        <w:rPr>
          <w:rFonts w:ascii="Arial" w:hAnsi="Arial" w:eastAsia="Arial" w:cs="Arial"/>
          <w:sz w:val="22"/>
          <w:szCs w:val="22"/>
        </w:rPr>
      </w:pPr>
      <w:r w:rsidRPr="533CB548" w:rsidR="19B48C44">
        <w:rPr>
          <w:rFonts w:ascii="Arial" w:hAnsi="Arial" w:eastAsia="Arial" w:cs="Arial"/>
          <w:sz w:val="22"/>
          <w:szCs w:val="22"/>
        </w:rPr>
        <w:t>This report outlines a strategy for a potential gap in provision for people in their homes in Sutton Walmley and Minworth. Ken Wood is the Councillor for this area on Birmingham City Council (Birmingham City Council, n.d.). Domiciliary care to assist people in carrying out personal tasks and activities of day to day living in their own home. Focus should be reliable support to meet individual needs, not on increased workload in commissioned hours.</w:t>
      </w:r>
    </w:p>
    <w:p w:rsidR="00A4551B" w:rsidP="533CB548" w:rsidRDefault="2B9077C4" w14:paraId="364D0507" w14:textId="7AA5D2E9">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This should not be assumed to be equivalent to local evidence. The Care Quality Commission (CQC, 2026) found the assessments were hampered and less effective communication was observed across Birmingham. It also pointed to a positive work at neighbourhood level. Those points have highlighted helping people to determine whether they are able to gain access to care. </w:t>
      </w:r>
    </w:p>
    <w:p w:rsidR="00A4551B" w:rsidP="533CB548" w:rsidRDefault="00A4551B" w14:paraId="5893282A" w14:textId="0F2B30E8">
      <w:pPr>
        <w:spacing w:line="360" w:lineRule="auto"/>
        <w:jc w:val="both"/>
        <w:rPr>
          <w:rFonts w:ascii="Arial" w:hAnsi="Arial" w:eastAsia="Arial" w:cs="Arial"/>
          <w:sz w:val="22"/>
          <w:szCs w:val="22"/>
        </w:rPr>
      </w:pPr>
    </w:p>
    <w:p w:rsidR="00A4551B" w:rsidP="533CB548" w:rsidRDefault="2B9077C4" w14:paraId="3EB68E8D" w14:textId="61FEF665">
      <w:pPr>
        <w:spacing w:line="360" w:lineRule="auto"/>
        <w:jc w:val="both"/>
        <w:rPr>
          <w:rFonts w:ascii="Arial" w:hAnsi="Arial" w:eastAsia="Arial" w:cs="Arial"/>
          <w:sz w:val="22"/>
          <w:szCs w:val="22"/>
        </w:rPr>
      </w:pPr>
      <w:r w:rsidRPr="533CB548" w:rsidR="19B48C44">
        <w:rPr>
          <w:rFonts w:ascii="Arial" w:hAnsi="Arial" w:eastAsia="Arial" w:cs="Arial"/>
          <w:sz w:val="22"/>
          <w:szCs w:val="22"/>
        </w:rPr>
        <w:t>Impact on the community</w:t>
      </w:r>
    </w:p>
    <w:p w:rsidR="00A4551B" w:rsidP="533CB548" w:rsidRDefault="2B9077C4" w14:paraId="797F034C" w14:textId="7B950C4F">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37132537" w14:textId="55DFA78E">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However, care alone is not sufficient as older </w:t>
      </w:r>
      <w:r w:rsidRPr="533CB548" w:rsidR="10094E64">
        <w:rPr>
          <w:rFonts w:ascii="Arial" w:hAnsi="Arial" w:eastAsia="Arial" w:cs="Arial"/>
          <w:sz w:val="22"/>
          <w:szCs w:val="22"/>
        </w:rPr>
        <w:t>persons,</w:t>
      </w:r>
      <w:r w:rsidRPr="533CB548" w:rsidR="19B48C44">
        <w:rPr>
          <w:rFonts w:ascii="Arial" w:hAnsi="Arial" w:eastAsia="Arial" w:cs="Arial"/>
          <w:sz w:val="22"/>
          <w:szCs w:val="22"/>
        </w:rPr>
        <w:t xml:space="preserve"> and disabled adults may find getting assistance too late. Washing or putting on clothes, eating or traveling may be impacted. digestion may be lost or rushed, causing loss of dignity and confidence. This can also cause additional stress on family members. NICE (2015) makes a point of the importance of continuity. Any change is more easily noticed when workers know someone and his or her habits. Even if adequate hours are provided, the visit might still be inadequate if it is not of sufficient length or the personnel need to turn over frequently.</w:t>
      </w:r>
    </w:p>
    <w:p w:rsidR="00A4551B" w:rsidP="533CB548" w:rsidRDefault="2B9077C4" w14:paraId="0F85E035" w14:textId="037AE594">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Drain can stress unpaid carers as well. </w:t>
      </w:r>
      <w:r w:rsidRPr="533CB548" w:rsidR="694048A7">
        <w:rPr>
          <w:rFonts w:ascii="Arial" w:hAnsi="Arial" w:eastAsia="Arial" w:cs="Arial"/>
          <w:sz w:val="22"/>
          <w:szCs w:val="22"/>
        </w:rPr>
        <w:t>They m</w:t>
      </w:r>
      <w:r w:rsidRPr="533CB548" w:rsidR="19B48C44">
        <w:rPr>
          <w:rFonts w:ascii="Arial" w:hAnsi="Arial" w:eastAsia="Arial" w:cs="Arial"/>
          <w:sz w:val="22"/>
          <w:szCs w:val="22"/>
        </w:rPr>
        <w:t xml:space="preserve">ay feel worn down and less capable, become worried when formal help is not forthcoming. Section 10 of the Care Act 2014 requires an offer of an assessment to be made when a carer </w:t>
      </w:r>
      <w:r w:rsidRPr="533CB548" w:rsidR="65033B8C">
        <w:rPr>
          <w:rFonts w:ascii="Arial" w:hAnsi="Arial" w:eastAsia="Arial" w:cs="Arial"/>
          <w:sz w:val="22"/>
          <w:szCs w:val="22"/>
        </w:rPr>
        <w:t>requires</w:t>
      </w:r>
      <w:r w:rsidRPr="533CB548" w:rsidR="19B48C44">
        <w:rPr>
          <w:rFonts w:ascii="Arial" w:hAnsi="Arial" w:eastAsia="Arial" w:cs="Arial"/>
          <w:sz w:val="22"/>
          <w:szCs w:val="22"/>
        </w:rPr>
        <w:t xml:space="preserve"> support. The circumstances of the carer should be understood and not assumed. If not, any apparent savings can put the burden on families. That can result in further crises, and this can cause hasty reactions later.</w:t>
      </w:r>
    </w:p>
    <w:p w:rsidR="00A4551B" w:rsidP="533CB548" w:rsidRDefault="2B9077C4" w14:paraId="66DCE040" w14:textId="088FAA82">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044637B0" w14:textId="779577A2">
      <w:pPr>
        <w:spacing w:line="360" w:lineRule="auto"/>
        <w:jc w:val="both"/>
        <w:rPr>
          <w:rFonts w:ascii="Arial" w:hAnsi="Arial" w:eastAsia="Arial" w:cs="Arial"/>
          <w:sz w:val="22"/>
          <w:szCs w:val="22"/>
        </w:rPr>
      </w:pPr>
      <w:r w:rsidRPr="533CB548" w:rsidR="19B48C44">
        <w:rPr>
          <w:rFonts w:ascii="Arial" w:hAnsi="Arial" w:eastAsia="Arial" w:cs="Arial"/>
          <w:sz w:val="22"/>
          <w:szCs w:val="22"/>
        </w:rPr>
        <w:t>Recommended response</w:t>
      </w:r>
    </w:p>
    <w:p w:rsidR="00A4551B" w:rsidP="533CB548" w:rsidRDefault="2B9077C4" w14:paraId="1A069630" w14:textId="3A2782DE">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0CB91236" w14:textId="479FCADB">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First: Birmingham should look at the level of unmet need in the ward. These should be available for waiting times for assessment, referrals that were not accepted, missed visits, and evenings difficulties with assistance. Officers to engage with residents/ carers/ providers in discussion. All materials need to be accessible in formats that people can utilize, along with provision for interpretation services as necessary. Section 9 identifies the requirement for an assessment if an adult does 'seem to require' care and support </w:t>
      </w:r>
      <w:r w:rsidRPr="533CB548" w:rsidR="56040E3E">
        <w:rPr>
          <w:rFonts w:ascii="Arial" w:hAnsi="Arial" w:eastAsia="Arial" w:cs="Arial"/>
          <w:sz w:val="22"/>
          <w:szCs w:val="22"/>
        </w:rPr>
        <w:t>even though</w:t>
      </w:r>
      <w:r w:rsidRPr="533CB548" w:rsidR="19B48C44">
        <w:rPr>
          <w:rFonts w:ascii="Arial" w:hAnsi="Arial" w:eastAsia="Arial" w:cs="Arial"/>
          <w:sz w:val="22"/>
          <w:szCs w:val="22"/>
        </w:rPr>
        <w:t xml:space="preserve"> it may be due to insufficient finances. The assessment should distinguish between services and eligibility/service charges. This then would be followed by fulfilling eligible needs, as outlined in Section 18 (Care Act 2014).</w:t>
      </w:r>
    </w:p>
    <w:p w:rsidR="00A4551B" w:rsidP="533CB548" w:rsidRDefault="2B9077C4" w14:paraId="3673DC00" w14:textId="2BF487D4">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Second, commissioners need to consider provider capacity and contract terms. Section 5 outlines work to advertise and support diversification and sustainability of the market, able to deliver good services. I recommend reasonable travel time for the itinerary, adequate training opportunities, and adequate staff coverage. Monitoring must be transparent and open. The cheapest visits might </w:t>
      </w:r>
      <w:r w:rsidRPr="533CB548" w:rsidR="38E90F21">
        <w:rPr>
          <w:rFonts w:ascii="Arial" w:hAnsi="Arial" w:eastAsia="Arial" w:cs="Arial"/>
          <w:sz w:val="22"/>
          <w:szCs w:val="22"/>
        </w:rPr>
        <w:t>reflect</w:t>
      </w:r>
      <w:r w:rsidRPr="533CB548" w:rsidR="19B48C44">
        <w:rPr>
          <w:rFonts w:ascii="Arial" w:hAnsi="Arial" w:eastAsia="Arial" w:cs="Arial"/>
          <w:sz w:val="22"/>
          <w:szCs w:val="22"/>
        </w:rPr>
        <w:t xml:space="preserve"> extended call durations and greater staff turnover. </w:t>
      </w:r>
    </w:p>
    <w:p w:rsidR="00A4551B" w:rsidP="533CB548" w:rsidRDefault="2B9077C4" w14:paraId="7F24B766" w14:textId="06DF7D13">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Thirdly, it is important that prevention occur simultaneously with any growth. In the two sections (1 and 2) the wellbeing and prevention are central functions of what local authorities are required to do under the Care Act 2014. Occupational therapy, home modifications and reablement can be useful in regaining skills needed for daily life. These should include steps that align with valued and desired things. </w:t>
      </w:r>
      <w:r w:rsidRPr="533CB548" w:rsidR="4B814D52">
        <w:rPr>
          <w:rFonts w:ascii="Arial" w:hAnsi="Arial" w:eastAsia="Arial" w:cs="Arial"/>
          <w:sz w:val="22"/>
          <w:szCs w:val="22"/>
        </w:rPr>
        <w:t>If</w:t>
      </w:r>
      <w:r w:rsidRPr="533CB548" w:rsidR="19B48C44">
        <w:rPr>
          <w:rFonts w:ascii="Arial" w:hAnsi="Arial" w:eastAsia="Arial" w:cs="Arial"/>
          <w:sz w:val="22"/>
          <w:szCs w:val="22"/>
        </w:rPr>
        <w:t xml:space="preserve"> there is no hope for safety and independence, care should persist. </w:t>
      </w:r>
    </w:p>
    <w:p w:rsidR="00A4551B" w:rsidP="533CB548" w:rsidRDefault="2B9077C4" w14:paraId="70AFB1E1" w14:textId="20013742">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Fourthly, the council needs to do more to connect social workers, home care, GP and community nurses. Integrated neighbourhood working is already in evidence in Birmingham. However, there are </w:t>
      </w:r>
      <w:r w:rsidRPr="533CB548" w:rsidR="4B814D52">
        <w:rPr>
          <w:rFonts w:ascii="Arial" w:hAnsi="Arial" w:eastAsia="Arial" w:cs="Arial"/>
          <w:sz w:val="22"/>
          <w:szCs w:val="22"/>
        </w:rPr>
        <w:t>often</w:t>
      </w:r>
      <w:r w:rsidRPr="533CB548" w:rsidR="19B48C44">
        <w:rPr>
          <w:rFonts w:ascii="Arial" w:hAnsi="Arial" w:eastAsia="Arial" w:cs="Arial"/>
          <w:sz w:val="22"/>
          <w:szCs w:val="22"/>
        </w:rPr>
        <w:t xml:space="preserve"> where handovers can be clumsy and there is a need to improve </w:t>
      </w:r>
      <w:r w:rsidRPr="533CB548" w:rsidR="19B48C44">
        <w:rPr>
          <w:rFonts w:ascii="Arial" w:hAnsi="Arial" w:eastAsia="Arial" w:cs="Arial"/>
          <w:sz w:val="22"/>
          <w:szCs w:val="22"/>
        </w:rPr>
        <w:t>communication during transition (CQC, 2026). One coordinator would help and one agreed care plan to adhere to. Records also matter. Notes to include preferences; notes made as to visits completed; medication concerns; when concerns escalated. Information sharing must follow the law and be sensible in scope and secure.</w:t>
      </w:r>
    </w:p>
    <w:p w:rsidR="00A4551B" w:rsidP="533CB548" w:rsidRDefault="2B9077C4" w14:paraId="71EAC624" w14:textId="7DC6B599">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Lastly, test the plan. Take advantage of a paid pilot for six months only; do not proceed without funding. NICE (2015) support visits that are long enough and staff are consistent. However, it is wrong to rely only one measure for monitoring. It should consider length and continuity of visits as well as the waiting time and missed visits, and residents' views on wellbeing. Should review monthly. Those discussions should be attended by carers and providers. If the council adopts an expanded approach, it should reflect the fact that outcomes are better - not that more visits have been offered. It is essential that residents receive clear, up to date reports on progress. </w:t>
      </w:r>
    </w:p>
    <w:p w:rsidR="00A4551B" w:rsidP="533CB548" w:rsidRDefault="00A4551B" w14:paraId="699DD43B" w14:textId="535C2E6F">
      <w:pPr>
        <w:spacing w:line="360" w:lineRule="auto"/>
        <w:jc w:val="both"/>
        <w:rPr>
          <w:rFonts w:ascii="Arial" w:hAnsi="Arial" w:eastAsia="Arial" w:cs="Arial"/>
          <w:sz w:val="22"/>
          <w:szCs w:val="22"/>
        </w:rPr>
      </w:pPr>
    </w:p>
    <w:p w:rsidR="00A4551B" w:rsidP="533CB548" w:rsidRDefault="2B9077C4" w14:paraId="213E9C04" w14:textId="28A66498">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61304B02" w14:textId="30B4AF30">
      <w:pPr>
        <w:spacing w:line="360" w:lineRule="auto"/>
        <w:jc w:val="both"/>
        <w:rPr>
          <w:rFonts w:ascii="Arial" w:hAnsi="Arial" w:eastAsia="Arial" w:cs="Arial"/>
          <w:sz w:val="22"/>
          <w:szCs w:val="22"/>
        </w:rPr>
      </w:pPr>
      <w:r w:rsidRPr="533CB548" w:rsidR="19B48C44">
        <w:rPr>
          <w:rFonts w:ascii="Arial" w:hAnsi="Arial" w:eastAsia="Arial" w:cs="Arial"/>
          <w:sz w:val="22"/>
          <w:szCs w:val="22"/>
        </w:rPr>
        <w:t>Conclusion</w:t>
      </w:r>
    </w:p>
    <w:p w:rsidR="00A4551B" w:rsidP="533CB548" w:rsidRDefault="2B9077C4" w14:paraId="17C8D0FB" w14:textId="0E3F5619">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5361F952" w14:textId="768187A1">
      <w:pPr>
        <w:spacing w:line="360" w:lineRule="auto"/>
        <w:jc w:val="both"/>
        <w:rPr>
          <w:rFonts w:ascii="Arial" w:hAnsi="Arial" w:eastAsia="Arial" w:cs="Arial"/>
          <w:sz w:val="22"/>
          <w:szCs w:val="22"/>
        </w:rPr>
      </w:pPr>
      <w:r w:rsidRPr="533CB548" w:rsidR="19B48C44">
        <w:rPr>
          <w:rFonts w:ascii="Arial" w:hAnsi="Arial" w:eastAsia="Arial" w:cs="Arial"/>
          <w:sz w:val="22"/>
          <w:szCs w:val="22"/>
        </w:rPr>
        <w:t>Councillor Wood should ask for an assessment of the ward and a costed proposal for improvements. Care Act implementation is about the dignity of the individual, supporting carers and increasing sustainable provision. His practical approach in terms of targeted commissioning, prevention and partnership working based on accountability seems to avoid sweeping assumptions about local needs and shortages.</w:t>
      </w:r>
    </w:p>
    <w:p w:rsidR="00A4551B" w:rsidP="533CB548" w:rsidRDefault="2B9077C4" w14:paraId="4E45EA4C" w14:textId="627F9EBB">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6B102123" w14:textId="3AE2E801">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7F27817D" w14:textId="2D877BF3">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0AD70018" w14:textId="207CE839">
      <w:pPr>
        <w:spacing w:line="360" w:lineRule="auto"/>
        <w:jc w:val="both"/>
        <w:rPr>
          <w:rFonts w:ascii="Arial" w:hAnsi="Arial" w:eastAsia="Arial" w:cs="Arial"/>
          <w:sz w:val="22"/>
          <w:szCs w:val="22"/>
        </w:rPr>
      </w:pPr>
      <w:r w:rsidRPr="533CB548" w:rsidR="19B48C44">
        <w:rPr>
          <w:rFonts w:ascii="Arial" w:hAnsi="Arial" w:eastAsia="Arial" w:cs="Arial"/>
          <w:sz w:val="22"/>
          <w:szCs w:val="22"/>
        </w:rPr>
        <w:t>Task 2: Pharmacy services in England</w:t>
      </w:r>
    </w:p>
    <w:p w:rsidR="00A4551B" w:rsidP="533CB548" w:rsidRDefault="2B9077C4" w14:paraId="56EEBF3F" w14:textId="7A1B9F53">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 </w:t>
      </w:r>
    </w:p>
    <w:p w:rsidR="00A4551B" w:rsidP="533CB548" w:rsidRDefault="2B9077C4" w14:paraId="5CF3378F" w14:textId="792C6AA0">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Community Pharmacy is a part of health care. It assists people to obtain medicines as well as advice, prevention, and treatment. </w:t>
      </w:r>
      <w:r w:rsidRPr="533CB548" w:rsidR="36FE9949">
        <w:rPr>
          <w:rFonts w:ascii="Arial" w:hAnsi="Arial" w:eastAsia="Arial" w:cs="Arial"/>
          <w:sz w:val="22"/>
          <w:szCs w:val="22"/>
        </w:rPr>
        <w:t>Its</w:t>
      </w:r>
      <w:r w:rsidRPr="533CB548" w:rsidR="19B48C44">
        <w:rPr>
          <w:rFonts w:ascii="Arial" w:hAnsi="Arial" w:eastAsia="Arial" w:cs="Arial"/>
          <w:sz w:val="22"/>
          <w:szCs w:val="22"/>
        </w:rPr>
        <w:t xml:space="preserve"> development </w:t>
      </w:r>
      <w:r w:rsidRPr="533CB548" w:rsidR="12AF0807">
        <w:rPr>
          <w:rFonts w:ascii="Arial" w:hAnsi="Arial" w:eastAsia="Arial" w:cs="Arial"/>
          <w:sz w:val="22"/>
          <w:szCs w:val="22"/>
        </w:rPr>
        <w:t>relates to</w:t>
      </w:r>
      <w:r w:rsidRPr="533CB548" w:rsidR="19B48C44">
        <w:rPr>
          <w:rFonts w:ascii="Arial" w:hAnsi="Arial" w:eastAsia="Arial" w:cs="Arial"/>
          <w:sz w:val="22"/>
          <w:szCs w:val="22"/>
        </w:rPr>
        <w:t xml:space="preserve"> new science, professional regulations, and public awareness. This essay considers the origins of the community pharmacy and examines the current roles of the pharmacy in England. It further states that there are </w:t>
      </w:r>
      <w:r w:rsidRPr="533CB548" w:rsidR="19B48C44">
        <w:rPr>
          <w:rFonts w:ascii="Arial" w:hAnsi="Arial" w:eastAsia="Arial" w:cs="Arial"/>
          <w:sz w:val="22"/>
          <w:szCs w:val="22"/>
        </w:rPr>
        <w:t>different arrangements in the UK for pharmacies. But Pharmacy can help make it convenient and independent these days. Regardless, its success will depend on resources, clear communication, and strict boundaries for clinical care.</w:t>
      </w:r>
    </w:p>
    <w:p w:rsidR="00A4551B" w:rsidP="533CB548" w:rsidRDefault="001FDD4F" w14:paraId="1548C534" w14:textId="786D2691">
      <w:pPr>
        <w:spacing w:line="360" w:lineRule="auto"/>
        <w:jc w:val="both"/>
        <w:rPr>
          <w:rFonts w:ascii="Arial" w:hAnsi="Arial" w:eastAsia="Arial" w:cs="Arial"/>
          <w:sz w:val="22"/>
          <w:szCs w:val="22"/>
        </w:rPr>
      </w:pPr>
      <w:r w:rsidRPr="533CB548" w:rsidR="683C54DF">
        <w:rPr>
          <w:rFonts w:ascii="Arial" w:hAnsi="Arial" w:eastAsia="Arial" w:cs="Arial"/>
          <w:sz w:val="22"/>
          <w:szCs w:val="22"/>
        </w:rPr>
        <w:t>Apothecaries</w:t>
      </w:r>
      <w:r w:rsidRPr="533CB548" w:rsidR="19B48C44">
        <w:rPr>
          <w:rFonts w:ascii="Arial" w:hAnsi="Arial" w:eastAsia="Arial" w:cs="Arial"/>
          <w:sz w:val="22"/>
          <w:szCs w:val="22"/>
        </w:rPr>
        <w:t xml:space="preserve"> were the beginning of the Pharmacy</w:t>
      </w:r>
      <w:r w:rsidRPr="533CB548" w:rsidR="78E18D7A">
        <w:rPr>
          <w:rFonts w:ascii="Arial" w:hAnsi="Arial" w:eastAsia="Arial" w:cs="Arial"/>
          <w:sz w:val="22"/>
          <w:szCs w:val="22"/>
        </w:rPr>
        <w:t xml:space="preserve"> industry</w:t>
      </w:r>
      <w:r w:rsidRPr="533CB548" w:rsidR="19B48C44">
        <w:rPr>
          <w:rFonts w:ascii="Arial" w:hAnsi="Arial" w:eastAsia="Arial" w:cs="Arial"/>
          <w:sz w:val="22"/>
          <w:szCs w:val="22"/>
        </w:rPr>
        <w:t>. They prepared medicines and dispensed them to the sick. A Great Change in London took place in 1617. The apothecaries were dissociated from the Grocers’ Company. Following this split, the responsibility for medication quality was more readily apparent. There was a gradual separation and specialization of the occupations of chemists and druggists. In 1841, the Pharmaceutical Society of Great Britain was set up. It aimed to promote professional inception and education, namely the Royal College of Pharmacy (n.d.) These steps were taken due to concern over skill as well as products which were not always reliable. Thus, professionalisation contributed towards the safety of the public. It also helped to reinforce the business stance of practitioners.</w:t>
      </w:r>
    </w:p>
    <w:p w:rsidR="00A4551B" w:rsidP="533CB548" w:rsidRDefault="2B9077C4" w14:paraId="340BBAF5" w14:textId="07E4E7C2">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In 1948 the NHS came into being. This change resulted in greater responsibility on the part of the pharmacist in dispensing prescriptions. Meanwhile, production of industrial medicines increased. This minimized the pharmacists' need to prepare medicines the old way (Royal College of Pharmacy, n.d.). Pharmacy became more tied to care that was funded through public money. However numerous community facilities continued to operate as individual businesses. This setup has brought about a lengthy feud. It operates in the balance between financial profitability on the one hand and the need to offer a public service on the other. More health promotion and advice giving was required </w:t>
      </w:r>
      <w:r w:rsidRPr="533CB548" w:rsidR="7C187C07">
        <w:rPr>
          <w:rFonts w:ascii="Arial" w:hAnsi="Arial" w:eastAsia="Arial" w:cs="Arial"/>
          <w:sz w:val="22"/>
          <w:szCs w:val="22"/>
        </w:rPr>
        <w:t>later</w:t>
      </w:r>
      <w:r w:rsidRPr="533CB548" w:rsidR="19B48C44">
        <w:rPr>
          <w:rFonts w:ascii="Arial" w:hAnsi="Arial" w:eastAsia="Arial" w:cs="Arial"/>
          <w:sz w:val="22"/>
          <w:szCs w:val="22"/>
        </w:rPr>
        <w:t xml:space="preserve"> from the pharmacists in the policy work. The main point was: No dispensing alone was sufficient to meet the demands of all patients.</w:t>
      </w:r>
    </w:p>
    <w:p w:rsidR="00A4551B" w:rsidP="533CB548" w:rsidRDefault="2B9077C4" w14:paraId="6B695286" w14:textId="1CD97C71">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Currently, the community pharmacists perform the role of medication supplying and clinical checking. The new Pharmacy First service has been launched in England in January 2024. There are seven common conditions which participating pharmacies can pathway manage (NHS England, 2024). Items on the list are shingles and uncomplicated urinary tract infections if they are applicable to the patient, in this case, women. This manner can be set up to make access easier. May also alleviate GP pressure. As convenient as this is, though, an Internet pharmacy </w:t>
      </w:r>
      <w:r w:rsidRPr="533CB548" w:rsidR="3C87A5C1">
        <w:rPr>
          <w:rFonts w:ascii="Arial" w:hAnsi="Arial" w:eastAsia="Arial" w:cs="Arial"/>
          <w:sz w:val="22"/>
          <w:szCs w:val="22"/>
        </w:rPr>
        <w:t>is not</w:t>
      </w:r>
      <w:r w:rsidRPr="533CB548" w:rsidR="19B48C44">
        <w:rPr>
          <w:rFonts w:ascii="Arial" w:hAnsi="Arial" w:eastAsia="Arial" w:cs="Arial"/>
          <w:sz w:val="22"/>
          <w:szCs w:val="22"/>
        </w:rPr>
        <w:t xml:space="preserve"> capable of addressing every symptom. </w:t>
      </w:r>
    </w:p>
    <w:p w:rsidR="00A4551B" w:rsidP="533CB548" w:rsidRDefault="2B9077C4" w14:paraId="24CFA586" w14:textId="4523207C">
      <w:pPr>
        <w:spacing w:line="360" w:lineRule="auto"/>
        <w:jc w:val="both"/>
        <w:rPr>
          <w:rFonts w:ascii="Arial" w:hAnsi="Arial" w:eastAsia="Arial" w:cs="Arial"/>
          <w:sz w:val="22"/>
          <w:szCs w:val="22"/>
        </w:rPr>
      </w:pPr>
      <w:r w:rsidRPr="533CB548" w:rsidR="19B48C44">
        <w:rPr>
          <w:rFonts w:ascii="Arial" w:hAnsi="Arial" w:eastAsia="Arial" w:cs="Arial"/>
          <w:sz w:val="22"/>
          <w:szCs w:val="22"/>
        </w:rPr>
        <w:t>Pharmacists also support at starting medications for chronic conditions. Elliott et al (2016) conducted a randomisation control study of the New Medicine Service. Took part in their 504 participants in 46 pharmacies. Adherence is reported as higher at 10 weeks in the intervention group compared to usual care</w:t>
      </w:r>
      <w:r w:rsidRPr="533CB548" w:rsidR="0842BF75">
        <w:rPr>
          <w:rFonts w:ascii="Arial" w:hAnsi="Arial" w:eastAsia="Arial" w:cs="Arial"/>
          <w:sz w:val="22"/>
          <w:szCs w:val="22"/>
        </w:rPr>
        <w:t>.</w:t>
      </w:r>
    </w:p>
    <w:p w:rsidR="00A4551B" w:rsidP="533CB548" w:rsidRDefault="2B9077C4" w14:paraId="6535D7FC" w14:textId="67F9A41B">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A longer follow up is more conservative. Elliott et al. (2020) found no statistically significant differences in adherence at 26 weeks. There were some dropouts, and it was difficult to determine if effects persisted. All the studies suggest that there is a role for the pharmacist to tackle initial concerns; however, further assistance may be required. This means that services need to consider if this will have persistent outcomes, and if so, whether the patient feels that way, or not: not </w:t>
      </w:r>
      <w:r w:rsidRPr="533CB548" w:rsidR="72F0B0DA">
        <w:rPr>
          <w:rFonts w:ascii="Arial" w:hAnsi="Arial" w:eastAsia="Arial" w:cs="Arial"/>
          <w:sz w:val="22"/>
          <w:szCs w:val="22"/>
        </w:rPr>
        <w:t>if</w:t>
      </w:r>
      <w:r w:rsidRPr="533CB548" w:rsidR="19B48C44">
        <w:rPr>
          <w:rFonts w:ascii="Arial" w:hAnsi="Arial" w:eastAsia="Arial" w:cs="Arial"/>
          <w:sz w:val="22"/>
          <w:szCs w:val="22"/>
        </w:rPr>
        <w:t xml:space="preserve"> one visit to the doctor will solve all experiences with medicine forever.</w:t>
      </w:r>
    </w:p>
    <w:p w:rsidR="00A4551B" w:rsidP="533CB548" w:rsidRDefault="2B9077C4" w14:paraId="20107AE9" w14:textId="5BB2EE36">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If people know more about their care, have fewer problems raising issues in their everyday lives, and enjoy a better quality of life. For example, an individual with a fear of a different medication may receive explanations and find relief prior to them stopping without consulting an individual's advice. Support patient choice with clear explanations and carefully and respectfully listening. </w:t>
      </w:r>
      <w:r w:rsidRPr="533CB548" w:rsidR="073FD4DF">
        <w:rPr>
          <w:rFonts w:ascii="Arial" w:hAnsi="Arial" w:eastAsia="Arial" w:cs="Arial"/>
          <w:sz w:val="22"/>
          <w:szCs w:val="22"/>
        </w:rPr>
        <w:t>Despite</w:t>
      </w:r>
      <w:r w:rsidRPr="533CB548" w:rsidR="19B48C44">
        <w:rPr>
          <w:rFonts w:ascii="Arial" w:hAnsi="Arial" w:eastAsia="Arial" w:cs="Arial"/>
          <w:sz w:val="22"/>
          <w:szCs w:val="22"/>
        </w:rPr>
        <w:t xml:space="preserve"> this, following the rules of adherence should be linked to asking the patient what and how they want or need to take drugs—a question that should not be taken for granted. </w:t>
      </w:r>
    </w:p>
    <w:p w:rsidR="00A4551B" w:rsidP="533CB548" w:rsidRDefault="2B9077C4" w14:paraId="00FC863C" w14:textId="5525A0C8">
      <w:pPr>
        <w:spacing w:line="360" w:lineRule="auto"/>
        <w:jc w:val="both"/>
        <w:rPr>
          <w:rFonts w:ascii="Arial" w:hAnsi="Arial" w:eastAsia="Arial" w:cs="Arial"/>
          <w:sz w:val="22"/>
          <w:szCs w:val="22"/>
        </w:rPr>
      </w:pPr>
      <w:r w:rsidRPr="533CB548" w:rsidR="19B48C44">
        <w:rPr>
          <w:rFonts w:ascii="Arial" w:hAnsi="Arial" w:eastAsia="Arial" w:cs="Arial"/>
          <w:sz w:val="22"/>
          <w:szCs w:val="22"/>
        </w:rPr>
        <w:t xml:space="preserve">Services can only do as much as they can without any cost pressures. A detailed independent evaluation that was commissioned for NHS England highlighted the importance of adequate funding for service work and examined the financial pressures on community pharmacy (Frontier Economics, 2025). Staff members may not be able to provide the same safety and personal attention if the load from clinical duties becomes heavier without an increase of staff or appointment time. Commissioning plans should therefore show the number of activities as well as suitable locations, clear referral pathways and workforce capacity. </w:t>
      </w:r>
    </w:p>
    <w:p w:rsidR="00A4551B" w:rsidP="533CB548" w:rsidRDefault="00A4551B" w14:paraId="5E5787A5" w14:textId="08A2C4CB">
      <w:pPr>
        <w:spacing w:line="360" w:lineRule="auto"/>
        <w:jc w:val="both"/>
        <w:rPr>
          <w:rFonts w:ascii="Arial" w:hAnsi="Arial" w:eastAsia="Arial" w:cs="Arial"/>
          <w:sz w:val="22"/>
          <w:szCs w:val="22"/>
        </w:rPr>
      </w:pPr>
    </w:p>
    <w:p w:rsidR="6442A388" w:rsidP="533CB548" w:rsidRDefault="6442A388" w14:paraId="68FB5A90" w14:textId="4151057F">
      <w:pPr>
        <w:spacing w:line="360" w:lineRule="auto"/>
        <w:jc w:val="both"/>
        <w:rPr>
          <w:rFonts w:ascii="Arial" w:hAnsi="Arial" w:eastAsia="Arial" w:cs="Arial"/>
          <w:sz w:val="22"/>
          <w:szCs w:val="22"/>
        </w:rPr>
      </w:pPr>
    </w:p>
    <w:p w:rsidR="51073E81" w:rsidP="533CB548" w:rsidRDefault="51073E81" w14:paraId="4EB31767" w14:textId="23B063F8">
      <w:pPr>
        <w:pStyle w:val="Heading2"/>
        <w:spacing w:before="299" w:after="299" w:line="360" w:lineRule="auto"/>
        <w:jc w:val="both"/>
        <w:rPr>
          <w:rFonts w:ascii="Arial" w:hAnsi="Arial" w:eastAsia="Arial" w:cs="Arial"/>
          <w:b w:val="1"/>
          <w:bCs w:val="1"/>
          <w:color w:val="auto"/>
          <w:sz w:val="22"/>
          <w:szCs w:val="22"/>
        </w:rPr>
      </w:pPr>
      <w:r w:rsidRPr="533CB548" w:rsidR="762B8CB5">
        <w:rPr>
          <w:rFonts w:ascii="Arial" w:hAnsi="Arial" w:eastAsia="Arial" w:cs="Arial"/>
          <w:b w:val="1"/>
          <w:bCs w:val="1"/>
          <w:color w:val="auto"/>
          <w:sz w:val="22"/>
          <w:szCs w:val="22"/>
        </w:rPr>
        <w:t>Reference list</w:t>
      </w:r>
    </w:p>
    <w:p w:rsidR="51073E81" w:rsidP="533CB548" w:rsidRDefault="51073E81" w14:paraId="4D2E4FD7" w14:textId="7E3BA624">
      <w:pPr>
        <w:spacing w:before="240" w:after="240" w:line="360" w:lineRule="auto"/>
        <w:jc w:val="both"/>
        <w:rPr>
          <w:rFonts w:ascii="Arial" w:hAnsi="Arial" w:eastAsia="Arial" w:cs="Arial"/>
          <w:sz w:val="22"/>
          <w:szCs w:val="22"/>
        </w:rPr>
      </w:pPr>
      <w:r w:rsidRPr="533CB548" w:rsidR="762B8CB5">
        <w:rPr>
          <w:rFonts w:ascii="Arial" w:hAnsi="Arial" w:eastAsia="Arial" w:cs="Arial"/>
          <w:sz w:val="22"/>
          <w:szCs w:val="22"/>
        </w:rPr>
        <w:t xml:space="preserve">Birmingham City Council (n.d.) </w:t>
      </w:r>
      <w:r w:rsidRPr="533CB548" w:rsidR="762B8CB5">
        <w:rPr>
          <w:rFonts w:ascii="Arial" w:hAnsi="Arial" w:eastAsia="Arial" w:cs="Arial"/>
          <w:i w:val="1"/>
          <w:iCs w:val="1"/>
          <w:sz w:val="22"/>
          <w:szCs w:val="22"/>
        </w:rPr>
        <w:t>Councillor Ken Wood: Sutton Walmley &amp; Minworth Ward</w:t>
      </w:r>
      <w:r w:rsidRPr="533CB548" w:rsidR="762B8CB5">
        <w:rPr>
          <w:rFonts w:ascii="Arial" w:hAnsi="Arial" w:eastAsia="Arial" w:cs="Arial"/>
          <w:sz w:val="22"/>
          <w:szCs w:val="22"/>
        </w:rPr>
        <w:t xml:space="preserve">. Available at: </w:t>
      </w:r>
      <w:hyperlink r:id="Rbc4af6a353954999">
        <w:r w:rsidRPr="533CB548" w:rsidR="762B8CB5">
          <w:rPr>
            <w:rStyle w:val="Hyperlink"/>
            <w:rFonts w:ascii="Arial" w:hAnsi="Arial" w:eastAsia="Arial" w:cs="Arial"/>
            <w:sz w:val="22"/>
            <w:szCs w:val="22"/>
          </w:rPr>
          <w:t>https://www.birmingham.gov.uk/councillors/119/ken_wood</w:t>
        </w:r>
      </w:hyperlink>
      <w:r w:rsidRPr="533CB548" w:rsidR="762B8CB5">
        <w:rPr>
          <w:rFonts w:ascii="Arial" w:hAnsi="Arial" w:eastAsia="Arial" w:cs="Arial"/>
          <w:sz w:val="22"/>
          <w:szCs w:val="22"/>
        </w:rPr>
        <w:t xml:space="preserve"> (Accessed: 6 October 2026).</w:t>
      </w:r>
    </w:p>
    <w:p w:rsidR="51073E81" w:rsidP="533CB548" w:rsidRDefault="51073E81" w14:paraId="754F17D5" w14:textId="605FA81A">
      <w:pPr>
        <w:spacing w:before="240" w:after="240" w:line="360" w:lineRule="auto"/>
        <w:jc w:val="both"/>
        <w:rPr>
          <w:rFonts w:ascii="Arial" w:hAnsi="Arial" w:eastAsia="Arial" w:cs="Arial"/>
          <w:sz w:val="22"/>
          <w:szCs w:val="22"/>
        </w:rPr>
      </w:pPr>
      <w:r w:rsidRPr="533CB548" w:rsidR="762B8CB5">
        <w:rPr>
          <w:rFonts w:ascii="Arial" w:hAnsi="Arial" w:eastAsia="Arial" w:cs="Arial"/>
          <w:i w:val="1"/>
          <w:iCs w:val="1"/>
          <w:sz w:val="22"/>
          <w:szCs w:val="22"/>
        </w:rPr>
        <w:t>Care Act 2014</w:t>
      </w:r>
      <w:r w:rsidRPr="533CB548" w:rsidR="762B8CB5">
        <w:rPr>
          <w:rFonts w:ascii="Arial" w:hAnsi="Arial" w:eastAsia="Arial" w:cs="Arial"/>
          <w:sz w:val="22"/>
          <w:szCs w:val="22"/>
        </w:rPr>
        <w:t xml:space="preserve">, c. 23, Part 1. Available at: </w:t>
      </w:r>
      <w:hyperlink r:id="Rdfacfb5d60b947c9">
        <w:r w:rsidRPr="533CB548" w:rsidR="762B8CB5">
          <w:rPr>
            <w:rStyle w:val="Hyperlink"/>
            <w:rFonts w:ascii="Arial" w:hAnsi="Arial" w:eastAsia="Arial" w:cs="Arial"/>
            <w:sz w:val="22"/>
            <w:szCs w:val="22"/>
          </w:rPr>
          <w:t>https://www.legislation.gov.uk/ukpga/2014/23/part/1</w:t>
        </w:r>
      </w:hyperlink>
      <w:r w:rsidRPr="533CB548" w:rsidR="762B8CB5">
        <w:rPr>
          <w:rFonts w:ascii="Arial" w:hAnsi="Arial" w:eastAsia="Arial" w:cs="Arial"/>
          <w:sz w:val="22"/>
          <w:szCs w:val="22"/>
        </w:rPr>
        <w:t xml:space="preserve"> (Accessed: 6 October 2026).</w:t>
      </w:r>
    </w:p>
    <w:p w:rsidR="51073E81" w:rsidP="533CB548" w:rsidRDefault="51073E81" w14:paraId="3F149882" w14:textId="21699544">
      <w:pPr>
        <w:spacing w:before="240" w:after="240" w:line="360" w:lineRule="auto"/>
        <w:jc w:val="both"/>
        <w:rPr>
          <w:rFonts w:ascii="Arial" w:hAnsi="Arial" w:eastAsia="Arial" w:cs="Arial"/>
          <w:sz w:val="22"/>
          <w:szCs w:val="22"/>
        </w:rPr>
      </w:pPr>
      <w:r w:rsidRPr="533CB548" w:rsidR="762B8CB5">
        <w:rPr>
          <w:rFonts w:ascii="Arial" w:hAnsi="Arial" w:eastAsia="Arial" w:cs="Arial"/>
          <w:sz w:val="22"/>
          <w:szCs w:val="22"/>
        </w:rPr>
        <w:t xml:space="preserve">Care Quality Commission (CQC) (2026) </w:t>
      </w:r>
      <w:r w:rsidRPr="533CB548" w:rsidR="762B8CB5">
        <w:rPr>
          <w:rFonts w:ascii="Arial" w:hAnsi="Arial" w:eastAsia="Arial" w:cs="Arial"/>
          <w:i w:val="1"/>
          <w:iCs w:val="1"/>
          <w:sz w:val="22"/>
          <w:szCs w:val="22"/>
        </w:rPr>
        <w:t>Birmingham City Council: local authority assessment – overall summary</w:t>
      </w:r>
      <w:r w:rsidRPr="533CB548" w:rsidR="762B8CB5">
        <w:rPr>
          <w:rFonts w:ascii="Arial" w:hAnsi="Arial" w:eastAsia="Arial" w:cs="Arial"/>
          <w:sz w:val="22"/>
          <w:szCs w:val="22"/>
        </w:rPr>
        <w:t xml:space="preserve">. Available at: </w:t>
      </w:r>
      <w:hyperlink r:id="Rf9218eb573474e7c">
        <w:r w:rsidRPr="533CB548" w:rsidR="762B8CB5">
          <w:rPr>
            <w:rStyle w:val="Hyperlink"/>
            <w:rFonts w:ascii="Arial" w:hAnsi="Arial" w:eastAsia="Arial" w:cs="Arial"/>
            <w:sz w:val="22"/>
            <w:szCs w:val="22"/>
          </w:rPr>
          <w:t>https://www.cqc.org.uk/care-services/local-authority-assessment-reports/birmingham-0526/summary</w:t>
        </w:r>
      </w:hyperlink>
      <w:r w:rsidRPr="533CB548" w:rsidR="762B8CB5">
        <w:rPr>
          <w:rFonts w:ascii="Arial" w:hAnsi="Arial" w:eastAsia="Arial" w:cs="Arial"/>
          <w:sz w:val="22"/>
          <w:szCs w:val="22"/>
        </w:rPr>
        <w:t xml:space="preserve"> (Accessed: 6 October 2026).</w:t>
      </w:r>
    </w:p>
    <w:p w:rsidR="51073E81" w:rsidP="533CB548" w:rsidRDefault="51073E81" w14:paraId="695C21C3" w14:textId="785AE57E">
      <w:pPr>
        <w:spacing w:before="240" w:after="240" w:line="360" w:lineRule="auto"/>
        <w:jc w:val="both"/>
        <w:rPr>
          <w:rFonts w:ascii="Arial" w:hAnsi="Arial" w:eastAsia="Arial" w:cs="Arial"/>
          <w:sz w:val="22"/>
          <w:szCs w:val="22"/>
        </w:rPr>
      </w:pPr>
      <w:r w:rsidRPr="533CB548" w:rsidR="762B8CB5">
        <w:rPr>
          <w:rFonts w:ascii="Arial" w:hAnsi="Arial" w:eastAsia="Arial" w:cs="Arial"/>
          <w:sz w:val="22"/>
          <w:szCs w:val="22"/>
        </w:rPr>
        <w:t xml:space="preserve">Elliott, R.A., Boyd, M.J., Salema, N.-E., Davies, J., Barber, N., Mehta, R.L., Tanajewski, L., Waring, J., Latif, A., Gkountouras, G., Avery, A.J., Chuter, A. and Craig, C. (2016) ‘Supporting adherence for people starting a new medication for a long-term condition through community pharmacies: a pragmatic randomised controlled trial of the New Medicine Service’, </w:t>
      </w:r>
      <w:r w:rsidRPr="533CB548" w:rsidR="762B8CB5">
        <w:rPr>
          <w:rFonts w:ascii="Arial" w:hAnsi="Arial" w:eastAsia="Arial" w:cs="Arial"/>
          <w:i w:val="1"/>
          <w:iCs w:val="1"/>
          <w:sz w:val="22"/>
          <w:szCs w:val="22"/>
        </w:rPr>
        <w:t>BMJ Quality &amp; Safety</w:t>
      </w:r>
      <w:r w:rsidRPr="533CB548" w:rsidR="762B8CB5">
        <w:rPr>
          <w:rFonts w:ascii="Arial" w:hAnsi="Arial" w:eastAsia="Arial" w:cs="Arial"/>
          <w:sz w:val="22"/>
          <w:szCs w:val="22"/>
        </w:rPr>
        <w:t xml:space="preserve">, 25(10), pp. 747–758. Available at: </w:t>
      </w:r>
      <w:hyperlink r:id="Rf1ed676699e74e8f">
        <w:r w:rsidRPr="533CB548" w:rsidR="762B8CB5">
          <w:rPr>
            <w:rStyle w:val="Hyperlink"/>
            <w:rFonts w:ascii="Arial" w:hAnsi="Arial" w:eastAsia="Arial" w:cs="Arial"/>
            <w:sz w:val="22"/>
            <w:szCs w:val="22"/>
          </w:rPr>
          <w:t>https://doi.org/10.1136/bmjqs-2015-004400</w:t>
        </w:r>
      </w:hyperlink>
      <w:r w:rsidRPr="533CB548" w:rsidR="762B8CB5">
        <w:rPr>
          <w:rFonts w:ascii="Arial" w:hAnsi="Arial" w:eastAsia="Arial" w:cs="Arial"/>
          <w:sz w:val="22"/>
          <w:szCs w:val="22"/>
        </w:rPr>
        <w:t>.</w:t>
      </w:r>
    </w:p>
    <w:p w:rsidR="51073E81" w:rsidP="533CB548" w:rsidRDefault="51073E81" w14:paraId="622F4C81" w14:textId="06E4AEF5">
      <w:pPr>
        <w:spacing w:before="240" w:after="240" w:line="360" w:lineRule="auto"/>
        <w:jc w:val="both"/>
        <w:rPr>
          <w:rFonts w:ascii="Arial" w:hAnsi="Arial" w:eastAsia="Arial" w:cs="Arial"/>
          <w:sz w:val="22"/>
          <w:szCs w:val="22"/>
        </w:rPr>
      </w:pPr>
      <w:r w:rsidRPr="533CB548" w:rsidR="762B8CB5">
        <w:rPr>
          <w:rFonts w:ascii="Arial" w:hAnsi="Arial" w:eastAsia="Arial" w:cs="Arial"/>
          <w:sz w:val="22"/>
          <w:szCs w:val="22"/>
        </w:rPr>
        <w:t xml:space="preserve">Elliott, R.A., Boyd, M.J., Tanajewski, L., Barber, N., Gkountouras, G., Avery, A.J., Mehta, R., Davies, J.E., Salema, N.-E., Craig, C., Latif, A., Waring, J. and Chuter, A. (2020) ‘New Medicine Service: supporting adherence in people starting a new medication for a long-term condition: 26-week follow-up of a pragmatic randomised controlled trial’, </w:t>
      </w:r>
      <w:r w:rsidRPr="533CB548" w:rsidR="762B8CB5">
        <w:rPr>
          <w:rFonts w:ascii="Arial" w:hAnsi="Arial" w:eastAsia="Arial" w:cs="Arial"/>
          <w:i w:val="1"/>
          <w:iCs w:val="1"/>
          <w:sz w:val="22"/>
          <w:szCs w:val="22"/>
        </w:rPr>
        <w:t>BMJ Quality &amp; Safety</w:t>
      </w:r>
      <w:r w:rsidRPr="533CB548" w:rsidR="762B8CB5">
        <w:rPr>
          <w:rFonts w:ascii="Arial" w:hAnsi="Arial" w:eastAsia="Arial" w:cs="Arial"/>
          <w:sz w:val="22"/>
          <w:szCs w:val="22"/>
        </w:rPr>
        <w:t xml:space="preserve">, 29(4), pp. 286–295. Available at: </w:t>
      </w:r>
      <w:hyperlink r:id="R2904bc93f205448f">
        <w:r w:rsidRPr="533CB548" w:rsidR="762B8CB5">
          <w:rPr>
            <w:rStyle w:val="Hyperlink"/>
            <w:rFonts w:ascii="Arial" w:hAnsi="Arial" w:eastAsia="Arial" w:cs="Arial"/>
            <w:sz w:val="22"/>
            <w:szCs w:val="22"/>
          </w:rPr>
          <w:t>https://doi.org/10.1136/bmjqs-2018-009177</w:t>
        </w:r>
      </w:hyperlink>
      <w:r w:rsidRPr="533CB548" w:rsidR="762B8CB5">
        <w:rPr>
          <w:rFonts w:ascii="Arial" w:hAnsi="Arial" w:eastAsia="Arial" w:cs="Arial"/>
          <w:sz w:val="22"/>
          <w:szCs w:val="22"/>
        </w:rPr>
        <w:t>.</w:t>
      </w:r>
    </w:p>
    <w:p w:rsidR="51073E81" w:rsidP="533CB548" w:rsidRDefault="51073E81" w14:paraId="0EB5406D" w14:textId="1755966A">
      <w:pPr>
        <w:spacing w:before="240" w:after="240" w:line="360" w:lineRule="auto"/>
        <w:jc w:val="both"/>
        <w:rPr>
          <w:rFonts w:ascii="Arial" w:hAnsi="Arial" w:eastAsia="Arial" w:cs="Arial"/>
          <w:sz w:val="22"/>
          <w:szCs w:val="22"/>
        </w:rPr>
      </w:pPr>
      <w:r w:rsidRPr="533CB548" w:rsidR="762B8CB5">
        <w:rPr>
          <w:rFonts w:ascii="Arial" w:hAnsi="Arial" w:eastAsia="Arial" w:cs="Arial"/>
          <w:sz w:val="22"/>
          <w:szCs w:val="22"/>
        </w:rPr>
        <w:t xml:space="preserve">Frontier Economics (2025) </w:t>
      </w:r>
      <w:r w:rsidRPr="533CB548" w:rsidR="762B8CB5">
        <w:rPr>
          <w:rFonts w:ascii="Arial" w:hAnsi="Arial" w:eastAsia="Arial" w:cs="Arial"/>
          <w:i w:val="1"/>
          <w:iCs w:val="1"/>
          <w:sz w:val="22"/>
          <w:szCs w:val="22"/>
        </w:rPr>
        <w:t>Economic analysis of the pharmacy sector</w:t>
      </w:r>
      <w:r w:rsidRPr="533CB548" w:rsidR="762B8CB5">
        <w:rPr>
          <w:rFonts w:ascii="Arial" w:hAnsi="Arial" w:eastAsia="Arial" w:cs="Arial"/>
          <w:sz w:val="22"/>
          <w:szCs w:val="22"/>
        </w:rPr>
        <w:t xml:space="preserve">. 28 March. Available at: </w:t>
      </w:r>
      <w:hyperlink r:id="R4b982a68c4ba40ec">
        <w:r w:rsidRPr="533CB548" w:rsidR="762B8CB5">
          <w:rPr>
            <w:rStyle w:val="Hyperlink"/>
            <w:rFonts w:ascii="Arial" w:hAnsi="Arial" w:eastAsia="Arial" w:cs="Arial"/>
            <w:sz w:val="22"/>
            <w:szCs w:val="22"/>
          </w:rPr>
          <w:t>https://www.frontier-economics.com/uk/en/news-and-insights/news/news-article-i20739-economic-analysis-of-the-pharmacy-sector/</w:t>
        </w:r>
      </w:hyperlink>
      <w:r w:rsidRPr="533CB548" w:rsidR="762B8CB5">
        <w:rPr>
          <w:rFonts w:ascii="Arial" w:hAnsi="Arial" w:eastAsia="Arial" w:cs="Arial"/>
          <w:sz w:val="22"/>
          <w:szCs w:val="22"/>
        </w:rPr>
        <w:t xml:space="preserve"> (Accessed: 6 October 2026).</w:t>
      </w:r>
    </w:p>
    <w:p w:rsidR="51073E81" w:rsidP="533CB548" w:rsidRDefault="51073E81" w14:paraId="2A2760B7" w14:textId="1D4DF2E8">
      <w:pPr>
        <w:spacing w:before="240" w:after="240" w:line="360" w:lineRule="auto"/>
        <w:jc w:val="both"/>
        <w:rPr>
          <w:rFonts w:ascii="Arial" w:hAnsi="Arial" w:eastAsia="Arial" w:cs="Arial"/>
          <w:sz w:val="22"/>
          <w:szCs w:val="22"/>
        </w:rPr>
      </w:pPr>
      <w:r w:rsidRPr="533CB548" w:rsidR="762B8CB5">
        <w:rPr>
          <w:rFonts w:ascii="Arial" w:hAnsi="Arial" w:eastAsia="Arial" w:cs="Arial"/>
          <w:sz w:val="22"/>
          <w:szCs w:val="22"/>
        </w:rPr>
        <w:t xml:space="preserve">National Institute for Health and Care Excellence (NICE) (2015) </w:t>
      </w:r>
      <w:r w:rsidRPr="533CB548" w:rsidR="762B8CB5">
        <w:rPr>
          <w:rFonts w:ascii="Arial" w:hAnsi="Arial" w:eastAsia="Arial" w:cs="Arial"/>
          <w:i w:val="1"/>
          <w:iCs w:val="1"/>
          <w:sz w:val="22"/>
          <w:szCs w:val="22"/>
        </w:rPr>
        <w:t>Home care: delivering personal care and practical support to older people living in their own homes</w:t>
      </w:r>
      <w:r w:rsidRPr="533CB548" w:rsidR="762B8CB5">
        <w:rPr>
          <w:rFonts w:ascii="Arial" w:hAnsi="Arial" w:eastAsia="Arial" w:cs="Arial"/>
          <w:sz w:val="22"/>
          <w:szCs w:val="22"/>
        </w:rPr>
        <w:t xml:space="preserve">. NICE guideline NG21. Available at: </w:t>
      </w:r>
      <w:hyperlink r:id="R0371d380a7584f97">
        <w:r w:rsidRPr="533CB548" w:rsidR="762B8CB5">
          <w:rPr>
            <w:rStyle w:val="Hyperlink"/>
            <w:rFonts w:ascii="Arial" w:hAnsi="Arial" w:eastAsia="Arial" w:cs="Arial"/>
            <w:sz w:val="22"/>
            <w:szCs w:val="22"/>
          </w:rPr>
          <w:t>https://www.nice.org.uk/guidance/ng21/chapter/recommendations</w:t>
        </w:r>
      </w:hyperlink>
      <w:r w:rsidRPr="533CB548" w:rsidR="762B8CB5">
        <w:rPr>
          <w:rFonts w:ascii="Arial" w:hAnsi="Arial" w:eastAsia="Arial" w:cs="Arial"/>
          <w:sz w:val="22"/>
          <w:szCs w:val="22"/>
        </w:rPr>
        <w:t xml:space="preserve"> (Accessed: 6 October 2026).</w:t>
      </w:r>
    </w:p>
    <w:p w:rsidR="51073E81" w:rsidP="533CB548" w:rsidRDefault="51073E81" w14:paraId="08560659" w14:textId="7FADF82C">
      <w:pPr>
        <w:spacing w:before="240" w:after="240" w:line="360" w:lineRule="auto"/>
        <w:jc w:val="both"/>
        <w:rPr>
          <w:rFonts w:ascii="Arial" w:hAnsi="Arial" w:eastAsia="Arial" w:cs="Arial"/>
          <w:sz w:val="22"/>
          <w:szCs w:val="22"/>
        </w:rPr>
      </w:pPr>
      <w:r w:rsidRPr="533CB548" w:rsidR="762B8CB5">
        <w:rPr>
          <w:rFonts w:ascii="Arial" w:hAnsi="Arial" w:eastAsia="Arial" w:cs="Arial"/>
          <w:sz w:val="22"/>
          <w:szCs w:val="22"/>
        </w:rPr>
        <w:t xml:space="preserve">NHS England (2024) </w:t>
      </w:r>
      <w:r w:rsidRPr="533CB548" w:rsidR="762B8CB5">
        <w:rPr>
          <w:rFonts w:ascii="Arial" w:hAnsi="Arial" w:eastAsia="Arial" w:cs="Arial"/>
          <w:i w:val="1"/>
          <w:iCs w:val="1"/>
          <w:sz w:val="22"/>
          <w:szCs w:val="22"/>
        </w:rPr>
        <w:t>Launch of NHS Pharmacy First advanced service</w:t>
      </w:r>
      <w:r w:rsidRPr="533CB548" w:rsidR="762B8CB5">
        <w:rPr>
          <w:rFonts w:ascii="Arial" w:hAnsi="Arial" w:eastAsia="Arial" w:cs="Arial"/>
          <w:sz w:val="22"/>
          <w:szCs w:val="22"/>
        </w:rPr>
        <w:t xml:space="preserve">. 25 January. Available at: </w:t>
      </w:r>
      <w:hyperlink r:id="R634c9f9c30c040d8">
        <w:r w:rsidRPr="533CB548" w:rsidR="762B8CB5">
          <w:rPr>
            <w:rStyle w:val="Hyperlink"/>
            <w:rFonts w:ascii="Arial" w:hAnsi="Arial" w:eastAsia="Arial" w:cs="Arial"/>
            <w:sz w:val="22"/>
            <w:szCs w:val="22"/>
          </w:rPr>
          <w:t>https://www.england.nhs.uk/long-read/launch-of-nhs-pharmacy-first-advanced-service/</w:t>
        </w:r>
      </w:hyperlink>
      <w:r w:rsidRPr="533CB548" w:rsidR="762B8CB5">
        <w:rPr>
          <w:rFonts w:ascii="Arial" w:hAnsi="Arial" w:eastAsia="Arial" w:cs="Arial"/>
          <w:sz w:val="22"/>
          <w:szCs w:val="22"/>
        </w:rPr>
        <w:t xml:space="preserve"> (Accessed: 6 October 2026).</w:t>
      </w:r>
    </w:p>
    <w:p w:rsidR="51073E81" w:rsidP="533CB548" w:rsidRDefault="51073E81" w14:paraId="61EC92AC" w14:textId="2E1D39EE">
      <w:pPr>
        <w:spacing w:before="240" w:after="240" w:line="360" w:lineRule="auto"/>
        <w:jc w:val="both"/>
        <w:rPr>
          <w:rFonts w:ascii="Arial" w:hAnsi="Arial" w:eastAsia="Arial" w:cs="Arial"/>
          <w:sz w:val="22"/>
          <w:szCs w:val="22"/>
        </w:rPr>
      </w:pPr>
      <w:r w:rsidRPr="533CB548" w:rsidR="762B8CB5">
        <w:rPr>
          <w:rFonts w:ascii="Arial" w:hAnsi="Arial" w:eastAsia="Arial" w:cs="Arial"/>
          <w:sz w:val="22"/>
          <w:szCs w:val="22"/>
        </w:rPr>
        <w:t xml:space="preserve">Royal College of Pharmacy (n.d.) </w:t>
      </w:r>
      <w:r w:rsidRPr="533CB548" w:rsidR="762B8CB5">
        <w:rPr>
          <w:rFonts w:ascii="Arial" w:hAnsi="Arial" w:eastAsia="Arial" w:cs="Arial"/>
          <w:i w:val="1"/>
          <w:iCs w:val="1"/>
          <w:sz w:val="22"/>
          <w:szCs w:val="22"/>
        </w:rPr>
        <w:t>The history of the Royal College of Pharmacy</w:t>
      </w:r>
      <w:r w:rsidRPr="533CB548" w:rsidR="762B8CB5">
        <w:rPr>
          <w:rFonts w:ascii="Arial" w:hAnsi="Arial" w:eastAsia="Arial" w:cs="Arial"/>
          <w:sz w:val="22"/>
          <w:szCs w:val="22"/>
        </w:rPr>
        <w:t xml:space="preserve">. Available at: </w:t>
      </w:r>
      <w:hyperlink r:id="R1c595bedbcbb48a9">
        <w:r w:rsidRPr="533CB548" w:rsidR="762B8CB5">
          <w:rPr>
            <w:rStyle w:val="Hyperlink"/>
            <w:rFonts w:ascii="Arial" w:hAnsi="Arial" w:eastAsia="Arial" w:cs="Arial"/>
            <w:sz w:val="22"/>
            <w:szCs w:val="22"/>
          </w:rPr>
          <w:t>https://www.rcpharm.org/our-heritage/history-of-rcpharm/</w:t>
        </w:r>
      </w:hyperlink>
      <w:r w:rsidRPr="533CB548" w:rsidR="762B8CB5">
        <w:rPr>
          <w:rFonts w:ascii="Arial" w:hAnsi="Arial" w:eastAsia="Arial" w:cs="Arial"/>
          <w:sz w:val="22"/>
          <w:szCs w:val="22"/>
        </w:rPr>
        <w:t xml:space="preserve"> (Accessed: 6 October 2026).</w:t>
      </w:r>
    </w:p>
    <w:p w:rsidR="6442A388" w:rsidP="6442A388" w:rsidRDefault="6442A388" w14:paraId="7903CCC0" w14:textId="19FD2FCF">
      <w:pPr>
        <w:spacing w:line="360" w:lineRule="auto"/>
        <w:jc w:val="both"/>
      </w:pPr>
    </w:p>
    <w:sectPr w:rsidR="6442A388">
      <w:pgSz w:w="11906" w:h="16838" w:orient="portrait"/>
      <w:pgMar w:top="1440" w:right="1440" w:bottom="1440" w:left="1440" w:header="720" w:footer="720" w:gutter="0"/>
      <w:cols w:space="720"/>
      <w:docGrid w:linePitch="360"/>
      <w:headerReference w:type="default" r:id="Rbb3ab9ea70814bfb"/>
      <w:footerReference w:type="default" r:id="Re2e946c467d643b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3CB548" w:rsidTr="533CB548" w14:paraId="45964499">
      <w:trPr>
        <w:trHeight w:val="300"/>
      </w:trPr>
      <w:tc>
        <w:tcPr>
          <w:tcW w:w="3005" w:type="dxa"/>
          <w:tcMar/>
        </w:tcPr>
        <w:p w:rsidR="533CB548" w:rsidP="533CB548" w:rsidRDefault="533CB548" w14:paraId="02F6AB45" w14:textId="72D40CAE">
          <w:pPr>
            <w:pStyle w:val="Header"/>
            <w:bidi w:val="0"/>
            <w:ind w:left="-115"/>
            <w:jc w:val="left"/>
          </w:pPr>
        </w:p>
      </w:tc>
      <w:tc>
        <w:tcPr>
          <w:tcW w:w="3005" w:type="dxa"/>
          <w:tcMar/>
        </w:tcPr>
        <w:p w:rsidR="533CB548" w:rsidP="533CB548" w:rsidRDefault="533CB548" w14:paraId="680F8B71" w14:textId="25192486">
          <w:pPr>
            <w:pStyle w:val="Header"/>
            <w:bidi w:val="0"/>
            <w:jc w:val="center"/>
          </w:pPr>
          <w:r>
            <w:fldChar w:fldCharType="begin"/>
          </w:r>
          <w:r>
            <w:instrText xml:space="preserve">PAGE</w:instrText>
          </w:r>
          <w:r>
            <w:fldChar w:fldCharType="separate"/>
          </w:r>
          <w:r>
            <w:fldChar w:fldCharType="end"/>
          </w:r>
        </w:p>
      </w:tc>
      <w:tc>
        <w:tcPr>
          <w:tcW w:w="3005" w:type="dxa"/>
          <w:tcMar/>
        </w:tcPr>
        <w:p w:rsidR="533CB548" w:rsidP="533CB548" w:rsidRDefault="533CB548" w14:paraId="6B209F49" w14:textId="1128A35F">
          <w:pPr>
            <w:pStyle w:val="Header"/>
            <w:bidi w:val="0"/>
            <w:ind w:right="-115"/>
            <w:jc w:val="right"/>
          </w:pPr>
        </w:p>
      </w:tc>
    </w:tr>
  </w:tbl>
  <w:p w:rsidR="533CB548" w:rsidP="533CB548" w:rsidRDefault="533CB548" w14:paraId="39D8FDC1" w14:textId="4EC38F8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533CB548" w:rsidTr="533CB548" w14:paraId="71DE9F3A">
      <w:trPr>
        <w:trHeight w:val="300"/>
      </w:trPr>
      <w:tc>
        <w:tcPr>
          <w:tcW w:w="3005" w:type="dxa"/>
          <w:tcMar/>
        </w:tcPr>
        <w:p w:rsidR="533CB548" w:rsidP="533CB548" w:rsidRDefault="533CB548" w14:paraId="1F719C76" w14:textId="50DBC182">
          <w:pPr>
            <w:pStyle w:val="Header"/>
            <w:bidi w:val="0"/>
            <w:ind w:left="-115"/>
            <w:jc w:val="left"/>
          </w:pPr>
        </w:p>
      </w:tc>
      <w:tc>
        <w:tcPr>
          <w:tcW w:w="3005" w:type="dxa"/>
          <w:tcMar/>
        </w:tcPr>
        <w:p w:rsidR="533CB548" w:rsidP="533CB548" w:rsidRDefault="533CB548" w14:paraId="5AAB7669" w14:textId="42125CE8">
          <w:pPr>
            <w:pStyle w:val="Header"/>
            <w:bidi w:val="0"/>
            <w:jc w:val="center"/>
          </w:pPr>
        </w:p>
      </w:tc>
      <w:tc>
        <w:tcPr>
          <w:tcW w:w="3005" w:type="dxa"/>
          <w:tcMar/>
        </w:tcPr>
        <w:p w:rsidR="533CB548" w:rsidP="533CB548" w:rsidRDefault="533CB548" w14:paraId="1517FAE9" w14:textId="093D0C86">
          <w:pPr>
            <w:pStyle w:val="Header"/>
            <w:bidi w:val="0"/>
            <w:ind w:right="-115"/>
            <w:jc w:val="right"/>
          </w:pPr>
        </w:p>
      </w:tc>
    </w:tr>
  </w:tbl>
  <w:p w:rsidR="533CB548" w:rsidP="533CB548" w:rsidRDefault="533CB548" w14:paraId="1BC08CC6" w14:textId="13D22137">
    <w:pPr>
      <w:pStyle w:val="Header"/>
      <w:bidi w:val="0"/>
    </w:pPr>
  </w:p>
</w:hdr>
</file>

<file path=word/numbering.xml><?xml version="1.0" encoding="utf-8"?>
<w:numbering xmlns:w="http://schemas.openxmlformats.org/wordprocessingml/2006/main">
  <w:abstractNum xmlns:w="http://schemas.openxmlformats.org/wordprocessingml/2006/main" w:abstractNumId="1">
    <w:nsid w:val="e998786"/>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C28D8C3"/>
    <w:rsid w:val="001FDD4F"/>
    <w:rsid w:val="00691F79"/>
    <w:rsid w:val="00767200"/>
    <w:rsid w:val="00A4551B"/>
    <w:rsid w:val="03A10661"/>
    <w:rsid w:val="045A8D0C"/>
    <w:rsid w:val="073FD4DF"/>
    <w:rsid w:val="0842BF75"/>
    <w:rsid w:val="0AE4BF89"/>
    <w:rsid w:val="0D2E77CF"/>
    <w:rsid w:val="10094E64"/>
    <w:rsid w:val="12AF0807"/>
    <w:rsid w:val="1337681A"/>
    <w:rsid w:val="141361E9"/>
    <w:rsid w:val="1729DBD4"/>
    <w:rsid w:val="19B48C44"/>
    <w:rsid w:val="1F097899"/>
    <w:rsid w:val="21FE4953"/>
    <w:rsid w:val="2348309C"/>
    <w:rsid w:val="2B9077C4"/>
    <w:rsid w:val="2F47C623"/>
    <w:rsid w:val="315598D7"/>
    <w:rsid w:val="32E70AA6"/>
    <w:rsid w:val="36FE9949"/>
    <w:rsid w:val="38E90F21"/>
    <w:rsid w:val="3C28D8C3"/>
    <w:rsid w:val="3C87A5C1"/>
    <w:rsid w:val="404F7F4F"/>
    <w:rsid w:val="424CD9C3"/>
    <w:rsid w:val="456358AC"/>
    <w:rsid w:val="4567114D"/>
    <w:rsid w:val="45D89B4C"/>
    <w:rsid w:val="47BE22EC"/>
    <w:rsid w:val="4B0A9556"/>
    <w:rsid w:val="4B814D52"/>
    <w:rsid w:val="51073E81"/>
    <w:rsid w:val="533CB548"/>
    <w:rsid w:val="56040E3E"/>
    <w:rsid w:val="5641166D"/>
    <w:rsid w:val="56EBBC41"/>
    <w:rsid w:val="579E21F2"/>
    <w:rsid w:val="5B2F8204"/>
    <w:rsid w:val="5C5D2A70"/>
    <w:rsid w:val="600A752C"/>
    <w:rsid w:val="62C637A2"/>
    <w:rsid w:val="6442A388"/>
    <w:rsid w:val="65033B8C"/>
    <w:rsid w:val="65401BB2"/>
    <w:rsid w:val="662E263D"/>
    <w:rsid w:val="66FBFDBE"/>
    <w:rsid w:val="683C54DF"/>
    <w:rsid w:val="694048A7"/>
    <w:rsid w:val="6A2178D6"/>
    <w:rsid w:val="6C4BBD39"/>
    <w:rsid w:val="725C5F64"/>
    <w:rsid w:val="72F0B0DA"/>
    <w:rsid w:val="733294F7"/>
    <w:rsid w:val="73959312"/>
    <w:rsid w:val="74577557"/>
    <w:rsid w:val="762B8CB5"/>
    <w:rsid w:val="78E18D7A"/>
    <w:rsid w:val="7B542981"/>
    <w:rsid w:val="7C187C07"/>
    <w:rsid w:val="7EA41F31"/>
    <w:rsid w:val="7F9A68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7E0BA"/>
  <w15:chartTrackingRefBased/>
  <w15:docId w15:val="{7182D9C0-AE82-47B2-8C24-4CF65BC1D9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uiPriority w:val="9"/>
    <w:unhideWhenUsed/>
    <w:qFormat/>
    <w:rsid w:val="6442A38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6442A388"/>
    <w:rPr>
      <w:color w:val="467886"/>
      <w:u w:val="single"/>
    </w:rPr>
  </w:style>
  <w:style w:type="paragraph" w:styleId="ListParagraph">
    <w:uiPriority w:val="34"/>
    <w:name w:val="List Paragraph"/>
    <w:basedOn w:val="Normal"/>
    <w:qFormat/>
    <w:rsid w:val="533CB548"/>
    <w:pPr>
      <w:spacing/>
      <w:ind w:left="720"/>
      <w:contextualSpacing/>
    </w:pPr>
  </w:style>
  <w:style w:type="paragraph" w:styleId="Header">
    <w:uiPriority w:val="99"/>
    <w:name w:val="header"/>
    <w:basedOn w:val="Normal"/>
    <w:unhideWhenUsed/>
    <w:rsid w:val="533CB548"/>
    <w:pPr>
      <w:tabs>
        <w:tab w:val="center" w:leader="none" w:pos="4680"/>
        <w:tab w:val="right" w:leader="none" w:pos="9360"/>
      </w:tabs>
      <w:spacing w:after="0" w:line="240" w:lineRule="auto"/>
    </w:pPr>
  </w:style>
  <w:style w:type="paragraph" w:styleId="Footer">
    <w:uiPriority w:val="99"/>
    <w:name w:val="footer"/>
    <w:basedOn w:val="Normal"/>
    <w:unhideWhenUsed/>
    <w:rsid w:val="533CB54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3" /><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14" /><Relationship Type="http://schemas.openxmlformats.org/officeDocument/2006/relationships/hyperlink" Target="https://www.birmingham.gov.uk/councillors/119/ken_wood?utm_source=chatgpt.com" TargetMode="External" Id="Rbc4af6a353954999" /><Relationship Type="http://schemas.openxmlformats.org/officeDocument/2006/relationships/hyperlink" Target="https://www.legislation.gov.uk/ukpga/2014/23/part/1?utm_source=chatgpt.com" TargetMode="External" Id="Rdfacfb5d60b947c9" /><Relationship Type="http://schemas.openxmlformats.org/officeDocument/2006/relationships/hyperlink" Target="https://www.cqc.org.uk/care-services/local-authority-assessment-reports/birmingham-0526/summary?utm_source=chatgpt.com" TargetMode="External" Id="Rf9218eb573474e7c" /><Relationship Type="http://schemas.openxmlformats.org/officeDocument/2006/relationships/hyperlink" Target="https://doi.org/10.1136/bmjqs-2015-004400" TargetMode="External" Id="Rf1ed676699e74e8f" /><Relationship Type="http://schemas.openxmlformats.org/officeDocument/2006/relationships/hyperlink" Target="https://doi.org/10.1136/bmjqs-2018-009177" TargetMode="External" Id="R2904bc93f205448f" /><Relationship Type="http://schemas.openxmlformats.org/officeDocument/2006/relationships/hyperlink" Target="https://www.frontier-economics.com/uk/en/news-and-insights/news/news-article-i20739-economic-analysis-of-the-pharmacy-sector/?utm_source=chatgpt.com" TargetMode="External" Id="R4b982a68c4ba40ec" /><Relationship Type="http://schemas.openxmlformats.org/officeDocument/2006/relationships/hyperlink" Target="https://www.nice.org.uk/guidance/ng21/chapter/recommendations" TargetMode="External" Id="R0371d380a7584f97" /><Relationship Type="http://schemas.openxmlformats.org/officeDocument/2006/relationships/hyperlink" Target="https://www.england.nhs.uk/long-read/launch-of-nhs-pharmacy-first-advanced-service/?utm_source=chatgpt.com" TargetMode="External" Id="R634c9f9c30c040d8" /><Relationship Type="http://schemas.openxmlformats.org/officeDocument/2006/relationships/hyperlink" Target="https://www.rcpharm.org/our-heritage/history-of-rcpharm/?utm_source=chatgpt.com" TargetMode="External" Id="R1c595bedbcbb48a9" /><Relationship Type="http://schemas.openxmlformats.org/officeDocument/2006/relationships/header" Target="header.xml" Id="Rbb3ab9ea70814bfb" /><Relationship Type="http://schemas.openxmlformats.org/officeDocument/2006/relationships/footer" Target="footer.xml" Id="Re2e946c467d643b8" /><Relationship Type="http://schemas.openxmlformats.org/officeDocument/2006/relationships/numbering" Target="numbering.xml" Id="R8a6fb7fea5db4617"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dc:creator>
  <keywords/>
  <dc:description/>
  <lastModifiedBy>Rachael Michael Okoi (2542002)</lastModifiedBy>
  <revision>4</revision>
  <dcterms:created xsi:type="dcterms:W3CDTF">2026-10-06T20:13:00.0000000Z</dcterms:created>
  <dcterms:modified xsi:type="dcterms:W3CDTF">2026-10-07T15:39:00.2859776Z</dcterms:modified>
</coreProperties>
</file>