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11D16B" w14:textId="030167C5" w:rsidR="00D118CA" w:rsidRDefault="00D118CA" w:rsidP="005B59FD">
      <w:pPr>
        <w:spacing w:before="2000" w:after="400" w:line="360" w:lineRule="auto"/>
        <w:jc w:val="center"/>
        <w:rPr>
          <w:rFonts w:eastAsia="Arial"/>
          <w:b/>
          <w:bCs/>
          <w:sz w:val="24"/>
          <w:szCs w:val="24"/>
        </w:rPr>
      </w:pPr>
      <w:r w:rsidRPr="00E9681E">
        <w:rPr>
          <w:noProof/>
          <w:szCs w:val="24"/>
        </w:rPr>
        <w:drawing>
          <wp:inline distT="0" distB="0" distL="0" distR="0" wp14:anchorId="67F6967A" wp14:editId="79F7C313">
            <wp:extent cx="4186451" cy="1388506"/>
            <wp:effectExtent l="0" t="0" r="508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91979" cy="1390340"/>
                    </a:xfrm>
                    <a:prstGeom prst="rect">
                      <a:avLst/>
                    </a:prstGeom>
                    <a:noFill/>
                  </pic:spPr>
                </pic:pic>
              </a:graphicData>
            </a:graphic>
          </wp:inline>
        </w:drawing>
      </w:r>
      <w:r>
        <w:rPr>
          <w:rFonts w:eastAsia="Arial"/>
          <w:b/>
          <w:bCs/>
          <w:sz w:val="24"/>
          <w:szCs w:val="24"/>
        </w:rPr>
        <w:t xml:space="preserve">  </w:t>
      </w:r>
    </w:p>
    <w:p w14:paraId="5FE98095" w14:textId="6614A52E" w:rsidR="006511B4" w:rsidRPr="005B59FD" w:rsidRDefault="00DF35E4" w:rsidP="005B59FD">
      <w:pPr>
        <w:spacing w:before="2000" w:after="400" w:line="360" w:lineRule="auto"/>
        <w:jc w:val="center"/>
        <w:rPr>
          <w:sz w:val="24"/>
          <w:szCs w:val="24"/>
        </w:rPr>
      </w:pPr>
      <w:r w:rsidRPr="005B59FD">
        <w:rPr>
          <w:rFonts w:eastAsia="Arial"/>
          <w:b/>
          <w:bCs/>
          <w:sz w:val="24"/>
          <w:szCs w:val="24"/>
        </w:rPr>
        <w:t xml:space="preserve">Emotional Intelligence and Mindfulness in Contemporary </w:t>
      </w:r>
      <w:r w:rsidR="00D15495" w:rsidRPr="005B59FD">
        <w:rPr>
          <w:rFonts w:eastAsia="Arial"/>
          <w:b/>
          <w:bCs/>
          <w:sz w:val="24"/>
          <w:szCs w:val="24"/>
        </w:rPr>
        <w:t>Organizations</w:t>
      </w:r>
    </w:p>
    <w:p w14:paraId="579FD44F" w14:textId="535660B0" w:rsidR="00D118CA" w:rsidRPr="0035689C" w:rsidRDefault="00DF35E4" w:rsidP="005B59FD">
      <w:pPr>
        <w:spacing w:after="200" w:line="360" w:lineRule="auto"/>
        <w:jc w:val="center"/>
        <w:rPr>
          <w:rFonts w:eastAsia="Arial"/>
          <w:b/>
          <w:bCs/>
          <w:sz w:val="24"/>
          <w:szCs w:val="24"/>
        </w:rPr>
      </w:pPr>
      <w:r w:rsidRPr="0035689C">
        <w:rPr>
          <w:rFonts w:eastAsia="Arial"/>
          <w:b/>
          <w:bCs/>
          <w:sz w:val="24"/>
          <w:szCs w:val="24"/>
        </w:rPr>
        <w:t>Modu</w:t>
      </w:r>
      <w:r w:rsidR="00D15495" w:rsidRPr="0035689C">
        <w:rPr>
          <w:rFonts w:eastAsia="Arial"/>
          <w:b/>
          <w:bCs/>
          <w:sz w:val="24"/>
          <w:szCs w:val="24"/>
        </w:rPr>
        <w:t>le Code and Title: LCLM</w:t>
      </w:r>
      <w:r w:rsidR="00D118CA" w:rsidRPr="0035689C">
        <w:rPr>
          <w:rFonts w:eastAsia="Arial"/>
          <w:b/>
          <w:bCs/>
          <w:sz w:val="24"/>
          <w:szCs w:val="24"/>
        </w:rPr>
        <w:t>5006 Emotional Intelligence</w:t>
      </w:r>
    </w:p>
    <w:p w14:paraId="41336DCD" w14:textId="56A287E3" w:rsidR="00D118CA" w:rsidRPr="0035689C" w:rsidRDefault="00D118CA" w:rsidP="005B59FD">
      <w:pPr>
        <w:spacing w:after="200" w:line="360" w:lineRule="auto"/>
        <w:jc w:val="center"/>
        <w:rPr>
          <w:rFonts w:eastAsia="Arial"/>
          <w:b/>
          <w:bCs/>
          <w:sz w:val="24"/>
          <w:szCs w:val="24"/>
        </w:rPr>
      </w:pPr>
      <w:r w:rsidRPr="0035689C">
        <w:rPr>
          <w:rFonts w:eastAsia="Arial"/>
          <w:b/>
          <w:bCs/>
          <w:sz w:val="24"/>
          <w:szCs w:val="24"/>
        </w:rPr>
        <w:t>Student name:   Gheorghe Sterea</w:t>
      </w:r>
    </w:p>
    <w:p w14:paraId="299DD36A" w14:textId="593349D7" w:rsidR="00D118CA" w:rsidRPr="0035689C" w:rsidRDefault="00D118CA" w:rsidP="005B59FD">
      <w:pPr>
        <w:spacing w:after="200" w:line="360" w:lineRule="auto"/>
        <w:jc w:val="center"/>
        <w:rPr>
          <w:rFonts w:eastAsia="Arial"/>
          <w:b/>
          <w:bCs/>
          <w:sz w:val="24"/>
          <w:szCs w:val="24"/>
        </w:rPr>
      </w:pPr>
      <w:r w:rsidRPr="0035689C">
        <w:rPr>
          <w:rFonts w:eastAsia="Arial"/>
          <w:b/>
          <w:bCs/>
          <w:sz w:val="24"/>
          <w:szCs w:val="24"/>
        </w:rPr>
        <w:t>Student Number: 2416523</w:t>
      </w:r>
    </w:p>
    <w:p w14:paraId="6F23FE9A" w14:textId="3282A651" w:rsidR="006511B4" w:rsidRPr="0035689C" w:rsidRDefault="00D15495" w:rsidP="005B59FD">
      <w:pPr>
        <w:spacing w:after="200" w:line="360" w:lineRule="auto"/>
        <w:jc w:val="center"/>
        <w:rPr>
          <w:rFonts w:eastAsia="Arial"/>
          <w:b/>
          <w:bCs/>
          <w:sz w:val="24"/>
          <w:szCs w:val="24"/>
        </w:rPr>
      </w:pPr>
      <w:r w:rsidRPr="0035689C">
        <w:rPr>
          <w:rFonts w:eastAsia="Arial"/>
          <w:b/>
          <w:bCs/>
          <w:sz w:val="24"/>
          <w:szCs w:val="24"/>
        </w:rPr>
        <w:t xml:space="preserve">Lecturer: </w:t>
      </w:r>
      <w:r w:rsidR="00D118CA" w:rsidRPr="0035689C">
        <w:rPr>
          <w:rFonts w:eastAsia="Arial"/>
          <w:b/>
          <w:bCs/>
          <w:sz w:val="24"/>
          <w:szCs w:val="24"/>
        </w:rPr>
        <w:t>Kazeem Oseni</w:t>
      </w:r>
    </w:p>
    <w:p w14:paraId="29757AFC" w14:textId="77777777" w:rsidR="006511B4" w:rsidRPr="0035689C" w:rsidRDefault="006511B4" w:rsidP="005B59FD">
      <w:pPr>
        <w:spacing w:line="360" w:lineRule="auto"/>
        <w:rPr>
          <w:b/>
          <w:bCs/>
          <w:sz w:val="24"/>
          <w:szCs w:val="24"/>
        </w:rPr>
      </w:pPr>
    </w:p>
    <w:p w14:paraId="1AFBE32D" w14:textId="77777777" w:rsidR="00A67D8B" w:rsidRDefault="00A67D8B" w:rsidP="005B59FD">
      <w:pPr>
        <w:spacing w:line="360" w:lineRule="auto"/>
        <w:rPr>
          <w:sz w:val="24"/>
          <w:szCs w:val="24"/>
        </w:rPr>
      </w:pPr>
    </w:p>
    <w:p w14:paraId="4C46EFB7" w14:textId="77777777" w:rsidR="00A67D8B" w:rsidRDefault="00A67D8B" w:rsidP="005B59FD">
      <w:pPr>
        <w:spacing w:line="360" w:lineRule="auto"/>
        <w:rPr>
          <w:sz w:val="24"/>
          <w:szCs w:val="24"/>
        </w:rPr>
      </w:pPr>
    </w:p>
    <w:p w14:paraId="58672C6D" w14:textId="77777777" w:rsidR="00A67D8B" w:rsidRDefault="00A67D8B" w:rsidP="005B59FD">
      <w:pPr>
        <w:spacing w:line="360" w:lineRule="auto"/>
        <w:rPr>
          <w:sz w:val="24"/>
          <w:szCs w:val="24"/>
        </w:rPr>
      </w:pPr>
    </w:p>
    <w:p w14:paraId="09202F7D" w14:textId="77777777" w:rsidR="00A67D8B" w:rsidRDefault="00A67D8B" w:rsidP="005B59FD">
      <w:pPr>
        <w:spacing w:line="360" w:lineRule="auto"/>
        <w:rPr>
          <w:sz w:val="24"/>
          <w:szCs w:val="24"/>
        </w:rPr>
      </w:pPr>
    </w:p>
    <w:p w14:paraId="32CA7260" w14:textId="77777777" w:rsidR="00A67D8B" w:rsidRDefault="00A67D8B" w:rsidP="005B59FD">
      <w:pPr>
        <w:spacing w:line="360" w:lineRule="auto"/>
        <w:rPr>
          <w:sz w:val="24"/>
          <w:szCs w:val="24"/>
        </w:rPr>
      </w:pPr>
    </w:p>
    <w:p w14:paraId="1B92ADE9" w14:textId="77777777" w:rsidR="00A67D8B" w:rsidRDefault="00A67D8B" w:rsidP="005B59FD">
      <w:pPr>
        <w:spacing w:line="360" w:lineRule="auto"/>
        <w:rPr>
          <w:sz w:val="24"/>
          <w:szCs w:val="24"/>
        </w:rPr>
      </w:pPr>
    </w:p>
    <w:p w14:paraId="65267FBC" w14:textId="77777777" w:rsidR="00A67D8B" w:rsidRDefault="00A67D8B" w:rsidP="005B59FD">
      <w:pPr>
        <w:spacing w:line="360" w:lineRule="auto"/>
        <w:rPr>
          <w:sz w:val="24"/>
          <w:szCs w:val="24"/>
        </w:rPr>
      </w:pPr>
    </w:p>
    <w:p w14:paraId="10FF4310" w14:textId="77777777" w:rsidR="00A67D8B" w:rsidRDefault="00A67D8B" w:rsidP="005B59FD">
      <w:pPr>
        <w:spacing w:line="360" w:lineRule="auto"/>
        <w:rPr>
          <w:sz w:val="24"/>
          <w:szCs w:val="24"/>
        </w:rPr>
      </w:pPr>
    </w:p>
    <w:p w14:paraId="2BBC88A4" w14:textId="77777777" w:rsidR="00A67D8B" w:rsidRDefault="00A67D8B" w:rsidP="005B59FD">
      <w:pPr>
        <w:spacing w:line="360" w:lineRule="auto"/>
        <w:rPr>
          <w:sz w:val="24"/>
          <w:szCs w:val="24"/>
        </w:rPr>
      </w:pPr>
    </w:p>
    <w:sdt>
      <w:sdtPr>
        <w:rPr>
          <w:rFonts w:ascii="Times New Roman" w:eastAsia="Times New Roman" w:hAnsi="Times New Roman" w:cs="Times New Roman"/>
          <w:color w:val="auto"/>
          <w:sz w:val="20"/>
          <w:szCs w:val="20"/>
        </w:rPr>
        <w:id w:val="-1415549080"/>
        <w:docPartObj>
          <w:docPartGallery w:val="Table of Contents"/>
          <w:docPartUnique/>
        </w:docPartObj>
      </w:sdtPr>
      <w:sdtEndPr>
        <w:rPr>
          <w:b/>
          <w:bCs/>
          <w:noProof/>
        </w:rPr>
      </w:sdtEndPr>
      <w:sdtContent>
        <w:p w14:paraId="1C4011AC" w14:textId="77777777" w:rsidR="00A67D8B" w:rsidRPr="00A67D8B" w:rsidRDefault="00A67D8B">
          <w:pPr>
            <w:pStyle w:val="TOCHeading"/>
            <w:rPr>
              <w:b/>
            </w:rPr>
          </w:pPr>
          <w:r w:rsidRPr="00A67D8B">
            <w:rPr>
              <w:b/>
            </w:rPr>
            <w:t xml:space="preserve">Contents Table </w:t>
          </w:r>
        </w:p>
        <w:p w14:paraId="60F2C17C" w14:textId="77777777" w:rsidR="00A67D8B" w:rsidRDefault="00A67D8B">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35589210" w:history="1">
            <w:r w:rsidRPr="00625AA7">
              <w:rPr>
                <w:rStyle w:val="Hyperlink"/>
                <w:rFonts w:eastAsia="Arial"/>
                <w:b/>
                <w:bCs/>
                <w:noProof/>
              </w:rPr>
              <w:t>1.0 Introduction</w:t>
            </w:r>
            <w:r>
              <w:rPr>
                <w:noProof/>
                <w:webHidden/>
              </w:rPr>
              <w:tab/>
            </w:r>
            <w:r>
              <w:rPr>
                <w:noProof/>
                <w:webHidden/>
              </w:rPr>
              <w:fldChar w:fldCharType="begin"/>
            </w:r>
            <w:r>
              <w:rPr>
                <w:noProof/>
                <w:webHidden/>
              </w:rPr>
              <w:instrText xml:space="preserve"> PAGEREF _Toc235589210 \h </w:instrText>
            </w:r>
            <w:r>
              <w:rPr>
                <w:noProof/>
                <w:webHidden/>
              </w:rPr>
            </w:r>
            <w:r>
              <w:rPr>
                <w:noProof/>
                <w:webHidden/>
              </w:rPr>
              <w:fldChar w:fldCharType="separate"/>
            </w:r>
            <w:r>
              <w:rPr>
                <w:noProof/>
                <w:webHidden/>
              </w:rPr>
              <w:t>3</w:t>
            </w:r>
            <w:r>
              <w:rPr>
                <w:noProof/>
                <w:webHidden/>
              </w:rPr>
              <w:fldChar w:fldCharType="end"/>
            </w:r>
          </w:hyperlink>
        </w:p>
        <w:p w14:paraId="5BF58F42" w14:textId="77777777" w:rsidR="00A67D8B" w:rsidRDefault="00A67D8B">
          <w:pPr>
            <w:pStyle w:val="TOC1"/>
            <w:tabs>
              <w:tab w:val="right" w:leader="dot" w:pos="9016"/>
            </w:tabs>
            <w:rPr>
              <w:rFonts w:asciiTheme="minorHAnsi" w:eastAsiaTheme="minorEastAsia" w:hAnsiTheme="minorHAnsi" w:cstheme="minorBidi"/>
              <w:noProof/>
              <w:sz w:val="22"/>
              <w:szCs w:val="22"/>
            </w:rPr>
          </w:pPr>
          <w:hyperlink w:anchor="_Toc235589211" w:history="1">
            <w:r w:rsidRPr="00625AA7">
              <w:rPr>
                <w:rStyle w:val="Hyperlink"/>
                <w:rFonts w:eastAsia="Arial"/>
                <w:b/>
                <w:bCs/>
                <w:noProof/>
              </w:rPr>
              <w:t>2.0 Task 1: Emotional Intelligence in the Workplace</w:t>
            </w:r>
            <w:r>
              <w:rPr>
                <w:noProof/>
                <w:webHidden/>
              </w:rPr>
              <w:tab/>
            </w:r>
            <w:r>
              <w:rPr>
                <w:noProof/>
                <w:webHidden/>
              </w:rPr>
              <w:fldChar w:fldCharType="begin"/>
            </w:r>
            <w:r>
              <w:rPr>
                <w:noProof/>
                <w:webHidden/>
              </w:rPr>
              <w:instrText xml:space="preserve"> PAGEREF _Toc235589211 \h </w:instrText>
            </w:r>
            <w:r>
              <w:rPr>
                <w:noProof/>
                <w:webHidden/>
              </w:rPr>
            </w:r>
            <w:r>
              <w:rPr>
                <w:noProof/>
                <w:webHidden/>
              </w:rPr>
              <w:fldChar w:fldCharType="separate"/>
            </w:r>
            <w:r>
              <w:rPr>
                <w:noProof/>
                <w:webHidden/>
              </w:rPr>
              <w:t>3</w:t>
            </w:r>
            <w:r>
              <w:rPr>
                <w:noProof/>
                <w:webHidden/>
              </w:rPr>
              <w:fldChar w:fldCharType="end"/>
            </w:r>
          </w:hyperlink>
        </w:p>
        <w:p w14:paraId="7685AF50" w14:textId="77777777" w:rsidR="00A67D8B" w:rsidRDefault="00A67D8B">
          <w:pPr>
            <w:pStyle w:val="TOC2"/>
            <w:tabs>
              <w:tab w:val="right" w:leader="dot" w:pos="9016"/>
            </w:tabs>
            <w:rPr>
              <w:rFonts w:asciiTheme="minorHAnsi" w:eastAsiaTheme="minorEastAsia" w:hAnsiTheme="minorHAnsi" w:cstheme="minorBidi"/>
              <w:noProof/>
              <w:sz w:val="22"/>
              <w:szCs w:val="22"/>
            </w:rPr>
          </w:pPr>
          <w:hyperlink w:anchor="_Toc235589212" w:history="1">
            <w:r w:rsidRPr="00625AA7">
              <w:rPr>
                <w:rStyle w:val="Hyperlink"/>
                <w:rFonts w:eastAsia="Arial"/>
                <w:b/>
                <w:bCs/>
                <w:noProof/>
              </w:rPr>
              <w:t>2.1 Conceptualising Emotional Intelligence</w:t>
            </w:r>
            <w:r>
              <w:rPr>
                <w:noProof/>
                <w:webHidden/>
              </w:rPr>
              <w:tab/>
            </w:r>
            <w:r>
              <w:rPr>
                <w:noProof/>
                <w:webHidden/>
              </w:rPr>
              <w:fldChar w:fldCharType="begin"/>
            </w:r>
            <w:r>
              <w:rPr>
                <w:noProof/>
                <w:webHidden/>
              </w:rPr>
              <w:instrText xml:space="preserve"> PAGEREF _Toc235589212 \h </w:instrText>
            </w:r>
            <w:r>
              <w:rPr>
                <w:noProof/>
                <w:webHidden/>
              </w:rPr>
            </w:r>
            <w:r>
              <w:rPr>
                <w:noProof/>
                <w:webHidden/>
              </w:rPr>
              <w:fldChar w:fldCharType="separate"/>
            </w:r>
            <w:r>
              <w:rPr>
                <w:noProof/>
                <w:webHidden/>
              </w:rPr>
              <w:t>3</w:t>
            </w:r>
            <w:r>
              <w:rPr>
                <w:noProof/>
                <w:webHidden/>
              </w:rPr>
              <w:fldChar w:fldCharType="end"/>
            </w:r>
          </w:hyperlink>
        </w:p>
        <w:p w14:paraId="01A39630" w14:textId="77777777" w:rsidR="00A67D8B" w:rsidRDefault="00A67D8B">
          <w:pPr>
            <w:pStyle w:val="TOC2"/>
            <w:tabs>
              <w:tab w:val="right" w:leader="dot" w:pos="9016"/>
            </w:tabs>
            <w:rPr>
              <w:rFonts w:asciiTheme="minorHAnsi" w:eastAsiaTheme="minorEastAsia" w:hAnsiTheme="minorHAnsi" w:cstheme="minorBidi"/>
              <w:noProof/>
              <w:sz w:val="22"/>
              <w:szCs w:val="22"/>
            </w:rPr>
          </w:pPr>
          <w:hyperlink w:anchor="_Toc235589213" w:history="1">
            <w:r w:rsidRPr="00625AA7">
              <w:rPr>
                <w:rStyle w:val="Hyperlink"/>
                <w:rFonts w:eastAsia="Arial"/>
                <w:b/>
                <w:bCs/>
                <w:noProof/>
              </w:rPr>
              <w:t>2.2 A Critical Comparison of the Three Models</w:t>
            </w:r>
            <w:r>
              <w:rPr>
                <w:noProof/>
                <w:webHidden/>
              </w:rPr>
              <w:tab/>
            </w:r>
            <w:r>
              <w:rPr>
                <w:noProof/>
                <w:webHidden/>
              </w:rPr>
              <w:fldChar w:fldCharType="begin"/>
            </w:r>
            <w:r>
              <w:rPr>
                <w:noProof/>
                <w:webHidden/>
              </w:rPr>
              <w:instrText xml:space="preserve"> PAGEREF _Toc235589213 \h </w:instrText>
            </w:r>
            <w:r>
              <w:rPr>
                <w:noProof/>
                <w:webHidden/>
              </w:rPr>
            </w:r>
            <w:r>
              <w:rPr>
                <w:noProof/>
                <w:webHidden/>
              </w:rPr>
              <w:fldChar w:fldCharType="separate"/>
            </w:r>
            <w:r>
              <w:rPr>
                <w:noProof/>
                <w:webHidden/>
              </w:rPr>
              <w:t>4</w:t>
            </w:r>
            <w:r>
              <w:rPr>
                <w:noProof/>
                <w:webHidden/>
              </w:rPr>
              <w:fldChar w:fldCharType="end"/>
            </w:r>
          </w:hyperlink>
        </w:p>
        <w:p w14:paraId="7BC56828" w14:textId="77777777" w:rsidR="00A67D8B" w:rsidRDefault="00A67D8B">
          <w:pPr>
            <w:pStyle w:val="TOC2"/>
            <w:tabs>
              <w:tab w:val="right" w:leader="dot" w:pos="9016"/>
            </w:tabs>
            <w:rPr>
              <w:rFonts w:asciiTheme="minorHAnsi" w:eastAsiaTheme="minorEastAsia" w:hAnsiTheme="minorHAnsi" w:cstheme="minorBidi"/>
              <w:noProof/>
              <w:sz w:val="22"/>
              <w:szCs w:val="22"/>
            </w:rPr>
          </w:pPr>
          <w:hyperlink w:anchor="_Toc235589214" w:history="1">
            <w:r w:rsidRPr="00625AA7">
              <w:rPr>
                <w:rStyle w:val="Hyperlink"/>
                <w:rFonts w:eastAsia="Arial"/>
                <w:b/>
                <w:bCs/>
                <w:noProof/>
              </w:rPr>
              <w:t>2.2.1 Limitations of the EI Construct</w:t>
            </w:r>
            <w:r>
              <w:rPr>
                <w:noProof/>
                <w:webHidden/>
              </w:rPr>
              <w:tab/>
            </w:r>
            <w:r>
              <w:rPr>
                <w:noProof/>
                <w:webHidden/>
              </w:rPr>
              <w:fldChar w:fldCharType="begin"/>
            </w:r>
            <w:r>
              <w:rPr>
                <w:noProof/>
                <w:webHidden/>
              </w:rPr>
              <w:instrText xml:space="preserve"> PAGEREF _Toc235589214 \h </w:instrText>
            </w:r>
            <w:r>
              <w:rPr>
                <w:noProof/>
                <w:webHidden/>
              </w:rPr>
            </w:r>
            <w:r>
              <w:rPr>
                <w:noProof/>
                <w:webHidden/>
              </w:rPr>
              <w:fldChar w:fldCharType="separate"/>
            </w:r>
            <w:r>
              <w:rPr>
                <w:noProof/>
                <w:webHidden/>
              </w:rPr>
              <w:t>4</w:t>
            </w:r>
            <w:r>
              <w:rPr>
                <w:noProof/>
                <w:webHidden/>
              </w:rPr>
              <w:fldChar w:fldCharType="end"/>
            </w:r>
          </w:hyperlink>
        </w:p>
        <w:p w14:paraId="5F39B3A0" w14:textId="77777777" w:rsidR="00A67D8B" w:rsidRDefault="00A67D8B">
          <w:pPr>
            <w:pStyle w:val="TOC2"/>
            <w:tabs>
              <w:tab w:val="right" w:leader="dot" w:pos="9016"/>
            </w:tabs>
            <w:rPr>
              <w:rFonts w:asciiTheme="minorHAnsi" w:eastAsiaTheme="minorEastAsia" w:hAnsiTheme="minorHAnsi" w:cstheme="minorBidi"/>
              <w:noProof/>
              <w:sz w:val="22"/>
              <w:szCs w:val="22"/>
            </w:rPr>
          </w:pPr>
          <w:hyperlink w:anchor="_Toc235589215" w:history="1">
            <w:r w:rsidRPr="00625AA7">
              <w:rPr>
                <w:rStyle w:val="Hyperlink"/>
                <w:rFonts w:eastAsia="Arial"/>
                <w:b/>
                <w:bCs/>
                <w:noProof/>
              </w:rPr>
              <w:t>2.3 EI and Workplace Communication</w:t>
            </w:r>
            <w:r>
              <w:rPr>
                <w:noProof/>
                <w:webHidden/>
              </w:rPr>
              <w:tab/>
            </w:r>
            <w:r>
              <w:rPr>
                <w:noProof/>
                <w:webHidden/>
              </w:rPr>
              <w:fldChar w:fldCharType="begin"/>
            </w:r>
            <w:r>
              <w:rPr>
                <w:noProof/>
                <w:webHidden/>
              </w:rPr>
              <w:instrText xml:space="preserve"> PAGEREF _Toc235589215 \h </w:instrText>
            </w:r>
            <w:r>
              <w:rPr>
                <w:noProof/>
                <w:webHidden/>
              </w:rPr>
            </w:r>
            <w:r>
              <w:rPr>
                <w:noProof/>
                <w:webHidden/>
              </w:rPr>
              <w:fldChar w:fldCharType="separate"/>
            </w:r>
            <w:r>
              <w:rPr>
                <w:noProof/>
                <w:webHidden/>
              </w:rPr>
              <w:t>5</w:t>
            </w:r>
            <w:r>
              <w:rPr>
                <w:noProof/>
                <w:webHidden/>
              </w:rPr>
              <w:fldChar w:fldCharType="end"/>
            </w:r>
          </w:hyperlink>
        </w:p>
        <w:p w14:paraId="43ACF87C" w14:textId="77777777" w:rsidR="00A67D8B" w:rsidRDefault="00A67D8B">
          <w:pPr>
            <w:pStyle w:val="TOC2"/>
            <w:tabs>
              <w:tab w:val="right" w:leader="dot" w:pos="9016"/>
            </w:tabs>
            <w:rPr>
              <w:rFonts w:asciiTheme="minorHAnsi" w:eastAsiaTheme="minorEastAsia" w:hAnsiTheme="minorHAnsi" w:cstheme="minorBidi"/>
              <w:noProof/>
              <w:sz w:val="22"/>
              <w:szCs w:val="22"/>
            </w:rPr>
          </w:pPr>
          <w:hyperlink w:anchor="_Toc235589216" w:history="1">
            <w:r w:rsidRPr="00625AA7">
              <w:rPr>
                <w:rStyle w:val="Hyperlink"/>
                <w:rFonts w:eastAsia="Arial"/>
                <w:b/>
                <w:bCs/>
                <w:noProof/>
              </w:rPr>
              <w:t>2.4 EI and Conflict Management</w:t>
            </w:r>
            <w:r>
              <w:rPr>
                <w:noProof/>
                <w:webHidden/>
              </w:rPr>
              <w:tab/>
            </w:r>
            <w:r>
              <w:rPr>
                <w:noProof/>
                <w:webHidden/>
              </w:rPr>
              <w:fldChar w:fldCharType="begin"/>
            </w:r>
            <w:r>
              <w:rPr>
                <w:noProof/>
                <w:webHidden/>
              </w:rPr>
              <w:instrText xml:space="preserve"> PAGEREF _Toc235589216 \h </w:instrText>
            </w:r>
            <w:r>
              <w:rPr>
                <w:noProof/>
                <w:webHidden/>
              </w:rPr>
            </w:r>
            <w:r>
              <w:rPr>
                <w:noProof/>
                <w:webHidden/>
              </w:rPr>
              <w:fldChar w:fldCharType="separate"/>
            </w:r>
            <w:r>
              <w:rPr>
                <w:noProof/>
                <w:webHidden/>
              </w:rPr>
              <w:t>5</w:t>
            </w:r>
            <w:r>
              <w:rPr>
                <w:noProof/>
                <w:webHidden/>
              </w:rPr>
              <w:fldChar w:fldCharType="end"/>
            </w:r>
          </w:hyperlink>
        </w:p>
        <w:p w14:paraId="5DC59472" w14:textId="77777777" w:rsidR="00A67D8B" w:rsidRDefault="00A67D8B">
          <w:pPr>
            <w:pStyle w:val="TOC2"/>
            <w:tabs>
              <w:tab w:val="right" w:leader="dot" w:pos="9016"/>
            </w:tabs>
            <w:rPr>
              <w:rFonts w:asciiTheme="minorHAnsi" w:eastAsiaTheme="minorEastAsia" w:hAnsiTheme="minorHAnsi" w:cstheme="minorBidi"/>
              <w:noProof/>
              <w:sz w:val="22"/>
              <w:szCs w:val="22"/>
            </w:rPr>
          </w:pPr>
          <w:hyperlink w:anchor="_Toc235589217" w:history="1">
            <w:r w:rsidRPr="00625AA7">
              <w:rPr>
                <w:rStyle w:val="Hyperlink"/>
                <w:rFonts w:eastAsia="Arial"/>
                <w:b/>
                <w:bCs/>
                <w:noProof/>
              </w:rPr>
              <w:t>2.5 EI, Leadership and Decision-Making</w:t>
            </w:r>
            <w:r>
              <w:rPr>
                <w:noProof/>
                <w:webHidden/>
              </w:rPr>
              <w:tab/>
            </w:r>
            <w:r>
              <w:rPr>
                <w:noProof/>
                <w:webHidden/>
              </w:rPr>
              <w:fldChar w:fldCharType="begin"/>
            </w:r>
            <w:r>
              <w:rPr>
                <w:noProof/>
                <w:webHidden/>
              </w:rPr>
              <w:instrText xml:space="preserve"> PAGEREF _Toc235589217 \h </w:instrText>
            </w:r>
            <w:r>
              <w:rPr>
                <w:noProof/>
                <w:webHidden/>
              </w:rPr>
            </w:r>
            <w:r>
              <w:rPr>
                <w:noProof/>
                <w:webHidden/>
              </w:rPr>
              <w:fldChar w:fldCharType="separate"/>
            </w:r>
            <w:r>
              <w:rPr>
                <w:noProof/>
                <w:webHidden/>
              </w:rPr>
              <w:t>6</w:t>
            </w:r>
            <w:r>
              <w:rPr>
                <w:noProof/>
                <w:webHidden/>
              </w:rPr>
              <w:fldChar w:fldCharType="end"/>
            </w:r>
          </w:hyperlink>
        </w:p>
        <w:p w14:paraId="7FDCCCBA" w14:textId="77777777" w:rsidR="00A67D8B" w:rsidRDefault="00A67D8B">
          <w:pPr>
            <w:pStyle w:val="TOC2"/>
            <w:tabs>
              <w:tab w:val="right" w:leader="dot" w:pos="9016"/>
            </w:tabs>
            <w:rPr>
              <w:rFonts w:asciiTheme="minorHAnsi" w:eastAsiaTheme="minorEastAsia" w:hAnsiTheme="minorHAnsi" w:cstheme="minorBidi"/>
              <w:noProof/>
              <w:sz w:val="22"/>
              <w:szCs w:val="22"/>
            </w:rPr>
          </w:pPr>
          <w:hyperlink w:anchor="_Toc235589218" w:history="1">
            <w:r w:rsidRPr="00625AA7">
              <w:rPr>
                <w:rStyle w:val="Hyperlink"/>
                <w:rFonts w:eastAsia="Arial"/>
                <w:b/>
                <w:bCs/>
                <w:noProof/>
              </w:rPr>
              <w:t>2.6 Mindfulness as a Complementary Mechanism</w:t>
            </w:r>
            <w:r>
              <w:rPr>
                <w:noProof/>
                <w:webHidden/>
              </w:rPr>
              <w:tab/>
            </w:r>
            <w:r>
              <w:rPr>
                <w:noProof/>
                <w:webHidden/>
              </w:rPr>
              <w:fldChar w:fldCharType="begin"/>
            </w:r>
            <w:r>
              <w:rPr>
                <w:noProof/>
                <w:webHidden/>
              </w:rPr>
              <w:instrText xml:space="preserve"> PAGEREF _Toc235589218 \h </w:instrText>
            </w:r>
            <w:r>
              <w:rPr>
                <w:noProof/>
                <w:webHidden/>
              </w:rPr>
            </w:r>
            <w:r>
              <w:rPr>
                <w:noProof/>
                <w:webHidden/>
              </w:rPr>
              <w:fldChar w:fldCharType="separate"/>
            </w:r>
            <w:r>
              <w:rPr>
                <w:noProof/>
                <w:webHidden/>
              </w:rPr>
              <w:t>7</w:t>
            </w:r>
            <w:r>
              <w:rPr>
                <w:noProof/>
                <w:webHidden/>
              </w:rPr>
              <w:fldChar w:fldCharType="end"/>
            </w:r>
          </w:hyperlink>
        </w:p>
        <w:p w14:paraId="54A6EA50" w14:textId="77777777" w:rsidR="00A67D8B" w:rsidRDefault="00A67D8B">
          <w:pPr>
            <w:pStyle w:val="TOC1"/>
            <w:tabs>
              <w:tab w:val="right" w:leader="dot" w:pos="9016"/>
            </w:tabs>
            <w:rPr>
              <w:rFonts w:asciiTheme="minorHAnsi" w:eastAsiaTheme="minorEastAsia" w:hAnsiTheme="minorHAnsi" w:cstheme="minorBidi"/>
              <w:noProof/>
              <w:sz w:val="22"/>
              <w:szCs w:val="22"/>
            </w:rPr>
          </w:pPr>
          <w:hyperlink w:anchor="_Toc235589219" w:history="1">
            <w:r w:rsidRPr="00625AA7">
              <w:rPr>
                <w:rStyle w:val="Hyperlink"/>
                <w:rFonts w:eastAsia="Arial"/>
                <w:b/>
                <w:bCs/>
                <w:noProof/>
              </w:rPr>
              <w:t>3.0 Task 2: Managing a Multigenerational Workforce</w:t>
            </w:r>
            <w:r>
              <w:rPr>
                <w:noProof/>
                <w:webHidden/>
              </w:rPr>
              <w:tab/>
            </w:r>
            <w:r>
              <w:rPr>
                <w:noProof/>
                <w:webHidden/>
              </w:rPr>
              <w:fldChar w:fldCharType="begin"/>
            </w:r>
            <w:r>
              <w:rPr>
                <w:noProof/>
                <w:webHidden/>
              </w:rPr>
              <w:instrText xml:space="preserve"> PAGEREF _Toc235589219 \h </w:instrText>
            </w:r>
            <w:r>
              <w:rPr>
                <w:noProof/>
                <w:webHidden/>
              </w:rPr>
            </w:r>
            <w:r>
              <w:rPr>
                <w:noProof/>
                <w:webHidden/>
              </w:rPr>
              <w:fldChar w:fldCharType="separate"/>
            </w:r>
            <w:r>
              <w:rPr>
                <w:noProof/>
                <w:webHidden/>
              </w:rPr>
              <w:t>7</w:t>
            </w:r>
            <w:r>
              <w:rPr>
                <w:noProof/>
                <w:webHidden/>
              </w:rPr>
              <w:fldChar w:fldCharType="end"/>
            </w:r>
          </w:hyperlink>
        </w:p>
        <w:p w14:paraId="2277EABD" w14:textId="77777777" w:rsidR="00A67D8B" w:rsidRDefault="00A67D8B">
          <w:pPr>
            <w:pStyle w:val="TOC2"/>
            <w:tabs>
              <w:tab w:val="right" w:leader="dot" w:pos="9016"/>
            </w:tabs>
            <w:rPr>
              <w:rFonts w:asciiTheme="minorHAnsi" w:eastAsiaTheme="minorEastAsia" w:hAnsiTheme="minorHAnsi" w:cstheme="minorBidi"/>
              <w:noProof/>
              <w:sz w:val="22"/>
              <w:szCs w:val="22"/>
            </w:rPr>
          </w:pPr>
          <w:hyperlink w:anchor="_Toc235589220" w:history="1">
            <w:r w:rsidRPr="00625AA7">
              <w:rPr>
                <w:rStyle w:val="Hyperlink"/>
                <w:rFonts w:eastAsia="Arial"/>
                <w:b/>
                <w:bCs/>
                <w:noProof/>
              </w:rPr>
              <w:t>3.1 Generational Diversity in Context</w:t>
            </w:r>
            <w:r>
              <w:rPr>
                <w:noProof/>
                <w:webHidden/>
              </w:rPr>
              <w:tab/>
            </w:r>
            <w:r>
              <w:rPr>
                <w:noProof/>
                <w:webHidden/>
              </w:rPr>
              <w:fldChar w:fldCharType="begin"/>
            </w:r>
            <w:r>
              <w:rPr>
                <w:noProof/>
                <w:webHidden/>
              </w:rPr>
              <w:instrText xml:space="preserve"> PAGEREF _Toc235589220 \h </w:instrText>
            </w:r>
            <w:r>
              <w:rPr>
                <w:noProof/>
                <w:webHidden/>
              </w:rPr>
            </w:r>
            <w:r>
              <w:rPr>
                <w:noProof/>
                <w:webHidden/>
              </w:rPr>
              <w:fldChar w:fldCharType="separate"/>
            </w:r>
            <w:r>
              <w:rPr>
                <w:noProof/>
                <w:webHidden/>
              </w:rPr>
              <w:t>7</w:t>
            </w:r>
            <w:r>
              <w:rPr>
                <w:noProof/>
                <w:webHidden/>
              </w:rPr>
              <w:fldChar w:fldCharType="end"/>
            </w:r>
          </w:hyperlink>
        </w:p>
        <w:p w14:paraId="6D7508CF" w14:textId="77777777" w:rsidR="00A67D8B" w:rsidRDefault="00A67D8B">
          <w:pPr>
            <w:pStyle w:val="TOC2"/>
            <w:tabs>
              <w:tab w:val="right" w:leader="dot" w:pos="9016"/>
            </w:tabs>
            <w:rPr>
              <w:rFonts w:asciiTheme="minorHAnsi" w:eastAsiaTheme="minorEastAsia" w:hAnsiTheme="minorHAnsi" w:cstheme="minorBidi"/>
              <w:noProof/>
              <w:sz w:val="22"/>
              <w:szCs w:val="22"/>
            </w:rPr>
          </w:pPr>
          <w:hyperlink w:anchor="_Toc235589221" w:history="1">
            <w:r w:rsidRPr="00625AA7">
              <w:rPr>
                <w:rStyle w:val="Hyperlink"/>
                <w:rFonts w:eastAsia="Arial"/>
                <w:b/>
                <w:bCs/>
                <w:noProof/>
              </w:rPr>
              <w:t>3.2 Generational Profiles: X, Y and Z</w:t>
            </w:r>
            <w:r>
              <w:rPr>
                <w:noProof/>
                <w:webHidden/>
              </w:rPr>
              <w:tab/>
            </w:r>
            <w:r>
              <w:rPr>
                <w:noProof/>
                <w:webHidden/>
              </w:rPr>
              <w:fldChar w:fldCharType="begin"/>
            </w:r>
            <w:r>
              <w:rPr>
                <w:noProof/>
                <w:webHidden/>
              </w:rPr>
              <w:instrText xml:space="preserve"> PAGEREF _Toc235589221 \h </w:instrText>
            </w:r>
            <w:r>
              <w:rPr>
                <w:noProof/>
                <w:webHidden/>
              </w:rPr>
            </w:r>
            <w:r>
              <w:rPr>
                <w:noProof/>
                <w:webHidden/>
              </w:rPr>
              <w:fldChar w:fldCharType="separate"/>
            </w:r>
            <w:r>
              <w:rPr>
                <w:noProof/>
                <w:webHidden/>
              </w:rPr>
              <w:t>7</w:t>
            </w:r>
            <w:r>
              <w:rPr>
                <w:noProof/>
                <w:webHidden/>
              </w:rPr>
              <w:fldChar w:fldCharType="end"/>
            </w:r>
          </w:hyperlink>
        </w:p>
        <w:p w14:paraId="3DDFD739" w14:textId="77777777" w:rsidR="00A67D8B" w:rsidRDefault="00A67D8B">
          <w:pPr>
            <w:pStyle w:val="TOC2"/>
            <w:tabs>
              <w:tab w:val="right" w:leader="dot" w:pos="9016"/>
            </w:tabs>
            <w:rPr>
              <w:rFonts w:asciiTheme="minorHAnsi" w:eastAsiaTheme="minorEastAsia" w:hAnsiTheme="minorHAnsi" w:cstheme="minorBidi"/>
              <w:noProof/>
              <w:sz w:val="22"/>
              <w:szCs w:val="22"/>
            </w:rPr>
          </w:pPr>
          <w:hyperlink w:anchor="_Toc235589222" w:history="1">
            <w:r w:rsidRPr="00625AA7">
              <w:rPr>
                <w:rStyle w:val="Hyperlink"/>
                <w:rFonts w:eastAsia="Arial"/>
                <w:b/>
                <w:bCs/>
                <w:noProof/>
              </w:rPr>
              <w:t>3.3 Impact on Organisational Effectiveness</w:t>
            </w:r>
            <w:r>
              <w:rPr>
                <w:noProof/>
                <w:webHidden/>
              </w:rPr>
              <w:tab/>
            </w:r>
            <w:r>
              <w:rPr>
                <w:noProof/>
                <w:webHidden/>
              </w:rPr>
              <w:fldChar w:fldCharType="begin"/>
            </w:r>
            <w:r>
              <w:rPr>
                <w:noProof/>
                <w:webHidden/>
              </w:rPr>
              <w:instrText xml:space="preserve"> PAGEREF _Toc235589222 \h </w:instrText>
            </w:r>
            <w:r>
              <w:rPr>
                <w:noProof/>
                <w:webHidden/>
              </w:rPr>
            </w:r>
            <w:r>
              <w:rPr>
                <w:noProof/>
                <w:webHidden/>
              </w:rPr>
              <w:fldChar w:fldCharType="separate"/>
            </w:r>
            <w:r>
              <w:rPr>
                <w:noProof/>
                <w:webHidden/>
              </w:rPr>
              <w:t>8</w:t>
            </w:r>
            <w:r>
              <w:rPr>
                <w:noProof/>
                <w:webHidden/>
              </w:rPr>
              <w:fldChar w:fldCharType="end"/>
            </w:r>
          </w:hyperlink>
        </w:p>
        <w:p w14:paraId="4F508072" w14:textId="77777777" w:rsidR="00A67D8B" w:rsidRDefault="00A67D8B">
          <w:pPr>
            <w:pStyle w:val="TOC2"/>
            <w:tabs>
              <w:tab w:val="right" w:leader="dot" w:pos="9016"/>
            </w:tabs>
            <w:rPr>
              <w:rFonts w:asciiTheme="minorHAnsi" w:eastAsiaTheme="minorEastAsia" w:hAnsiTheme="minorHAnsi" w:cstheme="minorBidi"/>
              <w:noProof/>
              <w:sz w:val="22"/>
              <w:szCs w:val="22"/>
            </w:rPr>
          </w:pPr>
          <w:hyperlink w:anchor="_Toc235589223" w:history="1">
            <w:r w:rsidRPr="00625AA7">
              <w:rPr>
                <w:rStyle w:val="Hyperlink"/>
                <w:rFonts w:eastAsia="Arial"/>
                <w:b/>
                <w:bCs/>
                <w:noProof/>
              </w:rPr>
              <w:t>3.4 EI, Mindfulness and Inclusive Multigenerational Leadership</w:t>
            </w:r>
            <w:r>
              <w:rPr>
                <w:noProof/>
                <w:webHidden/>
              </w:rPr>
              <w:tab/>
            </w:r>
            <w:r>
              <w:rPr>
                <w:noProof/>
                <w:webHidden/>
              </w:rPr>
              <w:fldChar w:fldCharType="begin"/>
            </w:r>
            <w:r>
              <w:rPr>
                <w:noProof/>
                <w:webHidden/>
              </w:rPr>
              <w:instrText xml:space="preserve"> PAGEREF _Toc235589223 \h </w:instrText>
            </w:r>
            <w:r>
              <w:rPr>
                <w:noProof/>
                <w:webHidden/>
              </w:rPr>
            </w:r>
            <w:r>
              <w:rPr>
                <w:noProof/>
                <w:webHidden/>
              </w:rPr>
              <w:fldChar w:fldCharType="separate"/>
            </w:r>
            <w:r>
              <w:rPr>
                <w:noProof/>
                <w:webHidden/>
              </w:rPr>
              <w:t>9</w:t>
            </w:r>
            <w:r>
              <w:rPr>
                <w:noProof/>
                <w:webHidden/>
              </w:rPr>
              <w:fldChar w:fldCharType="end"/>
            </w:r>
          </w:hyperlink>
        </w:p>
        <w:p w14:paraId="5E5C6DFA" w14:textId="77777777" w:rsidR="00A67D8B" w:rsidRDefault="00A67D8B">
          <w:pPr>
            <w:pStyle w:val="TOC2"/>
            <w:tabs>
              <w:tab w:val="right" w:leader="dot" w:pos="9016"/>
            </w:tabs>
            <w:rPr>
              <w:rFonts w:asciiTheme="minorHAnsi" w:eastAsiaTheme="minorEastAsia" w:hAnsiTheme="minorHAnsi" w:cstheme="minorBidi"/>
              <w:noProof/>
              <w:sz w:val="22"/>
              <w:szCs w:val="22"/>
            </w:rPr>
          </w:pPr>
          <w:hyperlink w:anchor="_Toc235589224" w:history="1">
            <w:r w:rsidRPr="00625AA7">
              <w:rPr>
                <w:rStyle w:val="Hyperlink"/>
                <w:rFonts w:eastAsia="Arial"/>
                <w:b/>
                <w:bCs/>
                <w:noProof/>
              </w:rPr>
              <w:t>3.5 Implications for Recruitment and Retention</w:t>
            </w:r>
            <w:r>
              <w:rPr>
                <w:noProof/>
                <w:webHidden/>
              </w:rPr>
              <w:tab/>
            </w:r>
            <w:r>
              <w:rPr>
                <w:noProof/>
                <w:webHidden/>
              </w:rPr>
              <w:fldChar w:fldCharType="begin"/>
            </w:r>
            <w:r>
              <w:rPr>
                <w:noProof/>
                <w:webHidden/>
              </w:rPr>
              <w:instrText xml:space="preserve"> PAGEREF _Toc235589224 \h </w:instrText>
            </w:r>
            <w:r>
              <w:rPr>
                <w:noProof/>
                <w:webHidden/>
              </w:rPr>
            </w:r>
            <w:r>
              <w:rPr>
                <w:noProof/>
                <w:webHidden/>
              </w:rPr>
              <w:fldChar w:fldCharType="separate"/>
            </w:r>
            <w:r>
              <w:rPr>
                <w:noProof/>
                <w:webHidden/>
              </w:rPr>
              <w:t>10</w:t>
            </w:r>
            <w:r>
              <w:rPr>
                <w:noProof/>
                <w:webHidden/>
              </w:rPr>
              <w:fldChar w:fldCharType="end"/>
            </w:r>
          </w:hyperlink>
        </w:p>
        <w:p w14:paraId="1AF4047C" w14:textId="77777777" w:rsidR="00A67D8B" w:rsidRDefault="00A67D8B">
          <w:pPr>
            <w:pStyle w:val="TOC1"/>
            <w:tabs>
              <w:tab w:val="right" w:leader="dot" w:pos="9016"/>
            </w:tabs>
            <w:rPr>
              <w:rFonts w:asciiTheme="minorHAnsi" w:eastAsiaTheme="minorEastAsia" w:hAnsiTheme="minorHAnsi" w:cstheme="minorBidi"/>
              <w:noProof/>
              <w:sz w:val="22"/>
              <w:szCs w:val="22"/>
            </w:rPr>
          </w:pPr>
          <w:hyperlink w:anchor="_Toc235589225" w:history="1">
            <w:r w:rsidRPr="00625AA7">
              <w:rPr>
                <w:rStyle w:val="Hyperlink"/>
                <w:rFonts w:eastAsia="Arial"/>
                <w:b/>
                <w:bCs/>
                <w:noProof/>
              </w:rPr>
              <w:t>4.0 Conclusion</w:t>
            </w:r>
            <w:r>
              <w:rPr>
                <w:noProof/>
                <w:webHidden/>
              </w:rPr>
              <w:tab/>
            </w:r>
            <w:r>
              <w:rPr>
                <w:noProof/>
                <w:webHidden/>
              </w:rPr>
              <w:fldChar w:fldCharType="begin"/>
            </w:r>
            <w:r>
              <w:rPr>
                <w:noProof/>
                <w:webHidden/>
              </w:rPr>
              <w:instrText xml:space="preserve"> PAGEREF _Toc235589225 \h </w:instrText>
            </w:r>
            <w:r>
              <w:rPr>
                <w:noProof/>
                <w:webHidden/>
              </w:rPr>
            </w:r>
            <w:r>
              <w:rPr>
                <w:noProof/>
                <w:webHidden/>
              </w:rPr>
              <w:fldChar w:fldCharType="separate"/>
            </w:r>
            <w:r>
              <w:rPr>
                <w:noProof/>
                <w:webHidden/>
              </w:rPr>
              <w:t>10</w:t>
            </w:r>
            <w:r>
              <w:rPr>
                <w:noProof/>
                <w:webHidden/>
              </w:rPr>
              <w:fldChar w:fldCharType="end"/>
            </w:r>
          </w:hyperlink>
        </w:p>
        <w:p w14:paraId="1E5CDBC5" w14:textId="77777777" w:rsidR="00A67D8B" w:rsidRDefault="00A67D8B">
          <w:pPr>
            <w:pStyle w:val="TOC1"/>
            <w:tabs>
              <w:tab w:val="right" w:leader="dot" w:pos="9016"/>
            </w:tabs>
            <w:rPr>
              <w:rFonts w:asciiTheme="minorHAnsi" w:eastAsiaTheme="minorEastAsia" w:hAnsiTheme="minorHAnsi" w:cstheme="minorBidi"/>
              <w:noProof/>
              <w:sz w:val="22"/>
              <w:szCs w:val="22"/>
            </w:rPr>
          </w:pPr>
          <w:hyperlink w:anchor="_Toc235589226" w:history="1">
            <w:r w:rsidRPr="00625AA7">
              <w:rPr>
                <w:rStyle w:val="Hyperlink"/>
                <w:rFonts w:eastAsia="Arial"/>
                <w:b/>
                <w:bCs/>
                <w:noProof/>
              </w:rPr>
              <w:t>References</w:t>
            </w:r>
            <w:r>
              <w:rPr>
                <w:noProof/>
                <w:webHidden/>
              </w:rPr>
              <w:tab/>
            </w:r>
            <w:r>
              <w:rPr>
                <w:noProof/>
                <w:webHidden/>
              </w:rPr>
              <w:fldChar w:fldCharType="begin"/>
            </w:r>
            <w:r>
              <w:rPr>
                <w:noProof/>
                <w:webHidden/>
              </w:rPr>
              <w:instrText xml:space="preserve"> PAGEREF _Toc235589226 \h </w:instrText>
            </w:r>
            <w:r>
              <w:rPr>
                <w:noProof/>
                <w:webHidden/>
              </w:rPr>
            </w:r>
            <w:r>
              <w:rPr>
                <w:noProof/>
                <w:webHidden/>
              </w:rPr>
              <w:fldChar w:fldCharType="separate"/>
            </w:r>
            <w:r>
              <w:rPr>
                <w:noProof/>
                <w:webHidden/>
              </w:rPr>
              <w:t>12</w:t>
            </w:r>
            <w:r>
              <w:rPr>
                <w:noProof/>
                <w:webHidden/>
              </w:rPr>
              <w:fldChar w:fldCharType="end"/>
            </w:r>
          </w:hyperlink>
        </w:p>
        <w:p w14:paraId="6B67DC6C" w14:textId="77777777" w:rsidR="00A67D8B" w:rsidRDefault="00A67D8B">
          <w:r>
            <w:rPr>
              <w:b/>
              <w:bCs/>
              <w:noProof/>
            </w:rPr>
            <w:fldChar w:fldCharType="end"/>
          </w:r>
        </w:p>
      </w:sdtContent>
    </w:sdt>
    <w:p w14:paraId="0A7FFC7F" w14:textId="77777777" w:rsidR="00A67D8B" w:rsidRDefault="00A67D8B" w:rsidP="005B59FD">
      <w:pPr>
        <w:spacing w:line="360" w:lineRule="auto"/>
        <w:rPr>
          <w:sz w:val="24"/>
          <w:szCs w:val="24"/>
        </w:rPr>
      </w:pPr>
    </w:p>
    <w:p w14:paraId="6B063EC5" w14:textId="77777777" w:rsidR="00A67D8B" w:rsidRDefault="00A67D8B" w:rsidP="005B59FD">
      <w:pPr>
        <w:spacing w:line="360" w:lineRule="auto"/>
        <w:rPr>
          <w:sz w:val="24"/>
          <w:szCs w:val="24"/>
        </w:rPr>
      </w:pPr>
    </w:p>
    <w:p w14:paraId="69A2F2F7" w14:textId="77777777" w:rsidR="00A67D8B" w:rsidRDefault="00A67D8B" w:rsidP="005B59FD">
      <w:pPr>
        <w:spacing w:line="360" w:lineRule="auto"/>
        <w:rPr>
          <w:sz w:val="24"/>
          <w:szCs w:val="24"/>
        </w:rPr>
      </w:pPr>
    </w:p>
    <w:p w14:paraId="2B4FE10C" w14:textId="77777777" w:rsidR="00A67D8B" w:rsidRDefault="00A67D8B" w:rsidP="005B59FD">
      <w:pPr>
        <w:spacing w:line="360" w:lineRule="auto"/>
        <w:rPr>
          <w:sz w:val="24"/>
          <w:szCs w:val="24"/>
        </w:rPr>
      </w:pPr>
    </w:p>
    <w:p w14:paraId="327951BE" w14:textId="77777777" w:rsidR="00A67D8B" w:rsidRDefault="00A67D8B" w:rsidP="005B59FD">
      <w:pPr>
        <w:spacing w:line="360" w:lineRule="auto"/>
        <w:rPr>
          <w:sz w:val="24"/>
          <w:szCs w:val="24"/>
        </w:rPr>
      </w:pPr>
    </w:p>
    <w:p w14:paraId="7341AB54" w14:textId="77777777" w:rsidR="00A67D8B" w:rsidRDefault="00A67D8B" w:rsidP="005B59FD">
      <w:pPr>
        <w:spacing w:line="360" w:lineRule="auto"/>
        <w:rPr>
          <w:sz w:val="24"/>
          <w:szCs w:val="24"/>
        </w:rPr>
      </w:pPr>
    </w:p>
    <w:p w14:paraId="3956B665" w14:textId="77777777" w:rsidR="00A67D8B" w:rsidRDefault="00A67D8B" w:rsidP="005B59FD">
      <w:pPr>
        <w:spacing w:line="360" w:lineRule="auto"/>
        <w:rPr>
          <w:sz w:val="24"/>
          <w:szCs w:val="24"/>
        </w:rPr>
      </w:pPr>
    </w:p>
    <w:p w14:paraId="4EA0045A" w14:textId="77777777" w:rsidR="00A67D8B" w:rsidRDefault="00A67D8B" w:rsidP="005B59FD">
      <w:pPr>
        <w:spacing w:line="360" w:lineRule="auto"/>
        <w:rPr>
          <w:sz w:val="24"/>
          <w:szCs w:val="24"/>
        </w:rPr>
      </w:pPr>
    </w:p>
    <w:p w14:paraId="6BD3CB5B" w14:textId="77777777" w:rsidR="00A67D8B" w:rsidRDefault="00A67D8B" w:rsidP="005B59FD">
      <w:pPr>
        <w:spacing w:line="360" w:lineRule="auto"/>
        <w:rPr>
          <w:sz w:val="24"/>
          <w:szCs w:val="24"/>
        </w:rPr>
      </w:pPr>
    </w:p>
    <w:p w14:paraId="372D5A05" w14:textId="77777777" w:rsidR="00A67D8B" w:rsidRDefault="00A67D8B" w:rsidP="005B59FD">
      <w:pPr>
        <w:spacing w:line="360" w:lineRule="auto"/>
        <w:rPr>
          <w:sz w:val="24"/>
          <w:szCs w:val="24"/>
        </w:rPr>
      </w:pPr>
    </w:p>
    <w:p w14:paraId="61E34450" w14:textId="77777777" w:rsidR="00A67D8B" w:rsidRDefault="00A67D8B" w:rsidP="005B59FD">
      <w:pPr>
        <w:spacing w:line="360" w:lineRule="auto"/>
        <w:rPr>
          <w:sz w:val="24"/>
          <w:szCs w:val="24"/>
        </w:rPr>
      </w:pPr>
    </w:p>
    <w:p w14:paraId="66C08A60" w14:textId="77777777" w:rsidR="00A67D8B" w:rsidRDefault="00A67D8B" w:rsidP="005B59FD">
      <w:pPr>
        <w:spacing w:line="360" w:lineRule="auto"/>
        <w:rPr>
          <w:sz w:val="24"/>
          <w:szCs w:val="24"/>
        </w:rPr>
      </w:pPr>
    </w:p>
    <w:p w14:paraId="03897280" w14:textId="77777777" w:rsidR="00A67D8B" w:rsidRDefault="00A67D8B" w:rsidP="005B59FD">
      <w:pPr>
        <w:spacing w:line="360" w:lineRule="auto"/>
        <w:rPr>
          <w:sz w:val="24"/>
          <w:szCs w:val="24"/>
        </w:rPr>
      </w:pPr>
    </w:p>
    <w:p w14:paraId="4AFA4203" w14:textId="77777777" w:rsidR="00A67D8B" w:rsidRDefault="00A67D8B" w:rsidP="005B59FD">
      <w:pPr>
        <w:spacing w:line="360" w:lineRule="auto"/>
        <w:rPr>
          <w:sz w:val="24"/>
          <w:szCs w:val="24"/>
        </w:rPr>
      </w:pPr>
    </w:p>
    <w:p w14:paraId="7DC338B0" w14:textId="77777777" w:rsidR="00A67D8B" w:rsidRDefault="00A67D8B" w:rsidP="005B59FD">
      <w:pPr>
        <w:spacing w:line="360" w:lineRule="auto"/>
        <w:rPr>
          <w:sz w:val="24"/>
          <w:szCs w:val="24"/>
        </w:rPr>
      </w:pPr>
    </w:p>
    <w:p w14:paraId="4562C2B4" w14:textId="77777777" w:rsidR="00A67D8B" w:rsidRDefault="00A67D8B" w:rsidP="005B59FD">
      <w:pPr>
        <w:spacing w:line="360" w:lineRule="auto"/>
        <w:rPr>
          <w:sz w:val="24"/>
          <w:szCs w:val="24"/>
        </w:rPr>
      </w:pPr>
    </w:p>
    <w:p w14:paraId="78D45C83" w14:textId="77777777" w:rsidR="00A67D8B" w:rsidRDefault="00A67D8B" w:rsidP="005B59FD">
      <w:pPr>
        <w:spacing w:line="360" w:lineRule="auto"/>
        <w:rPr>
          <w:sz w:val="24"/>
          <w:szCs w:val="24"/>
        </w:rPr>
      </w:pPr>
    </w:p>
    <w:p w14:paraId="05EE07BA" w14:textId="77777777" w:rsidR="00A67D8B" w:rsidRDefault="00A67D8B" w:rsidP="005B59FD">
      <w:pPr>
        <w:spacing w:line="360" w:lineRule="auto"/>
        <w:rPr>
          <w:sz w:val="24"/>
          <w:szCs w:val="24"/>
        </w:rPr>
      </w:pPr>
    </w:p>
    <w:p w14:paraId="17AB20E5" w14:textId="77777777" w:rsidR="00A67D8B" w:rsidRPr="005B59FD" w:rsidRDefault="00A67D8B" w:rsidP="005B59FD">
      <w:pPr>
        <w:spacing w:line="360" w:lineRule="auto"/>
        <w:rPr>
          <w:sz w:val="24"/>
          <w:szCs w:val="24"/>
        </w:rPr>
      </w:pPr>
    </w:p>
    <w:p w14:paraId="1B19BF1F" w14:textId="77777777" w:rsidR="006511B4" w:rsidRPr="005B59FD" w:rsidRDefault="00DF35E4" w:rsidP="005B59FD">
      <w:pPr>
        <w:pStyle w:val="Heading1"/>
        <w:spacing w:after="200" w:line="360" w:lineRule="auto"/>
        <w:rPr>
          <w:color w:val="auto"/>
          <w:sz w:val="24"/>
          <w:szCs w:val="24"/>
        </w:rPr>
      </w:pPr>
      <w:bookmarkStart w:id="0" w:name="_Toc235589210"/>
      <w:r w:rsidRPr="005B59FD">
        <w:rPr>
          <w:rFonts w:eastAsia="Arial"/>
          <w:b/>
          <w:bCs/>
          <w:color w:val="auto"/>
          <w:sz w:val="24"/>
          <w:szCs w:val="24"/>
        </w:rPr>
        <w:t>1.0 Introduction</w:t>
      </w:r>
      <w:bookmarkEnd w:id="0"/>
    </w:p>
    <w:p w14:paraId="45C5B824" w14:textId="77777777" w:rsidR="005B59FD" w:rsidRPr="005B59FD" w:rsidRDefault="005B59FD" w:rsidP="005B59FD">
      <w:pPr>
        <w:spacing w:after="200" w:line="360" w:lineRule="auto"/>
        <w:jc w:val="both"/>
        <w:rPr>
          <w:rFonts w:eastAsia="Arial"/>
          <w:sz w:val="24"/>
          <w:szCs w:val="24"/>
        </w:rPr>
      </w:pPr>
      <w:r w:rsidRPr="005B59FD">
        <w:rPr>
          <w:rFonts w:eastAsia="Arial"/>
          <w:sz w:val="24"/>
          <w:szCs w:val="24"/>
        </w:rPr>
        <w:t xml:space="preserve">This report has been commissioned by the Head of Department, following a recent </w:t>
      </w:r>
      <w:proofErr w:type="spellStart"/>
      <w:r w:rsidRPr="005B59FD">
        <w:rPr>
          <w:rFonts w:eastAsia="Arial"/>
          <w:sz w:val="24"/>
          <w:szCs w:val="24"/>
        </w:rPr>
        <w:t>organisational</w:t>
      </w:r>
      <w:proofErr w:type="spellEnd"/>
      <w:r w:rsidRPr="005B59FD">
        <w:rPr>
          <w:rFonts w:eastAsia="Arial"/>
          <w:sz w:val="24"/>
          <w:szCs w:val="24"/>
        </w:rPr>
        <w:t xml:space="preserve"> climate survey which showed measurable improvements in the morale within the teams, communication and conflict resolution, which would inform the Senior Management Team (SMT) before the strategic planning meeting in September 2026. It critically looks at the importance of emotional intelligence (EI) and mindfulness to modern </w:t>
      </w:r>
      <w:proofErr w:type="spellStart"/>
      <w:r w:rsidRPr="005B59FD">
        <w:rPr>
          <w:rFonts w:eastAsia="Arial"/>
          <w:sz w:val="24"/>
          <w:szCs w:val="24"/>
        </w:rPr>
        <w:t>organisational</w:t>
      </w:r>
      <w:proofErr w:type="spellEnd"/>
      <w:r w:rsidRPr="005B59FD">
        <w:rPr>
          <w:rFonts w:eastAsia="Arial"/>
          <w:sz w:val="24"/>
          <w:szCs w:val="24"/>
        </w:rPr>
        <w:t xml:space="preserve"> life. Task 1 assesses the possibilities of the employees to implement such fundamental elements of EI as described by Goleman (1995) and Mayer and </w:t>
      </w:r>
      <w:proofErr w:type="spellStart"/>
      <w:r w:rsidRPr="005B59FD">
        <w:rPr>
          <w:rFonts w:eastAsia="Arial"/>
          <w:sz w:val="24"/>
          <w:szCs w:val="24"/>
        </w:rPr>
        <w:t>Saloveys</w:t>
      </w:r>
      <w:proofErr w:type="spellEnd"/>
      <w:r w:rsidRPr="005B59FD">
        <w:rPr>
          <w:rFonts w:eastAsia="Arial"/>
          <w:sz w:val="24"/>
          <w:szCs w:val="24"/>
        </w:rPr>
        <w:t xml:space="preserve"> (2016) frameworks and Bar-Ons (2006) model of Emotional-Social Intelligence to enhance communication, conflict management, leadership and decision-making. Task 2 analyses generational diversity by studying Generation X, Generation Y and Generation Z and notes how EI and mindfulness will enhance inclusive leadership, psychological safety, and effective recruitment and retention strategy.</w:t>
      </w:r>
    </w:p>
    <w:p w14:paraId="4D36198A" w14:textId="77777777" w:rsidR="006511B4" w:rsidRPr="005B59FD" w:rsidRDefault="00DF35E4" w:rsidP="005B59FD">
      <w:pPr>
        <w:pStyle w:val="Heading1"/>
        <w:spacing w:before="300" w:after="200" w:line="360" w:lineRule="auto"/>
        <w:rPr>
          <w:color w:val="auto"/>
          <w:sz w:val="24"/>
          <w:szCs w:val="24"/>
        </w:rPr>
      </w:pPr>
      <w:bookmarkStart w:id="1" w:name="_Toc235589211"/>
      <w:r w:rsidRPr="005B59FD">
        <w:rPr>
          <w:rFonts w:eastAsia="Arial"/>
          <w:b/>
          <w:bCs/>
          <w:color w:val="auto"/>
          <w:sz w:val="24"/>
          <w:szCs w:val="24"/>
        </w:rPr>
        <w:t>2.0 Task 1: Emotional Intelligence in the Workplace</w:t>
      </w:r>
      <w:bookmarkEnd w:id="1"/>
    </w:p>
    <w:p w14:paraId="2F7EA285" w14:textId="77777777" w:rsidR="006511B4" w:rsidRPr="005B59FD" w:rsidRDefault="00DF35E4" w:rsidP="005B59FD">
      <w:pPr>
        <w:pStyle w:val="Heading2"/>
        <w:spacing w:before="300" w:after="200" w:line="360" w:lineRule="auto"/>
        <w:rPr>
          <w:color w:val="auto"/>
          <w:sz w:val="24"/>
          <w:szCs w:val="24"/>
        </w:rPr>
      </w:pPr>
      <w:bookmarkStart w:id="2" w:name="_Toc235589212"/>
      <w:r w:rsidRPr="005B59FD">
        <w:rPr>
          <w:rFonts w:eastAsia="Arial"/>
          <w:b/>
          <w:bCs/>
          <w:color w:val="auto"/>
          <w:sz w:val="24"/>
          <w:szCs w:val="24"/>
        </w:rPr>
        <w:t xml:space="preserve">2.1 </w:t>
      </w:r>
      <w:proofErr w:type="spellStart"/>
      <w:r w:rsidRPr="005B59FD">
        <w:rPr>
          <w:rFonts w:eastAsia="Arial"/>
          <w:b/>
          <w:bCs/>
          <w:color w:val="auto"/>
          <w:sz w:val="24"/>
          <w:szCs w:val="24"/>
        </w:rPr>
        <w:t>Conceptualising</w:t>
      </w:r>
      <w:proofErr w:type="spellEnd"/>
      <w:r w:rsidRPr="005B59FD">
        <w:rPr>
          <w:rFonts w:eastAsia="Arial"/>
          <w:b/>
          <w:bCs/>
          <w:color w:val="auto"/>
          <w:sz w:val="24"/>
          <w:szCs w:val="24"/>
        </w:rPr>
        <w:t xml:space="preserve"> Emotional Intelligence</w:t>
      </w:r>
      <w:bookmarkEnd w:id="2"/>
    </w:p>
    <w:p w14:paraId="282D848F" w14:textId="77777777" w:rsidR="005B59FD" w:rsidRPr="005B59FD" w:rsidRDefault="005B59FD" w:rsidP="005B59FD">
      <w:pPr>
        <w:spacing w:after="200" w:line="360" w:lineRule="auto"/>
        <w:jc w:val="both"/>
        <w:rPr>
          <w:sz w:val="24"/>
          <w:szCs w:val="24"/>
        </w:rPr>
      </w:pPr>
      <w:r w:rsidRPr="005B59FD">
        <w:rPr>
          <w:rFonts w:eastAsia="Arial"/>
          <w:sz w:val="24"/>
          <w:szCs w:val="24"/>
        </w:rPr>
        <w:t xml:space="preserve">Salovey and Mayer (1990) originally defined emotional intelligence as the capacity to be able to monitor the feelings and emotions of oneself and others, to distinguish between them, and to make use of them to influence thought and action. Goleman (1995) later </w:t>
      </w:r>
      <w:proofErr w:type="spellStart"/>
      <w:r w:rsidRPr="005B59FD">
        <w:rPr>
          <w:rFonts w:eastAsia="Arial"/>
          <w:sz w:val="24"/>
          <w:szCs w:val="24"/>
        </w:rPr>
        <w:t>popularised</w:t>
      </w:r>
      <w:proofErr w:type="spellEnd"/>
      <w:r w:rsidRPr="005B59FD">
        <w:rPr>
          <w:rFonts w:eastAsia="Arial"/>
          <w:sz w:val="24"/>
          <w:szCs w:val="24"/>
        </w:rPr>
        <w:t xml:space="preserve"> the idea, by extending the cognitive-ability framing provided by Salovey and Mayer to </w:t>
      </w:r>
      <w:proofErr w:type="gramStart"/>
      <w:r w:rsidRPr="005B59FD">
        <w:rPr>
          <w:rFonts w:eastAsia="Arial"/>
          <w:sz w:val="24"/>
          <w:szCs w:val="24"/>
        </w:rPr>
        <w:t>personality based</w:t>
      </w:r>
      <w:proofErr w:type="gramEnd"/>
      <w:r w:rsidRPr="005B59FD">
        <w:rPr>
          <w:rFonts w:eastAsia="Arial"/>
          <w:sz w:val="24"/>
          <w:szCs w:val="24"/>
        </w:rPr>
        <w:t xml:space="preserve"> competences like motivation, empathy and social skill in his mixed model. A third influential theory, created by Bar-On (2006), considers EI as emotional-social intelligence (ESI): an intersection of interrelated emotional and social abilities, that consists of 5 components (intrapersonal, interpersonal, stress management, adaptability and general mood) consisting of 15 sub-competencies, that function to define the degree to which individuals are aware of their own personalities, those of others, and respond to environmental pressures. Combined, these three models are the mainstream theoretical </w:t>
      </w:r>
      <w:proofErr w:type="spellStart"/>
      <w:r w:rsidRPr="005B59FD">
        <w:rPr>
          <w:rFonts w:eastAsia="Arial"/>
          <w:sz w:val="24"/>
          <w:szCs w:val="24"/>
        </w:rPr>
        <w:t>prismations</w:t>
      </w:r>
      <w:proofErr w:type="spellEnd"/>
      <w:r w:rsidRPr="005B59FD">
        <w:rPr>
          <w:rFonts w:eastAsia="Arial"/>
          <w:sz w:val="24"/>
          <w:szCs w:val="24"/>
        </w:rPr>
        <w:t xml:space="preserve"> exploring EI in the </w:t>
      </w:r>
      <w:proofErr w:type="spellStart"/>
      <w:r w:rsidRPr="005B59FD">
        <w:rPr>
          <w:rFonts w:eastAsia="Arial"/>
          <w:sz w:val="24"/>
          <w:szCs w:val="24"/>
        </w:rPr>
        <w:t>organisational</w:t>
      </w:r>
      <w:proofErr w:type="spellEnd"/>
      <w:r w:rsidRPr="005B59FD">
        <w:rPr>
          <w:rFonts w:eastAsia="Arial"/>
          <w:sz w:val="24"/>
          <w:szCs w:val="24"/>
        </w:rPr>
        <w:t xml:space="preserve"> setting. Even though they have a similar issue of self-awareness, self-regulation, and interpersonal skill, they differ in one important aspect, which is that, contrary to Goleman and Bar-On models, Mayer and Salovey (2016) state that EI is an actual cognitive skill, and its level can be measured by performance tests, unlike the one that Bar-On and Goleman discuss, </w:t>
      </w:r>
      <w:r w:rsidRPr="005B59FD">
        <w:rPr>
          <w:rFonts w:eastAsia="Arial"/>
          <w:sz w:val="24"/>
          <w:szCs w:val="24"/>
        </w:rPr>
        <w:lastRenderedPageBreak/>
        <w:t>which combines both ability and personality tendencies and is measured with the help of self-report.</w:t>
      </w:r>
    </w:p>
    <w:p w14:paraId="75433D49" w14:textId="77777777" w:rsidR="006511B4" w:rsidRPr="005B59FD" w:rsidRDefault="00DF35E4" w:rsidP="005B59FD">
      <w:pPr>
        <w:pStyle w:val="Heading2"/>
        <w:spacing w:before="300" w:after="200" w:line="360" w:lineRule="auto"/>
        <w:rPr>
          <w:color w:val="auto"/>
          <w:sz w:val="24"/>
          <w:szCs w:val="24"/>
        </w:rPr>
      </w:pPr>
      <w:bookmarkStart w:id="3" w:name="_Toc235589213"/>
      <w:r w:rsidRPr="005B59FD">
        <w:rPr>
          <w:rFonts w:eastAsia="Arial"/>
          <w:b/>
          <w:bCs/>
          <w:color w:val="auto"/>
          <w:sz w:val="24"/>
          <w:szCs w:val="24"/>
        </w:rPr>
        <w:t>2.2 A Critical Comparison of the Three Models</w:t>
      </w:r>
      <w:bookmarkEnd w:id="3"/>
    </w:p>
    <w:p w14:paraId="2F930378" w14:textId="77777777" w:rsidR="004A4AE6" w:rsidRDefault="005B59FD" w:rsidP="005B59FD">
      <w:pPr>
        <w:spacing w:after="200" w:line="360" w:lineRule="auto"/>
        <w:jc w:val="both"/>
        <w:rPr>
          <w:rFonts w:eastAsia="Arial"/>
          <w:sz w:val="24"/>
          <w:szCs w:val="24"/>
        </w:rPr>
      </w:pPr>
      <w:r w:rsidRPr="005B59FD">
        <w:rPr>
          <w:rFonts w:eastAsia="Arial"/>
          <w:sz w:val="24"/>
          <w:szCs w:val="24"/>
        </w:rPr>
        <w:t xml:space="preserve">The four-branch model of ability by Mayer and Salovey, which includes perceiving, facilitating, understanding and managing emotion, places EI within general frameworks of intelligence. A recent second re-test by Mayer, Caruso, </w:t>
      </w:r>
      <w:proofErr w:type="spellStart"/>
      <w:r w:rsidRPr="005B59FD">
        <w:rPr>
          <w:rFonts w:eastAsia="Arial"/>
          <w:sz w:val="24"/>
          <w:szCs w:val="24"/>
        </w:rPr>
        <w:t>Sitarenios</w:t>
      </w:r>
      <w:proofErr w:type="spellEnd"/>
      <w:r w:rsidRPr="005B59FD">
        <w:rPr>
          <w:rFonts w:eastAsia="Arial"/>
          <w:sz w:val="24"/>
          <w:szCs w:val="24"/>
        </w:rPr>
        <w:t xml:space="preserve"> and Romero Escobar (2024) verified the basic configuration of the </w:t>
      </w:r>
      <w:proofErr w:type="gramStart"/>
      <w:r w:rsidRPr="005B59FD">
        <w:rPr>
          <w:rFonts w:eastAsia="Arial"/>
          <w:sz w:val="24"/>
          <w:szCs w:val="24"/>
        </w:rPr>
        <w:t>model, but</w:t>
      </w:r>
      <w:proofErr w:type="gramEnd"/>
      <w:r w:rsidRPr="005B59FD">
        <w:rPr>
          <w:rFonts w:eastAsia="Arial"/>
          <w:sz w:val="24"/>
          <w:szCs w:val="24"/>
        </w:rPr>
        <w:t xml:space="preserve"> raises the question of whether the facilitation branch is empirically differentiated to the other three, showing that even the most empirically validated EI model is still undergoing development. The appeal of this ability-</w:t>
      </w:r>
      <w:r w:rsidR="004A4AE6" w:rsidRPr="005B59FD">
        <w:rPr>
          <w:rFonts w:eastAsia="Arial"/>
          <w:sz w:val="24"/>
          <w:szCs w:val="24"/>
        </w:rPr>
        <w:t>centered</w:t>
      </w:r>
      <w:r w:rsidRPr="005B59FD">
        <w:rPr>
          <w:rFonts w:eastAsia="Arial"/>
          <w:sz w:val="24"/>
          <w:szCs w:val="24"/>
        </w:rPr>
        <w:t xml:space="preserve"> method to researchers is that it can be objectively measured and to a large extent is not personality-dependent but may arguably be less directly transferable to training in the workplace compared to the competency model suggested by Goleman, which was designed specifically to be applied to </w:t>
      </w:r>
      <w:proofErr w:type="spellStart"/>
      <w:r w:rsidRPr="005B59FD">
        <w:rPr>
          <w:rFonts w:eastAsia="Arial"/>
          <w:sz w:val="24"/>
          <w:szCs w:val="24"/>
        </w:rPr>
        <w:t>organisations</w:t>
      </w:r>
      <w:proofErr w:type="spellEnd"/>
      <w:r w:rsidRPr="005B59FD">
        <w:rPr>
          <w:rFonts w:eastAsia="Arial"/>
          <w:sz w:val="24"/>
          <w:szCs w:val="24"/>
        </w:rPr>
        <w:t xml:space="preserve"> and social </w:t>
      </w:r>
      <w:proofErr w:type="spellStart"/>
      <w:r w:rsidRPr="005B59FD">
        <w:rPr>
          <w:rFonts w:eastAsia="Arial"/>
          <w:sz w:val="24"/>
          <w:szCs w:val="24"/>
        </w:rPr>
        <w:t>behaviour</w:t>
      </w:r>
      <w:proofErr w:type="spellEnd"/>
      <w:r w:rsidRPr="005B59FD">
        <w:rPr>
          <w:rFonts w:eastAsia="Arial"/>
          <w:sz w:val="24"/>
          <w:szCs w:val="24"/>
        </w:rPr>
        <w:t xml:space="preserve"> and places EI into self-awareness, self-management, social awareness and relationship management. </w:t>
      </w:r>
    </w:p>
    <w:p w14:paraId="35F8E64A" w14:textId="77777777" w:rsidR="005B59FD" w:rsidRPr="005B59FD" w:rsidRDefault="005B59FD" w:rsidP="005B59FD">
      <w:pPr>
        <w:spacing w:after="200" w:line="360" w:lineRule="auto"/>
        <w:jc w:val="both"/>
        <w:rPr>
          <w:sz w:val="24"/>
          <w:szCs w:val="24"/>
        </w:rPr>
      </w:pPr>
      <w:r w:rsidRPr="005B59FD">
        <w:rPr>
          <w:rFonts w:eastAsia="Arial"/>
          <w:sz w:val="24"/>
          <w:szCs w:val="24"/>
        </w:rPr>
        <w:t>The ESI model of Bar-On is unique in its genuine connection of EI to wellbeing and adaptability instead of considering it as a mere mental ability. More importantly, the EQ-</w:t>
      </w:r>
      <w:proofErr w:type="spellStart"/>
      <w:r w:rsidRPr="005B59FD">
        <w:rPr>
          <w:rFonts w:eastAsia="Arial"/>
          <w:sz w:val="24"/>
          <w:szCs w:val="24"/>
        </w:rPr>
        <w:t>i</w:t>
      </w:r>
      <w:proofErr w:type="spellEnd"/>
      <w:r w:rsidRPr="005B59FD">
        <w:rPr>
          <w:rFonts w:eastAsia="Arial"/>
          <w:sz w:val="24"/>
          <w:szCs w:val="24"/>
        </w:rPr>
        <w:t xml:space="preserve">, a self-report measure based on the model developed by Bar-On has shown a predictive validity coefficient of roughly .54 with respect to occupational performance in a variety of studies (Bar-On, 2006), which is not only stronger in relation than is reportedly generally relevant to cognitive intelligence alone, but the dependence on self-report casts doubts on social desirability effects and construct overlap with more established personality traits. When combined, the three models postulate that none of the models comprehensively </w:t>
      </w:r>
      <w:proofErr w:type="gramStart"/>
      <w:r w:rsidRPr="005B59FD">
        <w:rPr>
          <w:rFonts w:eastAsia="Arial"/>
          <w:sz w:val="24"/>
          <w:szCs w:val="24"/>
        </w:rPr>
        <w:t>describes</w:t>
      </w:r>
      <w:proofErr w:type="gramEnd"/>
      <w:r w:rsidRPr="005B59FD">
        <w:rPr>
          <w:rFonts w:eastAsia="Arial"/>
          <w:sz w:val="24"/>
          <w:szCs w:val="24"/>
        </w:rPr>
        <w:t xml:space="preserve"> workplace EI: Mayer and Salovey offer theoretical </w:t>
      </w:r>
      <w:proofErr w:type="spellStart"/>
      <w:r w:rsidRPr="005B59FD">
        <w:rPr>
          <w:rFonts w:eastAsia="Arial"/>
          <w:sz w:val="24"/>
          <w:szCs w:val="24"/>
        </w:rPr>
        <w:t>rigour</w:t>
      </w:r>
      <w:proofErr w:type="spellEnd"/>
      <w:r w:rsidRPr="005B59FD">
        <w:rPr>
          <w:rFonts w:eastAsia="Arial"/>
          <w:sz w:val="24"/>
          <w:szCs w:val="24"/>
        </w:rPr>
        <w:t xml:space="preserve">, Goleman </w:t>
      </w:r>
      <w:proofErr w:type="spellStart"/>
      <w:r w:rsidRPr="005B59FD">
        <w:rPr>
          <w:rFonts w:eastAsia="Arial"/>
          <w:sz w:val="24"/>
          <w:szCs w:val="24"/>
        </w:rPr>
        <w:t>organisational</w:t>
      </w:r>
      <w:proofErr w:type="spellEnd"/>
      <w:r w:rsidRPr="005B59FD">
        <w:rPr>
          <w:rFonts w:eastAsia="Arial"/>
          <w:sz w:val="24"/>
          <w:szCs w:val="24"/>
        </w:rPr>
        <w:t xml:space="preserve"> applicability, and Bar-On the holistic perspective oriented towards wellbeing. In SMT application, this plurality means that the development of EI ought to be based on the integration of skills training and reflective self-assessment and situational judgement practice as opposed to a single off-the-shelf approach.</w:t>
      </w:r>
    </w:p>
    <w:p w14:paraId="28A77A9A" w14:textId="77777777" w:rsidR="006511B4" w:rsidRPr="005B59FD" w:rsidRDefault="00DF35E4" w:rsidP="005B59FD">
      <w:pPr>
        <w:pStyle w:val="Heading2"/>
        <w:spacing w:before="300" w:after="200" w:line="360" w:lineRule="auto"/>
        <w:rPr>
          <w:color w:val="auto"/>
          <w:sz w:val="24"/>
          <w:szCs w:val="24"/>
        </w:rPr>
      </w:pPr>
      <w:bookmarkStart w:id="4" w:name="_Toc235589214"/>
      <w:r w:rsidRPr="005B59FD">
        <w:rPr>
          <w:rFonts w:eastAsia="Arial"/>
          <w:b/>
          <w:bCs/>
          <w:color w:val="auto"/>
          <w:sz w:val="24"/>
          <w:szCs w:val="24"/>
        </w:rPr>
        <w:t>2.2.1 Limitations of the EI Construct</w:t>
      </w:r>
      <w:bookmarkEnd w:id="4"/>
    </w:p>
    <w:p w14:paraId="3C1737FE" w14:textId="77777777" w:rsidR="004A4AE6" w:rsidRPr="005B59FD" w:rsidRDefault="004A4AE6" w:rsidP="005B59FD">
      <w:pPr>
        <w:spacing w:after="200" w:line="360" w:lineRule="auto"/>
        <w:jc w:val="both"/>
        <w:rPr>
          <w:sz w:val="24"/>
          <w:szCs w:val="24"/>
        </w:rPr>
      </w:pPr>
      <w:r w:rsidRPr="004A4AE6">
        <w:rPr>
          <w:rFonts w:eastAsia="Arial"/>
          <w:sz w:val="24"/>
          <w:szCs w:val="24"/>
        </w:rPr>
        <w:t>Even though it is popular, EI is a controversial construct. Critics say the three-dimensional measures like the EQ-</w:t>
      </w:r>
      <w:proofErr w:type="spellStart"/>
      <w:r w:rsidRPr="004A4AE6">
        <w:rPr>
          <w:rFonts w:eastAsia="Arial"/>
          <w:sz w:val="24"/>
          <w:szCs w:val="24"/>
        </w:rPr>
        <w:t>i</w:t>
      </w:r>
      <w:proofErr w:type="spellEnd"/>
      <w:r w:rsidRPr="004A4AE6">
        <w:rPr>
          <w:rFonts w:eastAsia="Arial"/>
          <w:sz w:val="24"/>
          <w:szCs w:val="24"/>
        </w:rPr>
        <w:t xml:space="preserve">, and most of the competency scale developed by Goleman have a very strong correlation with the existing personality measures such as agreeableness and emotional </w:t>
      </w:r>
      <w:r w:rsidRPr="004A4AE6">
        <w:rPr>
          <w:rFonts w:eastAsia="Arial"/>
          <w:sz w:val="24"/>
          <w:szCs w:val="24"/>
        </w:rPr>
        <w:lastRenderedPageBreak/>
        <w:t xml:space="preserve">stability, and that EI might merely be re-branding existing personality factors under a more commercial designation. Part of the reason why Mayer and Salovey developed their ability model in response to this criticism is that performance-based testing might also be less susceptible to the risk of self-report bias, and that there may be less overlap in personality, but that ability testing like the MSCEIT has also been subject to criticism in its own scoring approaches, which might be less reliable across cultures. In the case of an SMT who is also in a diverse multi-site </w:t>
      </w:r>
      <w:proofErr w:type="spellStart"/>
      <w:r w:rsidRPr="004A4AE6">
        <w:rPr>
          <w:rFonts w:eastAsia="Arial"/>
          <w:sz w:val="24"/>
          <w:szCs w:val="24"/>
        </w:rPr>
        <w:t>organisation</w:t>
      </w:r>
      <w:proofErr w:type="spellEnd"/>
      <w:r w:rsidRPr="004A4AE6">
        <w:rPr>
          <w:rFonts w:eastAsia="Arial"/>
          <w:sz w:val="24"/>
          <w:szCs w:val="24"/>
        </w:rPr>
        <w:t xml:space="preserve">, this criticism is not just made on theory: it means that EI assessment tools must be applied to development dialogues but not taken as selection rates or promotion rates, and that the EI training </w:t>
      </w:r>
      <w:proofErr w:type="spellStart"/>
      <w:r w:rsidRPr="004A4AE6">
        <w:rPr>
          <w:rFonts w:eastAsia="Arial"/>
          <w:sz w:val="24"/>
          <w:szCs w:val="24"/>
        </w:rPr>
        <w:t>programme</w:t>
      </w:r>
      <w:proofErr w:type="spellEnd"/>
      <w:r w:rsidRPr="004A4AE6">
        <w:rPr>
          <w:rFonts w:eastAsia="Arial"/>
          <w:sz w:val="24"/>
          <w:szCs w:val="24"/>
        </w:rPr>
        <w:t xml:space="preserve"> should also be assessed in terms of its observable </w:t>
      </w:r>
      <w:proofErr w:type="spellStart"/>
      <w:r w:rsidRPr="004A4AE6">
        <w:rPr>
          <w:rFonts w:eastAsia="Arial"/>
          <w:sz w:val="24"/>
          <w:szCs w:val="24"/>
        </w:rPr>
        <w:t>behaviour</w:t>
      </w:r>
      <w:proofErr w:type="spellEnd"/>
      <w:r w:rsidRPr="004A4AE6">
        <w:rPr>
          <w:rFonts w:eastAsia="Arial"/>
          <w:sz w:val="24"/>
          <w:szCs w:val="24"/>
        </w:rPr>
        <w:t xml:space="preserve"> change and not just because it is named after a famous model.</w:t>
      </w:r>
    </w:p>
    <w:p w14:paraId="61CBE124" w14:textId="77777777" w:rsidR="006511B4" w:rsidRPr="005B59FD" w:rsidRDefault="00DF35E4" w:rsidP="005B59FD">
      <w:pPr>
        <w:pStyle w:val="Heading2"/>
        <w:spacing w:before="300" w:after="200" w:line="360" w:lineRule="auto"/>
        <w:rPr>
          <w:color w:val="auto"/>
          <w:sz w:val="24"/>
          <w:szCs w:val="24"/>
        </w:rPr>
      </w:pPr>
      <w:bookmarkStart w:id="5" w:name="_Toc235589215"/>
      <w:r w:rsidRPr="005B59FD">
        <w:rPr>
          <w:rFonts w:eastAsia="Arial"/>
          <w:b/>
          <w:bCs/>
          <w:color w:val="auto"/>
          <w:sz w:val="24"/>
          <w:szCs w:val="24"/>
        </w:rPr>
        <w:t>2.3 EI and Workplace Communication</w:t>
      </w:r>
      <w:bookmarkEnd w:id="5"/>
    </w:p>
    <w:p w14:paraId="6589020F" w14:textId="77777777" w:rsidR="004A4AE6" w:rsidRDefault="00DF35E4" w:rsidP="005B59FD">
      <w:pPr>
        <w:spacing w:after="200" w:line="360" w:lineRule="auto"/>
        <w:jc w:val="both"/>
        <w:rPr>
          <w:rFonts w:eastAsia="Arial"/>
          <w:sz w:val="24"/>
          <w:szCs w:val="24"/>
        </w:rPr>
      </w:pPr>
      <w:r w:rsidRPr="005B59FD">
        <w:rPr>
          <w:rFonts w:eastAsia="Arial"/>
          <w:sz w:val="24"/>
          <w:szCs w:val="24"/>
        </w:rPr>
        <w:t xml:space="preserve">Effective </w:t>
      </w:r>
      <w:r w:rsidR="004A4AE6" w:rsidRPr="004A4AE6">
        <w:rPr>
          <w:rFonts w:eastAsia="Arial"/>
          <w:sz w:val="24"/>
          <w:szCs w:val="24"/>
        </w:rPr>
        <w:t xml:space="preserve">communication requires the ability to accurately perceive and interpret emotional signals, self- and other-related, and manage the response, which is exactly what competencies in the perceiving and managing branches of the Mayer and Salovey framework involve. Self-aware employees can be more inclined to </w:t>
      </w:r>
      <w:proofErr w:type="spellStart"/>
      <w:r w:rsidR="004A4AE6" w:rsidRPr="004A4AE6">
        <w:rPr>
          <w:rFonts w:eastAsia="Arial"/>
          <w:sz w:val="24"/>
          <w:szCs w:val="24"/>
        </w:rPr>
        <w:t>realise</w:t>
      </w:r>
      <w:proofErr w:type="spellEnd"/>
      <w:r w:rsidR="004A4AE6" w:rsidRPr="004A4AE6">
        <w:rPr>
          <w:rFonts w:eastAsia="Arial"/>
          <w:sz w:val="24"/>
          <w:szCs w:val="24"/>
        </w:rPr>
        <w:t xml:space="preserve"> which words or tones may receive different reactions among their colleagues, whereas socially aware employees are more attuned to implicit tension or lack of involvement in a team conversation. This is in line with the study by Odame and Pandey (2025) of the executive students that established that EI sub-competencies such as empathy and self-awareness </w:t>
      </w:r>
      <w:proofErr w:type="gramStart"/>
      <w:r w:rsidR="004A4AE6" w:rsidRPr="004A4AE6">
        <w:rPr>
          <w:rFonts w:eastAsia="Arial"/>
          <w:sz w:val="24"/>
          <w:szCs w:val="24"/>
        </w:rPr>
        <w:t>associated</w:t>
      </w:r>
      <w:proofErr w:type="gramEnd"/>
      <w:r w:rsidR="004A4AE6" w:rsidRPr="004A4AE6">
        <w:rPr>
          <w:rFonts w:eastAsia="Arial"/>
          <w:sz w:val="24"/>
          <w:szCs w:val="24"/>
        </w:rPr>
        <w:t xml:space="preserve"> significantly with more constructive communication and interaction during times of disagreement. The fact that, in the conditions of the better results of the climate survey in this department, communication has become attributable to EI-informed facilitation, is consistent with the evidence base: structure emotional awareness in discussions seems to lead to a decrease in defensive responses, as well as two-directional and open dialogue. It is not only in individual interactions that EI influences communication at team levels. Leaders in the relationship-management sphere have a more advantage to read the overall emotional tone of meeting and modify pace, structure or facilitation manner such that those who speak less or less skillfully become overwhelmed by the more vocal members. This relates directly to well-being, as when employees feel listened to and comprehended, they report reduced stress and increased engagement, both outcomes that </w:t>
      </w:r>
      <w:proofErr w:type="gramStart"/>
      <w:r w:rsidR="004A4AE6" w:rsidRPr="004A4AE6">
        <w:rPr>
          <w:rFonts w:eastAsia="Arial"/>
          <w:sz w:val="24"/>
          <w:szCs w:val="24"/>
        </w:rPr>
        <w:t>the SMT</w:t>
      </w:r>
      <w:proofErr w:type="gramEnd"/>
      <w:r w:rsidR="004A4AE6" w:rsidRPr="004A4AE6">
        <w:rPr>
          <w:rFonts w:eastAsia="Arial"/>
          <w:sz w:val="24"/>
          <w:szCs w:val="24"/>
        </w:rPr>
        <w:t xml:space="preserve"> is interested in employee performance and growth.</w:t>
      </w:r>
    </w:p>
    <w:p w14:paraId="6D4D6E21" w14:textId="77777777" w:rsidR="004358E2" w:rsidRPr="004A4AE6" w:rsidRDefault="004358E2" w:rsidP="005B59FD">
      <w:pPr>
        <w:spacing w:after="200" w:line="360" w:lineRule="auto"/>
        <w:jc w:val="both"/>
        <w:rPr>
          <w:rFonts w:eastAsia="Arial"/>
          <w:sz w:val="24"/>
          <w:szCs w:val="24"/>
        </w:rPr>
      </w:pPr>
    </w:p>
    <w:p w14:paraId="5420ED70" w14:textId="77777777" w:rsidR="006511B4" w:rsidRPr="005B59FD" w:rsidRDefault="00DF35E4" w:rsidP="005B59FD">
      <w:pPr>
        <w:pStyle w:val="Heading2"/>
        <w:spacing w:before="300" w:after="200" w:line="360" w:lineRule="auto"/>
        <w:rPr>
          <w:color w:val="auto"/>
          <w:sz w:val="24"/>
          <w:szCs w:val="24"/>
        </w:rPr>
      </w:pPr>
      <w:bookmarkStart w:id="6" w:name="_Toc235589216"/>
      <w:r w:rsidRPr="005B59FD">
        <w:rPr>
          <w:rFonts w:eastAsia="Arial"/>
          <w:b/>
          <w:bCs/>
          <w:color w:val="auto"/>
          <w:sz w:val="24"/>
          <w:szCs w:val="24"/>
        </w:rPr>
        <w:lastRenderedPageBreak/>
        <w:t>2.4 EI and Conflict Management</w:t>
      </w:r>
      <w:bookmarkEnd w:id="6"/>
    </w:p>
    <w:p w14:paraId="0E41C26C" w14:textId="77777777" w:rsidR="00333B2D" w:rsidRPr="005B59FD" w:rsidRDefault="00333B2D" w:rsidP="005B59FD">
      <w:pPr>
        <w:spacing w:after="200" w:line="360" w:lineRule="auto"/>
        <w:jc w:val="both"/>
        <w:rPr>
          <w:sz w:val="24"/>
          <w:szCs w:val="24"/>
        </w:rPr>
      </w:pPr>
      <w:r w:rsidRPr="00333B2D">
        <w:rPr>
          <w:rFonts w:eastAsia="Arial"/>
          <w:sz w:val="24"/>
          <w:szCs w:val="24"/>
        </w:rPr>
        <w:t xml:space="preserve">Teamwork is inherently interdependent, and conflict is unavoidable as opinions, work approach or competing goals differ and not managed may prevent the build of trust and the sluggish pace of decision-making. With a sample of business management students, Odame and Pandey (2025) discovered that the EI competencies influenced the conflict management style significantly with a positive result, with the significant exception of social skills, indicating that self-regulation and empathy may be more important than general sociability in conflict management. This implication has a practical implication on leadership development: training in which the emphasis is on likeability or networking might fail to reduce conflict as effectively </w:t>
      </w:r>
      <w:proofErr w:type="spellStart"/>
      <w:r w:rsidRPr="00333B2D">
        <w:rPr>
          <w:rFonts w:eastAsia="Arial"/>
          <w:sz w:val="24"/>
          <w:szCs w:val="24"/>
        </w:rPr>
        <w:t>astraining</w:t>
      </w:r>
      <w:proofErr w:type="spellEnd"/>
      <w:r w:rsidRPr="00333B2D">
        <w:rPr>
          <w:rFonts w:eastAsia="Arial"/>
          <w:sz w:val="24"/>
          <w:szCs w:val="24"/>
        </w:rPr>
        <w:t xml:space="preserve"> in which the emphasis is on self-awareness and emotional regulation does. The latter point is especially applicable to the interest of the SMT in the results of the conflicts resolution because, according to such focus, EI-related interventions should rather focus on reflective and regulative abilities rather than just on relational abilities.</w:t>
      </w:r>
    </w:p>
    <w:p w14:paraId="0BCC6FD2" w14:textId="77777777" w:rsidR="006511B4" w:rsidRPr="005B59FD" w:rsidRDefault="00DF35E4" w:rsidP="005B59FD">
      <w:pPr>
        <w:pStyle w:val="Heading2"/>
        <w:spacing w:before="300" w:after="200" w:line="360" w:lineRule="auto"/>
        <w:rPr>
          <w:color w:val="auto"/>
          <w:sz w:val="24"/>
          <w:szCs w:val="24"/>
        </w:rPr>
      </w:pPr>
      <w:bookmarkStart w:id="7" w:name="_Toc235589217"/>
      <w:r w:rsidRPr="005B59FD">
        <w:rPr>
          <w:rFonts w:eastAsia="Arial"/>
          <w:b/>
          <w:bCs/>
          <w:color w:val="auto"/>
          <w:sz w:val="24"/>
          <w:szCs w:val="24"/>
        </w:rPr>
        <w:t>2.5 EI, Leadership and Decision-Making</w:t>
      </w:r>
      <w:bookmarkEnd w:id="7"/>
    </w:p>
    <w:p w14:paraId="3CEA82D0" w14:textId="77777777" w:rsidR="00F811BC" w:rsidRDefault="00F811BC" w:rsidP="005B59FD">
      <w:pPr>
        <w:spacing w:after="200" w:line="360" w:lineRule="auto"/>
        <w:jc w:val="both"/>
        <w:rPr>
          <w:rFonts w:eastAsia="Arial"/>
          <w:sz w:val="24"/>
          <w:szCs w:val="24"/>
        </w:rPr>
      </w:pPr>
      <w:r w:rsidRPr="00F811BC">
        <w:rPr>
          <w:rFonts w:eastAsia="Arial"/>
          <w:sz w:val="24"/>
          <w:szCs w:val="24"/>
        </w:rPr>
        <w:t xml:space="preserve">At the leadership level, EI has been correlated with better decision-making because a leader's ability to regulate themselves emotionally means they are less likely to make </w:t>
      </w:r>
      <w:proofErr w:type="gramStart"/>
      <w:r w:rsidRPr="00F811BC">
        <w:rPr>
          <w:rFonts w:eastAsia="Arial"/>
          <w:sz w:val="24"/>
          <w:szCs w:val="24"/>
        </w:rPr>
        <w:t>poorly-considered</w:t>
      </w:r>
      <w:proofErr w:type="gramEnd"/>
      <w:r w:rsidRPr="00F811BC">
        <w:rPr>
          <w:rFonts w:eastAsia="Arial"/>
          <w:sz w:val="24"/>
          <w:szCs w:val="24"/>
        </w:rPr>
        <w:t xml:space="preserve"> decisions or defensive choices under stressful situations. They have theorized that ideal leaders should engage in both emotional and rational processes, be emotionally sensitive and authentic, while being able to demonstrate strategic intention; those who are limited in their abilities with regard to EI, even if successful for short periods under pressure and control, sap their </w:t>
      </w:r>
      <w:proofErr w:type="spellStart"/>
      <w:r w:rsidRPr="00F811BC">
        <w:rPr>
          <w:rFonts w:eastAsia="Arial"/>
          <w:sz w:val="24"/>
          <w:szCs w:val="24"/>
        </w:rPr>
        <w:t>organisation's</w:t>
      </w:r>
      <w:proofErr w:type="spellEnd"/>
      <w:r w:rsidRPr="00F811BC">
        <w:rPr>
          <w:rFonts w:eastAsia="Arial"/>
          <w:sz w:val="24"/>
          <w:szCs w:val="24"/>
        </w:rPr>
        <w:t xml:space="preserve"> energy and engagement over time (Goleman &amp; Cherniss, 2024). This perspective aligns with the literature from ability modelling, in which one aspect of EI is </w:t>
      </w:r>
      <w:proofErr w:type="spellStart"/>
      <w:r w:rsidRPr="00F811BC">
        <w:rPr>
          <w:rFonts w:eastAsia="Arial"/>
          <w:sz w:val="24"/>
          <w:szCs w:val="24"/>
        </w:rPr>
        <w:t>conceptualised</w:t>
      </w:r>
      <w:proofErr w:type="spellEnd"/>
      <w:r w:rsidRPr="00F811BC">
        <w:rPr>
          <w:rFonts w:eastAsia="Arial"/>
          <w:sz w:val="24"/>
          <w:szCs w:val="24"/>
        </w:rPr>
        <w:t xml:space="preserve"> as the capacity to predict the potential emotional experience of situations outcomes in relation to other members of its respective community (Mayer, Caruso and Salovey, 2016), an ability that is becoming more pertinent for a department facing varied expectations from stakeholders and change. It also has an impact on decision quality in uncertain situations: When emotionally triggered, leaders characterized with low self-regulation are more likely to have confirmation bias and more likely to engage in reactive decision-making; leaders who can identify and manage their emotions are more likely to separate the substance of a decision from the pressure of emotion. What this means for recruitment, is that the SMT should consider, when recruiting leadership development candidates, that it is not just about confidence or skills based technical </w:t>
      </w:r>
      <w:r w:rsidRPr="00F811BC">
        <w:rPr>
          <w:rFonts w:eastAsia="Arial"/>
          <w:sz w:val="24"/>
          <w:szCs w:val="24"/>
        </w:rPr>
        <w:lastRenderedPageBreak/>
        <w:t xml:space="preserve">ability, but the evidence of self-regulation and reflective judgement, as this is what will inform results and performance under stress of the work of an </w:t>
      </w:r>
      <w:proofErr w:type="spellStart"/>
      <w:r w:rsidRPr="00F811BC">
        <w:rPr>
          <w:rFonts w:eastAsia="Arial"/>
          <w:sz w:val="24"/>
          <w:szCs w:val="24"/>
        </w:rPr>
        <w:t>organisation</w:t>
      </w:r>
      <w:proofErr w:type="spellEnd"/>
      <w:r w:rsidRPr="00F811BC">
        <w:rPr>
          <w:rFonts w:eastAsia="Arial"/>
          <w:sz w:val="24"/>
          <w:szCs w:val="24"/>
        </w:rPr>
        <w:t xml:space="preserve"> changing.</w:t>
      </w:r>
    </w:p>
    <w:p w14:paraId="0BA92FE5" w14:textId="77777777" w:rsidR="00F811BC" w:rsidRPr="005B59FD" w:rsidRDefault="00F811BC" w:rsidP="005B59FD">
      <w:pPr>
        <w:spacing w:after="200" w:line="360" w:lineRule="auto"/>
        <w:jc w:val="both"/>
        <w:rPr>
          <w:sz w:val="24"/>
          <w:szCs w:val="24"/>
        </w:rPr>
      </w:pPr>
    </w:p>
    <w:p w14:paraId="749F1EDB" w14:textId="77777777" w:rsidR="006511B4" w:rsidRPr="005B59FD" w:rsidRDefault="00DF35E4" w:rsidP="005B59FD">
      <w:pPr>
        <w:pStyle w:val="Heading2"/>
        <w:spacing w:before="300" w:after="200" w:line="360" w:lineRule="auto"/>
        <w:rPr>
          <w:color w:val="auto"/>
          <w:sz w:val="24"/>
          <w:szCs w:val="24"/>
        </w:rPr>
      </w:pPr>
      <w:bookmarkStart w:id="8" w:name="_Toc235589218"/>
      <w:r w:rsidRPr="005B59FD">
        <w:rPr>
          <w:rFonts w:eastAsia="Arial"/>
          <w:b/>
          <w:bCs/>
          <w:color w:val="auto"/>
          <w:sz w:val="24"/>
          <w:szCs w:val="24"/>
        </w:rPr>
        <w:t>2.6 Mindfulness as a Complementary Mechanism</w:t>
      </w:r>
      <w:bookmarkEnd w:id="8"/>
    </w:p>
    <w:p w14:paraId="176FC061" w14:textId="77777777" w:rsidR="00F811BC" w:rsidRPr="005B59FD" w:rsidRDefault="00F811BC" w:rsidP="005B59FD">
      <w:pPr>
        <w:spacing w:after="200" w:line="360" w:lineRule="auto"/>
        <w:jc w:val="both"/>
        <w:rPr>
          <w:sz w:val="24"/>
          <w:szCs w:val="24"/>
        </w:rPr>
      </w:pPr>
      <w:r w:rsidRPr="00F811BC">
        <w:rPr>
          <w:rFonts w:eastAsia="Arial"/>
          <w:sz w:val="24"/>
          <w:szCs w:val="24"/>
        </w:rPr>
        <w:t xml:space="preserve">Mindfulness, a state of consciousness in which individuals attend to present experience in a receptive, non-judgmental way, has been shown to strengthen several EI competencies directly. Over a five-day period in a diary study with 219 employees, </w:t>
      </w:r>
      <w:proofErr w:type="spellStart"/>
      <w:r w:rsidRPr="00F811BC">
        <w:rPr>
          <w:rFonts w:eastAsia="Arial"/>
          <w:sz w:val="24"/>
          <w:szCs w:val="24"/>
        </w:rPr>
        <w:t>Hulsheger</w:t>
      </w:r>
      <w:proofErr w:type="spellEnd"/>
      <w:r w:rsidRPr="00F811BC">
        <w:rPr>
          <w:rFonts w:eastAsia="Arial"/>
          <w:sz w:val="24"/>
          <w:szCs w:val="24"/>
        </w:rPr>
        <w:t xml:space="preserve"> et al. (2013) found results to the contrary: high levels of mindfulness were negatively related to the reporting of emotional exhaustion, and positively to job satisfaction, which was mediated by weak surface acting (suppression of natural feelings and posing a performed one). Newer research by Long (2025) on 263 office workers showed that practicing mindfulness has a direct impact on job performance as well as an indirect impact via emotional intelligence, thus providing the evidence that practicing mindfulness has the potential to facilitate EI competencies like self-awareness and self-regulation, a functionality that was included as a mechanism linking mindfulness to the improved job function, instead of it being a separate and competing intervention. The ability to regulate oneself and be empathetic has been the central theme of all three of the EI's discussed above and is directly relevant to the improvement evidenced within this department: mindful facilitation of team discussions, before responding, listen without immediate judgement, and don't get reactive, stay present. This mosaic of evidence suggests that EI is a package of learnable skills and has measurable impacts in communication, conflict management and leadership decision making – and can be strengthened through reflective practices like mindfulness.</w:t>
      </w:r>
    </w:p>
    <w:p w14:paraId="353416A4" w14:textId="77777777" w:rsidR="006511B4" w:rsidRPr="005B59FD" w:rsidRDefault="00DF35E4" w:rsidP="005B59FD">
      <w:pPr>
        <w:pStyle w:val="Heading1"/>
        <w:spacing w:before="300" w:after="200" w:line="360" w:lineRule="auto"/>
        <w:rPr>
          <w:color w:val="auto"/>
          <w:sz w:val="24"/>
          <w:szCs w:val="24"/>
        </w:rPr>
      </w:pPr>
      <w:bookmarkStart w:id="9" w:name="_Toc235589219"/>
      <w:r w:rsidRPr="005B59FD">
        <w:rPr>
          <w:rFonts w:eastAsia="Arial"/>
          <w:b/>
          <w:bCs/>
          <w:color w:val="auto"/>
          <w:sz w:val="24"/>
          <w:szCs w:val="24"/>
        </w:rPr>
        <w:t>3.0 Task 2: Managing a Multigenerational Workforce</w:t>
      </w:r>
      <w:bookmarkEnd w:id="9"/>
    </w:p>
    <w:p w14:paraId="2A555D68" w14:textId="77777777" w:rsidR="006511B4" w:rsidRPr="005B59FD" w:rsidRDefault="00DF35E4" w:rsidP="005B59FD">
      <w:pPr>
        <w:pStyle w:val="Heading2"/>
        <w:spacing w:before="300" w:after="200" w:line="360" w:lineRule="auto"/>
        <w:rPr>
          <w:color w:val="auto"/>
          <w:sz w:val="24"/>
          <w:szCs w:val="24"/>
        </w:rPr>
      </w:pPr>
      <w:bookmarkStart w:id="10" w:name="_Toc235589220"/>
      <w:r w:rsidRPr="005B59FD">
        <w:rPr>
          <w:rFonts w:eastAsia="Arial"/>
          <w:b/>
          <w:bCs/>
          <w:color w:val="auto"/>
          <w:sz w:val="24"/>
          <w:szCs w:val="24"/>
        </w:rPr>
        <w:t>3.1 Generational Diversity in Context</w:t>
      </w:r>
      <w:bookmarkEnd w:id="10"/>
    </w:p>
    <w:p w14:paraId="27ED31BB" w14:textId="77777777" w:rsidR="00F811BC" w:rsidRPr="005B59FD" w:rsidRDefault="00F811BC" w:rsidP="005B59FD">
      <w:pPr>
        <w:spacing w:after="200" w:line="360" w:lineRule="auto"/>
        <w:jc w:val="both"/>
        <w:rPr>
          <w:sz w:val="24"/>
          <w:szCs w:val="24"/>
        </w:rPr>
      </w:pPr>
      <w:r w:rsidRPr="00F811BC">
        <w:rPr>
          <w:rFonts w:eastAsia="Arial"/>
          <w:sz w:val="24"/>
          <w:szCs w:val="24"/>
        </w:rPr>
        <w:t xml:space="preserve">Contemporary </w:t>
      </w:r>
      <w:proofErr w:type="spellStart"/>
      <w:r w:rsidRPr="00F811BC">
        <w:rPr>
          <w:rFonts w:eastAsia="Arial"/>
          <w:sz w:val="24"/>
          <w:szCs w:val="24"/>
        </w:rPr>
        <w:t>organisations</w:t>
      </w:r>
      <w:proofErr w:type="spellEnd"/>
      <w:r w:rsidRPr="00F811BC">
        <w:rPr>
          <w:rFonts w:eastAsia="Arial"/>
          <w:sz w:val="24"/>
          <w:szCs w:val="24"/>
        </w:rPr>
        <w:t xml:space="preserve"> are becoming </w:t>
      </w:r>
      <w:proofErr w:type="gramStart"/>
      <w:r w:rsidRPr="00F811BC">
        <w:rPr>
          <w:rFonts w:eastAsia="Arial"/>
          <w:sz w:val="24"/>
          <w:szCs w:val="24"/>
        </w:rPr>
        <w:t>more and more</w:t>
      </w:r>
      <w:proofErr w:type="gramEnd"/>
      <w:r w:rsidRPr="00F811BC">
        <w:rPr>
          <w:rFonts w:eastAsia="Arial"/>
          <w:sz w:val="24"/>
          <w:szCs w:val="24"/>
        </w:rPr>
        <w:t xml:space="preserve"> a product of multiple generational groups that work in proximity to each other influenced by unique formative experiences, new technologies and </w:t>
      </w:r>
      <w:proofErr w:type="spellStart"/>
      <w:r w:rsidRPr="00F811BC">
        <w:rPr>
          <w:rFonts w:eastAsia="Arial"/>
          <w:sz w:val="24"/>
          <w:szCs w:val="24"/>
        </w:rPr>
        <w:t>labour</w:t>
      </w:r>
      <w:proofErr w:type="spellEnd"/>
      <w:r w:rsidRPr="00F811BC">
        <w:rPr>
          <w:rFonts w:eastAsia="Arial"/>
          <w:sz w:val="24"/>
          <w:szCs w:val="24"/>
        </w:rPr>
        <w:t>-market factors. Knowing these differences does not involve stereotyping individuals but merely being aware of some general trends in values, communication preference and motivation that can be used to create more inclusive management practice.</w:t>
      </w:r>
    </w:p>
    <w:p w14:paraId="51998955" w14:textId="77777777" w:rsidR="006511B4" w:rsidRPr="005B59FD" w:rsidRDefault="00DF35E4" w:rsidP="005B59FD">
      <w:pPr>
        <w:pStyle w:val="Heading2"/>
        <w:spacing w:before="300" w:after="200" w:line="360" w:lineRule="auto"/>
        <w:rPr>
          <w:color w:val="auto"/>
          <w:sz w:val="24"/>
          <w:szCs w:val="24"/>
        </w:rPr>
      </w:pPr>
      <w:bookmarkStart w:id="11" w:name="_Toc235589221"/>
      <w:r w:rsidRPr="005B59FD">
        <w:rPr>
          <w:rFonts w:eastAsia="Arial"/>
          <w:b/>
          <w:bCs/>
          <w:color w:val="auto"/>
          <w:sz w:val="24"/>
          <w:szCs w:val="24"/>
        </w:rPr>
        <w:lastRenderedPageBreak/>
        <w:t>3.2 Generational Profiles: X, Y and Z</w:t>
      </w:r>
      <w:bookmarkEnd w:id="11"/>
    </w:p>
    <w:p w14:paraId="0A3656C7" w14:textId="77777777" w:rsidR="00FA0583" w:rsidRPr="005B59FD" w:rsidRDefault="00FA0583" w:rsidP="005B59FD">
      <w:pPr>
        <w:spacing w:after="200" w:line="360" w:lineRule="auto"/>
        <w:jc w:val="both"/>
        <w:rPr>
          <w:sz w:val="24"/>
          <w:szCs w:val="24"/>
        </w:rPr>
      </w:pPr>
      <w:r w:rsidRPr="00FA0583">
        <w:rPr>
          <w:rFonts w:eastAsia="Arial"/>
          <w:sz w:val="24"/>
          <w:szCs w:val="24"/>
        </w:rPr>
        <w:t xml:space="preserve">Generation X, broadly born between the mid-1960s and </w:t>
      </w:r>
      <w:proofErr w:type="gramStart"/>
      <w:r w:rsidRPr="00FA0583">
        <w:rPr>
          <w:rFonts w:eastAsia="Arial"/>
          <w:sz w:val="24"/>
          <w:szCs w:val="24"/>
        </w:rPr>
        <w:t>1980</w:t>
      </w:r>
      <w:proofErr w:type="gramEnd"/>
      <w:r w:rsidRPr="00FA0583">
        <w:rPr>
          <w:rFonts w:eastAsia="Arial"/>
          <w:sz w:val="24"/>
          <w:szCs w:val="24"/>
        </w:rPr>
        <w:t xml:space="preserve">, came of age before digital communication became dominant and tends to value independence, stability and work-life balance, generally preferring direct, efficient communication through email, phone or face-to-face conversation. Millennials, also known as generation Y, were born around 1981-1996, the first users of the early internet, and are generally driven to work by a sense of purpose, teamwork and frequent feedback, and prioritize flexibility and growth in their careers as their primary retention factors. The most digitally native generation, Generation Z, born around 1997-12, is moving into the workforce, accustomed to quick multitasking, instant communication and places a specific focus on mental health support, transparency and diversity and inclusion (USIQ, 2025). A study that compared communication and technology </w:t>
      </w:r>
      <w:proofErr w:type="spellStart"/>
      <w:r w:rsidRPr="00FA0583">
        <w:rPr>
          <w:rFonts w:eastAsia="Arial"/>
          <w:sz w:val="24"/>
          <w:szCs w:val="24"/>
        </w:rPr>
        <w:t>behaviour</w:t>
      </w:r>
      <w:proofErr w:type="spellEnd"/>
      <w:r w:rsidRPr="00FA0583">
        <w:rPr>
          <w:rFonts w:eastAsia="Arial"/>
          <w:sz w:val="24"/>
          <w:szCs w:val="24"/>
        </w:rPr>
        <w:t xml:space="preserve"> among the three cohorts discovered that Generation X is more prone to more traditional mediums influenced by prior experience in their careers whereas Generation Y and Z is more inclined to digital and asynchronous platforms to share knowledge and to collaborate on a daily basis (Rashid, 2024). It also differences in motivationally, with the three cohorts inclined to autonomy, experience recognition, to purpose, mentorship and visible progression, respectively, transparency, psychological safety, and an evident commitment to social and environmental responsibility by their employer. These are tendencies and not rules and there is a great deal of diversity within each cohort but within the literature they appear to be regular enough to seek management intentionality rather than plan on a one-size-fits-all basis to engage.</w:t>
      </w:r>
    </w:p>
    <w:p w14:paraId="61ABBC0D" w14:textId="77777777" w:rsidR="006511B4" w:rsidRPr="005B59FD" w:rsidRDefault="00DF35E4" w:rsidP="005B59FD">
      <w:pPr>
        <w:pStyle w:val="Heading2"/>
        <w:spacing w:before="300" w:after="200" w:line="360" w:lineRule="auto"/>
        <w:rPr>
          <w:color w:val="auto"/>
          <w:sz w:val="24"/>
          <w:szCs w:val="24"/>
        </w:rPr>
      </w:pPr>
      <w:bookmarkStart w:id="12" w:name="_Toc235589222"/>
      <w:r w:rsidRPr="005B59FD">
        <w:rPr>
          <w:rFonts w:eastAsia="Arial"/>
          <w:b/>
          <w:bCs/>
          <w:color w:val="auto"/>
          <w:sz w:val="24"/>
          <w:szCs w:val="24"/>
        </w:rPr>
        <w:t xml:space="preserve">3.3 Impact on </w:t>
      </w:r>
      <w:proofErr w:type="spellStart"/>
      <w:r w:rsidRPr="005B59FD">
        <w:rPr>
          <w:rFonts w:eastAsia="Arial"/>
          <w:b/>
          <w:bCs/>
          <w:color w:val="auto"/>
          <w:sz w:val="24"/>
          <w:szCs w:val="24"/>
        </w:rPr>
        <w:t>Organisational</w:t>
      </w:r>
      <w:proofErr w:type="spellEnd"/>
      <w:r w:rsidRPr="005B59FD">
        <w:rPr>
          <w:rFonts w:eastAsia="Arial"/>
          <w:b/>
          <w:bCs/>
          <w:color w:val="auto"/>
          <w:sz w:val="24"/>
          <w:szCs w:val="24"/>
        </w:rPr>
        <w:t xml:space="preserve"> Effectiveness</w:t>
      </w:r>
      <w:bookmarkEnd w:id="12"/>
    </w:p>
    <w:p w14:paraId="145A1B90" w14:textId="77777777" w:rsidR="00FA0583" w:rsidRPr="005B59FD" w:rsidRDefault="00FA0583" w:rsidP="005B59FD">
      <w:pPr>
        <w:spacing w:after="200" w:line="360" w:lineRule="auto"/>
        <w:jc w:val="both"/>
        <w:rPr>
          <w:sz w:val="24"/>
          <w:szCs w:val="24"/>
        </w:rPr>
      </w:pPr>
      <w:r w:rsidRPr="00FA0583">
        <w:rPr>
          <w:rFonts w:eastAsia="Arial"/>
          <w:sz w:val="24"/>
          <w:szCs w:val="24"/>
        </w:rPr>
        <w:t xml:space="preserve">Such differences can lead to friction when not handled properly. Inconsistencies between employee and manager generations can lead to misunderstandings that might result in dissatisfaction and turnover if they go unrecognized. It’s important to understand that the Generation X manager, who prefers more autonomy and self-reliance, may find a Generation Z employee to be lacking in commitment, potentially causing mismatches that could lead to dissatisfaction and turnover if they go unrecognized. On the other hand, older Millennial or Generation X employees, on the other hand, might perceive digital, </w:t>
      </w:r>
      <w:proofErr w:type="gramStart"/>
      <w:r w:rsidRPr="00FA0583">
        <w:rPr>
          <w:rFonts w:eastAsia="Arial"/>
          <w:sz w:val="24"/>
          <w:szCs w:val="24"/>
        </w:rPr>
        <w:t>fast paced</w:t>
      </w:r>
      <w:proofErr w:type="gramEnd"/>
      <w:r w:rsidRPr="00FA0583">
        <w:rPr>
          <w:rFonts w:eastAsia="Arial"/>
          <w:sz w:val="24"/>
          <w:szCs w:val="24"/>
        </w:rPr>
        <w:t xml:space="preserve"> communication as not personable or not specific. Conversely, old Millennial or Generation X staff members may feel that communication is too digital and implies communication lacks enough detail are too formal for complicated matters. The transfer of knowledge may vary depending on </w:t>
      </w:r>
      <w:r>
        <w:rPr>
          <w:rFonts w:eastAsia="Arial"/>
          <w:sz w:val="24"/>
          <w:szCs w:val="24"/>
        </w:rPr>
        <w:lastRenderedPageBreak/>
        <w:t xml:space="preserve">technological fluency as well, </w:t>
      </w:r>
      <w:r w:rsidRPr="00FA0583">
        <w:rPr>
          <w:rFonts w:eastAsia="Arial"/>
          <w:sz w:val="24"/>
          <w:szCs w:val="24"/>
        </w:rPr>
        <w:t xml:space="preserve">Generation Y not only </w:t>
      </w:r>
      <w:proofErr w:type="spellStart"/>
      <w:r w:rsidRPr="00FA0583">
        <w:rPr>
          <w:rFonts w:eastAsia="Arial"/>
          <w:sz w:val="24"/>
          <w:szCs w:val="24"/>
        </w:rPr>
        <w:t>prioritises</w:t>
      </w:r>
      <w:proofErr w:type="spellEnd"/>
      <w:r w:rsidRPr="00FA0583">
        <w:rPr>
          <w:rFonts w:eastAsia="Arial"/>
          <w:sz w:val="24"/>
          <w:szCs w:val="24"/>
        </w:rPr>
        <w:t xml:space="preserve"> continuous learning, but such a mindset requires a shift of the </w:t>
      </w:r>
      <w:proofErr w:type="spellStart"/>
      <w:r w:rsidRPr="00FA0583">
        <w:rPr>
          <w:rFonts w:eastAsia="Arial"/>
          <w:sz w:val="24"/>
          <w:szCs w:val="24"/>
        </w:rPr>
        <w:t>organisational</w:t>
      </w:r>
      <w:proofErr w:type="spellEnd"/>
      <w:r w:rsidRPr="00FA0583">
        <w:rPr>
          <w:rFonts w:eastAsia="Arial"/>
          <w:sz w:val="24"/>
          <w:szCs w:val="24"/>
        </w:rPr>
        <w:t xml:space="preserve"> systems and culture, where it is more likely to promote knowledge-sharing activity on an agile and flexible basis compared to other generations if just adhering to one “generational norm” (Rashid, 2024). The impact of these differences is exacerbated by those of technological adaptability: groups that stick with one communication system (or one type of meeting) may systematically be discouraging participation from the generation least comfortable in that medium, and over time, from innovation, as ideas from those who do not feel as comfortable there are less likely to become visible. If these dynamics are not discovered and addressed, they can subtly compromise the morale and communication benefits of this report and report-driven improvement in climate, if the improvement will be based on a manager's practice when it is not sustained within structures and across generational preferences.</w:t>
      </w:r>
    </w:p>
    <w:p w14:paraId="5FE018CF" w14:textId="77777777" w:rsidR="006511B4" w:rsidRPr="005B59FD" w:rsidRDefault="00DF35E4" w:rsidP="005B59FD">
      <w:pPr>
        <w:pStyle w:val="Heading2"/>
        <w:spacing w:before="300" w:after="200" w:line="360" w:lineRule="auto"/>
        <w:rPr>
          <w:color w:val="auto"/>
          <w:sz w:val="24"/>
          <w:szCs w:val="24"/>
        </w:rPr>
      </w:pPr>
      <w:bookmarkStart w:id="13" w:name="_Toc235589223"/>
      <w:r w:rsidRPr="005B59FD">
        <w:rPr>
          <w:rFonts w:eastAsia="Arial"/>
          <w:b/>
          <w:bCs/>
          <w:color w:val="auto"/>
          <w:sz w:val="24"/>
          <w:szCs w:val="24"/>
        </w:rPr>
        <w:t>3.4 EI, Mindfulness and Inclusive Multigenerational Leadership</w:t>
      </w:r>
      <w:bookmarkEnd w:id="13"/>
    </w:p>
    <w:p w14:paraId="3324B190" w14:textId="77777777" w:rsidR="00FA0583" w:rsidRPr="00FA0583" w:rsidRDefault="00FA0583" w:rsidP="00FA0583">
      <w:pPr>
        <w:spacing w:after="200" w:line="360" w:lineRule="auto"/>
        <w:jc w:val="both"/>
        <w:rPr>
          <w:rFonts w:eastAsia="Arial"/>
          <w:sz w:val="24"/>
          <w:szCs w:val="24"/>
        </w:rPr>
      </w:pPr>
      <w:r w:rsidRPr="00FA0583">
        <w:rPr>
          <w:rFonts w:eastAsia="Arial"/>
          <w:sz w:val="24"/>
          <w:szCs w:val="24"/>
        </w:rPr>
        <w:t xml:space="preserve">Emotional intelligence provides a </w:t>
      </w:r>
      <w:proofErr w:type="gramStart"/>
      <w:r w:rsidRPr="00FA0583">
        <w:rPr>
          <w:rFonts w:eastAsia="Arial"/>
          <w:sz w:val="24"/>
          <w:szCs w:val="24"/>
        </w:rPr>
        <w:t>ways</w:t>
      </w:r>
      <w:proofErr w:type="gramEnd"/>
      <w:r w:rsidRPr="00FA0583">
        <w:rPr>
          <w:rFonts w:eastAsia="Arial"/>
          <w:sz w:val="24"/>
          <w:szCs w:val="24"/>
        </w:rPr>
        <w:t xml:space="preserve"> to link generations together. Being tuned in to generational differences is essential for effective communication and feedback skills when working on a team, and leaders who know how to adapt in their communication and feedback style to team members' preferences as they know them are attuned to generational difference, but without falling into profile reductionism. As leaders head into the multigenerational and hybrid workplaces of recent years, this is said to require a more emotionally intelligent and humble approach to navigating the emotional landscape, bridging generational value systems and meeting team members where they are, as opposed to assuming there is "one right way to work" (Forbes Human Resources Council, 2026). Mindfulness helps with this, by encouraging managers to interact intergenerationally with curiosity and prevent making judgements, which could become a form of prejudice in the recruitment process, appraisal or team allocation process.</w:t>
      </w:r>
    </w:p>
    <w:p w14:paraId="21BCBE87" w14:textId="77777777" w:rsidR="00FA0583" w:rsidRPr="005B59FD" w:rsidRDefault="00FA0583" w:rsidP="00FA0583">
      <w:pPr>
        <w:spacing w:after="200" w:line="360" w:lineRule="auto"/>
        <w:jc w:val="both"/>
        <w:rPr>
          <w:sz w:val="24"/>
          <w:szCs w:val="24"/>
        </w:rPr>
      </w:pPr>
      <w:r w:rsidRPr="00FA0583">
        <w:rPr>
          <w:rFonts w:eastAsia="Arial"/>
          <w:sz w:val="24"/>
          <w:szCs w:val="24"/>
        </w:rPr>
        <w:t xml:space="preserve">Psychological safety, where the team considers it safe to take interpersonal risk, is also linked to EI and the mindfulness factor as well as higher team retention and innovation – all shown in the research to be important for the success of diverse teams (Boston Consulting Group, 2024). Existing evidence specific to inclusive, emotionally intelligent leadership suggests empathetic leadership leads to psychological safety and increased engagement, which are all linked to improved retention particularly in a subset of their employees that are otherwise highly mobile in the </w:t>
      </w:r>
      <w:proofErr w:type="spellStart"/>
      <w:r w:rsidRPr="00FA0583">
        <w:rPr>
          <w:rFonts w:eastAsia="Arial"/>
          <w:sz w:val="24"/>
          <w:szCs w:val="24"/>
        </w:rPr>
        <w:t>labour</w:t>
      </w:r>
      <w:proofErr w:type="spellEnd"/>
      <w:r w:rsidRPr="00FA0583">
        <w:rPr>
          <w:rFonts w:eastAsia="Arial"/>
          <w:sz w:val="24"/>
          <w:szCs w:val="24"/>
        </w:rPr>
        <w:t xml:space="preserve"> market (younger workers). EI-informed leadership also positively affects </w:t>
      </w:r>
      <w:r w:rsidRPr="00FA0583">
        <w:rPr>
          <w:rFonts w:eastAsia="Arial"/>
          <w:sz w:val="24"/>
          <w:szCs w:val="24"/>
        </w:rPr>
        <w:lastRenderedPageBreak/>
        <w:t>engagement for those who are Generation Xers and Millennials, but on different motivators: autonomy and respect for experience for Generation Xers; purpose and growth opportunity, for Millennials (The Oxford Group, 2024).</w:t>
      </w:r>
    </w:p>
    <w:p w14:paraId="60E5F305" w14:textId="77777777" w:rsidR="006511B4" w:rsidRPr="005B59FD" w:rsidRDefault="00DF35E4" w:rsidP="005B59FD">
      <w:pPr>
        <w:pStyle w:val="Heading2"/>
        <w:spacing w:before="300" w:after="200" w:line="360" w:lineRule="auto"/>
        <w:rPr>
          <w:color w:val="auto"/>
          <w:sz w:val="24"/>
          <w:szCs w:val="24"/>
        </w:rPr>
      </w:pPr>
      <w:bookmarkStart w:id="14" w:name="_Toc235589224"/>
      <w:r w:rsidRPr="005B59FD">
        <w:rPr>
          <w:rFonts w:eastAsia="Arial"/>
          <w:b/>
          <w:bCs/>
          <w:color w:val="auto"/>
          <w:sz w:val="24"/>
          <w:szCs w:val="24"/>
        </w:rPr>
        <w:t>3.5 Implications for Recruitment and Retention</w:t>
      </w:r>
      <w:bookmarkEnd w:id="14"/>
    </w:p>
    <w:p w14:paraId="70A8E692" w14:textId="77777777" w:rsidR="00FA0583" w:rsidRPr="005B59FD" w:rsidRDefault="00FA0583" w:rsidP="005B59FD">
      <w:pPr>
        <w:spacing w:after="200" w:line="360" w:lineRule="auto"/>
        <w:jc w:val="both"/>
        <w:rPr>
          <w:sz w:val="24"/>
          <w:szCs w:val="24"/>
        </w:rPr>
      </w:pPr>
      <w:r w:rsidRPr="00FA0583">
        <w:rPr>
          <w:rFonts w:eastAsia="Arial"/>
          <w:sz w:val="24"/>
          <w:szCs w:val="24"/>
        </w:rPr>
        <w:t xml:space="preserve">These findings have immediate implications for recruitment and retention strategy for the SMT. If the </w:t>
      </w:r>
      <w:proofErr w:type="spellStart"/>
      <w:r w:rsidRPr="00FA0583">
        <w:rPr>
          <w:rFonts w:eastAsia="Arial"/>
          <w:sz w:val="24"/>
          <w:szCs w:val="24"/>
        </w:rPr>
        <w:t>organisation</w:t>
      </w:r>
      <w:proofErr w:type="spellEnd"/>
      <w:r w:rsidRPr="00FA0583">
        <w:rPr>
          <w:rFonts w:eastAsia="Arial"/>
          <w:sz w:val="24"/>
          <w:szCs w:val="24"/>
        </w:rPr>
        <w:t xml:space="preserve"> only spoke to one generation's voice with just feedback in one channel, and at one frequency, at the start, it would be putting itself at risk of not resonating with the others, by contrast, using a range of communication methods, allowing feedback at any frequency, and visibly investing in wellbeing and development will help ensure that the </w:t>
      </w:r>
      <w:proofErr w:type="spellStart"/>
      <w:r w:rsidRPr="00FA0583">
        <w:rPr>
          <w:rFonts w:eastAsia="Arial"/>
          <w:sz w:val="24"/>
          <w:szCs w:val="24"/>
        </w:rPr>
        <w:t>organisation</w:t>
      </w:r>
      <w:proofErr w:type="spellEnd"/>
      <w:r w:rsidRPr="00FA0583">
        <w:rPr>
          <w:rFonts w:eastAsia="Arial"/>
          <w:sz w:val="24"/>
          <w:szCs w:val="24"/>
        </w:rPr>
        <w:t xml:space="preserve"> appeals to everybody at once (The Oxford Group, 2024). Incorporating EI and Mindfulness into MDL processes, and not soft-skills training, empowers managers to internalize and apply the insights garnered from the generational experience and turn them into everyday practice, making workforce diversity a source of organization strength and innovation, instead of conflict. The same shoul</w:t>
      </w:r>
      <w:r>
        <w:rPr>
          <w:rFonts w:eastAsia="Arial"/>
          <w:sz w:val="24"/>
          <w:szCs w:val="24"/>
        </w:rPr>
        <w:t xml:space="preserve">d apply to retention strategy, </w:t>
      </w:r>
      <w:r w:rsidRPr="00FA0583">
        <w:rPr>
          <w:rFonts w:eastAsia="Arial"/>
          <w:sz w:val="24"/>
          <w:szCs w:val="24"/>
        </w:rPr>
        <w:t>rather than take for granted a common benefits package across all generations, a flex</w:t>
      </w:r>
      <w:r>
        <w:rPr>
          <w:rFonts w:eastAsia="Arial"/>
          <w:sz w:val="24"/>
          <w:szCs w:val="24"/>
        </w:rPr>
        <w:t xml:space="preserve">ible approach should be taken, </w:t>
      </w:r>
      <w:r w:rsidRPr="00FA0583">
        <w:rPr>
          <w:rFonts w:eastAsia="Arial"/>
          <w:sz w:val="24"/>
          <w:szCs w:val="24"/>
        </w:rPr>
        <w:t>what is of value to Generation Z, for example a structured progress track or consistent recognition of achievement, may not be of value for Generation X who might value stability or flexibility in the working environment. None of this will mean giving up any consistent organizational standards, it simply means that it will take leaders with the right emotional intelligence to apply those organizational standards in a flexible way that is reading what each individual, or what each generation of employees, requires, rather than applying the organizational standard template.</w:t>
      </w:r>
    </w:p>
    <w:p w14:paraId="1AA2747D" w14:textId="77777777" w:rsidR="006511B4" w:rsidRPr="005B59FD" w:rsidRDefault="00DF35E4" w:rsidP="005B59FD">
      <w:pPr>
        <w:pStyle w:val="Heading1"/>
        <w:spacing w:before="300" w:after="200" w:line="360" w:lineRule="auto"/>
        <w:rPr>
          <w:color w:val="auto"/>
          <w:sz w:val="24"/>
          <w:szCs w:val="24"/>
        </w:rPr>
      </w:pPr>
      <w:bookmarkStart w:id="15" w:name="_Toc235589225"/>
      <w:r w:rsidRPr="005B59FD">
        <w:rPr>
          <w:rFonts w:eastAsia="Arial"/>
          <w:b/>
          <w:bCs/>
          <w:color w:val="auto"/>
          <w:sz w:val="24"/>
          <w:szCs w:val="24"/>
        </w:rPr>
        <w:t>4.0 Conclusion</w:t>
      </w:r>
      <w:bookmarkEnd w:id="15"/>
    </w:p>
    <w:p w14:paraId="655BA637" w14:textId="77777777" w:rsidR="006511B4" w:rsidRPr="005B59FD" w:rsidRDefault="007611CC" w:rsidP="007611CC">
      <w:pPr>
        <w:spacing w:after="200" w:line="360" w:lineRule="auto"/>
        <w:jc w:val="both"/>
        <w:rPr>
          <w:sz w:val="24"/>
          <w:szCs w:val="24"/>
        </w:rPr>
      </w:pPr>
      <w:r w:rsidRPr="007611CC">
        <w:rPr>
          <w:rFonts w:eastAsia="Arial"/>
          <w:sz w:val="24"/>
          <w:szCs w:val="24"/>
        </w:rPr>
        <w:t xml:space="preserve">This report has illustrated how emotional intelligence combined with the practice of mindfulness allows for a theoretical and practical basis for enhancing workplace performance, communication, conflict management, and inclusive leadership. Task 1 revealed that contentions related to EI found in each of these models offer unique but complementary perspectives on EI and that mindfulness acts as a tool that enhances EI competencies in practice, such as self-awareness and self-regulation. In Task 2 it was confirmed that gen conflict could be transformed to be a source of strength for an </w:t>
      </w:r>
      <w:proofErr w:type="spellStart"/>
      <w:r w:rsidRPr="007611CC">
        <w:rPr>
          <w:rFonts w:eastAsia="Arial"/>
          <w:sz w:val="24"/>
          <w:szCs w:val="24"/>
        </w:rPr>
        <w:t>organisation</w:t>
      </w:r>
      <w:proofErr w:type="spellEnd"/>
      <w:r w:rsidRPr="007611CC">
        <w:rPr>
          <w:rFonts w:eastAsia="Arial"/>
          <w:sz w:val="24"/>
          <w:szCs w:val="24"/>
        </w:rPr>
        <w:t xml:space="preserve"> if handled and managed with an Emotional Intelligence (EI) perspective. The most direct suggestion for the SMT's strategic planning meeting is that the use of EI and mindfulness should not be viewed </w:t>
      </w:r>
      <w:r w:rsidRPr="007611CC">
        <w:rPr>
          <w:rFonts w:eastAsia="Arial"/>
          <w:sz w:val="24"/>
          <w:szCs w:val="24"/>
        </w:rPr>
        <w:lastRenderedPageBreak/>
        <w:t xml:space="preserve">or </w:t>
      </w:r>
      <w:proofErr w:type="spellStart"/>
      <w:r w:rsidRPr="007611CC">
        <w:rPr>
          <w:rFonts w:eastAsia="Arial"/>
          <w:sz w:val="24"/>
          <w:szCs w:val="24"/>
        </w:rPr>
        <w:t>utilised</w:t>
      </w:r>
      <w:proofErr w:type="spellEnd"/>
      <w:r w:rsidRPr="007611CC">
        <w:rPr>
          <w:rFonts w:eastAsia="Arial"/>
          <w:sz w:val="24"/>
          <w:szCs w:val="24"/>
        </w:rPr>
        <w:t xml:space="preserve"> as a standalone training of skills but rather as an intrinsic leadership capability that should be planned for when recruiting and developing leadership and adding to their daily work routines around the department.</w:t>
      </w:r>
      <w:r w:rsidR="00DF35E4" w:rsidRPr="005B59FD">
        <w:rPr>
          <w:sz w:val="24"/>
          <w:szCs w:val="24"/>
        </w:rPr>
        <w:br w:type="page"/>
      </w:r>
    </w:p>
    <w:p w14:paraId="08047EC6" w14:textId="77777777" w:rsidR="006511B4" w:rsidRPr="005B59FD" w:rsidRDefault="00DF35E4" w:rsidP="005B59FD">
      <w:pPr>
        <w:pStyle w:val="Heading1"/>
        <w:spacing w:after="200" w:line="360" w:lineRule="auto"/>
        <w:rPr>
          <w:color w:val="auto"/>
          <w:sz w:val="24"/>
          <w:szCs w:val="24"/>
        </w:rPr>
      </w:pPr>
      <w:bookmarkStart w:id="16" w:name="_Toc235589226"/>
      <w:r w:rsidRPr="005B59FD">
        <w:rPr>
          <w:rFonts w:eastAsia="Arial"/>
          <w:b/>
          <w:bCs/>
          <w:color w:val="auto"/>
          <w:sz w:val="24"/>
          <w:szCs w:val="24"/>
        </w:rPr>
        <w:lastRenderedPageBreak/>
        <w:t>References</w:t>
      </w:r>
      <w:bookmarkEnd w:id="16"/>
    </w:p>
    <w:p w14:paraId="2F802FE6" w14:textId="77777777" w:rsidR="006511B4" w:rsidRPr="005B59FD" w:rsidRDefault="00DF35E4" w:rsidP="007611CC">
      <w:pPr>
        <w:spacing w:after="160" w:line="360" w:lineRule="auto"/>
        <w:ind w:left="720" w:hanging="720"/>
        <w:jc w:val="both"/>
        <w:rPr>
          <w:sz w:val="24"/>
          <w:szCs w:val="24"/>
        </w:rPr>
      </w:pPr>
      <w:r w:rsidRPr="005B59FD">
        <w:rPr>
          <w:rFonts w:eastAsia="Arial"/>
          <w:sz w:val="24"/>
          <w:szCs w:val="24"/>
        </w:rPr>
        <w:t xml:space="preserve">Bar-On, R. (2006) 'The Bar-On model of emotional-social intelligence (ESI)', </w:t>
      </w:r>
      <w:proofErr w:type="spellStart"/>
      <w:r w:rsidRPr="005B59FD">
        <w:rPr>
          <w:rFonts w:eastAsia="Arial"/>
          <w:sz w:val="24"/>
          <w:szCs w:val="24"/>
        </w:rPr>
        <w:t>Psicothema</w:t>
      </w:r>
      <w:proofErr w:type="spellEnd"/>
      <w:r w:rsidRPr="005B59FD">
        <w:rPr>
          <w:rFonts w:eastAsia="Arial"/>
          <w:sz w:val="24"/>
          <w:szCs w:val="24"/>
        </w:rPr>
        <w:t>, 18(Suppl.), pp. 13–25.</w:t>
      </w:r>
    </w:p>
    <w:p w14:paraId="63BA4658" w14:textId="77777777" w:rsidR="006511B4" w:rsidRPr="005B59FD" w:rsidRDefault="00DF35E4" w:rsidP="007611CC">
      <w:pPr>
        <w:spacing w:after="160" w:line="360" w:lineRule="auto"/>
        <w:ind w:left="720" w:hanging="720"/>
        <w:jc w:val="both"/>
        <w:rPr>
          <w:sz w:val="24"/>
          <w:szCs w:val="24"/>
        </w:rPr>
      </w:pPr>
      <w:r w:rsidRPr="005B59FD">
        <w:rPr>
          <w:rFonts w:eastAsia="Arial"/>
          <w:sz w:val="24"/>
          <w:szCs w:val="24"/>
        </w:rPr>
        <w:t>Boston Consulting Group (2024) Psychological Safety Levels the Playing Field for Employees. Available at: https://www.bcg.com/publications/2024/psychological-safety-levels-playing-field-for-employees (Accessed: 21 July 2026).</w:t>
      </w:r>
    </w:p>
    <w:p w14:paraId="7C299C38" w14:textId="77777777" w:rsidR="006511B4" w:rsidRPr="005B59FD" w:rsidRDefault="00DF35E4" w:rsidP="007611CC">
      <w:pPr>
        <w:spacing w:after="160" w:line="360" w:lineRule="auto"/>
        <w:ind w:left="720" w:hanging="720"/>
        <w:jc w:val="both"/>
        <w:rPr>
          <w:sz w:val="24"/>
          <w:szCs w:val="24"/>
        </w:rPr>
      </w:pPr>
      <w:r w:rsidRPr="005B59FD">
        <w:rPr>
          <w:rFonts w:eastAsia="Arial"/>
          <w:sz w:val="24"/>
          <w:szCs w:val="24"/>
        </w:rPr>
        <w:t>Forbes Human Resources Council (2026) '20 reasons emotional intelligence matters more than ever for leaders', Forbes, 17 July. Available at: https://www.forbes.com/councils/forbeshumanresourcescouncil/2026/07/17/20-reasons-emotional-intelligence-matters-more-than-ever-for-leaders/ (Accessed: 21 July 2026).</w:t>
      </w:r>
    </w:p>
    <w:p w14:paraId="635B1304" w14:textId="77777777" w:rsidR="006511B4" w:rsidRPr="005B59FD" w:rsidRDefault="00DF35E4" w:rsidP="007611CC">
      <w:pPr>
        <w:spacing w:after="160" w:line="360" w:lineRule="auto"/>
        <w:ind w:left="720" w:hanging="720"/>
        <w:jc w:val="both"/>
        <w:rPr>
          <w:sz w:val="24"/>
          <w:szCs w:val="24"/>
        </w:rPr>
      </w:pPr>
      <w:r w:rsidRPr="005B59FD">
        <w:rPr>
          <w:rFonts w:eastAsia="Arial"/>
          <w:sz w:val="24"/>
          <w:szCs w:val="24"/>
        </w:rPr>
        <w:t>Goleman, D. (1995) Emotional Intelligence: Why It Can Matter More Than IQ. New York: Bantam Books.</w:t>
      </w:r>
    </w:p>
    <w:p w14:paraId="37F57844" w14:textId="77777777" w:rsidR="006511B4" w:rsidRPr="005B59FD" w:rsidRDefault="00DF35E4" w:rsidP="007611CC">
      <w:pPr>
        <w:spacing w:after="160" w:line="360" w:lineRule="auto"/>
        <w:ind w:left="720" w:hanging="720"/>
        <w:jc w:val="both"/>
        <w:rPr>
          <w:sz w:val="24"/>
          <w:szCs w:val="24"/>
        </w:rPr>
      </w:pPr>
      <w:r w:rsidRPr="005B59FD">
        <w:rPr>
          <w:rFonts w:eastAsia="Arial"/>
          <w:sz w:val="24"/>
          <w:szCs w:val="24"/>
        </w:rPr>
        <w:t>Goleman, D. and Cherniss, C. (2024) 'Optimal leadership and emotional intelligence', Leader to Leader, 2024(112), pp. 7–12.</w:t>
      </w:r>
    </w:p>
    <w:p w14:paraId="5F138D30" w14:textId="77777777" w:rsidR="006511B4" w:rsidRPr="005B59FD" w:rsidRDefault="00DF35E4" w:rsidP="007611CC">
      <w:pPr>
        <w:spacing w:after="160" w:line="360" w:lineRule="auto"/>
        <w:ind w:left="720" w:hanging="720"/>
        <w:jc w:val="both"/>
        <w:rPr>
          <w:sz w:val="24"/>
          <w:szCs w:val="24"/>
        </w:rPr>
      </w:pPr>
      <w:r w:rsidRPr="005B59FD">
        <w:rPr>
          <w:rFonts w:eastAsia="Arial"/>
          <w:sz w:val="24"/>
          <w:szCs w:val="24"/>
        </w:rPr>
        <w:t>Hülsheger, U.R., Alberts, H.J.E.M., Feinholdt, A. and Lang, J.W.B. (2013) 'Benefits of mindfulness at work: The role of mindfulness in emotion regulation, emotional exhaustion, and job satisfaction', Journal of Applied Psychology, 98(2), pp. 310–325.</w:t>
      </w:r>
    </w:p>
    <w:p w14:paraId="0C1C4508" w14:textId="77777777" w:rsidR="006511B4" w:rsidRPr="005B59FD" w:rsidRDefault="00DF35E4" w:rsidP="007611CC">
      <w:pPr>
        <w:spacing w:after="160" w:line="360" w:lineRule="auto"/>
        <w:ind w:left="720" w:hanging="720"/>
        <w:jc w:val="both"/>
        <w:rPr>
          <w:sz w:val="24"/>
          <w:szCs w:val="24"/>
        </w:rPr>
      </w:pPr>
      <w:r w:rsidRPr="005B59FD">
        <w:rPr>
          <w:rFonts w:eastAsia="Arial"/>
          <w:sz w:val="24"/>
          <w:szCs w:val="24"/>
        </w:rPr>
        <w:t>Long, H.C., An, H.M., Dung, P.T.P. and Quy, N.L.D. (2025) 'Mindfulness practice and work performance: The mediating role of emotional intelligence and psychological capital', Brain and Behavior, 15(1), e70291.</w:t>
      </w:r>
    </w:p>
    <w:p w14:paraId="3390E82C" w14:textId="77777777" w:rsidR="006511B4" w:rsidRPr="005B59FD" w:rsidRDefault="00DF35E4" w:rsidP="007611CC">
      <w:pPr>
        <w:spacing w:after="160" w:line="360" w:lineRule="auto"/>
        <w:ind w:left="720" w:hanging="720"/>
        <w:jc w:val="both"/>
        <w:rPr>
          <w:sz w:val="24"/>
          <w:szCs w:val="24"/>
        </w:rPr>
      </w:pPr>
      <w:r w:rsidRPr="005B59FD">
        <w:rPr>
          <w:rFonts w:eastAsia="Arial"/>
          <w:sz w:val="24"/>
          <w:szCs w:val="24"/>
        </w:rPr>
        <w:t>Mayer, J.D., Caruso, D.R. and Salovey, P. (2016) 'The ability model of emotional intelligence: Principles and updates', Emotion Review, 8(4), pp. 290–300.</w:t>
      </w:r>
    </w:p>
    <w:p w14:paraId="5927B686" w14:textId="77777777" w:rsidR="006511B4" w:rsidRPr="005B59FD" w:rsidRDefault="00DF35E4" w:rsidP="007611CC">
      <w:pPr>
        <w:spacing w:after="160" w:line="360" w:lineRule="auto"/>
        <w:ind w:left="720" w:hanging="720"/>
        <w:jc w:val="both"/>
        <w:rPr>
          <w:sz w:val="24"/>
          <w:szCs w:val="24"/>
        </w:rPr>
      </w:pPr>
      <w:r w:rsidRPr="005B59FD">
        <w:rPr>
          <w:rFonts w:eastAsia="Arial"/>
          <w:sz w:val="24"/>
          <w:szCs w:val="24"/>
        </w:rPr>
        <w:t xml:space="preserve">Mayer, J.D., Caruso, D.R., </w:t>
      </w:r>
      <w:proofErr w:type="spellStart"/>
      <w:r w:rsidRPr="005B59FD">
        <w:rPr>
          <w:rFonts w:eastAsia="Arial"/>
          <w:sz w:val="24"/>
          <w:szCs w:val="24"/>
        </w:rPr>
        <w:t>Sitarenios</w:t>
      </w:r>
      <w:proofErr w:type="spellEnd"/>
      <w:r w:rsidRPr="005B59FD">
        <w:rPr>
          <w:rFonts w:eastAsia="Arial"/>
          <w:sz w:val="24"/>
          <w:szCs w:val="24"/>
        </w:rPr>
        <w:t>, G. and Romero Escobar, M. (2024) 'How many emotional intelligence abilities are there? An examination of four measures of emotional intelligence', Personality and Individual Differences, 219, 112468.</w:t>
      </w:r>
    </w:p>
    <w:p w14:paraId="63922B03" w14:textId="77777777" w:rsidR="006511B4" w:rsidRPr="005B59FD" w:rsidRDefault="00DF35E4" w:rsidP="007611CC">
      <w:pPr>
        <w:spacing w:after="160" w:line="360" w:lineRule="auto"/>
        <w:ind w:left="720" w:hanging="720"/>
        <w:jc w:val="both"/>
        <w:rPr>
          <w:sz w:val="24"/>
          <w:szCs w:val="24"/>
        </w:rPr>
      </w:pPr>
      <w:r w:rsidRPr="005B59FD">
        <w:rPr>
          <w:rFonts w:eastAsia="Arial"/>
          <w:sz w:val="24"/>
          <w:szCs w:val="24"/>
        </w:rPr>
        <w:t>Odame, C. and Pandey, M. (2025) 'The relationship between emotional intelligence and conflict management styles', SAGE Open, 15(3).</w:t>
      </w:r>
    </w:p>
    <w:p w14:paraId="79890759" w14:textId="77777777" w:rsidR="006511B4" w:rsidRPr="005B59FD" w:rsidRDefault="00DF35E4" w:rsidP="007611CC">
      <w:pPr>
        <w:spacing w:after="160" w:line="360" w:lineRule="auto"/>
        <w:ind w:left="720" w:hanging="720"/>
        <w:jc w:val="both"/>
        <w:rPr>
          <w:sz w:val="24"/>
          <w:szCs w:val="24"/>
        </w:rPr>
      </w:pPr>
      <w:r w:rsidRPr="005B59FD">
        <w:rPr>
          <w:rFonts w:eastAsia="Arial"/>
          <w:sz w:val="24"/>
          <w:szCs w:val="24"/>
        </w:rPr>
        <w:lastRenderedPageBreak/>
        <w:t>Oxford Group, The (2024) Leading a Multi-Generational Workforce with Emotional Intelligence. Available at: https://www.oxford-group.com/insights/leading-a-multi-generational-workforce-with-emotional-intelligence/ (Accessed: 21 July 2026).</w:t>
      </w:r>
    </w:p>
    <w:p w14:paraId="18EBEBCD" w14:textId="77777777" w:rsidR="006511B4" w:rsidRPr="005B59FD" w:rsidRDefault="00DF35E4" w:rsidP="007611CC">
      <w:pPr>
        <w:spacing w:after="160" w:line="360" w:lineRule="auto"/>
        <w:ind w:left="720" w:hanging="720"/>
        <w:jc w:val="both"/>
        <w:rPr>
          <w:sz w:val="24"/>
          <w:szCs w:val="24"/>
        </w:rPr>
      </w:pPr>
      <w:r w:rsidRPr="005B59FD">
        <w:rPr>
          <w:rFonts w:eastAsia="Arial"/>
          <w:sz w:val="24"/>
          <w:szCs w:val="24"/>
        </w:rPr>
        <w:t>Rashid, A. (2024) 'Generational differences in technology behavior: A systematic review', Journal of Infrastructure, Policy and Development, 8(9), 6755.</w:t>
      </w:r>
    </w:p>
    <w:p w14:paraId="2DC1E4BA" w14:textId="77777777" w:rsidR="006511B4" w:rsidRPr="005B59FD" w:rsidRDefault="00DF35E4" w:rsidP="007611CC">
      <w:pPr>
        <w:spacing w:after="160" w:line="360" w:lineRule="auto"/>
        <w:ind w:left="720" w:hanging="720"/>
        <w:jc w:val="both"/>
        <w:rPr>
          <w:sz w:val="24"/>
          <w:szCs w:val="24"/>
        </w:rPr>
      </w:pPr>
      <w:r w:rsidRPr="005B59FD">
        <w:rPr>
          <w:rFonts w:eastAsia="Arial"/>
          <w:sz w:val="24"/>
          <w:szCs w:val="24"/>
        </w:rPr>
        <w:t>Salovey, P. and Mayer, J.D. (1990) 'Emotional intelligence', Imagination, Cognition and Personality, 9(3), pp. 185–211.</w:t>
      </w:r>
    </w:p>
    <w:p w14:paraId="02707177" w14:textId="77777777" w:rsidR="006511B4" w:rsidRPr="005B59FD" w:rsidRDefault="00DF35E4" w:rsidP="007611CC">
      <w:pPr>
        <w:spacing w:after="160" w:line="360" w:lineRule="auto"/>
        <w:ind w:left="720" w:hanging="720"/>
        <w:jc w:val="both"/>
        <w:rPr>
          <w:sz w:val="24"/>
          <w:szCs w:val="24"/>
        </w:rPr>
      </w:pPr>
      <w:r w:rsidRPr="005B59FD">
        <w:rPr>
          <w:rFonts w:eastAsia="Arial"/>
          <w:sz w:val="24"/>
          <w:szCs w:val="24"/>
        </w:rPr>
        <w:t>USIQ (2025) Generation X, Y, Z: Differences in the Workplace. Available at: https://www.usiq.org/blog/generation-x-y-z-the-difference-between-the-generations-in-the-workplace/ (Accessed: 21 July 2026).</w:t>
      </w:r>
    </w:p>
    <w:sectPr w:rsidR="006511B4" w:rsidRPr="005B59FD">
      <w:headerReference w:type="default" r:id="rId9"/>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F80D2F" w14:textId="77777777" w:rsidR="006236AF" w:rsidRDefault="006236AF">
      <w:r>
        <w:separator/>
      </w:r>
    </w:p>
  </w:endnote>
  <w:endnote w:type="continuationSeparator" w:id="0">
    <w:p w14:paraId="6EE445FD" w14:textId="77777777" w:rsidR="006236AF" w:rsidRDefault="006236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C1688F" w14:textId="77777777" w:rsidR="006511B4" w:rsidRDefault="006511B4">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81458F" w14:textId="77777777" w:rsidR="006236AF" w:rsidRDefault="006236AF">
      <w:r>
        <w:separator/>
      </w:r>
    </w:p>
  </w:footnote>
  <w:footnote w:type="continuationSeparator" w:id="0">
    <w:p w14:paraId="33235FDE" w14:textId="77777777" w:rsidR="006236AF" w:rsidRDefault="006236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1004604"/>
      <w:docPartObj>
        <w:docPartGallery w:val="Page Numbers (Top of Page)"/>
        <w:docPartUnique/>
      </w:docPartObj>
    </w:sdtPr>
    <w:sdtEndPr>
      <w:rPr>
        <w:noProof/>
      </w:rPr>
    </w:sdtEndPr>
    <w:sdtContent>
      <w:p w14:paraId="00775A2F" w14:textId="77777777" w:rsidR="00D15495" w:rsidRDefault="00D15495">
        <w:pPr>
          <w:pStyle w:val="Header"/>
          <w:jc w:val="right"/>
        </w:pPr>
        <w:r>
          <w:fldChar w:fldCharType="begin"/>
        </w:r>
        <w:r>
          <w:instrText xml:space="preserve"> PAGE   \* MERGEFORMAT </w:instrText>
        </w:r>
        <w:r>
          <w:fldChar w:fldCharType="separate"/>
        </w:r>
        <w:r w:rsidR="00A67D8B">
          <w:rPr>
            <w:noProof/>
          </w:rPr>
          <w:t>6</w:t>
        </w:r>
        <w:r>
          <w:rPr>
            <w:noProof/>
          </w:rPr>
          <w:fldChar w:fldCharType="end"/>
        </w:r>
      </w:p>
    </w:sdtContent>
  </w:sdt>
  <w:p w14:paraId="7DCB703F" w14:textId="77777777" w:rsidR="006511B4" w:rsidRDefault="006511B4">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50869"/>
    <w:multiLevelType w:val="hybridMultilevel"/>
    <w:tmpl w:val="8E70E16A"/>
    <w:lvl w:ilvl="0" w:tplc="3ADA1B70">
      <w:start w:val="1"/>
      <w:numFmt w:val="bullet"/>
      <w:lvlText w:val="●"/>
      <w:lvlJc w:val="left"/>
      <w:pPr>
        <w:ind w:left="720" w:hanging="360"/>
      </w:pPr>
    </w:lvl>
    <w:lvl w:ilvl="1" w:tplc="13B8CCC4">
      <w:start w:val="1"/>
      <w:numFmt w:val="bullet"/>
      <w:lvlText w:val="○"/>
      <w:lvlJc w:val="left"/>
      <w:pPr>
        <w:ind w:left="1440" w:hanging="360"/>
      </w:pPr>
    </w:lvl>
    <w:lvl w:ilvl="2" w:tplc="342269EC">
      <w:start w:val="1"/>
      <w:numFmt w:val="bullet"/>
      <w:lvlText w:val="■"/>
      <w:lvlJc w:val="left"/>
      <w:pPr>
        <w:ind w:left="2160" w:hanging="360"/>
      </w:pPr>
    </w:lvl>
    <w:lvl w:ilvl="3" w:tplc="F0408766">
      <w:start w:val="1"/>
      <w:numFmt w:val="bullet"/>
      <w:lvlText w:val="●"/>
      <w:lvlJc w:val="left"/>
      <w:pPr>
        <w:ind w:left="2880" w:hanging="360"/>
      </w:pPr>
    </w:lvl>
    <w:lvl w:ilvl="4" w:tplc="BBD67C86">
      <w:start w:val="1"/>
      <w:numFmt w:val="bullet"/>
      <w:lvlText w:val="○"/>
      <w:lvlJc w:val="left"/>
      <w:pPr>
        <w:ind w:left="3600" w:hanging="360"/>
      </w:pPr>
    </w:lvl>
    <w:lvl w:ilvl="5" w:tplc="8BCC9EE4">
      <w:start w:val="1"/>
      <w:numFmt w:val="bullet"/>
      <w:lvlText w:val="■"/>
      <w:lvlJc w:val="left"/>
      <w:pPr>
        <w:ind w:left="4320" w:hanging="360"/>
      </w:pPr>
    </w:lvl>
    <w:lvl w:ilvl="6" w:tplc="166C91AE">
      <w:start w:val="1"/>
      <w:numFmt w:val="bullet"/>
      <w:lvlText w:val="●"/>
      <w:lvlJc w:val="left"/>
      <w:pPr>
        <w:ind w:left="5040" w:hanging="360"/>
      </w:pPr>
    </w:lvl>
    <w:lvl w:ilvl="7" w:tplc="5B6A7CB4">
      <w:start w:val="1"/>
      <w:numFmt w:val="bullet"/>
      <w:lvlText w:val="●"/>
      <w:lvlJc w:val="left"/>
      <w:pPr>
        <w:ind w:left="5760" w:hanging="360"/>
      </w:pPr>
    </w:lvl>
    <w:lvl w:ilvl="8" w:tplc="8F5A0A52">
      <w:start w:val="1"/>
      <w:numFmt w:val="bullet"/>
      <w:lvlText w:val="●"/>
      <w:lvlJc w:val="left"/>
      <w:pPr>
        <w:ind w:left="6480" w:hanging="360"/>
      </w:pPr>
    </w:lvl>
  </w:abstractNum>
  <w:num w:numId="1" w16cid:durableId="22271517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1B4"/>
    <w:rsid w:val="00333B2D"/>
    <w:rsid w:val="0035689C"/>
    <w:rsid w:val="0038675A"/>
    <w:rsid w:val="004358E2"/>
    <w:rsid w:val="004A4AE6"/>
    <w:rsid w:val="005B59FD"/>
    <w:rsid w:val="006236AF"/>
    <w:rsid w:val="0063047C"/>
    <w:rsid w:val="00647381"/>
    <w:rsid w:val="006511B4"/>
    <w:rsid w:val="00680A82"/>
    <w:rsid w:val="007611CC"/>
    <w:rsid w:val="009315D1"/>
    <w:rsid w:val="00A67D8B"/>
    <w:rsid w:val="00D118CA"/>
    <w:rsid w:val="00D15495"/>
    <w:rsid w:val="00DD1207"/>
    <w:rsid w:val="00DF35E4"/>
    <w:rsid w:val="00ED6289"/>
    <w:rsid w:val="00EF4170"/>
    <w:rsid w:val="00F811BC"/>
    <w:rsid w:val="00FA05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7A70A"/>
  <w15:docId w15:val="{F21AB7EB-1D5E-46E0-B765-5CB7890F04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D15495"/>
    <w:pPr>
      <w:tabs>
        <w:tab w:val="center" w:pos="4680"/>
        <w:tab w:val="right" w:pos="9360"/>
      </w:tabs>
    </w:pPr>
  </w:style>
  <w:style w:type="character" w:customStyle="1" w:styleId="HeaderChar">
    <w:name w:val="Header Char"/>
    <w:basedOn w:val="DefaultParagraphFont"/>
    <w:link w:val="Header"/>
    <w:uiPriority w:val="99"/>
    <w:rsid w:val="00D15495"/>
  </w:style>
  <w:style w:type="paragraph" w:styleId="Footer">
    <w:name w:val="footer"/>
    <w:basedOn w:val="Normal"/>
    <w:link w:val="FooterChar"/>
    <w:uiPriority w:val="99"/>
    <w:unhideWhenUsed/>
    <w:rsid w:val="00D15495"/>
    <w:pPr>
      <w:tabs>
        <w:tab w:val="center" w:pos="4680"/>
        <w:tab w:val="right" w:pos="9360"/>
      </w:tabs>
    </w:pPr>
  </w:style>
  <w:style w:type="character" w:customStyle="1" w:styleId="FooterChar">
    <w:name w:val="Footer Char"/>
    <w:basedOn w:val="DefaultParagraphFont"/>
    <w:link w:val="Footer"/>
    <w:uiPriority w:val="99"/>
    <w:rsid w:val="00D15495"/>
  </w:style>
  <w:style w:type="paragraph" w:styleId="TOCHeading">
    <w:name w:val="TOC Heading"/>
    <w:basedOn w:val="Heading1"/>
    <w:next w:val="Normal"/>
    <w:uiPriority w:val="39"/>
    <w:unhideWhenUsed/>
    <w:qFormat/>
    <w:rsid w:val="00A67D8B"/>
    <w:pPr>
      <w:keepNext/>
      <w:keepLines/>
      <w:spacing w:before="240" w:line="259" w:lineRule="auto"/>
      <w:outlineLvl w:val="9"/>
    </w:pPr>
    <w:rPr>
      <w:rFonts w:asciiTheme="majorHAnsi" w:eastAsiaTheme="majorEastAsia" w:hAnsiTheme="majorHAnsi" w:cstheme="majorBidi"/>
      <w:color w:val="2E74B5" w:themeColor="accent1" w:themeShade="BF"/>
    </w:rPr>
  </w:style>
  <w:style w:type="paragraph" w:styleId="TOC1">
    <w:name w:val="toc 1"/>
    <w:basedOn w:val="Normal"/>
    <w:next w:val="Normal"/>
    <w:autoRedefine/>
    <w:uiPriority w:val="39"/>
    <w:unhideWhenUsed/>
    <w:rsid w:val="00A67D8B"/>
    <w:pPr>
      <w:spacing w:after="100"/>
    </w:pPr>
  </w:style>
  <w:style w:type="paragraph" w:styleId="TOC2">
    <w:name w:val="toc 2"/>
    <w:basedOn w:val="Normal"/>
    <w:next w:val="Normal"/>
    <w:autoRedefine/>
    <w:uiPriority w:val="39"/>
    <w:unhideWhenUsed/>
    <w:rsid w:val="00A67D8B"/>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138149-E033-475D-8220-6CCB9AAF5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3855</Words>
  <Characters>21979</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Cornelia Sterea (2416524)</cp:lastModifiedBy>
  <cp:revision>7</cp:revision>
  <dcterms:created xsi:type="dcterms:W3CDTF">2026-07-23T08:31:00Z</dcterms:created>
  <dcterms:modified xsi:type="dcterms:W3CDTF">2026-08-10T09:30:00Z</dcterms:modified>
</cp:coreProperties>
</file>