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2DD16" w14:textId="77777777" w:rsidR="009F6CAB" w:rsidRDefault="009F6CAB" w:rsidP="009F6CAB">
      <w:pPr>
        <w:rPr>
          <w:b/>
          <w:bCs/>
          <w:sz w:val="28"/>
          <w:szCs w:val="28"/>
        </w:rPr>
      </w:pPr>
      <w:r w:rsidRPr="00671701">
        <w:rPr>
          <w:b/>
          <w:bCs/>
          <w:sz w:val="28"/>
          <w:szCs w:val="28"/>
        </w:rPr>
        <w:t>"Shaping Futures: The Role of Education in Influencing Teenage Aspirations in Wales"</w:t>
      </w:r>
    </w:p>
    <w:p w14:paraId="08087AF9" w14:textId="77777777" w:rsidR="009F6CAB" w:rsidRDefault="009F6CAB" w:rsidP="009F6CAB">
      <w:pPr>
        <w:rPr>
          <w:sz w:val="24"/>
          <w:szCs w:val="24"/>
        </w:rPr>
      </w:pPr>
      <w:r>
        <w:rPr>
          <w:sz w:val="24"/>
          <w:szCs w:val="24"/>
        </w:rPr>
        <w:t>By J Bamsey, Doctoral Student, UWTSD</w:t>
      </w:r>
    </w:p>
    <w:p w14:paraId="48625E1A" w14:textId="77777777" w:rsidR="009F6CAB" w:rsidRDefault="009F6CAB" w:rsidP="009F6CAB">
      <w:pPr>
        <w:rPr>
          <w:sz w:val="24"/>
          <w:szCs w:val="24"/>
        </w:rPr>
      </w:pPr>
    </w:p>
    <w:p w14:paraId="00C0D567" w14:textId="77777777" w:rsidR="009F6CAB" w:rsidRDefault="009F6CAB" w:rsidP="009F6CAB">
      <w:pPr>
        <w:rPr>
          <w:sz w:val="24"/>
          <w:szCs w:val="24"/>
        </w:rPr>
      </w:pPr>
    </w:p>
    <w:p w14:paraId="00C78E9D" w14:textId="77777777" w:rsidR="009F6CAB" w:rsidRPr="00671701" w:rsidRDefault="009F6CAB" w:rsidP="009F6CAB">
      <w:pPr>
        <w:rPr>
          <w:sz w:val="24"/>
          <w:szCs w:val="24"/>
        </w:rPr>
      </w:pPr>
    </w:p>
    <w:p w14:paraId="02B6C760" w14:textId="77777777" w:rsidR="009F6CAB" w:rsidRDefault="009F6CAB" w:rsidP="009F6CAB">
      <w:pPr>
        <w:jc w:val="center"/>
        <w:rPr>
          <w:b/>
          <w:bCs/>
          <w:sz w:val="28"/>
          <w:szCs w:val="28"/>
        </w:rPr>
      </w:pPr>
      <w:r w:rsidRPr="004040D6">
        <w:rPr>
          <w:b/>
          <w:bCs/>
          <w:sz w:val="28"/>
          <w:szCs w:val="28"/>
        </w:rPr>
        <w:t>Abstract</w:t>
      </w:r>
    </w:p>
    <w:p w14:paraId="4AA98C89" w14:textId="77777777" w:rsidR="00055726" w:rsidRDefault="00055726" w:rsidP="009F6CAB">
      <w:pPr>
        <w:jc w:val="both"/>
      </w:pPr>
    </w:p>
    <w:p w14:paraId="10320DDE" w14:textId="1D6951F2" w:rsidR="00251425" w:rsidRDefault="009F6CAB" w:rsidP="0057265D">
      <w:pPr>
        <w:jc w:val="both"/>
      </w:pPr>
      <w:r w:rsidRPr="00B21664">
        <w:t xml:space="preserve">This paper critically examines how </w:t>
      </w:r>
      <w:r w:rsidRPr="007C1598">
        <w:t xml:space="preserve">educational policy in Wales </w:t>
      </w:r>
      <w:r w:rsidRPr="00B21664">
        <w:t xml:space="preserve">seeks to influence teenage career-aspirations </w:t>
      </w:r>
      <w:r w:rsidR="008058B6">
        <w:t>amidst</w:t>
      </w:r>
      <w:r w:rsidRPr="00B21664">
        <w:t xml:space="preserve"> concerns about youth economic inactivity, social mobility, and </w:t>
      </w:r>
      <w:r>
        <w:t>post-16 destinations</w:t>
      </w:r>
      <w:r w:rsidRPr="00B21664">
        <w:t xml:space="preserve">. </w:t>
      </w:r>
    </w:p>
    <w:p w14:paraId="390B5E8A" w14:textId="2AB2BC1B" w:rsidR="009F6CAB" w:rsidRDefault="00251425" w:rsidP="0057265D">
      <w:pPr>
        <w:jc w:val="both"/>
      </w:pPr>
      <w:r w:rsidRPr="00251425">
        <w:t xml:space="preserve">Drawing on relevant literature, it </w:t>
      </w:r>
      <w:r>
        <w:t>explores</w:t>
      </w:r>
      <w:r w:rsidRPr="00251425">
        <w:t xml:space="preserve"> factors shaping </w:t>
      </w:r>
      <w:r>
        <w:t xml:space="preserve">teenage </w:t>
      </w:r>
      <w:r w:rsidRPr="00251425">
        <w:t xml:space="preserve">aspirations and assesses the strategies and policy frameworks adopted in Wales. </w:t>
      </w:r>
      <w:r w:rsidR="00C21B37" w:rsidRPr="00C21B37">
        <w:t xml:space="preserve">The analysis incorporates </w:t>
      </w:r>
      <w:r w:rsidR="004B2E62">
        <w:t xml:space="preserve">international </w:t>
      </w:r>
      <w:r w:rsidR="00C21B37" w:rsidRPr="00C21B37">
        <w:t xml:space="preserve">comparisons to highlight lessons for Welsh policymakers and to better understand how </w:t>
      </w:r>
      <w:r w:rsidR="004B2E62">
        <w:t xml:space="preserve">globally, </w:t>
      </w:r>
      <w:r w:rsidR="00C21B37" w:rsidRPr="00C21B37">
        <w:t xml:space="preserve">governments </w:t>
      </w:r>
      <w:r w:rsidR="004B2E62">
        <w:t xml:space="preserve">seek to deliver polices that address </w:t>
      </w:r>
      <w:r w:rsidR="00C21B37" w:rsidRPr="00C21B37">
        <w:t>youth aspirations.</w:t>
      </w:r>
      <w:r w:rsidR="00C21B37">
        <w:t xml:space="preserve"> </w:t>
      </w:r>
      <w:r w:rsidR="009F6CAB" w:rsidRPr="00B21664">
        <w:t xml:space="preserve">The findings </w:t>
      </w:r>
      <w:r w:rsidR="00055726">
        <w:t>suggest</w:t>
      </w:r>
      <w:r w:rsidR="009F6CAB" w:rsidRPr="00B21664">
        <w:t xml:space="preserve"> that while Wales </w:t>
      </w:r>
      <w:r w:rsidR="00055726" w:rsidRPr="00055726">
        <w:t xml:space="preserve">demonstrates potential </w:t>
      </w:r>
      <w:r w:rsidR="009F6CAB" w:rsidRPr="00B21664">
        <w:t>in promoting teenage aspirations, challenges remain. These</w:t>
      </w:r>
      <w:r w:rsidR="009F6CAB">
        <w:t xml:space="preserve"> </w:t>
      </w:r>
      <w:r w:rsidR="009F6CAB" w:rsidRPr="00B21664">
        <w:t xml:space="preserve">include </w:t>
      </w:r>
      <w:r w:rsidR="00055726">
        <w:t>unequal access to</w:t>
      </w:r>
      <w:r w:rsidR="009F6CAB" w:rsidRPr="00B21664">
        <w:t xml:space="preserve"> school resources, </w:t>
      </w:r>
      <w:r w:rsidR="00055726">
        <w:t>variability</w:t>
      </w:r>
      <w:r w:rsidR="009F6CAB" w:rsidRPr="00B21664">
        <w:t xml:space="preserve"> in the </w:t>
      </w:r>
      <w:r w:rsidR="0057265D">
        <w:t>delivery of</w:t>
      </w:r>
      <w:r w:rsidR="009F6CAB" w:rsidRPr="00B21664">
        <w:t xml:space="preserve"> career-education and mentorship, and insufficient support for vocational courses. Additionally, the study </w:t>
      </w:r>
      <w:r w:rsidR="0057265D" w:rsidRPr="0057265D">
        <w:t>highlights</w:t>
      </w:r>
      <w:r w:rsidR="009F6CAB" w:rsidRPr="00B21664">
        <w:t xml:space="preserve"> the importance of ensuring that new vocational qualifications (VCEs) complement, rather than compete with, traditional academic pathways.</w:t>
      </w:r>
      <w:r w:rsidR="00055726">
        <w:t xml:space="preserve"> </w:t>
      </w:r>
      <w:r w:rsidR="0057265D">
        <w:t xml:space="preserve"> </w:t>
      </w:r>
    </w:p>
    <w:p w14:paraId="490BBE5F" w14:textId="77777777" w:rsidR="00251425" w:rsidRDefault="0057265D" w:rsidP="0057265D">
      <w:pPr>
        <w:jc w:val="both"/>
      </w:pPr>
      <w:r w:rsidRPr="0057265D">
        <w:t xml:space="preserve">The paper concludes that effective </w:t>
      </w:r>
      <w:r>
        <w:t>policy realisation</w:t>
      </w:r>
      <w:r w:rsidRPr="0057265D">
        <w:t xml:space="preserve"> requires robust implementation, consistent quality, and a commitment to unlocking the potential of every young person in Wales</w:t>
      </w:r>
      <w:r>
        <w:t>.</w:t>
      </w:r>
      <w:r w:rsidR="001448AE">
        <w:t xml:space="preserve"> </w:t>
      </w:r>
    </w:p>
    <w:p w14:paraId="20B198DF" w14:textId="101464CA" w:rsidR="009F6CAB" w:rsidRDefault="009F6CAB" w:rsidP="0057265D">
      <w:pPr>
        <w:jc w:val="both"/>
        <w:rPr>
          <w:b/>
          <w:bCs/>
          <w:sz w:val="28"/>
          <w:szCs w:val="28"/>
        </w:rPr>
      </w:pPr>
      <w:r>
        <w:rPr>
          <w:b/>
          <w:bCs/>
          <w:sz w:val="28"/>
          <w:szCs w:val="28"/>
        </w:rPr>
        <w:br w:type="page"/>
      </w:r>
    </w:p>
    <w:p w14:paraId="45A401D7" w14:textId="51DCDA5A" w:rsidR="00B23E19" w:rsidRPr="00A159E3" w:rsidRDefault="00B23E19" w:rsidP="001D4084">
      <w:pPr>
        <w:spacing w:line="360" w:lineRule="auto"/>
        <w:rPr>
          <w:b/>
          <w:bCs/>
          <w:sz w:val="32"/>
          <w:szCs w:val="32"/>
        </w:rPr>
      </w:pPr>
      <w:r w:rsidRPr="00A159E3">
        <w:rPr>
          <w:b/>
          <w:bCs/>
          <w:sz w:val="32"/>
          <w:szCs w:val="32"/>
        </w:rPr>
        <w:lastRenderedPageBreak/>
        <w:t>Introduction</w:t>
      </w:r>
    </w:p>
    <w:p w14:paraId="6474687E" w14:textId="1649609A" w:rsidR="00390CE1" w:rsidRDefault="001D2066" w:rsidP="003E73AC">
      <w:pPr>
        <w:spacing w:line="360" w:lineRule="auto"/>
        <w:jc w:val="both"/>
        <w:rPr>
          <w:sz w:val="24"/>
          <w:szCs w:val="24"/>
        </w:rPr>
      </w:pPr>
      <w:r w:rsidRPr="00B256A8">
        <w:rPr>
          <w:sz w:val="24"/>
          <w:szCs w:val="24"/>
        </w:rPr>
        <w:t>Teenage career-aspirations are the hopes and goals young people form about their futures (Abbott and Chapman, 2014).</w:t>
      </w:r>
      <w:r w:rsidRPr="00B256A8">
        <w:rPr>
          <w:i/>
          <w:iCs/>
          <w:sz w:val="24"/>
          <w:szCs w:val="24"/>
        </w:rPr>
        <w:t xml:space="preserve"> </w:t>
      </w:r>
      <w:r w:rsidR="000C692A">
        <w:rPr>
          <w:sz w:val="24"/>
          <w:szCs w:val="24"/>
        </w:rPr>
        <w:t xml:space="preserve">The </w:t>
      </w:r>
      <w:r w:rsidR="00390CE1" w:rsidRPr="00390CE1">
        <w:rPr>
          <w:sz w:val="24"/>
          <w:szCs w:val="24"/>
        </w:rPr>
        <w:t xml:space="preserve">issue of teenage aspirations </w:t>
      </w:r>
      <w:r w:rsidR="003920AB" w:rsidRPr="00390CE1">
        <w:rPr>
          <w:sz w:val="24"/>
          <w:szCs w:val="24"/>
        </w:rPr>
        <w:t>links</w:t>
      </w:r>
      <w:r w:rsidR="00390CE1" w:rsidRPr="00390CE1">
        <w:rPr>
          <w:sz w:val="24"/>
          <w:szCs w:val="24"/>
        </w:rPr>
        <w:t xml:space="preserve"> </w:t>
      </w:r>
      <w:r w:rsidR="003920AB">
        <w:rPr>
          <w:sz w:val="24"/>
          <w:szCs w:val="24"/>
        </w:rPr>
        <w:t>to</w:t>
      </w:r>
      <w:r w:rsidR="00390CE1" w:rsidRPr="00390CE1">
        <w:rPr>
          <w:sz w:val="24"/>
          <w:szCs w:val="24"/>
        </w:rPr>
        <w:t xml:space="preserve"> the fundamental purpose of education, which has historically been framed through different theoretical lenses. Human Capital Theory (Becker, 1964) views education as a driver of economic growth, while Critical Pedagogy (Freire, 1968) emphasises its role in promoting social justice. Other seminal perspectives, such as Dewey (1916) and Wagner (2008), focus on education's contribution to both personal and societal development. These theories align with the Welsh Government’s vision of education as a “</w:t>
      </w:r>
      <w:r w:rsidR="00390CE1" w:rsidRPr="00390CE1">
        <w:rPr>
          <w:i/>
          <w:iCs/>
          <w:sz w:val="24"/>
          <w:szCs w:val="24"/>
        </w:rPr>
        <w:t>National Mission</w:t>
      </w:r>
      <w:r w:rsidR="00390CE1" w:rsidRPr="00390CE1">
        <w:rPr>
          <w:sz w:val="24"/>
          <w:szCs w:val="24"/>
        </w:rPr>
        <w:t xml:space="preserve">”, promoting individual and national prosperity (Welsh Government, 2023b). </w:t>
      </w:r>
    </w:p>
    <w:p w14:paraId="2A779415" w14:textId="20E849D5" w:rsidR="003E1595" w:rsidRDefault="003E1595" w:rsidP="003E73AC">
      <w:pPr>
        <w:spacing w:line="360" w:lineRule="auto"/>
        <w:jc w:val="both"/>
        <w:rPr>
          <w:sz w:val="24"/>
          <w:szCs w:val="24"/>
        </w:rPr>
      </w:pPr>
      <w:r w:rsidRPr="003E1595">
        <w:rPr>
          <w:sz w:val="24"/>
          <w:szCs w:val="24"/>
        </w:rPr>
        <w:t xml:space="preserve">Aspirations, particularly career goals, are central to this vision, as research </w:t>
      </w:r>
      <w:r w:rsidR="0025469E">
        <w:rPr>
          <w:sz w:val="24"/>
          <w:szCs w:val="24"/>
        </w:rPr>
        <w:t>indicates</w:t>
      </w:r>
      <w:r w:rsidRPr="003E1595">
        <w:rPr>
          <w:sz w:val="24"/>
          <w:szCs w:val="24"/>
        </w:rPr>
        <w:t xml:space="preserve"> that </w:t>
      </w:r>
      <w:r w:rsidR="00DC1D1A">
        <w:rPr>
          <w:sz w:val="24"/>
          <w:szCs w:val="24"/>
        </w:rPr>
        <w:t>teenagers’</w:t>
      </w:r>
      <w:r w:rsidR="00EB6EDF">
        <w:rPr>
          <w:sz w:val="24"/>
          <w:szCs w:val="24"/>
        </w:rPr>
        <w:t xml:space="preserve"> perceptions of</w:t>
      </w:r>
      <w:r w:rsidRPr="003E1595">
        <w:rPr>
          <w:sz w:val="24"/>
          <w:szCs w:val="24"/>
        </w:rPr>
        <w:t xml:space="preserve"> their futures, education, and employment</w:t>
      </w:r>
      <w:r w:rsidR="00DC252C">
        <w:rPr>
          <w:sz w:val="24"/>
          <w:szCs w:val="24"/>
        </w:rPr>
        <w:t>,</w:t>
      </w:r>
      <w:r w:rsidRPr="003E1595">
        <w:rPr>
          <w:sz w:val="24"/>
          <w:szCs w:val="24"/>
        </w:rPr>
        <w:t xml:space="preserve"> </w:t>
      </w:r>
      <w:r w:rsidR="00DC252C" w:rsidRPr="00DC252C">
        <w:rPr>
          <w:sz w:val="24"/>
          <w:szCs w:val="24"/>
        </w:rPr>
        <w:t xml:space="preserve">strongly influence </w:t>
      </w:r>
      <w:r w:rsidR="007B1F88">
        <w:rPr>
          <w:sz w:val="24"/>
          <w:szCs w:val="24"/>
        </w:rPr>
        <w:t xml:space="preserve">their </w:t>
      </w:r>
      <w:r w:rsidR="00DC252C">
        <w:rPr>
          <w:sz w:val="24"/>
          <w:szCs w:val="24"/>
        </w:rPr>
        <w:t>individual pathways</w:t>
      </w:r>
      <w:r w:rsidR="00DC252C" w:rsidRPr="00DC252C">
        <w:rPr>
          <w:sz w:val="24"/>
          <w:szCs w:val="24"/>
        </w:rPr>
        <w:t xml:space="preserve"> and broader outcomes like social equity and mobility</w:t>
      </w:r>
      <w:r w:rsidR="00DC252C">
        <w:rPr>
          <w:sz w:val="24"/>
          <w:szCs w:val="24"/>
        </w:rPr>
        <w:t xml:space="preserve"> </w:t>
      </w:r>
      <w:r w:rsidRPr="003E1595">
        <w:rPr>
          <w:sz w:val="24"/>
          <w:szCs w:val="24"/>
        </w:rPr>
        <w:t xml:space="preserve">(Hughes et al., 2016). </w:t>
      </w:r>
      <w:r w:rsidR="0025469E">
        <w:rPr>
          <w:sz w:val="24"/>
          <w:szCs w:val="24"/>
        </w:rPr>
        <w:t>It is proposed that e</w:t>
      </w:r>
      <w:r w:rsidRPr="003E1595">
        <w:rPr>
          <w:sz w:val="24"/>
          <w:szCs w:val="24"/>
        </w:rPr>
        <w:t>ducational policy</w:t>
      </w:r>
      <w:r w:rsidR="009079B8">
        <w:rPr>
          <w:sz w:val="24"/>
          <w:szCs w:val="24"/>
        </w:rPr>
        <w:t xml:space="preserve">, which is </w:t>
      </w:r>
      <w:r w:rsidRPr="003E1595">
        <w:rPr>
          <w:sz w:val="24"/>
          <w:szCs w:val="24"/>
        </w:rPr>
        <w:t>defined as the principles guiding the organisation and delivery of education</w:t>
      </w:r>
      <w:r w:rsidR="009079B8">
        <w:rPr>
          <w:sz w:val="24"/>
          <w:szCs w:val="24"/>
        </w:rPr>
        <w:t xml:space="preserve"> (</w:t>
      </w:r>
      <w:r w:rsidR="009079B8" w:rsidRPr="003E1595">
        <w:rPr>
          <w:sz w:val="24"/>
          <w:szCs w:val="24"/>
        </w:rPr>
        <w:t>Viennet, 2017</w:t>
      </w:r>
      <w:r w:rsidR="009079B8">
        <w:rPr>
          <w:sz w:val="24"/>
          <w:szCs w:val="24"/>
        </w:rPr>
        <w:t>), significantly</w:t>
      </w:r>
      <w:r w:rsidRPr="003E1595">
        <w:rPr>
          <w:sz w:val="24"/>
          <w:szCs w:val="24"/>
        </w:rPr>
        <w:t xml:space="preserve"> affects these perceptions, especially when policies are successfully implemented and translated into tangible actions (Viennet, 2017). These policies also shape how education systems operate, including curriculum design, governance, and resource allocation (Ball, 2021). While teenage aspirations are </w:t>
      </w:r>
      <w:r w:rsidR="000624F0">
        <w:rPr>
          <w:sz w:val="24"/>
          <w:szCs w:val="24"/>
        </w:rPr>
        <w:t>viewed</w:t>
      </w:r>
      <w:r w:rsidRPr="003E1595">
        <w:rPr>
          <w:sz w:val="24"/>
          <w:szCs w:val="24"/>
        </w:rPr>
        <w:t xml:space="preserve"> as a crucial link between individual and societal growth (Schoon et al., 2010), </w:t>
      </w:r>
      <w:r w:rsidR="0025469E">
        <w:rPr>
          <w:sz w:val="24"/>
          <w:szCs w:val="24"/>
        </w:rPr>
        <w:t xml:space="preserve">it is argued that </w:t>
      </w:r>
      <w:r w:rsidRPr="003E1595">
        <w:rPr>
          <w:sz w:val="24"/>
          <w:szCs w:val="24"/>
        </w:rPr>
        <w:t xml:space="preserve">the concept remains ambiguously defined, </w:t>
      </w:r>
      <w:r>
        <w:rPr>
          <w:sz w:val="24"/>
          <w:szCs w:val="24"/>
        </w:rPr>
        <w:t>ranging from</w:t>
      </w:r>
      <w:r w:rsidRPr="003E1595">
        <w:rPr>
          <w:sz w:val="24"/>
          <w:szCs w:val="24"/>
        </w:rPr>
        <w:t xml:space="preserve"> immediate educational goals to long-term career plans, making it challenging to develop effective policies (Morris, 2021).</w:t>
      </w:r>
    </w:p>
    <w:p w14:paraId="66013AF7" w14:textId="0F30DADB" w:rsidR="00BA1C95" w:rsidRPr="00B256A8" w:rsidRDefault="00BA1C95" w:rsidP="003E73AC">
      <w:pPr>
        <w:spacing w:line="360" w:lineRule="auto"/>
        <w:jc w:val="both"/>
        <w:rPr>
          <w:sz w:val="24"/>
          <w:szCs w:val="24"/>
        </w:rPr>
      </w:pPr>
      <w:r w:rsidRPr="00B256A8">
        <w:rPr>
          <w:sz w:val="24"/>
          <w:szCs w:val="24"/>
        </w:rPr>
        <w:t xml:space="preserve">This article </w:t>
      </w:r>
      <w:r w:rsidR="00C20A0C" w:rsidRPr="00B256A8">
        <w:rPr>
          <w:sz w:val="24"/>
          <w:szCs w:val="24"/>
        </w:rPr>
        <w:t>examines</w:t>
      </w:r>
      <w:r w:rsidRPr="00B256A8">
        <w:rPr>
          <w:sz w:val="24"/>
          <w:szCs w:val="24"/>
        </w:rPr>
        <w:t xml:space="preserve"> how educational policies shape teenage aspirations in </w:t>
      </w:r>
      <w:r w:rsidR="0055078E" w:rsidRPr="00B256A8">
        <w:rPr>
          <w:sz w:val="24"/>
          <w:szCs w:val="24"/>
        </w:rPr>
        <w:t>Wales and</w:t>
      </w:r>
      <w:r w:rsidR="00965EBA">
        <w:rPr>
          <w:sz w:val="24"/>
          <w:szCs w:val="24"/>
        </w:rPr>
        <w:t xml:space="preserve"> considers</w:t>
      </w:r>
      <w:r w:rsidRPr="00B256A8">
        <w:rPr>
          <w:sz w:val="24"/>
          <w:szCs w:val="24"/>
        </w:rPr>
        <w:t xml:space="preserve"> their role in promoting equity and addressing systemic inequalities</w:t>
      </w:r>
      <w:r w:rsidR="007F1B42">
        <w:rPr>
          <w:sz w:val="24"/>
          <w:szCs w:val="24"/>
        </w:rPr>
        <w:t xml:space="preserve"> (Welsh Government, 2015)</w:t>
      </w:r>
      <w:r w:rsidRPr="00B256A8">
        <w:rPr>
          <w:sz w:val="24"/>
          <w:szCs w:val="24"/>
        </w:rPr>
        <w:t>. The scope includes an analysis of Welsh policies, a theoretical discussion of aspirations</w:t>
      </w:r>
      <w:r w:rsidR="0009392E" w:rsidRPr="00B256A8">
        <w:rPr>
          <w:sz w:val="24"/>
          <w:szCs w:val="24"/>
        </w:rPr>
        <w:t xml:space="preserve">, </w:t>
      </w:r>
      <w:r w:rsidRPr="00B256A8">
        <w:rPr>
          <w:sz w:val="24"/>
          <w:szCs w:val="24"/>
        </w:rPr>
        <w:t xml:space="preserve">and an international comparison to </w:t>
      </w:r>
      <w:r w:rsidR="006F1E97">
        <w:rPr>
          <w:sz w:val="24"/>
          <w:szCs w:val="24"/>
        </w:rPr>
        <w:t>identify</w:t>
      </w:r>
      <w:r w:rsidRPr="00B256A8">
        <w:rPr>
          <w:sz w:val="24"/>
          <w:szCs w:val="24"/>
        </w:rPr>
        <w:t xml:space="preserve"> potential lessons for </w:t>
      </w:r>
      <w:r w:rsidR="006F1E97">
        <w:rPr>
          <w:sz w:val="24"/>
          <w:szCs w:val="24"/>
        </w:rPr>
        <w:t>policy development and implementation in Wales</w:t>
      </w:r>
      <w:r w:rsidRPr="00B256A8">
        <w:rPr>
          <w:sz w:val="24"/>
          <w:szCs w:val="24"/>
        </w:rPr>
        <w:t>.</w:t>
      </w:r>
      <w:r w:rsidR="0009392E" w:rsidRPr="00B256A8">
        <w:rPr>
          <w:sz w:val="24"/>
          <w:szCs w:val="24"/>
        </w:rPr>
        <w:t xml:space="preserve"> Structure of the article begins with a literature review, followed by an analysis of key Welsh policy initiatives, a comparative international perspective, and a discussion of implications and recommendations for future policy development.</w:t>
      </w:r>
    </w:p>
    <w:p w14:paraId="1E2C060B" w14:textId="77777777" w:rsidR="008C2F0D" w:rsidRDefault="008C2F0D" w:rsidP="003E73AC">
      <w:pPr>
        <w:spacing w:line="360" w:lineRule="auto"/>
        <w:rPr>
          <w:b/>
          <w:bCs/>
        </w:rPr>
      </w:pPr>
    </w:p>
    <w:p w14:paraId="6BEEF618" w14:textId="3FB18EC7" w:rsidR="008C2F0D" w:rsidRPr="00A159E3" w:rsidRDefault="008C2F0D" w:rsidP="001D4084">
      <w:pPr>
        <w:spacing w:line="360" w:lineRule="auto"/>
        <w:rPr>
          <w:sz w:val="32"/>
          <w:szCs w:val="32"/>
        </w:rPr>
      </w:pPr>
      <w:r w:rsidRPr="00A159E3">
        <w:rPr>
          <w:b/>
          <w:bCs/>
          <w:sz w:val="32"/>
          <w:szCs w:val="32"/>
        </w:rPr>
        <w:t>Context and Background</w:t>
      </w:r>
    </w:p>
    <w:p w14:paraId="2965E154" w14:textId="466330F1" w:rsidR="00B43B4F" w:rsidRPr="00EB0BD1" w:rsidRDefault="008C2F0D" w:rsidP="003E73AC">
      <w:pPr>
        <w:spacing w:line="360" w:lineRule="auto"/>
        <w:jc w:val="both"/>
        <w:rPr>
          <w:sz w:val="24"/>
          <w:szCs w:val="24"/>
        </w:rPr>
      </w:pPr>
      <w:r w:rsidRPr="00EB0BD1">
        <w:rPr>
          <w:sz w:val="24"/>
          <w:szCs w:val="24"/>
        </w:rPr>
        <w:t>The Welsh educational system has undergone significant changes in recent decades, evolving to address the educational, socio-economic and cultural needs of Wales</w:t>
      </w:r>
      <w:r w:rsidR="00E72915">
        <w:rPr>
          <w:sz w:val="24"/>
          <w:szCs w:val="24"/>
        </w:rPr>
        <w:t>.</w:t>
      </w:r>
      <w:r w:rsidRPr="00EB0BD1">
        <w:rPr>
          <w:sz w:val="24"/>
          <w:szCs w:val="24"/>
        </w:rPr>
        <w:t xml:space="preserve"> Following </w:t>
      </w:r>
      <w:r w:rsidR="00B43B4F" w:rsidRPr="00EB0BD1">
        <w:rPr>
          <w:sz w:val="24"/>
          <w:szCs w:val="24"/>
        </w:rPr>
        <w:t xml:space="preserve">devolution in 1999, Wales has exercised control over its education policies, enabling a distinct approach that diverges from </w:t>
      </w:r>
      <w:r w:rsidR="007437E8" w:rsidRPr="00EB0BD1">
        <w:rPr>
          <w:sz w:val="24"/>
          <w:szCs w:val="24"/>
        </w:rPr>
        <w:t xml:space="preserve">other systems in the United </w:t>
      </w:r>
      <w:r w:rsidR="00E72915" w:rsidRPr="00EB0BD1">
        <w:rPr>
          <w:sz w:val="24"/>
          <w:szCs w:val="24"/>
        </w:rPr>
        <w:t>Kingdom</w:t>
      </w:r>
      <w:r w:rsidR="00E72915" w:rsidRPr="00E72915">
        <w:rPr>
          <w:sz w:val="24"/>
          <w:szCs w:val="24"/>
        </w:rPr>
        <w:t xml:space="preserve"> (Davies et al., 2024)</w:t>
      </w:r>
      <w:r w:rsidR="00B43B4F" w:rsidRPr="00EB0BD1">
        <w:rPr>
          <w:sz w:val="24"/>
          <w:szCs w:val="24"/>
        </w:rPr>
        <w:t xml:space="preserve">. A key milestone in this journey has been development of the Curriculum for Wales (2022), which marks a significant departure from the traditional, content-heavy National Curriculum of 1988 (Lawton, 2021). </w:t>
      </w:r>
    </w:p>
    <w:p w14:paraId="0D6E2D59" w14:textId="3AC09136" w:rsidR="00B43B4F" w:rsidRPr="00EB0BD1" w:rsidRDefault="00B43B4F" w:rsidP="003E73AC">
      <w:pPr>
        <w:spacing w:line="360" w:lineRule="auto"/>
        <w:jc w:val="both"/>
        <w:rPr>
          <w:sz w:val="24"/>
          <w:szCs w:val="24"/>
        </w:rPr>
      </w:pPr>
      <w:r w:rsidRPr="00EB0BD1">
        <w:rPr>
          <w:sz w:val="24"/>
          <w:szCs w:val="24"/>
        </w:rPr>
        <w:t>In contrast to</w:t>
      </w:r>
      <w:r w:rsidR="008C2F0D" w:rsidRPr="00EB0BD1">
        <w:rPr>
          <w:sz w:val="24"/>
          <w:szCs w:val="24"/>
        </w:rPr>
        <w:t xml:space="preserve"> its predecessor, this purpose-driven</w:t>
      </w:r>
      <w:r w:rsidRPr="00EB0BD1">
        <w:rPr>
          <w:sz w:val="24"/>
          <w:szCs w:val="24"/>
        </w:rPr>
        <w:t xml:space="preserve"> curriculum reflects</w:t>
      </w:r>
      <w:r w:rsidR="008C2F0D" w:rsidRPr="00EB0BD1">
        <w:rPr>
          <w:sz w:val="24"/>
          <w:szCs w:val="24"/>
        </w:rPr>
        <w:t xml:space="preserve"> Welsh priorities such as bilingualism, cultural identity, and global citizenship</w:t>
      </w:r>
      <w:r w:rsidR="00C30A0F" w:rsidRPr="00EB0BD1">
        <w:rPr>
          <w:sz w:val="24"/>
          <w:szCs w:val="24"/>
        </w:rPr>
        <w:t xml:space="preserve"> (Donaldson, 201</w:t>
      </w:r>
      <w:r w:rsidR="002842E5">
        <w:rPr>
          <w:sz w:val="24"/>
          <w:szCs w:val="24"/>
        </w:rPr>
        <w:t>5</w:t>
      </w:r>
      <w:r w:rsidR="00C30A0F" w:rsidRPr="00EB0BD1">
        <w:rPr>
          <w:sz w:val="24"/>
          <w:szCs w:val="24"/>
        </w:rPr>
        <w:t>)</w:t>
      </w:r>
      <w:r w:rsidR="008C2F0D" w:rsidRPr="00EB0BD1">
        <w:rPr>
          <w:sz w:val="24"/>
          <w:szCs w:val="24"/>
        </w:rPr>
        <w:t xml:space="preserve">. It is centred around four key purposes: to develop learners who are ambitious, enterprising, healthy, and ethically informed (Donaldson, 2015). </w:t>
      </w:r>
      <w:r w:rsidR="00572F92" w:rsidRPr="00EB0BD1">
        <w:rPr>
          <w:sz w:val="24"/>
          <w:szCs w:val="24"/>
        </w:rPr>
        <w:t>The curriculum for Wales (2022)</w:t>
      </w:r>
      <w:r w:rsidRPr="00EB0BD1">
        <w:rPr>
          <w:sz w:val="24"/>
          <w:szCs w:val="24"/>
        </w:rPr>
        <w:t xml:space="preserve"> seeks to empower young people to realise their potential while equipping them with the skills and resilience needed to navigate </w:t>
      </w:r>
      <w:r w:rsidR="00572F92" w:rsidRPr="00EB0BD1">
        <w:rPr>
          <w:sz w:val="24"/>
          <w:szCs w:val="24"/>
        </w:rPr>
        <w:t xml:space="preserve">a changing world </w:t>
      </w:r>
      <w:r w:rsidRPr="00EB0BD1">
        <w:rPr>
          <w:sz w:val="24"/>
          <w:szCs w:val="24"/>
        </w:rPr>
        <w:t>(</w:t>
      </w:r>
      <w:r w:rsidR="00735CF3" w:rsidRPr="00EB0BD1">
        <w:rPr>
          <w:sz w:val="24"/>
          <w:szCs w:val="24"/>
        </w:rPr>
        <w:t>Welsh Government, 2023d</w:t>
      </w:r>
      <w:r w:rsidRPr="00EB0BD1">
        <w:rPr>
          <w:sz w:val="24"/>
          <w:szCs w:val="24"/>
        </w:rPr>
        <w:t>). By prioritising "</w:t>
      </w:r>
      <w:r w:rsidRPr="001E24E7">
        <w:rPr>
          <w:i/>
          <w:iCs/>
          <w:sz w:val="24"/>
          <w:szCs w:val="24"/>
        </w:rPr>
        <w:t>ambition</w:t>
      </w:r>
      <w:r w:rsidR="001E24E7">
        <w:rPr>
          <w:sz w:val="24"/>
          <w:szCs w:val="24"/>
        </w:rPr>
        <w:t>”</w:t>
      </w:r>
      <w:r w:rsidRPr="00EB0BD1">
        <w:rPr>
          <w:sz w:val="24"/>
          <w:szCs w:val="24"/>
        </w:rPr>
        <w:t xml:space="preserve"> and </w:t>
      </w:r>
      <w:r w:rsidR="001E24E7">
        <w:rPr>
          <w:sz w:val="24"/>
          <w:szCs w:val="24"/>
        </w:rPr>
        <w:t>“</w:t>
      </w:r>
      <w:r w:rsidRPr="001E24E7">
        <w:rPr>
          <w:i/>
          <w:iCs/>
          <w:sz w:val="24"/>
          <w:szCs w:val="24"/>
        </w:rPr>
        <w:t>enterprise</w:t>
      </w:r>
      <w:r w:rsidRPr="00EB0BD1">
        <w:rPr>
          <w:sz w:val="24"/>
          <w:szCs w:val="24"/>
        </w:rPr>
        <w:t>," it encourages young people to critically consider their futures, aligning their personal goals with the evolving needs of society and the economy (Welsh Government, 2015).</w:t>
      </w:r>
    </w:p>
    <w:p w14:paraId="7F404491" w14:textId="4F1347C4" w:rsidR="00B43B4F" w:rsidRPr="00EB0BD1" w:rsidRDefault="008C2F0D" w:rsidP="003E73AC">
      <w:pPr>
        <w:spacing w:line="360" w:lineRule="auto"/>
        <w:jc w:val="both"/>
        <w:rPr>
          <w:sz w:val="24"/>
          <w:szCs w:val="24"/>
        </w:rPr>
      </w:pPr>
      <w:r w:rsidRPr="00EB0BD1">
        <w:rPr>
          <w:sz w:val="24"/>
          <w:szCs w:val="24"/>
        </w:rPr>
        <w:t xml:space="preserve">Wales’s educational reforms resonate with global trends in countries like Finland, Germany and Canada, which have gained recognition for their progressive approaches to </w:t>
      </w:r>
      <w:r w:rsidR="000D6F9B" w:rsidRPr="00EB0BD1">
        <w:rPr>
          <w:sz w:val="24"/>
          <w:szCs w:val="24"/>
        </w:rPr>
        <w:t>addressing</w:t>
      </w:r>
      <w:r w:rsidRPr="00EB0BD1">
        <w:rPr>
          <w:sz w:val="24"/>
          <w:szCs w:val="24"/>
        </w:rPr>
        <w:t xml:space="preserve"> career aspirations and aligning education with future societal needs (</w:t>
      </w:r>
      <w:r w:rsidR="00664923" w:rsidRPr="00EB0BD1">
        <w:rPr>
          <w:sz w:val="24"/>
          <w:szCs w:val="24"/>
          <w:lang w:val="en-US"/>
        </w:rPr>
        <w:t>Freeman et al., 2019</w:t>
      </w:r>
      <w:r w:rsidRPr="00EB0BD1">
        <w:rPr>
          <w:sz w:val="24"/>
          <w:szCs w:val="24"/>
        </w:rPr>
        <w:t>)</w:t>
      </w:r>
      <w:r w:rsidR="004E1C90" w:rsidRPr="00EB0BD1">
        <w:rPr>
          <w:sz w:val="24"/>
          <w:szCs w:val="24"/>
        </w:rPr>
        <w:t xml:space="preserve">. This topic will be </w:t>
      </w:r>
      <w:r w:rsidR="00B43B4F" w:rsidRPr="00EB0BD1">
        <w:rPr>
          <w:sz w:val="24"/>
          <w:szCs w:val="24"/>
        </w:rPr>
        <w:t>explored in greater detail later in the paper.</w:t>
      </w:r>
    </w:p>
    <w:p w14:paraId="35148ADE" w14:textId="14A3E7A1" w:rsidR="008C2F0D" w:rsidRPr="00EB0BD1" w:rsidRDefault="008901CE" w:rsidP="003E73AC">
      <w:pPr>
        <w:spacing w:line="360" w:lineRule="auto"/>
        <w:jc w:val="both"/>
        <w:rPr>
          <w:color w:val="FF0000"/>
          <w:sz w:val="24"/>
          <w:szCs w:val="24"/>
        </w:rPr>
      </w:pPr>
      <w:r w:rsidRPr="00EB0BD1">
        <w:rPr>
          <w:sz w:val="24"/>
          <w:szCs w:val="24"/>
        </w:rPr>
        <w:t xml:space="preserve">The approach taken in Wales aims to </w:t>
      </w:r>
      <w:r w:rsidR="00A12FC7">
        <w:rPr>
          <w:sz w:val="24"/>
          <w:szCs w:val="24"/>
        </w:rPr>
        <w:t>address</w:t>
      </w:r>
      <w:r w:rsidRPr="00EB0BD1">
        <w:rPr>
          <w:sz w:val="24"/>
          <w:szCs w:val="24"/>
        </w:rPr>
        <w:t xml:space="preserve"> aspirations by tackling the structural and practical obstacles faced by young people</w:t>
      </w:r>
      <w:r w:rsidR="00D11C84">
        <w:rPr>
          <w:sz w:val="24"/>
          <w:szCs w:val="24"/>
        </w:rPr>
        <w:t xml:space="preserve"> (Welsh Government, 2023b)</w:t>
      </w:r>
      <w:r w:rsidRPr="00EB0BD1">
        <w:rPr>
          <w:sz w:val="24"/>
          <w:szCs w:val="24"/>
        </w:rPr>
        <w:t>, in line with theories of social equity and economic mobility (</w:t>
      </w:r>
      <w:r w:rsidR="00977A7E" w:rsidRPr="00EB0BD1">
        <w:rPr>
          <w:sz w:val="24"/>
          <w:szCs w:val="24"/>
        </w:rPr>
        <w:t>Schoon et al., 2010</w:t>
      </w:r>
      <w:r w:rsidRPr="00EB0BD1">
        <w:rPr>
          <w:sz w:val="24"/>
          <w:szCs w:val="24"/>
        </w:rPr>
        <w:t xml:space="preserve">). However, the effectiveness of these policies is </w:t>
      </w:r>
      <w:r w:rsidR="00C0377D">
        <w:rPr>
          <w:sz w:val="24"/>
          <w:szCs w:val="24"/>
        </w:rPr>
        <w:t>contended</w:t>
      </w:r>
      <w:r w:rsidRPr="00EB0BD1">
        <w:rPr>
          <w:sz w:val="24"/>
          <w:szCs w:val="24"/>
        </w:rPr>
        <w:t xml:space="preserve">. </w:t>
      </w:r>
      <w:r w:rsidR="008C2F0D" w:rsidRPr="00EB0BD1">
        <w:rPr>
          <w:sz w:val="24"/>
          <w:szCs w:val="24"/>
        </w:rPr>
        <w:t>Critics argue that while Welsh Government prioritises young people's well-being and futures, implementation inconsistencies challenge their effectiveness in practice (</w:t>
      </w:r>
      <w:r w:rsidR="008C2F0D" w:rsidRPr="000250E6">
        <w:rPr>
          <w:sz w:val="24"/>
          <w:szCs w:val="24"/>
        </w:rPr>
        <w:t>Morris, 2021</w:t>
      </w:r>
      <w:r w:rsidR="008C2F0D" w:rsidRPr="00EB0BD1">
        <w:rPr>
          <w:sz w:val="24"/>
          <w:szCs w:val="24"/>
        </w:rPr>
        <w:t xml:space="preserve">). This ongoing debate underlines the need to critically evaluate how well </w:t>
      </w:r>
      <w:r w:rsidR="00A266A7" w:rsidRPr="00EB0BD1">
        <w:rPr>
          <w:sz w:val="24"/>
          <w:szCs w:val="24"/>
        </w:rPr>
        <w:t>teenage career-</w:t>
      </w:r>
      <w:r w:rsidR="008C2F0D" w:rsidRPr="00EB0BD1">
        <w:rPr>
          <w:sz w:val="24"/>
          <w:szCs w:val="24"/>
        </w:rPr>
        <w:t xml:space="preserve">aspirations are supported and translated into tangible outcomes across </w:t>
      </w:r>
      <w:r w:rsidR="00977A7E" w:rsidRPr="00EB0BD1">
        <w:rPr>
          <w:sz w:val="24"/>
          <w:szCs w:val="24"/>
        </w:rPr>
        <w:t>Wales.</w:t>
      </w:r>
    </w:p>
    <w:p w14:paraId="2AED7954" w14:textId="77777777" w:rsidR="00025701" w:rsidRDefault="00025701" w:rsidP="003E73AC">
      <w:pPr>
        <w:spacing w:line="360" w:lineRule="auto"/>
        <w:jc w:val="both"/>
      </w:pPr>
    </w:p>
    <w:p w14:paraId="2A0BCF64" w14:textId="3BFE6ECD" w:rsidR="00025701" w:rsidRPr="00A159E3" w:rsidRDefault="00025701" w:rsidP="001D4084">
      <w:pPr>
        <w:spacing w:line="360" w:lineRule="auto"/>
        <w:rPr>
          <w:b/>
          <w:bCs/>
          <w:sz w:val="32"/>
          <w:szCs w:val="32"/>
        </w:rPr>
      </w:pPr>
      <w:r w:rsidRPr="00A159E3">
        <w:rPr>
          <w:b/>
          <w:bCs/>
          <w:sz w:val="32"/>
          <w:szCs w:val="32"/>
        </w:rPr>
        <w:t>Literature Review</w:t>
      </w:r>
    </w:p>
    <w:p w14:paraId="036AC461" w14:textId="0F5E46BF" w:rsidR="001D4084" w:rsidRDefault="00EB0BD1" w:rsidP="003E73AC">
      <w:pPr>
        <w:spacing w:line="360" w:lineRule="auto"/>
        <w:jc w:val="both"/>
        <w:rPr>
          <w:sz w:val="24"/>
          <w:szCs w:val="24"/>
        </w:rPr>
      </w:pPr>
      <w:r w:rsidRPr="006C314C">
        <w:rPr>
          <w:sz w:val="24"/>
          <w:szCs w:val="24"/>
        </w:rPr>
        <w:t xml:space="preserve">This review examines how </w:t>
      </w:r>
      <w:r w:rsidR="000750AE">
        <w:rPr>
          <w:sz w:val="24"/>
          <w:szCs w:val="24"/>
        </w:rPr>
        <w:t>education</w:t>
      </w:r>
      <w:r w:rsidRPr="006C314C">
        <w:rPr>
          <w:sz w:val="24"/>
          <w:szCs w:val="24"/>
        </w:rPr>
        <w:t xml:space="preserve">, socio-economic barriers, and policy frameworks </w:t>
      </w:r>
      <w:r w:rsidR="000750AE">
        <w:rPr>
          <w:sz w:val="24"/>
          <w:szCs w:val="24"/>
        </w:rPr>
        <w:t>influence</w:t>
      </w:r>
      <w:r w:rsidRPr="006C314C">
        <w:rPr>
          <w:sz w:val="24"/>
          <w:szCs w:val="24"/>
        </w:rPr>
        <w:t xml:space="preserve"> teenage aspirations, alongside the role of </w:t>
      </w:r>
      <w:r w:rsidR="004F7D63" w:rsidRPr="006C314C">
        <w:rPr>
          <w:sz w:val="24"/>
          <w:szCs w:val="24"/>
        </w:rPr>
        <w:t>interventions and</w:t>
      </w:r>
      <w:r w:rsidRPr="006C314C">
        <w:rPr>
          <w:sz w:val="24"/>
          <w:szCs w:val="24"/>
        </w:rPr>
        <w:t xml:space="preserve"> career education</w:t>
      </w:r>
      <w:r w:rsidR="004F7D63" w:rsidRPr="006C314C">
        <w:rPr>
          <w:sz w:val="24"/>
          <w:szCs w:val="24"/>
        </w:rPr>
        <w:t>,</w:t>
      </w:r>
      <w:r w:rsidRPr="006C314C">
        <w:rPr>
          <w:sz w:val="24"/>
          <w:szCs w:val="24"/>
        </w:rPr>
        <w:t xml:space="preserve"> in bridging the gap between a</w:t>
      </w:r>
      <w:r w:rsidR="003C59EF">
        <w:rPr>
          <w:sz w:val="24"/>
          <w:szCs w:val="24"/>
        </w:rPr>
        <w:t>spiration</w:t>
      </w:r>
      <w:r w:rsidRPr="006C314C">
        <w:rPr>
          <w:sz w:val="24"/>
          <w:szCs w:val="24"/>
        </w:rPr>
        <w:t xml:space="preserve"> and attainment.</w:t>
      </w:r>
    </w:p>
    <w:p w14:paraId="710A1631" w14:textId="77777777" w:rsidR="00F47CB6" w:rsidRPr="00F47CB6" w:rsidRDefault="00F47CB6" w:rsidP="003E73AC">
      <w:pPr>
        <w:spacing w:line="360" w:lineRule="auto"/>
        <w:jc w:val="both"/>
        <w:rPr>
          <w:sz w:val="24"/>
          <w:szCs w:val="24"/>
        </w:rPr>
      </w:pPr>
    </w:p>
    <w:p w14:paraId="2F766A42" w14:textId="341E247E" w:rsidR="00EC5579" w:rsidRPr="00510666" w:rsidRDefault="00822836" w:rsidP="003E73AC">
      <w:pPr>
        <w:spacing w:line="360" w:lineRule="auto"/>
        <w:jc w:val="both"/>
        <w:rPr>
          <w:i/>
          <w:iCs/>
          <w:sz w:val="24"/>
          <w:szCs w:val="24"/>
        </w:rPr>
      </w:pPr>
      <w:r w:rsidRPr="00510666">
        <w:rPr>
          <w:i/>
          <w:iCs/>
          <w:sz w:val="24"/>
          <w:szCs w:val="24"/>
        </w:rPr>
        <w:t xml:space="preserve">Factors that shape </w:t>
      </w:r>
      <w:r w:rsidR="00EC5579" w:rsidRPr="00510666">
        <w:rPr>
          <w:i/>
          <w:iCs/>
          <w:sz w:val="24"/>
          <w:szCs w:val="24"/>
        </w:rPr>
        <w:t>Teenage Career Aspirations</w:t>
      </w:r>
    </w:p>
    <w:p w14:paraId="4E7C2F00" w14:textId="52D6E0E5" w:rsidR="000C692A" w:rsidRPr="000C692A" w:rsidRDefault="000C692A" w:rsidP="000C692A">
      <w:pPr>
        <w:spacing w:line="360" w:lineRule="auto"/>
        <w:jc w:val="both"/>
        <w:rPr>
          <w:sz w:val="24"/>
          <w:szCs w:val="24"/>
        </w:rPr>
      </w:pPr>
      <w:r w:rsidRPr="000C692A">
        <w:rPr>
          <w:sz w:val="24"/>
          <w:szCs w:val="24"/>
        </w:rPr>
        <w:t xml:space="preserve">Following the Coronavirus Disease 2019 (COVID-19) pandemic, schools in Wales face significant challenges, including increased absenteeism, rising school exclusions (Welsh Government, 2023a), and gaps in core skills (Welsh Government, 2023c). These factors are typically associated with diminished aspirations (Scott et al., 2013) and an increased risk of young people becoming NEET (Not in Education, Employment, or Training) (Estyn, 2023); a status linked to negative outcomes such as mental health issues (Vogel, 2015), crime (Staff and Kreager, 2008), and higher mortality rates (World Health Organisation, 2012).  While these </w:t>
      </w:r>
      <w:r w:rsidR="004820F2">
        <w:rPr>
          <w:sz w:val="24"/>
          <w:szCs w:val="24"/>
        </w:rPr>
        <w:t>issues</w:t>
      </w:r>
      <w:r w:rsidRPr="000C692A">
        <w:rPr>
          <w:sz w:val="24"/>
          <w:szCs w:val="24"/>
        </w:rPr>
        <w:t xml:space="preserve"> are not unique to Wales, their impact is particularly acute in a country where economic inactivity and regional inequalities exacerbate the </w:t>
      </w:r>
      <w:r w:rsidR="004820F2">
        <w:rPr>
          <w:sz w:val="24"/>
          <w:szCs w:val="24"/>
        </w:rPr>
        <w:t>challenges</w:t>
      </w:r>
      <w:r w:rsidRPr="000C692A">
        <w:rPr>
          <w:sz w:val="24"/>
          <w:szCs w:val="24"/>
        </w:rPr>
        <w:t xml:space="preserve"> faced by young people (MacBride-Stewart, 2021). </w:t>
      </w:r>
    </w:p>
    <w:p w14:paraId="486C895F" w14:textId="58105047" w:rsidR="00025701" w:rsidRPr="006C314C" w:rsidRDefault="00390CE1" w:rsidP="000C692A">
      <w:pPr>
        <w:spacing w:line="360" w:lineRule="auto"/>
        <w:jc w:val="both"/>
        <w:rPr>
          <w:sz w:val="24"/>
          <w:szCs w:val="24"/>
        </w:rPr>
      </w:pPr>
      <w:r w:rsidRPr="00390CE1">
        <w:rPr>
          <w:sz w:val="24"/>
          <w:szCs w:val="24"/>
        </w:rPr>
        <w:t xml:space="preserve">The concept of "aspiration" is multifaceted and complex, encompassing both </w:t>
      </w:r>
      <w:r w:rsidR="000A0A18">
        <w:rPr>
          <w:sz w:val="24"/>
          <w:szCs w:val="24"/>
        </w:rPr>
        <w:t>goal pursuit</w:t>
      </w:r>
      <w:r w:rsidRPr="00390CE1">
        <w:rPr>
          <w:sz w:val="24"/>
          <w:szCs w:val="24"/>
        </w:rPr>
        <w:t xml:space="preserve"> and the perceived feasibility of those goals (St Clair et al., 2011). </w:t>
      </w:r>
      <w:r w:rsidR="00025701" w:rsidRPr="006C314C">
        <w:rPr>
          <w:sz w:val="24"/>
          <w:szCs w:val="24"/>
        </w:rPr>
        <w:t xml:space="preserve">It is asserted that teenage </w:t>
      </w:r>
      <w:r w:rsidR="003B7216" w:rsidRPr="006C314C">
        <w:rPr>
          <w:sz w:val="24"/>
          <w:szCs w:val="24"/>
        </w:rPr>
        <w:t>career-</w:t>
      </w:r>
      <w:r w:rsidR="00025701" w:rsidRPr="006C314C">
        <w:rPr>
          <w:sz w:val="24"/>
          <w:szCs w:val="24"/>
        </w:rPr>
        <w:t xml:space="preserve">aspirations are shaped by a complex interplay of personal, educational, and </w:t>
      </w:r>
      <w:r w:rsidR="003B7216" w:rsidRPr="006C314C">
        <w:rPr>
          <w:sz w:val="24"/>
          <w:szCs w:val="24"/>
        </w:rPr>
        <w:t>s</w:t>
      </w:r>
      <w:r w:rsidR="00025701" w:rsidRPr="006C314C">
        <w:rPr>
          <w:sz w:val="24"/>
          <w:szCs w:val="24"/>
        </w:rPr>
        <w:t>ocietal factors (</w:t>
      </w:r>
      <w:r w:rsidR="006D2A72" w:rsidRPr="00FB7957">
        <w:rPr>
          <w:sz w:val="24"/>
          <w:szCs w:val="24"/>
        </w:rPr>
        <w:t>Scott, et al.,</w:t>
      </w:r>
      <w:r w:rsidR="00FB7957" w:rsidRPr="00FB7957">
        <w:rPr>
          <w:sz w:val="24"/>
          <w:szCs w:val="24"/>
        </w:rPr>
        <w:t xml:space="preserve"> 201</w:t>
      </w:r>
      <w:r w:rsidR="00C44604">
        <w:rPr>
          <w:sz w:val="24"/>
          <w:szCs w:val="24"/>
        </w:rPr>
        <w:t>3</w:t>
      </w:r>
      <w:r w:rsidR="00025701" w:rsidRPr="006C314C">
        <w:rPr>
          <w:sz w:val="24"/>
          <w:szCs w:val="24"/>
        </w:rPr>
        <w:t>), forming as early as pre-adolescence, when young people begin to understand the world of work and its social context (Vondracek et al., 20</w:t>
      </w:r>
      <w:r w:rsidR="00BE6D4F" w:rsidRPr="006C314C">
        <w:rPr>
          <w:sz w:val="24"/>
          <w:szCs w:val="24"/>
        </w:rPr>
        <w:t>1</w:t>
      </w:r>
      <w:r w:rsidR="00025701" w:rsidRPr="006C314C">
        <w:rPr>
          <w:sz w:val="24"/>
          <w:szCs w:val="24"/>
        </w:rPr>
        <w:t>9). However, it is also proposed that aspirations are fluid and likely to evolve during adolescence (Schoon, et al., 201</w:t>
      </w:r>
      <w:r w:rsidR="00BE6D4F" w:rsidRPr="006C314C">
        <w:rPr>
          <w:sz w:val="24"/>
          <w:szCs w:val="24"/>
        </w:rPr>
        <w:t>0</w:t>
      </w:r>
      <w:r w:rsidR="00025701" w:rsidRPr="006C314C">
        <w:rPr>
          <w:sz w:val="24"/>
          <w:szCs w:val="24"/>
        </w:rPr>
        <w:t xml:space="preserve">), and young people’s educational experiences can play a pivotal role in shaping and redefining </w:t>
      </w:r>
      <w:r w:rsidR="003B7216" w:rsidRPr="006C314C">
        <w:rPr>
          <w:sz w:val="24"/>
          <w:szCs w:val="24"/>
        </w:rPr>
        <w:t xml:space="preserve">their </w:t>
      </w:r>
      <w:r w:rsidR="00025701" w:rsidRPr="006C314C">
        <w:rPr>
          <w:sz w:val="24"/>
          <w:szCs w:val="24"/>
        </w:rPr>
        <w:t>aspirations over time (</w:t>
      </w:r>
      <w:r w:rsidR="00983A17">
        <w:rPr>
          <w:sz w:val="24"/>
          <w:szCs w:val="24"/>
        </w:rPr>
        <w:t>Hughes et al., 2016</w:t>
      </w:r>
      <w:r w:rsidR="00025701" w:rsidRPr="006C314C">
        <w:rPr>
          <w:sz w:val="24"/>
          <w:szCs w:val="24"/>
        </w:rPr>
        <w:t xml:space="preserve">). </w:t>
      </w:r>
    </w:p>
    <w:p w14:paraId="06DECAB8" w14:textId="204C90D8" w:rsidR="00025701" w:rsidRPr="006C314C" w:rsidRDefault="00025701" w:rsidP="003E73AC">
      <w:pPr>
        <w:spacing w:line="360" w:lineRule="auto"/>
        <w:jc w:val="both"/>
        <w:rPr>
          <w:color w:val="FF0000"/>
          <w:sz w:val="24"/>
          <w:szCs w:val="24"/>
        </w:rPr>
      </w:pPr>
      <w:r w:rsidRPr="006C314C">
        <w:rPr>
          <w:sz w:val="24"/>
          <w:szCs w:val="24"/>
        </w:rPr>
        <w:t xml:space="preserve">Education has been viewed as both a catalyst and a barrier in aspiration formation and realisation. On one hand, </w:t>
      </w:r>
      <w:r w:rsidR="00F00B3E" w:rsidRPr="006C314C">
        <w:rPr>
          <w:sz w:val="24"/>
          <w:szCs w:val="24"/>
        </w:rPr>
        <w:t xml:space="preserve">it is maintained that </w:t>
      </w:r>
      <w:r w:rsidRPr="006C314C">
        <w:rPr>
          <w:sz w:val="24"/>
          <w:szCs w:val="24"/>
        </w:rPr>
        <w:t xml:space="preserve">schools play a </w:t>
      </w:r>
      <w:r w:rsidR="0004434A" w:rsidRPr="006C314C">
        <w:rPr>
          <w:sz w:val="24"/>
          <w:szCs w:val="24"/>
        </w:rPr>
        <w:t>crucial</w:t>
      </w:r>
      <w:r w:rsidRPr="006C314C">
        <w:rPr>
          <w:sz w:val="24"/>
          <w:szCs w:val="24"/>
        </w:rPr>
        <w:t xml:space="preserve"> role in bridging the gap between aspirations and attainability, offering pathways through curriculum design, </w:t>
      </w:r>
      <w:r w:rsidRPr="006C314C">
        <w:rPr>
          <w:sz w:val="24"/>
          <w:szCs w:val="24"/>
        </w:rPr>
        <w:lastRenderedPageBreak/>
        <w:t>career guidance, and exposure to role models that shape young people's opportunities and choices (</w:t>
      </w:r>
      <w:r w:rsidR="00F00B3E" w:rsidRPr="006C314C">
        <w:rPr>
          <w:sz w:val="24"/>
          <w:szCs w:val="24"/>
        </w:rPr>
        <w:t>Hughes</w:t>
      </w:r>
      <w:r w:rsidRPr="006C314C">
        <w:rPr>
          <w:sz w:val="24"/>
          <w:szCs w:val="24"/>
        </w:rPr>
        <w:t xml:space="preserve"> et al., 201</w:t>
      </w:r>
      <w:r w:rsidR="00F00B3E" w:rsidRPr="006C314C">
        <w:rPr>
          <w:sz w:val="24"/>
          <w:szCs w:val="24"/>
        </w:rPr>
        <w:t>6</w:t>
      </w:r>
      <w:r w:rsidRPr="006C314C">
        <w:rPr>
          <w:sz w:val="24"/>
          <w:szCs w:val="24"/>
        </w:rPr>
        <w:t>).</w:t>
      </w:r>
      <w:r w:rsidRPr="006C314C">
        <w:rPr>
          <w:color w:val="FF0000"/>
          <w:sz w:val="24"/>
          <w:szCs w:val="24"/>
        </w:rPr>
        <w:t xml:space="preserve"> </w:t>
      </w:r>
      <w:r w:rsidRPr="006C314C">
        <w:rPr>
          <w:sz w:val="24"/>
          <w:szCs w:val="24"/>
        </w:rPr>
        <w:t xml:space="preserve">On the other hand, critics argue that education systems worldwide often fall short in equipping students with the skills and knowledge needed to pursue meaningful and fulfilling careers (Damon, 2009). </w:t>
      </w:r>
    </w:p>
    <w:p w14:paraId="2D606412" w14:textId="3EA49D0C" w:rsidR="00EC5579" w:rsidRDefault="008E1532" w:rsidP="003E73AC">
      <w:pPr>
        <w:spacing w:line="360" w:lineRule="auto"/>
        <w:jc w:val="both"/>
        <w:rPr>
          <w:sz w:val="24"/>
          <w:szCs w:val="24"/>
        </w:rPr>
      </w:pPr>
      <w:r w:rsidRPr="006C314C">
        <w:rPr>
          <w:sz w:val="24"/>
          <w:szCs w:val="24"/>
        </w:rPr>
        <w:t>Furthermore, s</w:t>
      </w:r>
      <w:r w:rsidR="00025701" w:rsidRPr="006C314C">
        <w:rPr>
          <w:sz w:val="24"/>
          <w:szCs w:val="24"/>
        </w:rPr>
        <w:t>everal barriers to aspiration realisation have been identified, including socio-economic disparities, unequal access to information about academic pathways, and biases influenced by social stereotypes (Guy</w:t>
      </w:r>
      <w:r w:rsidR="00E86139" w:rsidRPr="006C314C">
        <w:rPr>
          <w:sz w:val="24"/>
          <w:szCs w:val="24"/>
        </w:rPr>
        <w:t>o</w:t>
      </w:r>
      <w:r w:rsidR="00025701" w:rsidRPr="006C314C">
        <w:rPr>
          <w:sz w:val="24"/>
          <w:szCs w:val="24"/>
        </w:rPr>
        <w:t>n et al., 20</w:t>
      </w:r>
      <w:r w:rsidR="00E86139" w:rsidRPr="006C314C">
        <w:rPr>
          <w:sz w:val="24"/>
          <w:szCs w:val="24"/>
        </w:rPr>
        <w:t>21</w:t>
      </w:r>
      <w:r w:rsidR="00025701" w:rsidRPr="006C314C">
        <w:rPr>
          <w:sz w:val="24"/>
          <w:szCs w:val="24"/>
        </w:rPr>
        <w:t xml:space="preserve">). </w:t>
      </w:r>
      <w:r w:rsidR="008423F1">
        <w:rPr>
          <w:sz w:val="24"/>
          <w:szCs w:val="24"/>
        </w:rPr>
        <w:t>It is proposed that these</w:t>
      </w:r>
      <w:r w:rsidR="00025701" w:rsidRPr="006C314C">
        <w:rPr>
          <w:sz w:val="24"/>
          <w:szCs w:val="24"/>
        </w:rPr>
        <w:t xml:space="preserve"> </w:t>
      </w:r>
      <w:r w:rsidR="00DE64F2">
        <w:rPr>
          <w:sz w:val="24"/>
          <w:szCs w:val="24"/>
        </w:rPr>
        <w:t>factors</w:t>
      </w:r>
      <w:r w:rsidR="00025701" w:rsidRPr="006C314C">
        <w:rPr>
          <w:sz w:val="24"/>
          <w:szCs w:val="24"/>
        </w:rPr>
        <w:t xml:space="preserve"> </w:t>
      </w:r>
      <w:r w:rsidR="008423F1">
        <w:rPr>
          <w:sz w:val="24"/>
          <w:szCs w:val="24"/>
        </w:rPr>
        <w:t>can</w:t>
      </w:r>
      <w:r w:rsidR="00025701" w:rsidRPr="006C314C">
        <w:rPr>
          <w:sz w:val="24"/>
          <w:szCs w:val="24"/>
        </w:rPr>
        <w:t xml:space="preserve"> result in </w:t>
      </w:r>
      <w:r w:rsidR="00025701" w:rsidRPr="00624EFF">
        <w:rPr>
          <w:i/>
          <w:iCs/>
          <w:sz w:val="24"/>
          <w:szCs w:val="24"/>
        </w:rPr>
        <w:t xml:space="preserve">eroded </w:t>
      </w:r>
      <w:r w:rsidR="00025701" w:rsidRPr="006C314C">
        <w:rPr>
          <w:sz w:val="24"/>
          <w:szCs w:val="24"/>
        </w:rPr>
        <w:t>aspirations (</w:t>
      </w:r>
      <w:r w:rsidR="008423F1" w:rsidRPr="008423F1">
        <w:rPr>
          <w:sz w:val="24"/>
          <w:szCs w:val="24"/>
        </w:rPr>
        <w:t>Patton</w:t>
      </w:r>
      <w:r w:rsidR="008423F1">
        <w:rPr>
          <w:sz w:val="24"/>
          <w:szCs w:val="24"/>
        </w:rPr>
        <w:t xml:space="preserve">, </w:t>
      </w:r>
      <w:r w:rsidR="00E86139" w:rsidRPr="006C314C">
        <w:rPr>
          <w:sz w:val="24"/>
          <w:szCs w:val="24"/>
        </w:rPr>
        <w:t>2011</w:t>
      </w:r>
      <w:r w:rsidR="00025701" w:rsidRPr="006C314C">
        <w:rPr>
          <w:sz w:val="24"/>
          <w:szCs w:val="24"/>
        </w:rPr>
        <w:t>)</w:t>
      </w:r>
      <w:r w:rsidR="008423F1">
        <w:rPr>
          <w:sz w:val="24"/>
          <w:szCs w:val="24"/>
        </w:rPr>
        <w:t xml:space="preserve">, and therefore, </w:t>
      </w:r>
      <w:r w:rsidR="00025701" w:rsidRPr="006C314C">
        <w:rPr>
          <w:sz w:val="24"/>
          <w:szCs w:val="24"/>
        </w:rPr>
        <w:t>it is important not to assume that the choices young people make are true reflections of the aspirations they hold</w:t>
      </w:r>
      <w:r w:rsidR="00E86139" w:rsidRPr="006C314C">
        <w:rPr>
          <w:sz w:val="24"/>
          <w:szCs w:val="24"/>
        </w:rPr>
        <w:t xml:space="preserve"> </w:t>
      </w:r>
      <w:r w:rsidR="00025701" w:rsidRPr="006C314C">
        <w:rPr>
          <w:sz w:val="24"/>
          <w:szCs w:val="24"/>
        </w:rPr>
        <w:t>(Carter-Wall</w:t>
      </w:r>
      <w:r w:rsidR="00AF499B" w:rsidRPr="006C314C">
        <w:rPr>
          <w:sz w:val="24"/>
          <w:szCs w:val="24"/>
        </w:rPr>
        <w:t xml:space="preserve">, et al., </w:t>
      </w:r>
      <w:r w:rsidR="00025701" w:rsidRPr="006C314C">
        <w:rPr>
          <w:sz w:val="24"/>
          <w:szCs w:val="24"/>
        </w:rPr>
        <w:t xml:space="preserve">2012). </w:t>
      </w:r>
      <w:r w:rsidR="003B7216" w:rsidRPr="006C314C">
        <w:rPr>
          <w:sz w:val="24"/>
          <w:szCs w:val="24"/>
        </w:rPr>
        <w:t xml:space="preserve">It is </w:t>
      </w:r>
      <w:r w:rsidR="008423F1">
        <w:rPr>
          <w:sz w:val="24"/>
          <w:szCs w:val="24"/>
        </w:rPr>
        <w:t>further</w:t>
      </w:r>
      <w:r w:rsidR="003B7216" w:rsidRPr="006C314C">
        <w:rPr>
          <w:sz w:val="24"/>
          <w:szCs w:val="24"/>
        </w:rPr>
        <w:t xml:space="preserve"> </w:t>
      </w:r>
      <w:r w:rsidR="008423F1">
        <w:rPr>
          <w:sz w:val="24"/>
          <w:szCs w:val="24"/>
        </w:rPr>
        <w:t>maintained</w:t>
      </w:r>
      <w:r w:rsidR="003B7216" w:rsidRPr="006C314C">
        <w:rPr>
          <w:sz w:val="24"/>
          <w:szCs w:val="24"/>
        </w:rPr>
        <w:t xml:space="preserve"> that d</w:t>
      </w:r>
      <w:r w:rsidR="00025701" w:rsidRPr="006C314C">
        <w:rPr>
          <w:sz w:val="24"/>
          <w:szCs w:val="24"/>
        </w:rPr>
        <w:t>iscrepancies between career aspirations and job market realities pose significant challenges</w:t>
      </w:r>
      <w:r w:rsidR="00AF499B" w:rsidRPr="006C314C">
        <w:rPr>
          <w:sz w:val="24"/>
          <w:szCs w:val="24"/>
        </w:rPr>
        <w:t xml:space="preserve">, </w:t>
      </w:r>
      <w:r w:rsidR="00025701" w:rsidRPr="006C314C">
        <w:rPr>
          <w:sz w:val="24"/>
          <w:szCs w:val="24"/>
        </w:rPr>
        <w:t xml:space="preserve">especially for disadvantaged </w:t>
      </w:r>
      <w:r w:rsidR="003B7216" w:rsidRPr="006C314C">
        <w:rPr>
          <w:sz w:val="24"/>
          <w:szCs w:val="24"/>
        </w:rPr>
        <w:t>youth</w:t>
      </w:r>
      <w:r w:rsidR="00025701" w:rsidRPr="006C314C">
        <w:rPr>
          <w:sz w:val="24"/>
          <w:szCs w:val="24"/>
        </w:rPr>
        <w:t xml:space="preserve"> (</w:t>
      </w:r>
      <w:r w:rsidR="00AF499B" w:rsidRPr="006C314C">
        <w:rPr>
          <w:sz w:val="24"/>
          <w:szCs w:val="24"/>
        </w:rPr>
        <w:t>Hoff, et al., 2024</w:t>
      </w:r>
      <w:r w:rsidR="00025701" w:rsidRPr="006C314C">
        <w:rPr>
          <w:sz w:val="24"/>
          <w:szCs w:val="24"/>
        </w:rPr>
        <w:t>).</w:t>
      </w:r>
      <w:r w:rsidR="00FA2D9A" w:rsidRPr="006C314C">
        <w:rPr>
          <w:sz w:val="24"/>
          <w:szCs w:val="24"/>
        </w:rPr>
        <w:t xml:space="preserve"> This misalignment </w:t>
      </w:r>
      <w:r w:rsidR="008423F1">
        <w:rPr>
          <w:sz w:val="24"/>
          <w:szCs w:val="24"/>
        </w:rPr>
        <w:t>is often</w:t>
      </w:r>
      <w:r w:rsidR="00053F30" w:rsidRPr="006C314C">
        <w:rPr>
          <w:sz w:val="24"/>
          <w:szCs w:val="24"/>
        </w:rPr>
        <w:t xml:space="preserve"> reinforced by representations of the labour market in television (Mendick et al., 2009) and social media (Ojoyeyi, 2022).</w:t>
      </w:r>
    </w:p>
    <w:p w14:paraId="39D96C8B" w14:textId="77777777" w:rsidR="001D4084" w:rsidRPr="006C314C" w:rsidRDefault="001D4084" w:rsidP="003E73AC">
      <w:pPr>
        <w:spacing w:line="360" w:lineRule="auto"/>
        <w:jc w:val="both"/>
        <w:rPr>
          <w:sz w:val="24"/>
          <w:szCs w:val="24"/>
        </w:rPr>
      </w:pPr>
    </w:p>
    <w:p w14:paraId="2245BADB" w14:textId="4BCC015D" w:rsidR="00EC5579" w:rsidRPr="00510666" w:rsidRDefault="00EC5579" w:rsidP="003E73AC">
      <w:pPr>
        <w:spacing w:line="360" w:lineRule="auto"/>
        <w:jc w:val="both"/>
        <w:rPr>
          <w:i/>
          <w:iCs/>
          <w:sz w:val="24"/>
          <w:szCs w:val="24"/>
        </w:rPr>
      </w:pPr>
      <w:r w:rsidRPr="00510666">
        <w:rPr>
          <w:i/>
          <w:iCs/>
          <w:sz w:val="24"/>
          <w:szCs w:val="24"/>
        </w:rPr>
        <w:t>Policy Frameworks and Educational Interventions</w:t>
      </w:r>
    </w:p>
    <w:p w14:paraId="65BC84A1" w14:textId="333C0B0D" w:rsidR="00734194" w:rsidRPr="006C314C" w:rsidRDefault="00734194" w:rsidP="003E73AC">
      <w:pPr>
        <w:spacing w:line="360" w:lineRule="auto"/>
        <w:jc w:val="both"/>
        <w:rPr>
          <w:sz w:val="24"/>
          <w:szCs w:val="24"/>
        </w:rPr>
      </w:pPr>
      <w:r w:rsidRPr="006C314C">
        <w:rPr>
          <w:sz w:val="24"/>
          <w:szCs w:val="24"/>
        </w:rPr>
        <w:t xml:space="preserve">According to Webster-Straton, et al., (2008), </w:t>
      </w:r>
      <w:r w:rsidR="00F04791" w:rsidRPr="006C314C">
        <w:rPr>
          <w:sz w:val="24"/>
          <w:szCs w:val="24"/>
        </w:rPr>
        <w:t xml:space="preserve">policies concerning youth aspirations are generally shaped by one of two frameworks: the deficit model or the growth-oriented ‘asset’ model. </w:t>
      </w:r>
      <w:r w:rsidRPr="006C314C">
        <w:rPr>
          <w:sz w:val="24"/>
          <w:szCs w:val="24"/>
        </w:rPr>
        <w:t>The deficit model views disadvantaged youth as lacking motivation toward career goals, leading to well-meaning but often ineffective interventions (</w:t>
      </w:r>
      <w:r w:rsidR="003F00F3" w:rsidRPr="006C314C">
        <w:rPr>
          <w:sz w:val="24"/>
          <w:szCs w:val="24"/>
        </w:rPr>
        <w:t>Webster-Straton, et al., 2008</w:t>
      </w:r>
      <w:r w:rsidRPr="006C314C">
        <w:rPr>
          <w:sz w:val="24"/>
          <w:szCs w:val="24"/>
        </w:rPr>
        <w:t>). In contrast, the growth model asserts that young people are aspirational but may face barriers to achieving their goals</w:t>
      </w:r>
      <w:r w:rsidR="0059122A">
        <w:rPr>
          <w:sz w:val="24"/>
          <w:szCs w:val="24"/>
        </w:rPr>
        <w:t xml:space="preserve">. </w:t>
      </w:r>
      <w:r w:rsidRPr="006C314C">
        <w:rPr>
          <w:sz w:val="24"/>
          <w:szCs w:val="24"/>
        </w:rPr>
        <w:t>Interventions guided by this perspective focus on breaking down these barriers and empowering young people to see their aspirations as attainable (</w:t>
      </w:r>
      <w:r w:rsidR="0059122A" w:rsidRPr="0059122A">
        <w:rPr>
          <w:sz w:val="24"/>
          <w:szCs w:val="24"/>
        </w:rPr>
        <w:t>Patton, 2011</w:t>
      </w:r>
      <w:r w:rsidRPr="006C314C">
        <w:rPr>
          <w:sz w:val="24"/>
          <w:szCs w:val="24"/>
        </w:rPr>
        <w:t>).</w:t>
      </w:r>
    </w:p>
    <w:p w14:paraId="0C38EFAE" w14:textId="0879D141" w:rsidR="00734194" w:rsidRPr="006C314C" w:rsidRDefault="00E072C1" w:rsidP="003E73AC">
      <w:pPr>
        <w:spacing w:line="360" w:lineRule="auto"/>
        <w:jc w:val="both"/>
        <w:rPr>
          <w:sz w:val="24"/>
          <w:szCs w:val="24"/>
        </w:rPr>
      </w:pPr>
      <w:r w:rsidRPr="006C314C">
        <w:rPr>
          <w:sz w:val="24"/>
          <w:szCs w:val="24"/>
        </w:rPr>
        <w:t xml:space="preserve">It is </w:t>
      </w:r>
      <w:r w:rsidR="00542889">
        <w:rPr>
          <w:sz w:val="24"/>
          <w:szCs w:val="24"/>
        </w:rPr>
        <w:t>proposed</w:t>
      </w:r>
      <w:r w:rsidRPr="006C314C">
        <w:rPr>
          <w:sz w:val="24"/>
          <w:szCs w:val="24"/>
        </w:rPr>
        <w:t xml:space="preserve"> that </w:t>
      </w:r>
      <w:r w:rsidR="00977C5B">
        <w:rPr>
          <w:sz w:val="24"/>
          <w:szCs w:val="24"/>
        </w:rPr>
        <w:t xml:space="preserve">systematic </w:t>
      </w:r>
      <w:r w:rsidRPr="006C314C">
        <w:rPr>
          <w:sz w:val="24"/>
          <w:szCs w:val="24"/>
        </w:rPr>
        <w:t xml:space="preserve">career education enhances access to career learning opportunities and has a positive impact on </w:t>
      </w:r>
      <w:r w:rsidR="000603CB">
        <w:rPr>
          <w:sz w:val="24"/>
          <w:szCs w:val="24"/>
        </w:rPr>
        <w:t>learners’</w:t>
      </w:r>
      <w:r w:rsidR="00542889">
        <w:rPr>
          <w:sz w:val="24"/>
          <w:szCs w:val="24"/>
        </w:rPr>
        <w:t xml:space="preserve"> </w:t>
      </w:r>
      <w:r w:rsidRPr="006C314C">
        <w:rPr>
          <w:sz w:val="24"/>
          <w:szCs w:val="24"/>
        </w:rPr>
        <w:t xml:space="preserve">career development and skills (Kettunen, 2024). This includes improving their ability to navigate both the education system and the labour market (St. Clair, et al., 2011) and facilitating smoother transitions from school to employment (Hughes et al., 2016). </w:t>
      </w:r>
      <w:r w:rsidR="00977C5B" w:rsidRPr="00977C5B">
        <w:rPr>
          <w:sz w:val="24"/>
          <w:szCs w:val="24"/>
        </w:rPr>
        <w:t xml:space="preserve">Studies show that early career education broadens career goals and aspirations, helping to </w:t>
      </w:r>
      <w:r w:rsidR="00977C5B">
        <w:rPr>
          <w:sz w:val="24"/>
          <w:szCs w:val="24"/>
        </w:rPr>
        <w:t>counter</w:t>
      </w:r>
      <w:r w:rsidR="00977C5B" w:rsidRPr="00977C5B">
        <w:rPr>
          <w:sz w:val="24"/>
          <w:szCs w:val="24"/>
        </w:rPr>
        <w:t xml:space="preserve"> societal and family </w:t>
      </w:r>
      <w:r w:rsidR="00977C5B" w:rsidRPr="00977C5B">
        <w:rPr>
          <w:sz w:val="24"/>
          <w:szCs w:val="24"/>
        </w:rPr>
        <w:lastRenderedPageBreak/>
        <w:t>pressures that may lead to premature narrowing of career choices (Guyon et al., 2021)</w:t>
      </w:r>
      <w:r w:rsidR="00977C5B">
        <w:rPr>
          <w:sz w:val="24"/>
          <w:szCs w:val="24"/>
        </w:rPr>
        <w:t xml:space="preserve">. </w:t>
      </w:r>
      <w:r w:rsidR="00977C5B" w:rsidRPr="00977C5B">
        <w:rPr>
          <w:sz w:val="24"/>
          <w:szCs w:val="24"/>
        </w:rPr>
        <w:t xml:space="preserve">Policies </w:t>
      </w:r>
      <w:r w:rsidR="001D4084">
        <w:rPr>
          <w:sz w:val="24"/>
          <w:szCs w:val="24"/>
        </w:rPr>
        <w:t>aimed at developing</w:t>
      </w:r>
      <w:r w:rsidR="00977C5B" w:rsidRPr="00977C5B">
        <w:rPr>
          <w:sz w:val="24"/>
          <w:szCs w:val="24"/>
        </w:rPr>
        <w:t xml:space="preserve"> resilience, independent learning, and critical thinking are considered </w:t>
      </w:r>
      <w:r w:rsidR="00977C5B">
        <w:rPr>
          <w:sz w:val="24"/>
          <w:szCs w:val="24"/>
        </w:rPr>
        <w:t>optimal</w:t>
      </w:r>
      <w:r w:rsidR="00977C5B" w:rsidRPr="00977C5B">
        <w:rPr>
          <w:sz w:val="24"/>
          <w:szCs w:val="24"/>
        </w:rPr>
        <w:t xml:space="preserve"> for preparing students for the complexities of life </w:t>
      </w:r>
      <w:r w:rsidR="00B15547" w:rsidRPr="006C314C">
        <w:rPr>
          <w:sz w:val="24"/>
          <w:szCs w:val="24"/>
        </w:rPr>
        <w:t xml:space="preserve">(Scott et al., 2013). </w:t>
      </w:r>
      <w:r w:rsidR="00977C5B">
        <w:rPr>
          <w:sz w:val="24"/>
          <w:szCs w:val="24"/>
        </w:rPr>
        <w:t>While</w:t>
      </w:r>
      <w:r w:rsidR="00734194" w:rsidRPr="006C314C">
        <w:rPr>
          <w:sz w:val="24"/>
          <w:szCs w:val="24"/>
        </w:rPr>
        <w:t xml:space="preserve"> programmes focusing on self-esteem and exposure to diverse role models have been identified as impactful</w:t>
      </w:r>
      <w:r w:rsidR="00B15547" w:rsidRPr="006C314C">
        <w:rPr>
          <w:sz w:val="24"/>
          <w:szCs w:val="24"/>
        </w:rPr>
        <w:t>, particularly</w:t>
      </w:r>
      <w:r w:rsidR="00734194" w:rsidRPr="006C314C">
        <w:rPr>
          <w:sz w:val="24"/>
          <w:szCs w:val="24"/>
        </w:rPr>
        <w:t xml:space="preserve"> for disadvantaged students (Chlosta et al., 2012).</w:t>
      </w:r>
      <w:r w:rsidRPr="006C314C">
        <w:rPr>
          <w:sz w:val="24"/>
          <w:szCs w:val="24"/>
        </w:rPr>
        <w:t xml:space="preserve"> </w:t>
      </w:r>
    </w:p>
    <w:p w14:paraId="122CAF92" w14:textId="09C02E45" w:rsidR="00B46D08" w:rsidRDefault="00734194" w:rsidP="003E73AC">
      <w:pPr>
        <w:spacing w:line="360" w:lineRule="auto"/>
        <w:jc w:val="both"/>
        <w:rPr>
          <w:sz w:val="24"/>
          <w:szCs w:val="24"/>
        </w:rPr>
      </w:pPr>
      <w:r w:rsidRPr="006C314C">
        <w:rPr>
          <w:sz w:val="24"/>
          <w:szCs w:val="24"/>
        </w:rPr>
        <w:t xml:space="preserve">The growing emphasis on employer engagement within curricula has </w:t>
      </w:r>
      <w:r w:rsidR="0051792E" w:rsidRPr="006C314C">
        <w:rPr>
          <w:sz w:val="24"/>
          <w:szCs w:val="24"/>
        </w:rPr>
        <w:t xml:space="preserve">also </w:t>
      </w:r>
      <w:r w:rsidRPr="006C314C">
        <w:rPr>
          <w:sz w:val="24"/>
          <w:szCs w:val="24"/>
        </w:rPr>
        <w:t xml:space="preserve">been viewed </w:t>
      </w:r>
      <w:r w:rsidR="00163FC5">
        <w:rPr>
          <w:sz w:val="24"/>
          <w:szCs w:val="24"/>
        </w:rPr>
        <w:t>positively</w:t>
      </w:r>
      <w:r w:rsidRPr="006C314C">
        <w:rPr>
          <w:sz w:val="24"/>
          <w:szCs w:val="24"/>
        </w:rPr>
        <w:t xml:space="preserve"> (Hughes et al., 2016), although it is warned that disparities in school resources could potentially hinder the equitable delivery of career-informed support (</w:t>
      </w:r>
      <w:r w:rsidR="00B44E0C" w:rsidRPr="006C314C">
        <w:rPr>
          <w:sz w:val="24"/>
          <w:szCs w:val="24"/>
        </w:rPr>
        <w:t>Power et al., 2020</w:t>
      </w:r>
      <w:r w:rsidRPr="006C314C">
        <w:rPr>
          <w:sz w:val="24"/>
          <w:szCs w:val="24"/>
        </w:rPr>
        <w:t xml:space="preserve">). </w:t>
      </w:r>
      <w:r w:rsidR="00163FC5">
        <w:rPr>
          <w:sz w:val="24"/>
          <w:szCs w:val="24"/>
        </w:rPr>
        <w:t>It</w:t>
      </w:r>
      <w:r w:rsidRPr="006C314C">
        <w:rPr>
          <w:sz w:val="24"/>
          <w:szCs w:val="24"/>
        </w:rPr>
        <w:t xml:space="preserve"> is </w:t>
      </w:r>
      <w:r w:rsidR="00163FC5">
        <w:rPr>
          <w:sz w:val="24"/>
          <w:szCs w:val="24"/>
        </w:rPr>
        <w:t>also contended</w:t>
      </w:r>
      <w:r w:rsidRPr="006C314C">
        <w:rPr>
          <w:sz w:val="24"/>
          <w:szCs w:val="24"/>
        </w:rPr>
        <w:t xml:space="preserve"> that, while personalised mentorship has potential to bridge the gap between aspiration and attainment (</w:t>
      </w:r>
      <w:r w:rsidR="001B15CA">
        <w:rPr>
          <w:sz w:val="24"/>
          <w:szCs w:val="24"/>
        </w:rPr>
        <w:t>Young, 2011</w:t>
      </w:r>
      <w:r w:rsidRPr="006C314C">
        <w:rPr>
          <w:sz w:val="24"/>
          <w:szCs w:val="24"/>
        </w:rPr>
        <w:t>), careers advice often fails to provide balanced guidance on all available pathways, including vocational routes and apprenticeships, potentially limiting access to opportunities for all students (</w:t>
      </w:r>
      <w:r w:rsidR="001B15CA">
        <w:rPr>
          <w:sz w:val="24"/>
          <w:szCs w:val="24"/>
        </w:rPr>
        <w:t>Hoff et al., 2024</w:t>
      </w:r>
      <w:r w:rsidRPr="006C314C">
        <w:rPr>
          <w:sz w:val="24"/>
          <w:szCs w:val="24"/>
        </w:rPr>
        <w:t>). To address these challenges, it is recommended that education systems expand “pathways,” offering alternative trajectories through secondary education that align with students’ diverse aspirations (</w:t>
      </w:r>
      <w:r w:rsidR="00A674A7">
        <w:rPr>
          <w:sz w:val="24"/>
          <w:szCs w:val="24"/>
        </w:rPr>
        <w:t>Hoff, et al.</w:t>
      </w:r>
      <w:r w:rsidR="003F00F3" w:rsidRPr="006C314C">
        <w:rPr>
          <w:sz w:val="24"/>
          <w:szCs w:val="24"/>
        </w:rPr>
        <w:t>, 2024</w:t>
      </w:r>
      <w:r w:rsidRPr="006C314C">
        <w:rPr>
          <w:sz w:val="24"/>
          <w:szCs w:val="24"/>
        </w:rPr>
        <w:t xml:space="preserve">). </w:t>
      </w:r>
    </w:p>
    <w:p w14:paraId="4B403D6D" w14:textId="77777777" w:rsidR="001D4084" w:rsidRPr="006C314C" w:rsidRDefault="001D4084" w:rsidP="003E73AC">
      <w:pPr>
        <w:spacing w:line="360" w:lineRule="auto"/>
        <w:jc w:val="both"/>
        <w:rPr>
          <w:sz w:val="24"/>
          <w:szCs w:val="24"/>
        </w:rPr>
      </w:pPr>
    </w:p>
    <w:p w14:paraId="306E6D5C" w14:textId="1D1D0047" w:rsidR="00705C87" w:rsidRPr="00510666" w:rsidRDefault="00EC5579" w:rsidP="003E73AC">
      <w:pPr>
        <w:spacing w:line="360" w:lineRule="auto"/>
        <w:jc w:val="both"/>
        <w:rPr>
          <w:i/>
          <w:iCs/>
          <w:sz w:val="24"/>
          <w:szCs w:val="24"/>
        </w:rPr>
      </w:pPr>
      <w:r w:rsidRPr="00510666">
        <w:rPr>
          <w:i/>
          <w:iCs/>
          <w:sz w:val="24"/>
          <w:szCs w:val="24"/>
        </w:rPr>
        <w:t>Policy Implementation</w:t>
      </w:r>
      <w:r w:rsidR="00705C87" w:rsidRPr="00510666">
        <w:rPr>
          <w:i/>
          <w:iCs/>
          <w:sz w:val="24"/>
          <w:szCs w:val="24"/>
        </w:rPr>
        <w:t xml:space="preserve"> and Realisation</w:t>
      </w:r>
      <w:r w:rsidR="00683B4F" w:rsidRPr="00510666">
        <w:rPr>
          <w:i/>
          <w:iCs/>
          <w:sz w:val="24"/>
          <w:szCs w:val="24"/>
        </w:rPr>
        <w:t xml:space="preserve"> </w:t>
      </w:r>
    </w:p>
    <w:p w14:paraId="5F387310" w14:textId="38CA9BF3" w:rsidR="00705C87" w:rsidRDefault="00705C87" w:rsidP="003E73AC">
      <w:pPr>
        <w:spacing w:line="360" w:lineRule="auto"/>
        <w:jc w:val="both"/>
        <w:rPr>
          <w:sz w:val="24"/>
          <w:szCs w:val="24"/>
        </w:rPr>
      </w:pPr>
      <w:r w:rsidRPr="001D4084">
        <w:rPr>
          <w:sz w:val="24"/>
          <w:szCs w:val="24"/>
        </w:rPr>
        <w:t>Ball (2021) notes several challenges and realities of educational policy implementation, suggesting that schools are often charged with balancing innovation with traditional practices.</w:t>
      </w:r>
      <w:r w:rsidRPr="00586C54">
        <w:rPr>
          <w:color w:val="FF0000"/>
          <w:sz w:val="24"/>
          <w:szCs w:val="24"/>
        </w:rPr>
        <w:t xml:space="preserve"> </w:t>
      </w:r>
      <w:r w:rsidRPr="00705C87">
        <w:rPr>
          <w:sz w:val="24"/>
          <w:szCs w:val="24"/>
        </w:rPr>
        <w:t xml:space="preserve">This creates conflicting expectations around social mobility, cohesion, and innovation (Ball, 2021). Darling-Hammond (1997) </w:t>
      </w:r>
      <w:r w:rsidR="00235D60">
        <w:rPr>
          <w:sz w:val="24"/>
          <w:szCs w:val="24"/>
        </w:rPr>
        <w:t>has suggested</w:t>
      </w:r>
      <w:r w:rsidRPr="00705C87">
        <w:rPr>
          <w:sz w:val="24"/>
          <w:szCs w:val="24"/>
        </w:rPr>
        <w:t xml:space="preserve"> that policies are often reinvented at different levels</w:t>
      </w:r>
      <w:r w:rsidR="00E64368">
        <w:rPr>
          <w:sz w:val="24"/>
          <w:szCs w:val="24"/>
        </w:rPr>
        <w:t xml:space="preserve"> of the system</w:t>
      </w:r>
      <w:r w:rsidRPr="00705C87">
        <w:rPr>
          <w:sz w:val="24"/>
          <w:szCs w:val="24"/>
        </w:rPr>
        <w:t xml:space="preserve">, </w:t>
      </w:r>
      <w:r w:rsidRPr="001D4084">
        <w:rPr>
          <w:sz w:val="24"/>
          <w:szCs w:val="24"/>
        </w:rPr>
        <w:t>which could lead to inconsistency</w:t>
      </w:r>
      <w:r w:rsidR="001D4084">
        <w:rPr>
          <w:sz w:val="24"/>
          <w:szCs w:val="24"/>
        </w:rPr>
        <w:t xml:space="preserve"> in local implementation</w:t>
      </w:r>
      <w:r w:rsidRPr="001D4084">
        <w:rPr>
          <w:sz w:val="24"/>
          <w:szCs w:val="24"/>
        </w:rPr>
        <w:t xml:space="preserve">. </w:t>
      </w:r>
      <w:r w:rsidR="001D4084" w:rsidRPr="001D4084">
        <w:rPr>
          <w:sz w:val="24"/>
          <w:szCs w:val="24"/>
        </w:rPr>
        <w:t>However, Mourshed et al. (2011) suggest that flexible policy implementation supports system reform by enabling schools to take ownership of their content and direction.</w:t>
      </w:r>
      <w:r w:rsidR="001D4084">
        <w:rPr>
          <w:sz w:val="24"/>
          <w:szCs w:val="24"/>
        </w:rPr>
        <w:t xml:space="preserve"> </w:t>
      </w:r>
      <w:r w:rsidR="003046F3">
        <w:rPr>
          <w:sz w:val="24"/>
          <w:szCs w:val="24"/>
        </w:rPr>
        <w:t>Furthermore</w:t>
      </w:r>
      <w:r>
        <w:rPr>
          <w:sz w:val="24"/>
          <w:szCs w:val="24"/>
        </w:rPr>
        <w:t>, it is argued that l</w:t>
      </w:r>
      <w:r w:rsidRPr="00705C87">
        <w:rPr>
          <w:sz w:val="24"/>
          <w:szCs w:val="24"/>
        </w:rPr>
        <w:t>earning from international models can support sustainable reform</w:t>
      </w:r>
      <w:r w:rsidR="007D6FF6">
        <w:rPr>
          <w:sz w:val="24"/>
          <w:szCs w:val="24"/>
        </w:rPr>
        <w:t xml:space="preserve"> </w:t>
      </w:r>
      <w:r w:rsidR="007D6FF6" w:rsidRPr="007D6FF6">
        <w:rPr>
          <w:sz w:val="24"/>
          <w:szCs w:val="24"/>
        </w:rPr>
        <w:t>(Kettunen, 2024)</w:t>
      </w:r>
      <w:r w:rsidRPr="00705C87">
        <w:rPr>
          <w:sz w:val="24"/>
          <w:szCs w:val="24"/>
        </w:rPr>
        <w:t xml:space="preserve">, </w:t>
      </w:r>
      <w:r>
        <w:rPr>
          <w:sz w:val="24"/>
          <w:szCs w:val="24"/>
        </w:rPr>
        <w:t>although</w:t>
      </w:r>
      <w:r w:rsidRPr="00705C87">
        <w:rPr>
          <w:sz w:val="24"/>
          <w:szCs w:val="24"/>
        </w:rPr>
        <w:t xml:space="preserve"> Fullan (2011) emphasi</w:t>
      </w:r>
      <w:r>
        <w:rPr>
          <w:sz w:val="24"/>
          <w:szCs w:val="24"/>
        </w:rPr>
        <w:t>s</w:t>
      </w:r>
      <w:r w:rsidRPr="00705C87">
        <w:rPr>
          <w:sz w:val="24"/>
          <w:szCs w:val="24"/>
        </w:rPr>
        <w:t xml:space="preserve">es the need to consider differences in context when applying these lessons. This highlights the need for context-sensitive approaches to policymaking </w:t>
      </w:r>
      <w:r w:rsidR="00A30FE1">
        <w:rPr>
          <w:sz w:val="24"/>
          <w:szCs w:val="24"/>
        </w:rPr>
        <w:t xml:space="preserve">and implementation </w:t>
      </w:r>
      <w:r w:rsidRPr="00705C87">
        <w:rPr>
          <w:sz w:val="24"/>
          <w:szCs w:val="24"/>
        </w:rPr>
        <w:t>(Mourshed et al., 2011).</w:t>
      </w:r>
    </w:p>
    <w:p w14:paraId="7FA2BAD9" w14:textId="77777777" w:rsidR="001D4084" w:rsidRPr="00705C87" w:rsidRDefault="001D4084" w:rsidP="003E73AC">
      <w:pPr>
        <w:spacing w:line="360" w:lineRule="auto"/>
        <w:jc w:val="both"/>
        <w:rPr>
          <w:b/>
          <w:bCs/>
          <w:sz w:val="24"/>
          <w:szCs w:val="24"/>
        </w:rPr>
      </w:pPr>
    </w:p>
    <w:p w14:paraId="4A9A24AD" w14:textId="0C2BF2BB" w:rsidR="00822836" w:rsidRPr="00510666" w:rsidRDefault="00822836" w:rsidP="003E73AC">
      <w:pPr>
        <w:spacing w:line="360" w:lineRule="auto"/>
        <w:rPr>
          <w:i/>
          <w:iCs/>
          <w:sz w:val="24"/>
          <w:szCs w:val="24"/>
        </w:rPr>
      </w:pPr>
      <w:r w:rsidRPr="00510666">
        <w:rPr>
          <w:i/>
          <w:iCs/>
          <w:sz w:val="24"/>
          <w:szCs w:val="24"/>
        </w:rPr>
        <w:t>The Role of Media</w:t>
      </w:r>
    </w:p>
    <w:p w14:paraId="3BDDE4AA" w14:textId="4B936265" w:rsidR="00822836" w:rsidRPr="006C314C" w:rsidRDefault="00822836" w:rsidP="003E73AC">
      <w:pPr>
        <w:spacing w:line="360" w:lineRule="auto"/>
        <w:jc w:val="both"/>
        <w:rPr>
          <w:sz w:val="24"/>
          <w:szCs w:val="24"/>
        </w:rPr>
      </w:pPr>
      <w:r w:rsidRPr="006C314C">
        <w:rPr>
          <w:sz w:val="24"/>
          <w:szCs w:val="24"/>
        </w:rPr>
        <w:t xml:space="preserve">The media </w:t>
      </w:r>
      <w:r w:rsidR="00272F85">
        <w:rPr>
          <w:sz w:val="24"/>
          <w:szCs w:val="24"/>
        </w:rPr>
        <w:t>is regarded as having a significant role</w:t>
      </w:r>
      <w:r w:rsidRPr="006C314C">
        <w:rPr>
          <w:sz w:val="24"/>
          <w:szCs w:val="24"/>
        </w:rPr>
        <w:t xml:space="preserve"> in policy </w:t>
      </w:r>
      <w:r w:rsidR="00705C87">
        <w:rPr>
          <w:sz w:val="24"/>
          <w:szCs w:val="24"/>
        </w:rPr>
        <w:t>realisation,</w:t>
      </w:r>
      <w:r w:rsidRPr="006C314C">
        <w:rPr>
          <w:sz w:val="24"/>
          <w:szCs w:val="24"/>
        </w:rPr>
        <w:t xml:space="preserve"> by shaping societal attitudes toward education and career aspirations (Moore, 2020). While media representations often emphasi</w:t>
      </w:r>
      <w:r w:rsidR="00272F85">
        <w:rPr>
          <w:sz w:val="24"/>
          <w:szCs w:val="24"/>
        </w:rPr>
        <w:t>s</w:t>
      </w:r>
      <w:r w:rsidRPr="006C314C">
        <w:rPr>
          <w:sz w:val="24"/>
          <w:szCs w:val="24"/>
        </w:rPr>
        <w:t xml:space="preserve">e challenges and inequalities, they also celebrate achievements, influencing young people's ambitions (Bernier, 2011). </w:t>
      </w:r>
      <w:r w:rsidR="002445AC">
        <w:rPr>
          <w:sz w:val="24"/>
          <w:szCs w:val="24"/>
        </w:rPr>
        <w:t xml:space="preserve">It is </w:t>
      </w:r>
      <w:r w:rsidR="00D52473">
        <w:rPr>
          <w:sz w:val="24"/>
          <w:szCs w:val="24"/>
        </w:rPr>
        <w:t>proposed</w:t>
      </w:r>
      <w:r w:rsidR="002445AC">
        <w:rPr>
          <w:sz w:val="24"/>
          <w:szCs w:val="24"/>
        </w:rPr>
        <w:t xml:space="preserve"> that c</w:t>
      </w:r>
      <w:r w:rsidRPr="006C314C">
        <w:rPr>
          <w:sz w:val="24"/>
          <w:szCs w:val="24"/>
        </w:rPr>
        <w:t>ollaborati</w:t>
      </w:r>
      <w:r w:rsidR="00D52473">
        <w:rPr>
          <w:sz w:val="24"/>
          <w:szCs w:val="24"/>
        </w:rPr>
        <w:t>on</w:t>
      </w:r>
      <w:r w:rsidRPr="006C314C">
        <w:rPr>
          <w:sz w:val="24"/>
          <w:szCs w:val="24"/>
        </w:rPr>
        <w:t xml:space="preserve"> </w:t>
      </w:r>
      <w:r w:rsidR="00D52473">
        <w:rPr>
          <w:sz w:val="24"/>
          <w:szCs w:val="24"/>
        </w:rPr>
        <w:t>between policymakers</w:t>
      </w:r>
      <w:r w:rsidR="00D52473">
        <w:rPr>
          <w:color w:val="FF0000"/>
          <w:sz w:val="24"/>
          <w:szCs w:val="24"/>
        </w:rPr>
        <w:t xml:space="preserve"> </w:t>
      </w:r>
      <w:r w:rsidR="00D52473" w:rsidRPr="00D52473">
        <w:rPr>
          <w:sz w:val="24"/>
          <w:szCs w:val="24"/>
        </w:rPr>
        <w:t>and</w:t>
      </w:r>
      <w:r w:rsidRPr="00D52473">
        <w:rPr>
          <w:sz w:val="24"/>
          <w:szCs w:val="24"/>
        </w:rPr>
        <w:t xml:space="preserve"> </w:t>
      </w:r>
      <w:r w:rsidRPr="006C314C">
        <w:rPr>
          <w:sz w:val="24"/>
          <w:szCs w:val="24"/>
        </w:rPr>
        <w:t>media</w:t>
      </w:r>
      <w:r w:rsidR="00272F85">
        <w:rPr>
          <w:sz w:val="24"/>
          <w:szCs w:val="24"/>
        </w:rPr>
        <w:t xml:space="preserve"> </w:t>
      </w:r>
      <w:r w:rsidR="00705C87">
        <w:rPr>
          <w:sz w:val="24"/>
          <w:szCs w:val="24"/>
        </w:rPr>
        <w:t>helps to</w:t>
      </w:r>
      <w:r w:rsidRPr="006C314C">
        <w:rPr>
          <w:sz w:val="24"/>
          <w:szCs w:val="24"/>
        </w:rPr>
        <w:t xml:space="preserve"> </w:t>
      </w:r>
      <w:r w:rsidR="00272F85">
        <w:rPr>
          <w:sz w:val="24"/>
          <w:szCs w:val="24"/>
        </w:rPr>
        <w:t>provide</w:t>
      </w:r>
      <w:r w:rsidRPr="006C314C">
        <w:rPr>
          <w:sz w:val="24"/>
          <w:szCs w:val="24"/>
        </w:rPr>
        <w:t xml:space="preserve"> balanced </w:t>
      </w:r>
      <w:r w:rsidR="00272F85">
        <w:rPr>
          <w:sz w:val="24"/>
          <w:szCs w:val="24"/>
        </w:rPr>
        <w:t>narrative</w:t>
      </w:r>
      <w:r w:rsidRPr="006C314C">
        <w:rPr>
          <w:sz w:val="24"/>
          <w:szCs w:val="24"/>
        </w:rPr>
        <w:t xml:space="preserve"> </w:t>
      </w:r>
      <w:r w:rsidR="00272F85">
        <w:rPr>
          <w:sz w:val="24"/>
          <w:szCs w:val="24"/>
        </w:rPr>
        <w:t xml:space="preserve">that </w:t>
      </w:r>
      <w:r w:rsidRPr="006C314C">
        <w:rPr>
          <w:sz w:val="24"/>
          <w:szCs w:val="24"/>
        </w:rPr>
        <w:t xml:space="preserve">can </w:t>
      </w:r>
      <w:r w:rsidR="00E44615" w:rsidRPr="006C314C">
        <w:rPr>
          <w:sz w:val="24"/>
          <w:szCs w:val="24"/>
        </w:rPr>
        <w:t>increase</w:t>
      </w:r>
      <w:r w:rsidRPr="006C314C">
        <w:rPr>
          <w:sz w:val="24"/>
          <w:szCs w:val="24"/>
        </w:rPr>
        <w:t xml:space="preserve"> policy impact, inspiring you</w:t>
      </w:r>
      <w:r w:rsidR="00705C87">
        <w:rPr>
          <w:sz w:val="24"/>
          <w:szCs w:val="24"/>
        </w:rPr>
        <w:t>ng people</w:t>
      </w:r>
      <w:r w:rsidRPr="006C314C">
        <w:rPr>
          <w:sz w:val="24"/>
          <w:szCs w:val="24"/>
        </w:rPr>
        <w:t xml:space="preserve"> while addressing structural barriers to their aspirations (</w:t>
      </w:r>
      <w:r w:rsidR="00022C70">
        <w:rPr>
          <w:sz w:val="24"/>
          <w:szCs w:val="24"/>
        </w:rPr>
        <w:t>Moore, 2020</w:t>
      </w:r>
      <w:r w:rsidRPr="006C314C">
        <w:rPr>
          <w:sz w:val="24"/>
          <w:szCs w:val="24"/>
        </w:rPr>
        <w:t>). Additionally, media campaigns can challenge stereotypes and promote awareness of diverse career pathways, including vocational and entrepreneurial options (</w:t>
      </w:r>
      <w:r w:rsidR="00270460">
        <w:rPr>
          <w:sz w:val="24"/>
          <w:szCs w:val="24"/>
        </w:rPr>
        <w:t>Hoff, et al., 2024</w:t>
      </w:r>
      <w:r w:rsidRPr="006C314C">
        <w:rPr>
          <w:sz w:val="24"/>
          <w:szCs w:val="24"/>
        </w:rPr>
        <w:t>).</w:t>
      </w:r>
    </w:p>
    <w:p w14:paraId="098A4EFE" w14:textId="77777777" w:rsidR="00173A90" w:rsidRPr="006C314C" w:rsidRDefault="00173A90" w:rsidP="003E73AC">
      <w:pPr>
        <w:spacing w:line="360" w:lineRule="auto"/>
        <w:jc w:val="both"/>
        <w:rPr>
          <w:sz w:val="24"/>
          <w:szCs w:val="24"/>
        </w:rPr>
      </w:pPr>
    </w:p>
    <w:p w14:paraId="676F3EEA" w14:textId="23649417" w:rsidR="00B902A5" w:rsidRPr="00A159E3" w:rsidRDefault="003B5FE2" w:rsidP="00220D54">
      <w:pPr>
        <w:spacing w:line="360" w:lineRule="auto"/>
        <w:rPr>
          <w:b/>
          <w:bCs/>
          <w:sz w:val="32"/>
          <w:szCs w:val="32"/>
        </w:rPr>
      </w:pPr>
      <w:r w:rsidRPr="00A159E3">
        <w:rPr>
          <w:b/>
          <w:bCs/>
          <w:sz w:val="32"/>
          <w:szCs w:val="32"/>
        </w:rPr>
        <w:t>Representation in Policy Documentation</w:t>
      </w:r>
    </w:p>
    <w:p w14:paraId="2017347D" w14:textId="5F3E98B5" w:rsidR="00DB3B04" w:rsidRDefault="00DB3B04" w:rsidP="003E73AC">
      <w:pPr>
        <w:spacing w:line="360" w:lineRule="auto"/>
        <w:jc w:val="both"/>
        <w:rPr>
          <w:sz w:val="24"/>
          <w:szCs w:val="24"/>
        </w:rPr>
      </w:pPr>
      <w:r w:rsidRPr="00BF2A8D">
        <w:rPr>
          <w:sz w:val="24"/>
          <w:szCs w:val="24"/>
        </w:rPr>
        <w:t>The Welsh Government’s vision is to create “</w:t>
      </w:r>
      <w:r w:rsidRPr="00BF2A8D">
        <w:rPr>
          <w:i/>
          <w:iCs/>
          <w:sz w:val="24"/>
          <w:szCs w:val="24"/>
        </w:rPr>
        <w:t>a truly excellent and equitable system, as a public and common good</w:t>
      </w:r>
      <w:r w:rsidRPr="00BF2A8D">
        <w:rPr>
          <w:sz w:val="24"/>
          <w:szCs w:val="24"/>
        </w:rPr>
        <w:t>” (Welsh Government, 2023</w:t>
      </w:r>
      <w:r w:rsidR="00FD1636" w:rsidRPr="00BF2A8D">
        <w:rPr>
          <w:sz w:val="24"/>
          <w:szCs w:val="24"/>
        </w:rPr>
        <w:t>b</w:t>
      </w:r>
      <w:r w:rsidRPr="00BF2A8D">
        <w:rPr>
          <w:sz w:val="24"/>
          <w:szCs w:val="24"/>
        </w:rPr>
        <w:t xml:space="preserve">, p.3). Its educational policies focus on removing barriers to learning and promoting greater engagement in post-compulsory education and </w:t>
      </w:r>
      <w:r w:rsidR="002A44B2" w:rsidRPr="00BF2A8D">
        <w:rPr>
          <w:sz w:val="24"/>
          <w:szCs w:val="24"/>
        </w:rPr>
        <w:t>training</w:t>
      </w:r>
      <w:r w:rsidR="002A44B2">
        <w:rPr>
          <w:sz w:val="24"/>
          <w:szCs w:val="24"/>
        </w:rPr>
        <w:t>,</w:t>
      </w:r>
      <w:r w:rsidRPr="00BF2A8D">
        <w:rPr>
          <w:sz w:val="24"/>
          <w:szCs w:val="24"/>
        </w:rPr>
        <w:t xml:space="preserve"> balancing individual aspirations with the social and economic needs of Wales (Welsh Government, 2015). </w:t>
      </w:r>
      <w:r w:rsidRPr="001D7D8B">
        <w:rPr>
          <w:sz w:val="24"/>
          <w:szCs w:val="24"/>
        </w:rPr>
        <w:t>However, the implementation of these policies presents both opportunities and challenges.</w:t>
      </w:r>
    </w:p>
    <w:p w14:paraId="4CB2ADD3" w14:textId="77777777" w:rsidR="001D7D8B" w:rsidRPr="00586C54" w:rsidRDefault="001D7D8B" w:rsidP="003E73AC">
      <w:pPr>
        <w:spacing w:line="360" w:lineRule="auto"/>
        <w:jc w:val="both"/>
        <w:rPr>
          <w:color w:val="FF0000"/>
          <w:sz w:val="24"/>
          <w:szCs w:val="24"/>
        </w:rPr>
      </w:pPr>
    </w:p>
    <w:p w14:paraId="35455835" w14:textId="6C8607DE" w:rsidR="00DB3B04" w:rsidRPr="00510666" w:rsidRDefault="00DB3B04" w:rsidP="003E73AC">
      <w:pPr>
        <w:spacing w:line="360" w:lineRule="auto"/>
        <w:rPr>
          <w:i/>
          <w:iCs/>
          <w:sz w:val="24"/>
          <w:szCs w:val="24"/>
        </w:rPr>
      </w:pPr>
      <w:r w:rsidRPr="00510666">
        <w:rPr>
          <w:i/>
          <w:iCs/>
          <w:sz w:val="24"/>
          <w:szCs w:val="24"/>
        </w:rPr>
        <w:t xml:space="preserve">Policy Provisions and </w:t>
      </w:r>
      <w:r w:rsidR="009F710E" w:rsidRPr="00510666">
        <w:rPr>
          <w:i/>
          <w:iCs/>
          <w:sz w:val="24"/>
          <w:szCs w:val="24"/>
        </w:rPr>
        <w:t>Frameworks</w:t>
      </w:r>
    </w:p>
    <w:p w14:paraId="4055B6F4" w14:textId="1B97ACA8" w:rsidR="00DB3B04" w:rsidRPr="00BF2A8D" w:rsidRDefault="003C235D" w:rsidP="003E73AC">
      <w:pPr>
        <w:spacing w:line="360" w:lineRule="auto"/>
        <w:jc w:val="both"/>
        <w:rPr>
          <w:sz w:val="24"/>
          <w:szCs w:val="24"/>
        </w:rPr>
      </w:pPr>
      <w:r>
        <w:rPr>
          <w:sz w:val="24"/>
          <w:szCs w:val="24"/>
        </w:rPr>
        <w:t>The</w:t>
      </w:r>
      <w:r w:rsidR="00DB3B04" w:rsidRPr="00BF2A8D">
        <w:rPr>
          <w:sz w:val="24"/>
          <w:szCs w:val="24"/>
        </w:rPr>
        <w:t xml:space="preserve"> </w:t>
      </w:r>
      <w:r w:rsidR="00DB3B04" w:rsidRPr="003C235D">
        <w:rPr>
          <w:sz w:val="24"/>
          <w:szCs w:val="24"/>
        </w:rPr>
        <w:t>Curriculum for Wales (2022)</w:t>
      </w:r>
      <w:r>
        <w:rPr>
          <w:sz w:val="24"/>
          <w:szCs w:val="24"/>
        </w:rPr>
        <w:t xml:space="preserve"> </w:t>
      </w:r>
      <w:r w:rsidR="00DB3B04" w:rsidRPr="00BF2A8D">
        <w:rPr>
          <w:sz w:val="24"/>
          <w:szCs w:val="24"/>
        </w:rPr>
        <w:t>emphasises the development of broad, transferable skills to prepare learners for life beyond school</w:t>
      </w:r>
      <w:r w:rsidR="00FD1636" w:rsidRPr="00BF2A8D">
        <w:rPr>
          <w:sz w:val="24"/>
          <w:szCs w:val="24"/>
        </w:rPr>
        <w:t xml:space="preserve"> (Welsh Government, 2020)</w:t>
      </w:r>
      <w:r w:rsidR="00DB3B04" w:rsidRPr="00BF2A8D">
        <w:rPr>
          <w:sz w:val="24"/>
          <w:szCs w:val="24"/>
        </w:rPr>
        <w:t>. With a focus on “</w:t>
      </w:r>
      <w:r w:rsidR="00DB3B04" w:rsidRPr="00967A66">
        <w:rPr>
          <w:i/>
          <w:iCs/>
          <w:sz w:val="24"/>
          <w:szCs w:val="24"/>
        </w:rPr>
        <w:t>four Purposes</w:t>
      </w:r>
      <w:r w:rsidR="00DB3B04" w:rsidRPr="00BF2A8D">
        <w:rPr>
          <w:sz w:val="24"/>
          <w:szCs w:val="24"/>
        </w:rPr>
        <w:t xml:space="preserve">,” including the creation of </w:t>
      </w:r>
      <w:r w:rsidR="00DB3B04" w:rsidRPr="00967A66">
        <w:rPr>
          <w:i/>
          <w:iCs/>
          <w:sz w:val="24"/>
          <w:szCs w:val="24"/>
        </w:rPr>
        <w:t>ambitious, capable learners</w:t>
      </w:r>
      <w:r w:rsidR="00DB3B04" w:rsidRPr="00BF2A8D">
        <w:rPr>
          <w:sz w:val="24"/>
          <w:szCs w:val="24"/>
        </w:rPr>
        <w:t xml:space="preserve"> and </w:t>
      </w:r>
      <w:r w:rsidR="00DB3B04" w:rsidRPr="00967A66">
        <w:rPr>
          <w:i/>
          <w:iCs/>
          <w:sz w:val="24"/>
          <w:szCs w:val="24"/>
        </w:rPr>
        <w:t>enterprising citizens</w:t>
      </w:r>
      <w:r w:rsidR="00DB3B04" w:rsidRPr="00BF2A8D">
        <w:rPr>
          <w:sz w:val="24"/>
          <w:szCs w:val="24"/>
        </w:rPr>
        <w:t xml:space="preserve">, the curriculum seeks to align educational, economic and </w:t>
      </w:r>
      <w:r w:rsidR="00C02447">
        <w:rPr>
          <w:sz w:val="24"/>
          <w:szCs w:val="24"/>
        </w:rPr>
        <w:t>societal</w:t>
      </w:r>
      <w:r w:rsidR="00DB3B04" w:rsidRPr="00BF2A8D">
        <w:rPr>
          <w:sz w:val="24"/>
          <w:szCs w:val="24"/>
        </w:rPr>
        <w:t xml:space="preserve"> outcomes (Welsh Government, 2015). The integration of Careers and Work-Related Experiences (CWRE) from ages 3 to 16, aims to equip learners with the skills needed to navigate a rapidly changing </w:t>
      </w:r>
      <w:r w:rsidR="00967A66">
        <w:rPr>
          <w:sz w:val="24"/>
          <w:szCs w:val="24"/>
        </w:rPr>
        <w:t>labour</w:t>
      </w:r>
      <w:r w:rsidR="00DB3B04" w:rsidRPr="00BF2A8D">
        <w:rPr>
          <w:sz w:val="24"/>
          <w:szCs w:val="24"/>
        </w:rPr>
        <w:t xml:space="preserve"> market from a young age</w:t>
      </w:r>
      <w:r w:rsidR="00967A66">
        <w:rPr>
          <w:sz w:val="24"/>
          <w:szCs w:val="24"/>
        </w:rPr>
        <w:t>;</w:t>
      </w:r>
      <w:r w:rsidR="00DB3B04" w:rsidRPr="00BF2A8D">
        <w:rPr>
          <w:sz w:val="24"/>
          <w:szCs w:val="24"/>
        </w:rPr>
        <w:t xml:space="preserve"> while challenging </w:t>
      </w:r>
      <w:r w:rsidR="00DB3B04" w:rsidRPr="00BF2A8D">
        <w:rPr>
          <w:sz w:val="24"/>
          <w:szCs w:val="24"/>
        </w:rPr>
        <w:lastRenderedPageBreak/>
        <w:t>stereotypes, broadening horizons and promoting lifelong learning (Welsh Government, 2024</w:t>
      </w:r>
      <w:r w:rsidR="00FD1636" w:rsidRPr="00BF2A8D">
        <w:rPr>
          <w:sz w:val="24"/>
          <w:szCs w:val="24"/>
        </w:rPr>
        <w:t>a</w:t>
      </w:r>
      <w:r w:rsidR="00DB3B04" w:rsidRPr="00BF2A8D">
        <w:rPr>
          <w:sz w:val="24"/>
          <w:szCs w:val="24"/>
        </w:rPr>
        <w:t xml:space="preserve">). </w:t>
      </w:r>
    </w:p>
    <w:p w14:paraId="33589658" w14:textId="77FE4AE0" w:rsidR="00DB3B04" w:rsidRPr="00BF2A8D" w:rsidRDefault="00DB3B04" w:rsidP="003E73AC">
      <w:pPr>
        <w:spacing w:line="360" w:lineRule="auto"/>
        <w:jc w:val="both"/>
        <w:rPr>
          <w:sz w:val="24"/>
          <w:szCs w:val="24"/>
        </w:rPr>
      </w:pPr>
      <w:r w:rsidRPr="00BF2A8D">
        <w:rPr>
          <w:sz w:val="24"/>
          <w:szCs w:val="24"/>
        </w:rPr>
        <w:t>The introduction of "</w:t>
      </w:r>
      <w:r w:rsidRPr="00967A66">
        <w:rPr>
          <w:i/>
          <w:iCs/>
          <w:sz w:val="24"/>
          <w:szCs w:val="24"/>
        </w:rPr>
        <w:t>Made for Wales</w:t>
      </w:r>
      <w:r w:rsidRPr="00BF2A8D">
        <w:rPr>
          <w:sz w:val="24"/>
          <w:szCs w:val="24"/>
        </w:rPr>
        <w:t>" qualifications</w:t>
      </w:r>
      <w:r w:rsidR="00361603">
        <w:rPr>
          <w:sz w:val="24"/>
          <w:szCs w:val="24"/>
        </w:rPr>
        <w:t xml:space="preserve"> (Qualifications Wales, n.d.)</w:t>
      </w:r>
      <w:r w:rsidRPr="00BF2A8D">
        <w:rPr>
          <w:sz w:val="24"/>
          <w:szCs w:val="24"/>
        </w:rPr>
        <w:t xml:space="preserve">, </w:t>
      </w:r>
      <w:r w:rsidR="004921A4">
        <w:rPr>
          <w:sz w:val="24"/>
          <w:szCs w:val="24"/>
        </w:rPr>
        <w:t>places</w:t>
      </w:r>
      <w:r w:rsidRPr="00BF2A8D">
        <w:rPr>
          <w:sz w:val="24"/>
          <w:szCs w:val="24"/>
        </w:rPr>
        <w:t xml:space="preserve"> greater emphasis on vocational routes including new Vocational Certificates in Education (VCEs). This reflects the government’s commitment to bridging the gap between learners’ needs and employer demands as well as reducing skills gaps in Wales (</w:t>
      </w:r>
      <w:r w:rsidR="003C235D">
        <w:rPr>
          <w:sz w:val="24"/>
          <w:szCs w:val="24"/>
        </w:rPr>
        <w:t xml:space="preserve">Hoff, et al., 2024; </w:t>
      </w:r>
      <w:r w:rsidRPr="00BF2A8D">
        <w:rPr>
          <w:sz w:val="24"/>
          <w:szCs w:val="24"/>
        </w:rPr>
        <w:t>Welsh Government, 202</w:t>
      </w:r>
      <w:r w:rsidR="00FD1636" w:rsidRPr="00BF2A8D">
        <w:rPr>
          <w:sz w:val="24"/>
          <w:szCs w:val="24"/>
        </w:rPr>
        <w:t>4</w:t>
      </w:r>
      <w:r w:rsidRPr="00BF2A8D">
        <w:rPr>
          <w:sz w:val="24"/>
          <w:szCs w:val="24"/>
        </w:rPr>
        <w:t xml:space="preserve">b). </w:t>
      </w:r>
      <w:r w:rsidR="004921A4">
        <w:rPr>
          <w:sz w:val="24"/>
          <w:szCs w:val="24"/>
        </w:rPr>
        <w:t>I</w:t>
      </w:r>
      <w:r w:rsidRPr="00BF2A8D">
        <w:rPr>
          <w:sz w:val="24"/>
          <w:szCs w:val="24"/>
        </w:rPr>
        <w:t>nitiatives, including the Seren Network for academically ambitious students</w:t>
      </w:r>
      <w:r w:rsidR="003C235D">
        <w:rPr>
          <w:sz w:val="24"/>
          <w:szCs w:val="24"/>
        </w:rPr>
        <w:t xml:space="preserve"> (Seren Network, 2023)</w:t>
      </w:r>
      <w:r w:rsidR="00967A66">
        <w:rPr>
          <w:sz w:val="24"/>
          <w:szCs w:val="24"/>
        </w:rPr>
        <w:t>,</w:t>
      </w:r>
      <w:r w:rsidRPr="00BF2A8D">
        <w:rPr>
          <w:sz w:val="24"/>
          <w:szCs w:val="24"/>
        </w:rPr>
        <w:t xml:space="preserve"> and the Youth Guarantee scheme for more vulnerable </w:t>
      </w:r>
      <w:r w:rsidR="00D53A3E" w:rsidRPr="00BF2A8D">
        <w:rPr>
          <w:sz w:val="24"/>
          <w:szCs w:val="24"/>
        </w:rPr>
        <w:t>students</w:t>
      </w:r>
      <w:r w:rsidRPr="00BF2A8D">
        <w:rPr>
          <w:sz w:val="24"/>
          <w:szCs w:val="24"/>
        </w:rPr>
        <w:t>, are tailored to support learners from diverse backgrounds and abilities, ensuring that opportunities are accessible to all (Welsh Government, 2021).</w:t>
      </w:r>
    </w:p>
    <w:p w14:paraId="688C706E" w14:textId="6902BECD" w:rsidR="00DB3B04" w:rsidRPr="00BF2A8D" w:rsidRDefault="00DB3B04" w:rsidP="003E73AC">
      <w:pPr>
        <w:spacing w:line="360" w:lineRule="auto"/>
        <w:jc w:val="both"/>
        <w:rPr>
          <w:sz w:val="24"/>
          <w:szCs w:val="24"/>
        </w:rPr>
      </w:pPr>
      <w:r w:rsidRPr="00BF2A8D">
        <w:rPr>
          <w:sz w:val="24"/>
          <w:szCs w:val="24"/>
        </w:rPr>
        <w:t>Post-16 education and training provision is further enhanced through the Credit and Qualifications Framework for Wales (CQFW)</w:t>
      </w:r>
      <w:r w:rsidR="00D53A3E" w:rsidRPr="00BF2A8D">
        <w:rPr>
          <w:sz w:val="24"/>
          <w:szCs w:val="24"/>
        </w:rPr>
        <w:t xml:space="preserve"> (</w:t>
      </w:r>
      <w:r w:rsidR="00FD1636" w:rsidRPr="00BF2A8D">
        <w:rPr>
          <w:sz w:val="24"/>
          <w:szCs w:val="24"/>
        </w:rPr>
        <w:t>Welsh Government, 2024b</w:t>
      </w:r>
      <w:r w:rsidR="00D53A3E" w:rsidRPr="00BF2A8D">
        <w:rPr>
          <w:sz w:val="24"/>
          <w:szCs w:val="24"/>
        </w:rPr>
        <w:t>)</w:t>
      </w:r>
      <w:r w:rsidRPr="00BF2A8D">
        <w:rPr>
          <w:sz w:val="24"/>
          <w:szCs w:val="24"/>
        </w:rPr>
        <w:t>. Th</w:t>
      </w:r>
      <w:r w:rsidR="000200AB">
        <w:rPr>
          <w:sz w:val="24"/>
          <w:szCs w:val="24"/>
        </w:rPr>
        <w:t>is</w:t>
      </w:r>
      <w:r w:rsidRPr="00BF2A8D">
        <w:rPr>
          <w:sz w:val="24"/>
          <w:szCs w:val="24"/>
        </w:rPr>
        <w:t xml:space="preserve"> initiative </w:t>
      </w:r>
      <w:r w:rsidR="000200AB">
        <w:rPr>
          <w:sz w:val="24"/>
          <w:szCs w:val="24"/>
        </w:rPr>
        <w:t xml:space="preserve">aims to </w:t>
      </w:r>
      <w:r w:rsidRPr="00BF2A8D">
        <w:rPr>
          <w:sz w:val="24"/>
          <w:szCs w:val="24"/>
        </w:rPr>
        <w:t xml:space="preserve">provide </w:t>
      </w:r>
      <w:r w:rsidR="000200AB">
        <w:rPr>
          <w:sz w:val="24"/>
          <w:szCs w:val="24"/>
        </w:rPr>
        <w:t xml:space="preserve">both </w:t>
      </w:r>
      <w:r w:rsidRPr="00BF2A8D">
        <w:rPr>
          <w:sz w:val="24"/>
          <w:szCs w:val="24"/>
        </w:rPr>
        <w:t>practical</w:t>
      </w:r>
      <w:r w:rsidR="000200AB">
        <w:rPr>
          <w:sz w:val="24"/>
          <w:szCs w:val="24"/>
        </w:rPr>
        <w:t xml:space="preserve"> and academic</w:t>
      </w:r>
      <w:r w:rsidRPr="00BF2A8D">
        <w:rPr>
          <w:sz w:val="24"/>
          <w:szCs w:val="24"/>
        </w:rPr>
        <w:t xml:space="preserve"> pathways for learners to gain work experience and</w:t>
      </w:r>
      <w:r w:rsidR="000200AB">
        <w:rPr>
          <w:sz w:val="24"/>
          <w:szCs w:val="24"/>
        </w:rPr>
        <w:t>/or</w:t>
      </w:r>
      <w:r w:rsidRPr="00BF2A8D">
        <w:rPr>
          <w:sz w:val="24"/>
          <w:szCs w:val="24"/>
        </w:rPr>
        <w:t xml:space="preserve"> qualifications across a range of sectors (Welsh Government, 2024b). The flexibility of the CQFW aligns with the government’s vision of a contextual and responsive education system (OECD, 2024)</w:t>
      </w:r>
      <w:r w:rsidR="000E2A45" w:rsidRPr="00BF2A8D">
        <w:rPr>
          <w:sz w:val="24"/>
          <w:szCs w:val="24"/>
        </w:rPr>
        <w:t xml:space="preserve">, further empowering schools to </w:t>
      </w:r>
      <w:r w:rsidRPr="00BF2A8D">
        <w:rPr>
          <w:sz w:val="24"/>
          <w:szCs w:val="24"/>
        </w:rPr>
        <w:t>design curricula that reflect local needs (Donaldson, 2015).</w:t>
      </w:r>
      <w:r w:rsidR="00FD1636" w:rsidRPr="00BF2A8D">
        <w:rPr>
          <w:sz w:val="24"/>
          <w:szCs w:val="24"/>
        </w:rPr>
        <w:t xml:space="preserve"> </w:t>
      </w:r>
    </w:p>
    <w:p w14:paraId="474B5544" w14:textId="77777777" w:rsidR="001D7D8B" w:rsidRDefault="001D7D8B" w:rsidP="003E73AC">
      <w:pPr>
        <w:spacing w:line="360" w:lineRule="auto"/>
        <w:rPr>
          <w:b/>
          <w:bCs/>
          <w:sz w:val="24"/>
          <w:szCs w:val="24"/>
        </w:rPr>
      </w:pPr>
    </w:p>
    <w:p w14:paraId="6EC20A38" w14:textId="7DC3456D" w:rsidR="00DB3B04" w:rsidRPr="00510666" w:rsidRDefault="00DB3B04" w:rsidP="003E73AC">
      <w:pPr>
        <w:spacing w:line="360" w:lineRule="auto"/>
        <w:rPr>
          <w:i/>
          <w:iCs/>
          <w:sz w:val="24"/>
          <w:szCs w:val="24"/>
        </w:rPr>
      </w:pPr>
      <w:r w:rsidRPr="00510666">
        <w:rPr>
          <w:i/>
          <w:iCs/>
          <w:sz w:val="24"/>
          <w:szCs w:val="24"/>
        </w:rPr>
        <w:t>Strengths and Opportunities</w:t>
      </w:r>
    </w:p>
    <w:p w14:paraId="250EF384" w14:textId="29E3C841" w:rsidR="00DB3B04" w:rsidRPr="00BF2A8D" w:rsidRDefault="00DB3B04" w:rsidP="003E73AC">
      <w:pPr>
        <w:spacing w:line="360" w:lineRule="auto"/>
        <w:jc w:val="both"/>
        <w:rPr>
          <w:sz w:val="24"/>
          <w:szCs w:val="24"/>
        </w:rPr>
      </w:pPr>
      <w:r w:rsidRPr="00BF2A8D">
        <w:rPr>
          <w:sz w:val="24"/>
          <w:szCs w:val="24"/>
        </w:rPr>
        <w:t xml:space="preserve">The Welsh Government's focus on combining vocational and academic pathways is consistent with research supporting the aspirations of teenagers (Hughes et al., 2016). Furthermore, initiatives such as the CWRE framework and the </w:t>
      </w:r>
      <w:r w:rsidRPr="00154C95">
        <w:rPr>
          <w:i/>
          <w:iCs/>
          <w:sz w:val="24"/>
          <w:szCs w:val="24"/>
        </w:rPr>
        <w:t>Careers Wales Strategic Plan</w:t>
      </w:r>
      <w:r w:rsidRPr="00BF2A8D">
        <w:rPr>
          <w:sz w:val="24"/>
          <w:szCs w:val="24"/>
        </w:rPr>
        <w:t xml:space="preserve"> (2021-2026) exemplify a </w:t>
      </w:r>
      <w:r w:rsidR="003410FD" w:rsidRPr="003410FD">
        <w:rPr>
          <w:i/>
          <w:iCs/>
          <w:sz w:val="24"/>
          <w:szCs w:val="24"/>
        </w:rPr>
        <w:t>growth-orientated</w:t>
      </w:r>
      <w:r w:rsidRPr="00BF2A8D">
        <w:rPr>
          <w:sz w:val="24"/>
          <w:szCs w:val="24"/>
        </w:rPr>
        <w:t xml:space="preserve"> approach to addressing aspiration </w:t>
      </w:r>
      <w:r w:rsidR="00D272A8" w:rsidRPr="00BF2A8D">
        <w:rPr>
          <w:sz w:val="24"/>
          <w:szCs w:val="24"/>
        </w:rPr>
        <w:t>realisation (Burgess, 2019)</w:t>
      </w:r>
      <w:r w:rsidRPr="00BF2A8D">
        <w:rPr>
          <w:sz w:val="24"/>
          <w:szCs w:val="24"/>
        </w:rPr>
        <w:t xml:space="preserve">, </w:t>
      </w:r>
      <w:r w:rsidR="003410FD">
        <w:rPr>
          <w:sz w:val="24"/>
          <w:szCs w:val="24"/>
        </w:rPr>
        <w:t>removing barriers for</w:t>
      </w:r>
      <w:r w:rsidRPr="00BF2A8D">
        <w:rPr>
          <w:sz w:val="24"/>
          <w:szCs w:val="24"/>
        </w:rPr>
        <w:t xml:space="preserve"> vulnerable groups</w:t>
      </w:r>
      <w:r w:rsidR="004A0639">
        <w:rPr>
          <w:sz w:val="24"/>
          <w:szCs w:val="24"/>
        </w:rPr>
        <w:t>,</w:t>
      </w:r>
      <w:r w:rsidRPr="00BF2A8D">
        <w:rPr>
          <w:sz w:val="24"/>
          <w:szCs w:val="24"/>
        </w:rPr>
        <w:t xml:space="preserve"> including those at risk of becoming NEET</w:t>
      </w:r>
      <w:r w:rsidR="00155B5D">
        <w:rPr>
          <w:sz w:val="24"/>
          <w:szCs w:val="24"/>
        </w:rPr>
        <w:t xml:space="preserve"> (OECD, 2020)</w:t>
      </w:r>
      <w:r w:rsidRPr="00BF2A8D">
        <w:rPr>
          <w:sz w:val="24"/>
          <w:szCs w:val="24"/>
        </w:rPr>
        <w:t>. The provision of toolkits and resources for schools reflects a commitment to supporting implementation of th</w:t>
      </w:r>
      <w:r w:rsidR="003D7538">
        <w:rPr>
          <w:sz w:val="24"/>
          <w:szCs w:val="24"/>
        </w:rPr>
        <w:t>e</w:t>
      </w:r>
      <w:r w:rsidRPr="00BF2A8D">
        <w:rPr>
          <w:sz w:val="24"/>
          <w:szCs w:val="24"/>
        </w:rPr>
        <w:t xml:space="preserve"> vision across </w:t>
      </w:r>
      <w:r w:rsidR="003D7538">
        <w:rPr>
          <w:sz w:val="24"/>
          <w:szCs w:val="24"/>
        </w:rPr>
        <w:t>Wales</w:t>
      </w:r>
      <w:r w:rsidRPr="00BF2A8D">
        <w:rPr>
          <w:sz w:val="24"/>
          <w:szCs w:val="24"/>
        </w:rPr>
        <w:t xml:space="preserve"> (Careers Wales, 2021).</w:t>
      </w:r>
    </w:p>
    <w:p w14:paraId="2E239A3F" w14:textId="519938F1" w:rsidR="00FB1C05" w:rsidRPr="00FB1C05" w:rsidRDefault="00FB1C05" w:rsidP="00FB1C05">
      <w:pPr>
        <w:spacing w:line="360" w:lineRule="auto"/>
        <w:jc w:val="both"/>
        <w:rPr>
          <w:sz w:val="24"/>
          <w:szCs w:val="24"/>
        </w:rPr>
      </w:pPr>
      <w:r w:rsidRPr="00FB1C05">
        <w:rPr>
          <w:sz w:val="24"/>
          <w:szCs w:val="24"/>
        </w:rPr>
        <w:lastRenderedPageBreak/>
        <w:t xml:space="preserve">Collaboration with stakeholders </w:t>
      </w:r>
      <w:r>
        <w:rPr>
          <w:sz w:val="24"/>
          <w:szCs w:val="24"/>
        </w:rPr>
        <w:t>has potential to support this vision</w:t>
      </w:r>
      <w:r w:rsidRPr="00FB1C05">
        <w:rPr>
          <w:sz w:val="24"/>
          <w:szCs w:val="24"/>
        </w:rPr>
        <w:t xml:space="preserve">, as research consistently highlights its value in </w:t>
      </w:r>
      <w:r>
        <w:rPr>
          <w:sz w:val="24"/>
          <w:szCs w:val="24"/>
        </w:rPr>
        <w:t>promoting</w:t>
      </w:r>
      <w:r w:rsidRPr="00FB1C05">
        <w:rPr>
          <w:sz w:val="24"/>
          <w:szCs w:val="24"/>
        </w:rPr>
        <w:t xml:space="preserve"> effective education policy (Al-Thani, 2024).</w:t>
      </w:r>
      <w:r w:rsidRPr="00FB1C05">
        <w:rPr>
          <w:b/>
          <w:bCs/>
          <w:sz w:val="24"/>
          <w:szCs w:val="24"/>
        </w:rPr>
        <w:t xml:space="preserve"> </w:t>
      </w:r>
      <w:r w:rsidR="003D7538" w:rsidRPr="003D7538">
        <w:rPr>
          <w:sz w:val="24"/>
          <w:szCs w:val="24"/>
        </w:rPr>
        <w:t>The Welsh Government aims to create a system that focuses on learners while also meeting the needs of employers</w:t>
      </w:r>
      <w:r w:rsidR="00EE3D00">
        <w:rPr>
          <w:sz w:val="24"/>
          <w:szCs w:val="24"/>
        </w:rPr>
        <w:t xml:space="preserve"> (Careers Wales, 2021)</w:t>
      </w:r>
      <w:r w:rsidR="003D7538" w:rsidRPr="003D7538">
        <w:rPr>
          <w:sz w:val="24"/>
          <w:szCs w:val="24"/>
        </w:rPr>
        <w:t xml:space="preserve">. The flexible approach in the Curriculum for Wales </w:t>
      </w:r>
      <w:r w:rsidR="00D06CCB">
        <w:rPr>
          <w:sz w:val="24"/>
          <w:szCs w:val="24"/>
        </w:rPr>
        <w:t xml:space="preserve">is aimed at </w:t>
      </w:r>
      <w:r w:rsidR="003D7538" w:rsidRPr="003D7538">
        <w:rPr>
          <w:sz w:val="24"/>
          <w:szCs w:val="24"/>
        </w:rPr>
        <w:t>allow</w:t>
      </w:r>
      <w:r w:rsidR="00D06CCB">
        <w:rPr>
          <w:sz w:val="24"/>
          <w:szCs w:val="24"/>
        </w:rPr>
        <w:t>ing</w:t>
      </w:r>
      <w:r w:rsidR="003D7538" w:rsidRPr="003D7538">
        <w:rPr>
          <w:sz w:val="24"/>
          <w:szCs w:val="24"/>
        </w:rPr>
        <w:t xml:space="preserve"> schools to </w:t>
      </w:r>
      <w:r w:rsidR="003D7538">
        <w:rPr>
          <w:sz w:val="24"/>
          <w:szCs w:val="24"/>
        </w:rPr>
        <w:t>tailor</w:t>
      </w:r>
      <w:r w:rsidR="003D7538" w:rsidRPr="003D7538">
        <w:rPr>
          <w:sz w:val="24"/>
          <w:szCs w:val="24"/>
        </w:rPr>
        <w:t xml:space="preserve"> learning </w:t>
      </w:r>
      <w:r w:rsidR="00B37B93">
        <w:rPr>
          <w:sz w:val="24"/>
          <w:szCs w:val="24"/>
        </w:rPr>
        <w:t xml:space="preserve">experiences </w:t>
      </w:r>
      <w:r w:rsidR="003D7538" w:rsidRPr="003D7538">
        <w:rPr>
          <w:sz w:val="24"/>
          <w:szCs w:val="24"/>
        </w:rPr>
        <w:t xml:space="preserve">to their local context (Welsh Government, 2020), </w:t>
      </w:r>
      <w:r w:rsidRPr="00FB1C05">
        <w:rPr>
          <w:sz w:val="24"/>
          <w:szCs w:val="24"/>
        </w:rPr>
        <w:t>which aligns with evidence that flexibility supports systemic reform (Mourshed et al., 2011).</w:t>
      </w:r>
      <w:r>
        <w:rPr>
          <w:sz w:val="24"/>
          <w:szCs w:val="24"/>
        </w:rPr>
        <w:t xml:space="preserve"> </w:t>
      </w:r>
      <w:r w:rsidRPr="00FB1C05">
        <w:rPr>
          <w:sz w:val="24"/>
          <w:szCs w:val="24"/>
        </w:rPr>
        <w:t xml:space="preserve">It is </w:t>
      </w:r>
      <w:r w:rsidR="007660C7">
        <w:rPr>
          <w:sz w:val="24"/>
          <w:szCs w:val="24"/>
        </w:rPr>
        <w:t xml:space="preserve">further </w:t>
      </w:r>
      <w:r w:rsidRPr="00FB1C05">
        <w:rPr>
          <w:sz w:val="24"/>
          <w:szCs w:val="24"/>
        </w:rPr>
        <w:t xml:space="preserve">argued that this approach </w:t>
      </w:r>
      <w:r w:rsidR="00D06CCB">
        <w:rPr>
          <w:sz w:val="24"/>
          <w:szCs w:val="24"/>
        </w:rPr>
        <w:t>facilitates</w:t>
      </w:r>
      <w:r w:rsidRPr="00FB1C05">
        <w:rPr>
          <w:sz w:val="24"/>
          <w:szCs w:val="24"/>
        </w:rPr>
        <w:t xml:space="preserve"> a responsive education system capable of meeting the complex, evolving needs of learners and society alike</w:t>
      </w:r>
      <w:r>
        <w:rPr>
          <w:sz w:val="24"/>
          <w:szCs w:val="24"/>
        </w:rPr>
        <w:t xml:space="preserve"> (OECD, 2020)</w:t>
      </w:r>
      <w:r w:rsidRPr="00FB1C05">
        <w:rPr>
          <w:sz w:val="24"/>
          <w:szCs w:val="24"/>
        </w:rPr>
        <w:t>.</w:t>
      </w:r>
    </w:p>
    <w:p w14:paraId="3CDEA60B" w14:textId="77777777" w:rsidR="001D7D8B" w:rsidRDefault="001D7D8B" w:rsidP="003E73AC">
      <w:pPr>
        <w:spacing w:line="360" w:lineRule="auto"/>
        <w:rPr>
          <w:b/>
          <w:bCs/>
          <w:sz w:val="24"/>
          <w:szCs w:val="24"/>
        </w:rPr>
      </w:pPr>
    </w:p>
    <w:p w14:paraId="3B0FDC70" w14:textId="114FC8FF" w:rsidR="00DB3B04" w:rsidRPr="00510666" w:rsidRDefault="00DB3B04" w:rsidP="003E73AC">
      <w:pPr>
        <w:spacing w:line="360" w:lineRule="auto"/>
        <w:rPr>
          <w:i/>
          <w:iCs/>
          <w:sz w:val="24"/>
          <w:szCs w:val="24"/>
        </w:rPr>
      </w:pPr>
      <w:r w:rsidRPr="00510666">
        <w:rPr>
          <w:i/>
          <w:iCs/>
          <w:sz w:val="24"/>
          <w:szCs w:val="24"/>
        </w:rPr>
        <w:t xml:space="preserve">Challenges and </w:t>
      </w:r>
      <w:r w:rsidR="00D272A8" w:rsidRPr="00510666">
        <w:rPr>
          <w:i/>
          <w:iCs/>
          <w:sz w:val="24"/>
          <w:szCs w:val="24"/>
        </w:rPr>
        <w:t>Considerations</w:t>
      </w:r>
    </w:p>
    <w:p w14:paraId="7DE3E9EE" w14:textId="0582E372" w:rsidR="00692AE2" w:rsidRPr="00BF2A8D" w:rsidRDefault="009E14C1" w:rsidP="003E73AC">
      <w:pPr>
        <w:spacing w:line="360" w:lineRule="auto"/>
        <w:jc w:val="both"/>
        <w:rPr>
          <w:sz w:val="24"/>
          <w:szCs w:val="24"/>
        </w:rPr>
      </w:pPr>
      <w:r w:rsidRPr="009E14C1">
        <w:rPr>
          <w:sz w:val="24"/>
          <w:szCs w:val="24"/>
        </w:rPr>
        <w:t xml:space="preserve">Despite its strengths, </w:t>
      </w:r>
      <w:r w:rsidR="00597088">
        <w:rPr>
          <w:sz w:val="24"/>
          <w:szCs w:val="24"/>
        </w:rPr>
        <w:t xml:space="preserve">it is argued that </w:t>
      </w:r>
      <w:r w:rsidRPr="009E14C1">
        <w:rPr>
          <w:sz w:val="24"/>
          <w:szCs w:val="24"/>
        </w:rPr>
        <w:t xml:space="preserve">challenges in policy implementation </w:t>
      </w:r>
      <w:r w:rsidR="00525D1C">
        <w:rPr>
          <w:sz w:val="24"/>
          <w:szCs w:val="24"/>
        </w:rPr>
        <w:t xml:space="preserve">of the Curriculum for Wales </w:t>
      </w:r>
      <w:r w:rsidRPr="009E14C1">
        <w:rPr>
          <w:sz w:val="24"/>
          <w:szCs w:val="24"/>
        </w:rPr>
        <w:t>risk undermining its objectives</w:t>
      </w:r>
      <w:r>
        <w:rPr>
          <w:sz w:val="24"/>
          <w:szCs w:val="24"/>
        </w:rPr>
        <w:t xml:space="preserve"> (Davies, 2024). It is further </w:t>
      </w:r>
      <w:r w:rsidR="00597088">
        <w:rPr>
          <w:sz w:val="24"/>
          <w:szCs w:val="24"/>
        </w:rPr>
        <w:t>contended</w:t>
      </w:r>
      <w:r>
        <w:rPr>
          <w:sz w:val="24"/>
          <w:szCs w:val="24"/>
        </w:rPr>
        <w:t xml:space="preserve"> that w</w:t>
      </w:r>
      <w:r w:rsidR="00C734B4" w:rsidRPr="00C734B4">
        <w:rPr>
          <w:sz w:val="24"/>
          <w:szCs w:val="24"/>
        </w:rPr>
        <w:t xml:space="preserve">ithout </w:t>
      </w:r>
      <w:r w:rsidR="00C734B4">
        <w:rPr>
          <w:sz w:val="24"/>
          <w:szCs w:val="24"/>
        </w:rPr>
        <w:t>robust</w:t>
      </w:r>
      <w:r w:rsidR="00C734B4" w:rsidRPr="00C734B4">
        <w:rPr>
          <w:sz w:val="24"/>
          <w:szCs w:val="24"/>
        </w:rPr>
        <w:t xml:space="preserve"> monitoring and clear guidelines, schools in </w:t>
      </w:r>
      <w:r w:rsidR="00C734B4">
        <w:rPr>
          <w:sz w:val="24"/>
          <w:szCs w:val="24"/>
        </w:rPr>
        <w:t>resource-poor</w:t>
      </w:r>
      <w:r w:rsidR="00C734B4" w:rsidRPr="00C734B4">
        <w:rPr>
          <w:sz w:val="24"/>
          <w:szCs w:val="24"/>
        </w:rPr>
        <w:t xml:space="preserve"> areas may struggle to offer the same level of opportunities as their better-resourced counterparts, deepening existing inequalities (</w:t>
      </w:r>
      <w:r w:rsidR="00154C95" w:rsidRPr="00154C95">
        <w:rPr>
          <w:sz w:val="24"/>
          <w:szCs w:val="24"/>
        </w:rPr>
        <w:t xml:space="preserve">Institute for Fiscal Studies </w:t>
      </w:r>
      <w:r w:rsidR="00154C95">
        <w:rPr>
          <w:sz w:val="24"/>
          <w:szCs w:val="24"/>
        </w:rPr>
        <w:t>(</w:t>
      </w:r>
      <w:r w:rsidR="00C734B4" w:rsidRPr="00C734B4">
        <w:rPr>
          <w:sz w:val="24"/>
          <w:szCs w:val="24"/>
        </w:rPr>
        <w:t>IFS</w:t>
      </w:r>
      <w:r w:rsidR="00154C95">
        <w:rPr>
          <w:sz w:val="24"/>
          <w:szCs w:val="24"/>
        </w:rPr>
        <w:t>)</w:t>
      </w:r>
      <w:r w:rsidR="00C734B4" w:rsidRPr="00C734B4">
        <w:rPr>
          <w:sz w:val="24"/>
          <w:szCs w:val="24"/>
        </w:rPr>
        <w:t xml:space="preserve">, 2024). As a result, the flexibility of the Curriculum for Wales, while empowering, </w:t>
      </w:r>
      <w:r>
        <w:rPr>
          <w:sz w:val="24"/>
          <w:szCs w:val="24"/>
        </w:rPr>
        <w:t xml:space="preserve">could </w:t>
      </w:r>
      <w:r w:rsidR="00692AE2" w:rsidRPr="00F04A94">
        <w:rPr>
          <w:sz w:val="24"/>
          <w:szCs w:val="24"/>
        </w:rPr>
        <w:t>lead to inconsistent delivery of career-related experiences and outcomes (Power et al., 2020).</w:t>
      </w:r>
    </w:p>
    <w:p w14:paraId="6C556678" w14:textId="4E008FBF" w:rsidR="00692AE2" w:rsidRDefault="00DB3B04" w:rsidP="003E73AC">
      <w:pPr>
        <w:spacing w:line="360" w:lineRule="auto"/>
        <w:jc w:val="both"/>
        <w:rPr>
          <w:sz w:val="24"/>
          <w:szCs w:val="24"/>
        </w:rPr>
      </w:pPr>
      <w:r w:rsidRPr="00BF2A8D">
        <w:rPr>
          <w:sz w:val="24"/>
          <w:szCs w:val="24"/>
        </w:rPr>
        <w:t xml:space="preserve">Ambiguity in policy language </w:t>
      </w:r>
      <w:r w:rsidR="00692AE2" w:rsidRPr="00F04A94">
        <w:rPr>
          <w:sz w:val="24"/>
          <w:szCs w:val="24"/>
        </w:rPr>
        <w:t>present further obstacles</w:t>
      </w:r>
      <w:r w:rsidR="009E14C1">
        <w:rPr>
          <w:sz w:val="24"/>
          <w:szCs w:val="24"/>
        </w:rPr>
        <w:t xml:space="preserve"> (Morris, 202</w:t>
      </w:r>
      <w:r w:rsidR="00F503CE">
        <w:rPr>
          <w:sz w:val="24"/>
          <w:szCs w:val="24"/>
        </w:rPr>
        <w:t>1</w:t>
      </w:r>
      <w:r w:rsidR="009E14C1">
        <w:rPr>
          <w:sz w:val="24"/>
          <w:szCs w:val="24"/>
        </w:rPr>
        <w:t>)</w:t>
      </w:r>
      <w:r w:rsidRPr="00BF2A8D">
        <w:rPr>
          <w:sz w:val="24"/>
          <w:szCs w:val="24"/>
        </w:rPr>
        <w:t xml:space="preserve">. Vague phrases such as such as “objectives </w:t>
      </w:r>
      <w:r w:rsidRPr="00BF2A8D">
        <w:rPr>
          <w:i/>
          <w:iCs/>
          <w:sz w:val="24"/>
          <w:szCs w:val="24"/>
        </w:rPr>
        <w:t>can</w:t>
      </w:r>
      <w:r w:rsidRPr="00BF2A8D">
        <w:rPr>
          <w:sz w:val="24"/>
          <w:szCs w:val="24"/>
        </w:rPr>
        <w:t xml:space="preserve"> be used by schools for…” and “this </w:t>
      </w:r>
      <w:r w:rsidRPr="00BF2A8D">
        <w:rPr>
          <w:i/>
          <w:iCs/>
          <w:sz w:val="24"/>
          <w:szCs w:val="24"/>
        </w:rPr>
        <w:t>could</w:t>
      </w:r>
      <w:r w:rsidRPr="00BF2A8D">
        <w:rPr>
          <w:sz w:val="24"/>
          <w:szCs w:val="24"/>
        </w:rPr>
        <w:t xml:space="preserve"> provide an opportunity…” (Welsh Government, 2023c, p25), create uncertainty around expectations (Viennet, 2017). </w:t>
      </w:r>
      <w:r w:rsidR="00692AE2" w:rsidRPr="00F04A94">
        <w:rPr>
          <w:sz w:val="24"/>
          <w:szCs w:val="24"/>
        </w:rPr>
        <w:t xml:space="preserve">While flexibility is </w:t>
      </w:r>
      <w:r w:rsidR="00692AE2" w:rsidRPr="00692AE2">
        <w:rPr>
          <w:sz w:val="24"/>
          <w:szCs w:val="24"/>
        </w:rPr>
        <w:t xml:space="preserve">considered </w:t>
      </w:r>
      <w:r w:rsidR="00692AE2" w:rsidRPr="00F04A94">
        <w:rPr>
          <w:sz w:val="24"/>
          <w:szCs w:val="24"/>
        </w:rPr>
        <w:t>an asset (Mourshed et al., 2011), insufficient clarity may leave room for varied interpretations (Darling-Hammond, 1997), potentially creating uneven implementation and undermining equity</w:t>
      </w:r>
      <w:r w:rsidR="00692AE2">
        <w:rPr>
          <w:sz w:val="24"/>
          <w:szCs w:val="24"/>
        </w:rPr>
        <w:t xml:space="preserve"> (</w:t>
      </w:r>
      <w:r w:rsidR="00622235">
        <w:rPr>
          <w:sz w:val="24"/>
          <w:szCs w:val="24"/>
        </w:rPr>
        <w:t>Davies, 2024</w:t>
      </w:r>
      <w:r w:rsidR="00692AE2">
        <w:rPr>
          <w:sz w:val="24"/>
          <w:szCs w:val="24"/>
        </w:rPr>
        <w:t>)</w:t>
      </w:r>
    </w:p>
    <w:p w14:paraId="7AE00D48" w14:textId="79A9D8E7" w:rsidR="00C734B4" w:rsidRPr="00BF2A8D" w:rsidRDefault="00C734B4" w:rsidP="003E73AC">
      <w:pPr>
        <w:spacing w:line="360" w:lineRule="auto"/>
        <w:jc w:val="both"/>
        <w:rPr>
          <w:sz w:val="24"/>
          <w:szCs w:val="24"/>
        </w:rPr>
      </w:pPr>
      <w:r w:rsidRPr="00C734B4">
        <w:rPr>
          <w:sz w:val="24"/>
          <w:szCs w:val="24"/>
        </w:rPr>
        <w:t xml:space="preserve">The focus on both individual and societal growth is another challenge. </w:t>
      </w:r>
      <w:r w:rsidR="001D7D8B">
        <w:rPr>
          <w:sz w:val="24"/>
          <w:szCs w:val="24"/>
        </w:rPr>
        <w:t>It is suggested that a</w:t>
      </w:r>
      <w:r w:rsidRPr="00C734B4">
        <w:rPr>
          <w:sz w:val="24"/>
          <w:szCs w:val="24"/>
        </w:rPr>
        <w:t xml:space="preserve"> dual focus can create policy conflicts (Ball, 2021). In this case, focusing too much on vocational pathways could limit the curriculum and restrict students' career options (Young, 2011), while a learner-centred approach might not address skills shortages, affecting economic goals</w:t>
      </w:r>
      <w:r w:rsidR="001D7D8B">
        <w:rPr>
          <w:sz w:val="24"/>
          <w:szCs w:val="24"/>
        </w:rPr>
        <w:t xml:space="preserve"> (</w:t>
      </w:r>
      <w:r w:rsidR="000F02E5">
        <w:rPr>
          <w:sz w:val="24"/>
          <w:szCs w:val="24"/>
        </w:rPr>
        <w:t>Hoff et al., 2024</w:t>
      </w:r>
      <w:r w:rsidR="001D7D8B">
        <w:rPr>
          <w:sz w:val="24"/>
          <w:szCs w:val="24"/>
        </w:rPr>
        <w:t>)</w:t>
      </w:r>
      <w:r w:rsidRPr="00C734B4">
        <w:rPr>
          <w:sz w:val="24"/>
          <w:szCs w:val="24"/>
        </w:rPr>
        <w:t xml:space="preserve">. As mentioned earlier, balancing these goals </w:t>
      </w:r>
      <w:r w:rsidRPr="00C734B4">
        <w:rPr>
          <w:sz w:val="24"/>
          <w:szCs w:val="24"/>
        </w:rPr>
        <w:lastRenderedPageBreak/>
        <w:t>will require ongoing collaboration between policymakers, educators, and employers (Al-Thani, 2024).</w:t>
      </w:r>
    </w:p>
    <w:p w14:paraId="134688C1" w14:textId="0316DB08" w:rsidR="00C734B4" w:rsidRPr="00BF2A8D" w:rsidRDefault="00C734B4" w:rsidP="003E73AC">
      <w:pPr>
        <w:spacing w:line="360" w:lineRule="auto"/>
        <w:jc w:val="both"/>
        <w:rPr>
          <w:sz w:val="24"/>
          <w:szCs w:val="24"/>
        </w:rPr>
      </w:pPr>
      <w:r w:rsidRPr="00C734B4">
        <w:rPr>
          <w:sz w:val="24"/>
          <w:szCs w:val="24"/>
        </w:rPr>
        <w:t xml:space="preserve">The quality of vocational qualifications is another concern. Expanding vocational pathways requires investment in resources, facilities, and staff training (Young, 2011). Schools and colleges, especially in underfunded areas, may struggle without targeted funding and </w:t>
      </w:r>
      <w:r w:rsidR="004F6F10" w:rsidRPr="004F6F10">
        <w:rPr>
          <w:sz w:val="24"/>
          <w:szCs w:val="24"/>
        </w:rPr>
        <w:t xml:space="preserve">robust quality assurance processes </w:t>
      </w:r>
      <w:r w:rsidRPr="00C734B4">
        <w:rPr>
          <w:sz w:val="24"/>
          <w:szCs w:val="24"/>
        </w:rPr>
        <w:t>(</w:t>
      </w:r>
      <w:r w:rsidR="00154C95">
        <w:rPr>
          <w:sz w:val="24"/>
          <w:szCs w:val="24"/>
        </w:rPr>
        <w:t>IFS</w:t>
      </w:r>
      <w:r w:rsidRPr="00C734B4">
        <w:rPr>
          <w:sz w:val="24"/>
          <w:szCs w:val="24"/>
        </w:rPr>
        <w:t xml:space="preserve">, 2024). </w:t>
      </w:r>
      <w:r w:rsidR="00F87261">
        <w:rPr>
          <w:sz w:val="24"/>
          <w:szCs w:val="24"/>
        </w:rPr>
        <w:t>Ensuring</w:t>
      </w:r>
      <w:r w:rsidRPr="00C734B4">
        <w:rPr>
          <w:sz w:val="24"/>
          <w:szCs w:val="24"/>
        </w:rPr>
        <w:t xml:space="preserve"> vocational qualifications </w:t>
      </w:r>
      <w:r w:rsidR="004F6F10">
        <w:rPr>
          <w:sz w:val="24"/>
          <w:szCs w:val="24"/>
        </w:rPr>
        <w:t>maintain parity</w:t>
      </w:r>
      <w:r w:rsidRPr="00C734B4">
        <w:rPr>
          <w:sz w:val="24"/>
          <w:szCs w:val="24"/>
        </w:rPr>
        <w:t xml:space="preserve"> with academic pathways</w:t>
      </w:r>
      <w:r w:rsidR="00F87261">
        <w:rPr>
          <w:sz w:val="24"/>
          <w:szCs w:val="24"/>
        </w:rPr>
        <w:t xml:space="preserve"> is also considered important, </w:t>
      </w:r>
      <w:r w:rsidR="00F87261" w:rsidRPr="00C734B4">
        <w:rPr>
          <w:sz w:val="24"/>
          <w:szCs w:val="24"/>
        </w:rPr>
        <w:t>to</w:t>
      </w:r>
      <w:r w:rsidRPr="00C734B4">
        <w:rPr>
          <w:sz w:val="24"/>
          <w:szCs w:val="24"/>
        </w:rPr>
        <w:t xml:space="preserve"> </w:t>
      </w:r>
      <w:r w:rsidR="004F6F10">
        <w:rPr>
          <w:sz w:val="24"/>
          <w:szCs w:val="24"/>
        </w:rPr>
        <w:t>preserve</w:t>
      </w:r>
      <w:r w:rsidRPr="00C734B4">
        <w:rPr>
          <w:sz w:val="24"/>
          <w:szCs w:val="24"/>
        </w:rPr>
        <w:t xml:space="preserve"> fairness and consistency in the system (</w:t>
      </w:r>
      <w:r w:rsidR="00272B42">
        <w:rPr>
          <w:sz w:val="24"/>
          <w:szCs w:val="24"/>
        </w:rPr>
        <w:t>Hoff, et al., 2024</w:t>
      </w:r>
      <w:r w:rsidRPr="00C734B4">
        <w:rPr>
          <w:sz w:val="24"/>
          <w:szCs w:val="24"/>
        </w:rPr>
        <w:t>).</w:t>
      </w:r>
      <w:r w:rsidR="00C14A1C">
        <w:rPr>
          <w:sz w:val="24"/>
          <w:szCs w:val="24"/>
        </w:rPr>
        <w:t xml:space="preserve"> </w:t>
      </w:r>
    </w:p>
    <w:p w14:paraId="3AB81894" w14:textId="39BC610E" w:rsidR="00DB3B04" w:rsidRPr="00BF2A8D" w:rsidRDefault="00E35819" w:rsidP="003E73AC">
      <w:pPr>
        <w:spacing w:line="360" w:lineRule="auto"/>
        <w:jc w:val="both"/>
        <w:rPr>
          <w:sz w:val="24"/>
          <w:szCs w:val="24"/>
        </w:rPr>
      </w:pPr>
      <w:r>
        <w:rPr>
          <w:sz w:val="24"/>
          <w:szCs w:val="24"/>
        </w:rPr>
        <w:t>Finally</w:t>
      </w:r>
      <w:r w:rsidR="00DB3B04" w:rsidRPr="00BF2A8D">
        <w:rPr>
          <w:sz w:val="24"/>
          <w:szCs w:val="24"/>
        </w:rPr>
        <w:t xml:space="preserve">, the reliance on mentoring and bespoke support within schools </w:t>
      </w:r>
      <w:r w:rsidR="00D304B4">
        <w:rPr>
          <w:sz w:val="24"/>
          <w:szCs w:val="24"/>
        </w:rPr>
        <w:t xml:space="preserve">and industry, </w:t>
      </w:r>
      <w:r w:rsidR="00DB3B04" w:rsidRPr="00BF2A8D">
        <w:rPr>
          <w:sz w:val="24"/>
          <w:szCs w:val="24"/>
        </w:rPr>
        <w:t>raises questions about the skills and training of those delivering this provision</w:t>
      </w:r>
      <w:r w:rsidR="004C45C6">
        <w:rPr>
          <w:sz w:val="24"/>
          <w:szCs w:val="24"/>
        </w:rPr>
        <w:t xml:space="preserve">. </w:t>
      </w:r>
      <w:r w:rsidR="004C45C6" w:rsidRPr="004C45C6">
        <w:rPr>
          <w:sz w:val="24"/>
          <w:szCs w:val="24"/>
        </w:rPr>
        <w:t>Research emphasi</w:t>
      </w:r>
      <w:r w:rsidR="004C45C6">
        <w:rPr>
          <w:sz w:val="24"/>
          <w:szCs w:val="24"/>
        </w:rPr>
        <w:t>s</w:t>
      </w:r>
      <w:r w:rsidR="004C45C6" w:rsidRPr="004C45C6">
        <w:rPr>
          <w:sz w:val="24"/>
          <w:szCs w:val="24"/>
        </w:rPr>
        <w:t>es that effective mentoring requires speciali</w:t>
      </w:r>
      <w:r w:rsidR="004C45C6">
        <w:rPr>
          <w:sz w:val="24"/>
          <w:szCs w:val="24"/>
        </w:rPr>
        <w:t>s</w:t>
      </w:r>
      <w:r w:rsidR="004C45C6" w:rsidRPr="004C45C6">
        <w:rPr>
          <w:sz w:val="24"/>
          <w:szCs w:val="24"/>
        </w:rPr>
        <w:t>ed knowledge, interpersonal skills, and the ability to inspire and guide young people</w:t>
      </w:r>
      <w:r w:rsidR="00557437">
        <w:rPr>
          <w:sz w:val="24"/>
          <w:szCs w:val="24"/>
        </w:rPr>
        <w:t xml:space="preserve"> </w:t>
      </w:r>
      <w:r w:rsidR="004C45C6" w:rsidRPr="004C45C6">
        <w:rPr>
          <w:sz w:val="24"/>
          <w:szCs w:val="24"/>
        </w:rPr>
        <w:t>(Maloney et al., 2023).</w:t>
      </w:r>
      <w:r w:rsidR="004C45C6">
        <w:rPr>
          <w:sz w:val="24"/>
          <w:szCs w:val="24"/>
        </w:rPr>
        <w:t xml:space="preserve"> </w:t>
      </w:r>
      <w:r w:rsidR="00DB3B04" w:rsidRPr="00BF2A8D">
        <w:rPr>
          <w:sz w:val="24"/>
          <w:szCs w:val="24"/>
        </w:rPr>
        <w:t xml:space="preserve">Without adequate training and support, mentors may fail to deliver high-quality guidance, potentially undermining the aspirations and outcomes of </w:t>
      </w:r>
      <w:r w:rsidR="004C45C6" w:rsidRPr="00BF2A8D">
        <w:rPr>
          <w:sz w:val="24"/>
          <w:szCs w:val="24"/>
        </w:rPr>
        <w:t>learners</w:t>
      </w:r>
      <w:r w:rsidR="004C45C6" w:rsidRPr="004C45C6">
        <w:rPr>
          <w:sz w:val="24"/>
          <w:szCs w:val="24"/>
        </w:rPr>
        <w:t xml:space="preserve"> (</w:t>
      </w:r>
      <w:r w:rsidR="004B7261">
        <w:rPr>
          <w:sz w:val="24"/>
          <w:szCs w:val="24"/>
        </w:rPr>
        <w:t>Young, 2011</w:t>
      </w:r>
      <w:r w:rsidR="004C45C6" w:rsidRPr="004C45C6">
        <w:rPr>
          <w:sz w:val="24"/>
          <w:szCs w:val="24"/>
        </w:rPr>
        <w:t>).</w:t>
      </w:r>
    </w:p>
    <w:p w14:paraId="58747913" w14:textId="77777777" w:rsidR="004C269E" w:rsidRPr="001C104C" w:rsidRDefault="004C269E" w:rsidP="003E73AC">
      <w:pPr>
        <w:spacing w:line="360" w:lineRule="auto"/>
        <w:jc w:val="both"/>
        <w:rPr>
          <w:sz w:val="24"/>
          <w:szCs w:val="24"/>
        </w:rPr>
      </w:pPr>
    </w:p>
    <w:p w14:paraId="77AEC62F" w14:textId="28BEB8B8" w:rsidR="00AA5F2C" w:rsidRPr="00A159E3" w:rsidRDefault="00F718DC" w:rsidP="00B463A9">
      <w:pPr>
        <w:spacing w:line="360" w:lineRule="auto"/>
        <w:rPr>
          <w:sz w:val="32"/>
          <w:szCs w:val="32"/>
        </w:rPr>
      </w:pPr>
      <w:r w:rsidRPr="00A159E3">
        <w:rPr>
          <w:b/>
          <w:bCs/>
          <w:sz w:val="32"/>
          <w:szCs w:val="32"/>
        </w:rPr>
        <w:t xml:space="preserve">International </w:t>
      </w:r>
      <w:r w:rsidR="00AA5F2C" w:rsidRPr="00A159E3">
        <w:rPr>
          <w:b/>
          <w:bCs/>
          <w:sz w:val="32"/>
          <w:szCs w:val="32"/>
        </w:rPr>
        <w:t>Lessons</w:t>
      </w:r>
      <w:r w:rsidRPr="00A159E3">
        <w:rPr>
          <w:b/>
          <w:bCs/>
          <w:sz w:val="32"/>
          <w:szCs w:val="32"/>
        </w:rPr>
        <w:t>:</w:t>
      </w:r>
      <w:r w:rsidR="00AA5F2C" w:rsidRPr="00A159E3">
        <w:rPr>
          <w:b/>
          <w:bCs/>
          <w:sz w:val="32"/>
          <w:szCs w:val="32"/>
        </w:rPr>
        <w:t xml:space="preserve"> Finland, Canada, and Germany</w:t>
      </w:r>
    </w:p>
    <w:p w14:paraId="346E22BB" w14:textId="703A0A1B" w:rsidR="000A2424" w:rsidRPr="00BB32DB" w:rsidRDefault="00736CB4" w:rsidP="003E73AC">
      <w:pPr>
        <w:spacing w:line="360" w:lineRule="auto"/>
        <w:jc w:val="both"/>
        <w:rPr>
          <w:sz w:val="24"/>
          <w:szCs w:val="24"/>
        </w:rPr>
      </w:pPr>
      <w:r w:rsidRPr="00736CB4">
        <w:rPr>
          <w:sz w:val="24"/>
          <w:szCs w:val="24"/>
        </w:rPr>
        <w:t>Kettunen (2024) suggests that the growing global focus on career</w:t>
      </w:r>
      <w:r>
        <w:rPr>
          <w:sz w:val="24"/>
          <w:szCs w:val="24"/>
        </w:rPr>
        <w:t>-</w:t>
      </w:r>
      <w:r w:rsidRPr="00736CB4">
        <w:rPr>
          <w:sz w:val="24"/>
          <w:szCs w:val="24"/>
        </w:rPr>
        <w:t>education</w:t>
      </w:r>
      <w:r w:rsidR="00883DEA">
        <w:rPr>
          <w:sz w:val="24"/>
          <w:szCs w:val="24"/>
        </w:rPr>
        <w:t>,</w:t>
      </w:r>
      <w:r w:rsidRPr="00736CB4">
        <w:rPr>
          <w:sz w:val="24"/>
          <w:szCs w:val="24"/>
        </w:rPr>
        <w:t xml:space="preserve"> </w:t>
      </w:r>
      <w:r>
        <w:rPr>
          <w:sz w:val="24"/>
          <w:szCs w:val="24"/>
        </w:rPr>
        <w:t>indicates</w:t>
      </w:r>
      <w:r w:rsidRPr="00736CB4">
        <w:rPr>
          <w:sz w:val="24"/>
          <w:szCs w:val="24"/>
        </w:rPr>
        <w:t xml:space="preserve"> that governments recogni</w:t>
      </w:r>
      <w:r>
        <w:rPr>
          <w:sz w:val="24"/>
          <w:szCs w:val="24"/>
        </w:rPr>
        <w:t>s</w:t>
      </w:r>
      <w:r w:rsidRPr="00736CB4">
        <w:rPr>
          <w:sz w:val="24"/>
          <w:szCs w:val="24"/>
        </w:rPr>
        <w:t>e its benefits for individuals, society, and the economy.</w:t>
      </w:r>
      <w:r>
        <w:rPr>
          <w:sz w:val="24"/>
          <w:szCs w:val="24"/>
        </w:rPr>
        <w:t xml:space="preserve"> </w:t>
      </w:r>
      <w:r w:rsidR="00AA5F2C" w:rsidRPr="00BB32DB">
        <w:rPr>
          <w:sz w:val="24"/>
          <w:szCs w:val="24"/>
        </w:rPr>
        <w:t xml:space="preserve">However, it is </w:t>
      </w:r>
      <w:r>
        <w:rPr>
          <w:sz w:val="24"/>
          <w:szCs w:val="24"/>
        </w:rPr>
        <w:t>advised</w:t>
      </w:r>
      <w:r w:rsidR="00AA5F2C" w:rsidRPr="00BB32DB">
        <w:rPr>
          <w:sz w:val="24"/>
          <w:szCs w:val="24"/>
        </w:rPr>
        <w:t xml:space="preserve"> </w:t>
      </w:r>
      <w:r w:rsidRPr="00736CB4">
        <w:rPr>
          <w:sz w:val="24"/>
          <w:szCs w:val="24"/>
        </w:rPr>
        <w:t>that when drawing</w:t>
      </w:r>
      <w:r>
        <w:rPr>
          <w:sz w:val="24"/>
          <w:szCs w:val="24"/>
        </w:rPr>
        <w:t xml:space="preserve"> inspiration</w:t>
      </w:r>
      <w:r w:rsidRPr="00736CB4">
        <w:rPr>
          <w:sz w:val="24"/>
          <w:szCs w:val="24"/>
        </w:rPr>
        <w:t xml:space="preserve"> from international models, it</w:t>
      </w:r>
      <w:r w:rsidR="00883DEA">
        <w:rPr>
          <w:sz w:val="24"/>
          <w:szCs w:val="24"/>
        </w:rPr>
        <w:t xml:space="preserve"> is</w:t>
      </w:r>
      <w:r w:rsidRPr="00736CB4">
        <w:rPr>
          <w:sz w:val="24"/>
          <w:szCs w:val="24"/>
        </w:rPr>
        <w:t xml:space="preserve"> important to consider the complex mix of cultural expectations, economic realities, and educational systems that differ around the world </w:t>
      </w:r>
      <w:r w:rsidR="00AA5F2C" w:rsidRPr="00BB32DB">
        <w:rPr>
          <w:sz w:val="24"/>
          <w:szCs w:val="24"/>
        </w:rPr>
        <w:t>(Lewis, 2007). These factors not only shape teenage aspirations but also affect the likelihood of achieving them</w:t>
      </w:r>
      <w:r w:rsidR="002301FB" w:rsidRPr="00BB32DB">
        <w:rPr>
          <w:sz w:val="24"/>
          <w:szCs w:val="24"/>
        </w:rPr>
        <w:t xml:space="preserve"> (St. Clair, et al., 2011)</w:t>
      </w:r>
      <w:r w:rsidR="00AA5F2C" w:rsidRPr="00BB32DB">
        <w:rPr>
          <w:sz w:val="24"/>
          <w:szCs w:val="24"/>
        </w:rPr>
        <w:t>.</w:t>
      </w:r>
    </w:p>
    <w:p w14:paraId="235AE222" w14:textId="55BFAD4A" w:rsidR="00AA5F2C" w:rsidRDefault="00AA5F2C" w:rsidP="003E73AC">
      <w:pPr>
        <w:spacing w:line="360" w:lineRule="auto"/>
        <w:jc w:val="both"/>
        <w:rPr>
          <w:sz w:val="24"/>
          <w:szCs w:val="24"/>
        </w:rPr>
      </w:pPr>
      <w:r w:rsidRPr="00BB32DB">
        <w:rPr>
          <w:sz w:val="24"/>
          <w:szCs w:val="24"/>
        </w:rPr>
        <w:t>Wales’s educational reforms reflect global trends in countries like Finland, Canada, and Germany</w:t>
      </w:r>
      <w:r w:rsidR="00366DF1">
        <w:rPr>
          <w:sz w:val="24"/>
          <w:szCs w:val="24"/>
        </w:rPr>
        <w:t>,</w:t>
      </w:r>
      <w:r w:rsidRPr="00BB32DB">
        <w:rPr>
          <w:sz w:val="24"/>
          <w:szCs w:val="24"/>
        </w:rPr>
        <w:t xml:space="preserve"> </w:t>
      </w:r>
      <w:r w:rsidR="000A2424" w:rsidRPr="000A2424">
        <w:rPr>
          <w:sz w:val="24"/>
          <w:szCs w:val="24"/>
        </w:rPr>
        <w:t>which are renowned for their forward-thinking approaches to adapting educational systems to meet future societal needs (Stewart, 2012).</w:t>
      </w:r>
      <w:r w:rsidR="000A2424">
        <w:rPr>
          <w:sz w:val="24"/>
          <w:szCs w:val="24"/>
        </w:rPr>
        <w:t xml:space="preserve"> </w:t>
      </w:r>
      <w:r w:rsidR="00366DF1">
        <w:rPr>
          <w:sz w:val="24"/>
          <w:szCs w:val="24"/>
        </w:rPr>
        <w:t xml:space="preserve"> </w:t>
      </w:r>
      <w:r w:rsidRPr="00BB32DB">
        <w:rPr>
          <w:sz w:val="24"/>
          <w:szCs w:val="24"/>
        </w:rPr>
        <w:t>A closer examination of these examples</w:t>
      </w:r>
      <w:r w:rsidR="00052BA4">
        <w:rPr>
          <w:sz w:val="24"/>
          <w:szCs w:val="24"/>
        </w:rPr>
        <w:t xml:space="preserve"> </w:t>
      </w:r>
      <w:r w:rsidRPr="00BB32DB">
        <w:rPr>
          <w:sz w:val="24"/>
          <w:szCs w:val="24"/>
        </w:rPr>
        <w:t>will provide an insight into the Welsh context, particularly in shaping policies that seek to balance equity, skills development, and career exploration.</w:t>
      </w:r>
    </w:p>
    <w:p w14:paraId="2BB55034" w14:textId="77777777" w:rsidR="00510666" w:rsidRPr="00BB32DB" w:rsidRDefault="00510666" w:rsidP="003E73AC">
      <w:pPr>
        <w:spacing w:line="360" w:lineRule="auto"/>
        <w:jc w:val="both"/>
        <w:rPr>
          <w:sz w:val="24"/>
          <w:szCs w:val="24"/>
        </w:rPr>
      </w:pPr>
    </w:p>
    <w:p w14:paraId="70A1FEA0" w14:textId="7A7F3B3C" w:rsidR="00AA5F2C" w:rsidRPr="00510666" w:rsidRDefault="00AA5F2C" w:rsidP="003E73AC">
      <w:pPr>
        <w:spacing w:line="360" w:lineRule="auto"/>
        <w:rPr>
          <w:i/>
          <w:iCs/>
          <w:sz w:val="24"/>
          <w:szCs w:val="24"/>
        </w:rPr>
      </w:pPr>
      <w:r w:rsidRPr="00510666">
        <w:rPr>
          <w:i/>
          <w:iCs/>
          <w:sz w:val="24"/>
          <w:szCs w:val="24"/>
        </w:rPr>
        <w:lastRenderedPageBreak/>
        <w:t>Finland’s focus on equity and career guidance.</w:t>
      </w:r>
    </w:p>
    <w:p w14:paraId="57C7A225" w14:textId="716F9AEF" w:rsidR="00EE031D" w:rsidRPr="00BB32DB" w:rsidRDefault="00EE031D" w:rsidP="003E73AC">
      <w:pPr>
        <w:spacing w:line="360" w:lineRule="auto"/>
        <w:jc w:val="both"/>
        <w:rPr>
          <w:sz w:val="24"/>
          <w:szCs w:val="24"/>
        </w:rPr>
      </w:pPr>
      <w:r w:rsidRPr="00BB32DB">
        <w:rPr>
          <w:sz w:val="24"/>
          <w:szCs w:val="24"/>
        </w:rPr>
        <w:t xml:space="preserve">Finland is recognised internationally for its holistic approach to education, characterised by minimal standardised testing, a flexible curriculum, and emphasis on student well-being (Kettunen, 2024). Central to </w:t>
      </w:r>
      <w:r w:rsidR="00CA52C5" w:rsidRPr="00BB32DB">
        <w:rPr>
          <w:sz w:val="24"/>
          <w:szCs w:val="24"/>
        </w:rPr>
        <w:t>this philosophy</w:t>
      </w:r>
      <w:r w:rsidRPr="00BB32DB">
        <w:rPr>
          <w:sz w:val="24"/>
          <w:szCs w:val="24"/>
        </w:rPr>
        <w:t xml:space="preserve"> is the principle of equality, ensuring all students access high-quality education and personali</w:t>
      </w:r>
      <w:r w:rsidR="00BA282D" w:rsidRPr="00BB32DB">
        <w:rPr>
          <w:sz w:val="24"/>
          <w:szCs w:val="24"/>
        </w:rPr>
        <w:t>s</w:t>
      </w:r>
      <w:r w:rsidRPr="00BB32DB">
        <w:rPr>
          <w:sz w:val="24"/>
          <w:szCs w:val="24"/>
        </w:rPr>
        <w:t xml:space="preserve">ed guidance tailored to their personal capacity along the study path (Juutilainen, 2017). Teenage career aspirations are promoted through a comprehensive guidance framework, providing each student with access to early and ongoing career counselling throughout their education (Kettunen, 2024). Vocational pathways are integrated into the curriculum and hold equal importance to academic routes, broadening exposure </w:t>
      </w:r>
      <w:r w:rsidR="004C3283" w:rsidRPr="00BB32DB">
        <w:rPr>
          <w:sz w:val="24"/>
          <w:szCs w:val="24"/>
        </w:rPr>
        <w:t xml:space="preserve">to </w:t>
      </w:r>
      <w:r w:rsidRPr="00BB32DB">
        <w:rPr>
          <w:sz w:val="24"/>
          <w:szCs w:val="24"/>
        </w:rPr>
        <w:t>career options</w:t>
      </w:r>
      <w:r w:rsidR="004C3283" w:rsidRPr="00BB32DB">
        <w:rPr>
          <w:sz w:val="24"/>
          <w:szCs w:val="24"/>
        </w:rPr>
        <w:t>. To address concerns relating to policy consistency, the Youth Guarantee Act of 2013 mandates that vocational institutions develop guidance counselling plans to align with this vision (Juutilainen, 2017).</w:t>
      </w:r>
    </w:p>
    <w:p w14:paraId="704912FE" w14:textId="251CB00B" w:rsidR="00BA2AF1" w:rsidRDefault="00C747CD" w:rsidP="003E73AC">
      <w:pPr>
        <w:spacing w:line="360" w:lineRule="auto"/>
        <w:jc w:val="both"/>
        <w:rPr>
          <w:sz w:val="24"/>
          <w:szCs w:val="24"/>
        </w:rPr>
      </w:pPr>
      <w:r>
        <w:rPr>
          <w:sz w:val="24"/>
          <w:szCs w:val="24"/>
        </w:rPr>
        <w:t>The</w:t>
      </w:r>
      <w:r w:rsidR="00BA2AF1" w:rsidRPr="00BB32DB">
        <w:rPr>
          <w:sz w:val="24"/>
          <w:szCs w:val="24"/>
        </w:rPr>
        <w:t xml:space="preserve"> </w:t>
      </w:r>
      <w:r w:rsidR="00BA2AF1" w:rsidRPr="00C747CD">
        <w:rPr>
          <w:sz w:val="24"/>
          <w:szCs w:val="24"/>
        </w:rPr>
        <w:t>Curriculum for Wales</w:t>
      </w:r>
      <w:r w:rsidR="00BA2AF1" w:rsidRPr="00BB32DB">
        <w:rPr>
          <w:sz w:val="24"/>
          <w:szCs w:val="24"/>
        </w:rPr>
        <w:t xml:space="preserve"> (2022) </w:t>
      </w:r>
      <w:r w:rsidR="00BA2AF1" w:rsidRPr="00823639">
        <w:rPr>
          <w:sz w:val="24"/>
          <w:szCs w:val="24"/>
        </w:rPr>
        <w:t>mirrors Finland’s priorities, emphasi</w:t>
      </w:r>
      <w:r w:rsidR="004C3283" w:rsidRPr="00823639">
        <w:rPr>
          <w:sz w:val="24"/>
          <w:szCs w:val="24"/>
        </w:rPr>
        <w:t>s</w:t>
      </w:r>
      <w:r w:rsidR="00BA2AF1" w:rsidRPr="00823639">
        <w:rPr>
          <w:sz w:val="24"/>
          <w:szCs w:val="24"/>
        </w:rPr>
        <w:t>ing transferable skills, informed citizenship, and career preparation</w:t>
      </w:r>
      <w:r w:rsidR="00D62D95">
        <w:rPr>
          <w:sz w:val="24"/>
          <w:szCs w:val="24"/>
        </w:rPr>
        <w:t xml:space="preserve"> (Welsh Government, 2020)</w:t>
      </w:r>
      <w:r w:rsidR="00BA2AF1" w:rsidRPr="00823639">
        <w:rPr>
          <w:sz w:val="24"/>
          <w:szCs w:val="24"/>
        </w:rPr>
        <w:t>. Both systems address attainment gaps through policies promoting equal opportunities and well-being</w:t>
      </w:r>
      <w:r w:rsidR="004C3283" w:rsidRPr="00823639">
        <w:rPr>
          <w:sz w:val="24"/>
          <w:szCs w:val="24"/>
        </w:rPr>
        <w:t xml:space="preserve"> (</w:t>
      </w:r>
      <w:r w:rsidR="00BA282D" w:rsidRPr="00823639">
        <w:rPr>
          <w:sz w:val="24"/>
          <w:szCs w:val="24"/>
        </w:rPr>
        <w:t xml:space="preserve">Juutilainen, 2017; </w:t>
      </w:r>
      <w:r w:rsidR="004C3283" w:rsidRPr="00823639">
        <w:rPr>
          <w:sz w:val="24"/>
          <w:szCs w:val="24"/>
        </w:rPr>
        <w:t>Welsh Government, 2015)</w:t>
      </w:r>
      <w:r w:rsidR="00BA2AF1" w:rsidRPr="00823639">
        <w:rPr>
          <w:sz w:val="24"/>
          <w:szCs w:val="24"/>
        </w:rPr>
        <w:t xml:space="preserve">. Wales further aligns its </w:t>
      </w:r>
      <w:r w:rsidR="00BA2AF1" w:rsidRPr="00823639">
        <w:rPr>
          <w:i/>
          <w:iCs/>
          <w:sz w:val="24"/>
          <w:szCs w:val="24"/>
        </w:rPr>
        <w:t>CWRE framework</w:t>
      </w:r>
      <w:r w:rsidR="00BA2AF1" w:rsidRPr="00823639">
        <w:rPr>
          <w:sz w:val="24"/>
          <w:szCs w:val="24"/>
        </w:rPr>
        <w:t xml:space="preserve"> (Welsh Government, 2020) with the </w:t>
      </w:r>
      <w:r w:rsidR="00BA2AF1" w:rsidRPr="00823639">
        <w:rPr>
          <w:i/>
          <w:iCs/>
          <w:sz w:val="24"/>
          <w:szCs w:val="24"/>
        </w:rPr>
        <w:t>Careers Wales Strategic Plan 2016–2022</w:t>
      </w:r>
      <w:r w:rsidR="00BA2AF1" w:rsidRPr="00823639">
        <w:rPr>
          <w:sz w:val="24"/>
          <w:szCs w:val="24"/>
        </w:rPr>
        <w:t xml:space="preserve">, </w:t>
      </w:r>
      <w:r w:rsidR="00296099">
        <w:rPr>
          <w:sz w:val="24"/>
          <w:szCs w:val="24"/>
        </w:rPr>
        <w:t>which emphasises</w:t>
      </w:r>
      <w:r w:rsidR="00BA2AF1" w:rsidRPr="00823639">
        <w:rPr>
          <w:sz w:val="24"/>
          <w:szCs w:val="24"/>
        </w:rPr>
        <w:t xml:space="preserve"> personali</w:t>
      </w:r>
      <w:r w:rsidR="004C3283" w:rsidRPr="00823639">
        <w:rPr>
          <w:sz w:val="24"/>
          <w:szCs w:val="24"/>
        </w:rPr>
        <w:t>s</w:t>
      </w:r>
      <w:r w:rsidR="00BA2AF1" w:rsidRPr="00823639">
        <w:rPr>
          <w:sz w:val="24"/>
          <w:szCs w:val="24"/>
        </w:rPr>
        <w:t>ed guidance and mentorship</w:t>
      </w:r>
      <w:r w:rsidR="00296099">
        <w:rPr>
          <w:sz w:val="24"/>
          <w:szCs w:val="24"/>
        </w:rPr>
        <w:t xml:space="preserve"> (Careers Wales, 2021)</w:t>
      </w:r>
      <w:r w:rsidR="004C3283" w:rsidRPr="00823639">
        <w:rPr>
          <w:sz w:val="24"/>
          <w:szCs w:val="24"/>
        </w:rPr>
        <w:t>. The prioritisation of supporting teenagers in their transition to employment, training, or further education</w:t>
      </w:r>
      <w:r w:rsidR="00A82DE5">
        <w:rPr>
          <w:sz w:val="24"/>
          <w:szCs w:val="24"/>
        </w:rPr>
        <w:t>,</w:t>
      </w:r>
      <w:r w:rsidR="004C3283" w:rsidRPr="00823639">
        <w:rPr>
          <w:sz w:val="24"/>
          <w:szCs w:val="24"/>
        </w:rPr>
        <w:t xml:space="preserve"> highlights how </w:t>
      </w:r>
      <w:r w:rsidR="00D62D95">
        <w:rPr>
          <w:sz w:val="24"/>
          <w:szCs w:val="24"/>
        </w:rPr>
        <w:t>educational policy</w:t>
      </w:r>
      <w:r w:rsidR="00BA2AF1" w:rsidRPr="00823639">
        <w:rPr>
          <w:sz w:val="24"/>
          <w:szCs w:val="24"/>
        </w:rPr>
        <w:t xml:space="preserve"> </w:t>
      </w:r>
      <w:r w:rsidR="00D62D95">
        <w:rPr>
          <w:sz w:val="24"/>
          <w:szCs w:val="24"/>
        </w:rPr>
        <w:t xml:space="preserve">seeks to </w:t>
      </w:r>
      <w:r w:rsidR="00BA2AF1" w:rsidRPr="00823639">
        <w:rPr>
          <w:sz w:val="24"/>
          <w:szCs w:val="24"/>
        </w:rPr>
        <w:t>connect education policy to broader societal goals</w:t>
      </w:r>
      <w:r w:rsidR="00BA282D" w:rsidRPr="00823639">
        <w:rPr>
          <w:sz w:val="24"/>
          <w:szCs w:val="24"/>
        </w:rPr>
        <w:t xml:space="preserve"> (Ball, 2021)</w:t>
      </w:r>
      <w:r w:rsidR="004C3283" w:rsidRPr="00823639">
        <w:rPr>
          <w:sz w:val="24"/>
          <w:szCs w:val="24"/>
        </w:rPr>
        <w:t>.</w:t>
      </w:r>
    </w:p>
    <w:p w14:paraId="307F3C86" w14:textId="77777777" w:rsidR="00B463A9" w:rsidRPr="00823639" w:rsidRDefault="00B463A9" w:rsidP="003E73AC">
      <w:pPr>
        <w:spacing w:line="360" w:lineRule="auto"/>
        <w:jc w:val="both"/>
        <w:rPr>
          <w:sz w:val="24"/>
          <w:szCs w:val="24"/>
        </w:rPr>
      </w:pPr>
    </w:p>
    <w:p w14:paraId="3CB61DCE" w14:textId="77777777" w:rsidR="00AA5F2C" w:rsidRPr="00510666" w:rsidRDefault="00AA5F2C" w:rsidP="003E73AC">
      <w:pPr>
        <w:spacing w:line="360" w:lineRule="auto"/>
        <w:rPr>
          <w:i/>
          <w:iCs/>
          <w:sz w:val="24"/>
          <w:szCs w:val="24"/>
        </w:rPr>
      </w:pPr>
      <w:r w:rsidRPr="00510666">
        <w:rPr>
          <w:i/>
          <w:iCs/>
          <w:sz w:val="24"/>
          <w:szCs w:val="24"/>
        </w:rPr>
        <w:t>Experiential learning in Canada.</w:t>
      </w:r>
    </w:p>
    <w:p w14:paraId="00AEA033" w14:textId="3ECA36BF" w:rsidR="00643172" w:rsidRPr="00BB32DB" w:rsidRDefault="00643172" w:rsidP="003E73AC">
      <w:pPr>
        <w:spacing w:line="360" w:lineRule="auto"/>
        <w:jc w:val="both"/>
        <w:rPr>
          <w:sz w:val="24"/>
          <w:szCs w:val="24"/>
        </w:rPr>
      </w:pPr>
      <w:r w:rsidRPr="00BB32DB">
        <w:rPr>
          <w:sz w:val="24"/>
          <w:szCs w:val="24"/>
        </w:rPr>
        <w:t>Canada’s emphasis on equity and community-focused education aligns with Wales’s goal of preparing students for evolving labour markets</w:t>
      </w:r>
      <w:r w:rsidR="009404A5">
        <w:rPr>
          <w:sz w:val="24"/>
          <w:szCs w:val="24"/>
        </w:rPr>
        <w:t xml:space="preserve"> (Careers Wales, 2021)</w:t>
      </w:r>
      <w:r w:rsidRPr="00BB32DB">
        <w:rPr>
          <w:sz w:val="24"/>
          <w:szCs w:val="24"/>
        </w:rPr>
        <w:t xml:space="preserve">. In provinces </w:t>
      </w:r>
      <w:r w:rsidR="00AE3680" w:rsidRPr="00BB32DB">
        <w:rPr>
          <w:sz w:val="24"/>
          <w:szCs w:val="24"/>
        </w:rPr>
        <w:t>such as</w:t>
      </w:r>
      <w:r w:rsidRPr="00BB32DB">
        <w:rPr>
          <w:sz w:val="24"/>
          <w:szCs w:val="24"/>
        </w:rPr>
        <w:t xml:space="preserve"> Ontario, experiential learning</w:t>
      </w:r>
      <w:r w:rsidR="00894066">
        <w:rPr>
          <w:sz w:val="24"/>
          <w:szCs w:val="24"/>
        </w:rPr>
        <w:t xml:space="preserve">, </w:t>
      </w:r>
      <w:r w:rsidRPr="00BB32DB">
        <w:rPr>
          <w:sz w:val="24"/>
          <w:szCs w:val="24"/>
        </w:rPr>
        <w:t>wh</w:t>
      </w:r>
      <w:r w:rsidR="009738B5">
        <w:rPr>
          <w:sz w:val="24"/>
          <w:szCs w:val="24"/>
        </w:rPr>
        <w:t xml:space="preserve">ich </w:t>
      </w:r>
      <w:r w:rsidRPr="00BB32DB">
        <w:rPr>
          <w:sz w:val="24"/>
          <w:szCs w:val="24"/>
        </w:rPr>
        <w:t>actively engage</w:t>
      </w:r>
      <w:r w:rsidR="009738B5">
        <w:rPr>
          <w:sz w:val="24"/>
          <w:szCs w:val="24"/>
        </w:rPr>
        <w:t xml:space="preserve">s students </w:t>
      </w:r>
      <w:r w:rsidR="009738B5" w:rsidRPr="00BB32DB">
        <w:rPr>
          <w:sz w:val="24"/>
          <w:szCs w:val="24"/>
        </w:rPr>
        <w:t>in</w:t>
      </w:r>
      <w:r w:rsidRPr="00BB32DB">
        <w:rPr>
          <w:sz w:val="24"/>
          <w:szCs w:val="24"/>
        </w:rPr>
        <w:t xml:space="preserve"> real-world environments</w:t>
      </w:r>
      <w:r w:rsidR="00894066">
        <w:rPr>
          <w:sz w:val="24"/>
          <w:szCs w:val="24"/>
        </w:rPr>
        <w:t xml:space="preserve">, </w:t>
      </w:r>
      <w:r w:rsidR="00894066" w:rsidRPr="00BB32DB">
        <w:rPr>
          <w:sz w:val="24"/>
          <w:szCs w:val="24"/>
        </w:rPr>
        <w:t>develops</w:t>
      </w:r>
      <w:r w:rsidRPr="00BB32DB">
        <w:rPr>
          <w:sz w:val="24"/>
          <w:szCs w:val="24"/>
        </w:rPr>
        <w:t xml:space="preserve"> career readiness and transferable skills (Tiessen et al., 2018). This model </w:t>
      </w:r>
      <w:r w:rsidR="008340CC">
        <w:rPr>
          <w:sz w:val="24"/>
          <w:szCs w:val="24"/>
        </w:rPr>
        <w:t xml:space="preserve">is designed to </w:t>
      </w:r>
      <w:r w:rsidRPr="00BB32DB">
        <w:rPr>
          <w:sz w:val="24"/>
          <w:szCs w:val="24"/>
        </w:rPr>
        <w:t xml:space="preserve">bridge academic learning and practical application, </w:t>
      </w:r>
      <w:r w:rsidR="00AE3680" w:rsidRPr="00BB32DB">
        <w:rPr>
          <w:sz w:val="24"/>
          <w:szCs w:val="24"/>
        </w:rPr>
        <w:t>promoting</w:t>
      </w:r>
      <w:r w:rsidRPr="00BB32DB">
        <w:rPr>
          <w:sz w:val="24"/>
          <w:szCs w:val="24"/>
        </w:rPr>
        <w:t xml:space="preserve"> both inclusivity and workforce adaptability</w:t>
      </w:r>
      <w:r w:rsidR="008340CC">
        <w:rPr>
          <w:sz w:val="24"/>
          <w:szCs w:val="24"/>
        </w:rPr>
        <w:t xml:space="preserve"> </w:t>
      </w:r>
      <w:r w:rsidR="008340CC" w:rsidRPr="00BB32DB">
        <w:rPr>
          <w:sz w:val="24"/>
          <w:szCs w:val="24"/>
        </w:rPr>
        <w:t>(Tiessen et al., 2018).</w:t>
      </w:r>
      <w:r w:rsidR="008340CC">
        <w:rPr>
          <w:sz w:val="24"/>
          <w:szCs w:val="24"/>
        </w:rPr>
        <w:t xml:space="preserve"> </w:t>
      </w:r>
    </w:p>
    <w:p w14:paraId="65A4A197" w14:textId="13F2D8F0" w:rsidR="00386EF5" w:rsidRDefault="00386EF5" w:rsidP="003E73AC">
      <w:pPr>
        <w:spacing w:line="360" w:lineRule="auto"/>
        <w:jc w:val="both"/>
        <w:rPr>
          <w:sz w:val="24"/>
          <w:szCs w:val="24"/>
        </w:rPr>
      </w:pPr>
      <w:r w:rsidRPr="00BB32DB">
        <w:rPr>
          <w:sz w:val="24"/>
          <w:szCs w:val="24"/>
        </w:rPr>
        <w:lastRenderedPageBreak/>
        <w:t xml:space="preserve">The Welsh Government’s commitment to expanding vocational pathways and encouraging career exploration </w:t>
      </w:r>
      <w:r w:rsidR="00B463A9">
        <w:rPr>
          <w:sz w:val="24"/>
          <w:szCs w:val="24"/>
        </w:rPr>
        <w:t>reflects</w:t>
      </w:r>
      <w:r w:rsidRPr="00BB32DB">
        <w:rPr>
          <w:sz w:val="24"/>
          <w:szCs w:val="24"/>
        </w:rPr>
        <w:t xml:space="preserve"> these initiatives. The National Mission (</w:t>
      </w:r>
      <w:r w:rsidR="005475D1" w:rsidRPr="00BB32DB">
        <w:rPr>
          <w:sz w:val="24"/>
          <w:szCs w:val="24"/>
        </w:rPr>
        <w:t>Welsh Government, 2023b</w:t>
      </w:r>
      <w:r w:rsidRPr="00BB32DB">
        <w:rPr>
          <w:sz w:val="24"/>
          <w:szCs w:val="24"/>
        </w:rPr>
        <w:t>) highlights the need for collaboration between schools, communities, and employers to ensure students are well-prepared for life beyond school. Similarly, the Curriculum for Wales</w:t>
      </w:r>
      <w:r w:rsidR="00894066">
        <w:rPr>
          <w:sz w:val="24"/>
          <w:szCs w:val="24"/>
        </w:rPr>
        <w:t xml:space="preserve"> (2022)</w:t>
      </w:r>
      <w:r w:rsidRPr="00BB32DB">
        <w:rPr>
          <w:sz w:val="24"/>
          <w:szCs w:val="24"/>
        </w:rPr>
        <w:t xml:space="preserve"> encourages schools to engage with local businesses to provide real-world learning opportunities, reflecting international best practices in connecting education to economic and societal needs (</w:t>
      </w:r>
      <w:r w:rsidR="00B463A9">
        <w:rPr>
          <w:sz w:val="24"/>
          <w:szCs w:val="24"/>
        </w:rPr>
        <w:t>Donaldson, 2015</w:t>
      </w:r>
      <w:r w:rsidRPr="00BB32DB">
        <w:rPr>
          <w:sz w:val="24"/>
          <w:szCs w:val="24"/>
        </w:rPr>
        <w:t>).</w:t>
      </w:r>
    </w:p>
    <w:p w14:paraId="1D223A15" w14:textId="77777777" w:rsidR="00B463A9" w:rsidRPr="00BB32DB" w:rsidRDefault="00B463A9" w:rsidP="003E73AC">
      <w:pPr>
        <w:spacing w:line="360" w:lineRule="auto"/>
        <w:jc w:val="both"/>
        <w:rPr>
          <w:sz w:val="24"/>
          <w:szCs w:val="24"/>
        </w:rPr>
      </w:pPr>
    </w:p>
    <w:p w14:paraId="6BAD0DFC" w14:textId="5771C625" w:rsidR="00AA5F2C" w:rsidRPr="00510666" w:rsidRDefault="00AA5F2C" w:rsidP="003E73AC">
      <w:pPr>
        <w:spacing w:line="360" w:lineRule="auto"/>
        <w:rPr>
          <w:i/>
          <w:iCs/>
          <w:sz w:val="24"/>
          <w:szCs w:val="24"/>
        </w:rPr>
      </w:pPr>
      <w:r w:rsidRPr="00510666">
        <w:rPr>
          <w:i/>
          <w:iCs/>
          <w:sz w:val="24"/>
          <w:szCs w:val="24"/>
        </w:rPr>
        <w:t>Germany’s dual education system.</w:t>
      </w:r>
    </w:p>
    <w:p w14:paraId="23537ADE" w14:textId="3D6575B2" w:rsidR="005873DE" w:rsidRPr="00BB32DB" w:rsidRDefault="005873DE" w:rsidP="003E73AC">
      <w:pPr>
        <w:spacing w:line="360" w:lineRule="auto"/>
        <w:jc w:val="both"/>
        <w:rPr>
          <w:sz w:val="24"/>
          <w:szCs w:val="24"/>
        </w:rPr>
      </w:pPr>
      <w:r w:rsidRPr="005873DE">
        <w:rPr>
          <w:sz w:val="24"/>
          <w:szCs w:val="24"/>
        </w:rPr>
        <w:t>Germany’s dual education system combines classroom learning with hands-on work experience, integrating public vocational schools with private company training</w:t>
      </w:r>
      <w:r w:rsidR="00396B64">
        <w:rPr>
          <w:sz w:val="24"/>
          <w:szCs w:val="24"/>
        </w:rPr>
        <w:t xml:space="preserve"> </w:t>
      </w:r>
      <w:r w:rsidR="00396B64" w:rsidRPr="00BB32DB">
        <w:rPr>
          <w:sz w:val="24"/>
          <w:szCs w:val="24"/>
        </w:rPr>
        <w:t xml:space="preserve">(Ahrbeck et al., 2018). </w:t>
      </w:r>
      <w:r w:rsidRPr="005873DE">
        <w:rPr>
          <w:sz w:val="24"/>
          <w:szCs w:val="24"/>
        </w:rPr>
        <w:t xml:space="preserve"> Supported by the state, industries, and community partners, it aims to create a skilled workforce and </w:t>
      </w:r>
      <w:r>
        <w:rPr>
          <w:sz w:val="24"/>
          <w:szCs w:val="24"/>
        </w:rPr>
        <w:t>reduce</w:t>
      </w:r>
      <w:r w:rsidRPr="005873DE">
        <w:rPr>
          <w:sz w:val="24"/>
          <w:szCs w:val="24"/>
        </w:rPr>
        <w:t xml:space="preserve"> youth unemployment </w:t>
      </w:r>
      <w:r w:rsidRPr="00BB32DB">
        <w:rPr>
          <w:sz w:val="24"/>
          <w:szCs w:val="24"/>
        </w:rPr>
        <w:t xml:space="preserve">(OECD, 2024). </w:t>
      </w:r>
      <w:r w:rsidRPr="005873DE">
        <w:rPr>
          <w:sz w:val="24"/>
          <w:szCs w:val="24"/>
        </w:rPr>
        <w:t xml:space="preserve">However, its secondary </w:t>
      </w:r>
      <w:r w:rsidRPr="00BB32DB">
        <w:rPr>
          <w:sz w:val="24"/>
          <w:szCs w:val="24"/>
        </w:rPr>
        <w:t xml:space="preserve">education system, which assigns students to different school types based on performance and career paths, raises concerns about reinforcing social inequalities by prematurely limiting opportunities (Reupold et al., 2010). </w:t>
      </w:r>
      <w:r w:rsidR="0018021F">
        <w:rPr>
          <w:sz w:val="24"/>
          <w:szCs w:val="24"/>
        </w:rPr>
        <w:t>Nonetheless</w:t>
      </w:r>
      <w:r w:rsidR="00B80D57">
        <w:rPr>
          <w:sz w:val="24"/>
          <w:szCs w:val="24"/>
        </w:rPr>
        <w:t>, proponent</w:t>
      </w:r>
      <w:r w:rsidRPr="00BB32DB">
        <w:rPr>
          <w:sz w:val="24"/>
          <w:szCs w:val="24"/>
        </w:rPr>
        <w:t xml:space="preserve">s argue it tailors learning to diverse student needs and </w:t>
      </w:r>
      <w:r w:rsidR="0036551C" w:rsidRPr="00BB32DB">
        <w:rPr>
          <w:sz w:val="24"/>
          <w:szCs w:val="24"/>
        </w:rPr>
        <w:t>improves</w:t>
      </w:r>
      <w:r w:rsidR="0036551C">
        <w:rPr>
          <w:sz w:val="24"/>
          <w:szCs w:val="24"/>
        </w:rPr>
        <w:t xml:space="preserve"> occupational</w:t>
      </w:r>
      <w:r w:rsidRPr="00BB32DB">
        <w:rPr>
          <w:sz w:val="24"/>
          <w:szCs w:val="24"/>
        </w:rPr>
        <w:t xml:space="preserve"> outcomes (Ahrbeck et al., 2018). </w:t>
      </w:r>
      <w:r w:rsidR="00396B64">
        <w:rPr>
          <w:sz w:val="24"/>
          <w:szCs w:val="24"/>
        </w:rPr>
        <w:t xml:space="preserve"> </w:t>
      </w:r>
    </w:p>
    <w:p w14:paraId="322580BC" w14:textId="6952AB8C" w:rsidR="005873DE" w:rsidRPr="00BB32DB" w:rsidRDefault="008709C2" w:rsidP="003E73AC">
      <w:pPr>
        <w:spacing w:line="360" w:lineRule="auto"/>
        <w:jc w:val="both"/>
        <w:rPr>
          <w:sz w:val="24"/>
          <w:szCs w:val="24"/>
        </w:rPr>
      </w:pPr>
      <w:r>
        <w:rPr>
          <w:sz w:val="24"/>
          <w:szCs w:val="24"/>
        </w:rPr>
        <w:t>Like</w:t>
      </w:r>
      <w:r w:rsidR="00B80D57">
        <w:rPr>
          <w:sz w:val="24"/>
          <w:szCs w:val="24"/>
        </w:rPr>
        <w:t xml:space="preserve"> Germany, </w:t>
      </w:r>
      <w:r w:rsidR="005873DE" w:rsidRPr="005873DE">
        <w:rPr>
          <w:sz w:val="24"/>
          <w:szCs w:val="24"/>
        </w:rPr>
        <w:t xml:space="preserve">Wales’s education reforms </w:t>
      </w:r>
      <w:r w:rsidR="00B80D57">
        <w:rPr>
          <w:sz w:val="24"/>
          <w:szCs w:val="24"/>
        </w:rPr>
        <w:t>seek to expand</w:t>
      </w:r>
      <w:r w:rsidR="005873DE" w:rsidRPr="005873DE">
        <w:rPr>
          <w:sz w:val="24"/>
          <w:szCs w:val="24"/>
        </w:rPr>
        <w:t xml:space="preserve"> vocational pathways</w:t>
      </w:r>
      <w:r w:rsidR="00B80D57">
        <w:rPr>
          <w:sz w:val="24"/>
          <w:szCs w:val="24"/>
        </w:rPr>
        <w:t xml:space="preserve">. The </w:t>
      </w:r>
      <w:r>
        <w:rPr>
          <w:sz w:val="24"/>
          <w:szCs w:val="24"/>
        </w:rPr>
        <w:t>introduction of VCEs</w:t>
      </w:r>
      <w:r w:rsidR="00DD4BA3">
        <w:rPr>
          <w:sz w:val="24"/>
          <w:szCs w:val="24"/>
        </w:rPr>
        <w:t xml:space="preserve"> (</w:t>
      </w:r>
      <w:r>
        <w:rPr>
          <w:sz w:val="24"/>
          <w:szCs w:val="24"/>
        </w:rPr>
        <w:t>Qualifications Wales, n.d.</w:t>
      </w:r>
      <w:r w:rsidR="00DD4BA3">
        <w:rPr>
          <w:sz w:val="24"/>
          <w:szCs w:val="24"/>
        </w:rPr>
        <w:t>)</w:t>
      </w:r>
      <w:r w:rsidR="005873DE" w:rsidRPr="005873DE">
        <w:rPr>
          <w:sz w:val="24"/>
          <w:szCs w:val="24"/>
        </w:rPr>
        <w:t xml:space="preserve"> </w:t>
      </w:r>
      <w:r>
        <w:rPr>
          <w:sz w:val="24"/>
          <w:szCs w:val="24"/>
        </w:rPr>
        <w:t xml:space="preserve">are designed to </w:t>
      </w:r>
      <w:r w:rsidR="005873DE" w:rsidRPr="005873DE">
        <w:rPr>
          <w:sz w:val="24"/>
          <w:szCs w:val="24"/>
        </w:rPr>
        <w:t>encourage flexible, locally relevant skills development</w:t>
      </w:r>
      <w:r w:rsidR="00B80D57">
        <w:rPr>
          <w:sz w:val="24"/>
          <w:szCs w:val="24"/>
        </w:rPr>
        <w:t>, while p</w:t>
      </w:r>
      <w:r w:rsidR="005873DE" w:rsidRPr="005873DE">
        <w:rPr>
          <w:sz w:val="24"/>
          <w:szCs w:val="24"/>
        </w:rPr>
        <w:t xml:space="preserve">rograms like the Seren Network and Youth Guarantee support both high-achieving and vulnerable students, tackling equity issues. Post-16 apprenticeships in Wales also resemble Germany’s dual system by combining formal education with work-based </w:t>
      </w:r>
      <w:r w:rsidR="005873DE" w:rsidRPr="00BB32DB">
        <w:rPr>
          <w:sz w:val="24"/>
          <w:szCs w:val="24"/>
        </w:rPr>
        <w:t>learning</w:t>
      </w:r>
      <w:r w:rsidR="00DD4BA3" w:rsidRPr="00BB32DB">
        <w:rPr>
          <w:sz w:val="24"/>
          <w:szCs w:val="24"/>
        </w:rPr>
        <w:t xml:space="preserve"> (Seren Network</w:t>
      </w:r>
      <w:r w:rsidR="00BB32DB" w:rsidRPr="00BB32DB">
        <w:rPr>
          <w:sz w:val="24"/>
          <w:szCs w:val="24"/>
        </w:rPr>
        <w:t>, 2023</w:t>
      </w:r>
      <w:r w:rsidR="00DD4BA3" w:rsidRPr="00BB32DB">
        <w:rPr>
          <w:sz w:val="24"/>
          <w:szCs w:val="24"/>
        </w:rPr>
        <w:t xml:space="preserve">; Welsh Government, </w:t>
      </w:r>
      <w:r w:rsidR="00BB32DB" w:rsidRPr="00BB32DB">
        <w:rPr>
          <w:sz w:val="24"/>
          <w:szCs w:val="24"/>
        </w:rPr>
        <w:t>2023c</w:t>
      </w:r>
      <w:r w:rsidR="00DD4BA3" w:rsidRPr="00BB32DB">
        <w:rPr>
          <w:sz w:val="24"/>
          <w:szCs w:val="24"/>
        </w:rPr>
        <w:t>)</w:t>
      </w:r>
      <w:r w:rsidR="005873DE" w:rsidRPr="00BB32DB">
        <w:rPr>
          <w:sz w:val="24"/>
          <w:szCs w:val="24"/>
        </w:rPr>
        <w:t>.</w:t>
      </w:r>
    </w:p>
    <w:p w14:paraId="566E85D3" w14:textId="36CDAE73" w:rsidR="00517D75" w:rsidRPr="00823639" w:rsidRDefault="00517D75" w:rsidP="003E73AC">
      <w:pPr>
        <w:spacing w:line="360" w:lineRule="auto"/>
        <w:jc w:val="both"/>
        <w:rPr>
          <w:sz w:val="24"/>
          <w:szCs w:val="24"/>
        </w:rPr>
      </w:pPr>
      <w:r w:rsidRPr="00823639">
        <w:rPr>
          <w:sz w:val="24"/>
          <w:szCs w:val="24"/>
        </w:rPr>
        <w:t xml:space="preserve">The comparison highlights </w:t>
      </w:r>
      <w:r w:rsidR="00B12F58" w:rsidRPr="00823639">
        <w:rPr>
          <w:sz w:val="24"/>
          <w:szCs w:val="24"/>
        </w:rPr>
        <w:t>important</w:t>
      </w:r>
      <w:r w:rsidRPr="00823639">
        <w:rPr>
          <w:sz w:val="24"/>
          <w:szCs w:val="24"/>
        </w:rPr>
        <w:t xml:space="preserve"> </w:t>
      </w:r>
      <w:r w:rsidR="005873DE">
        <w:rPr>
          <w:sz w:val="24"/>
          <w:szCs w:val="24"/>
        </w:rPr>
        <w:t xml:space="preserve">policy </w:t>
      </w:r>
      <w:r w:rsidRPr="00823639">
        <w:rPr>
          <w:sz w:val="24"/>
          <w:szCs w:val="24"/>
        </w:rPr>
        <w:t>trade-offs</w:t>
      </w:r>
      <w:r w:rsidR="00DD4BA3">
        <w:rPr>
          <w:sz w:val="24"/>
          <w:szCs w:val="24"/>
        </w:rPr>
        <w:t xml:space="preserve"> (</w:t>
      </w:r>
      <w:r w:rsidR="00BB32DB" w:rsidRPr="00BB32DB">
        <w:rPr>
          <w:sz w:val="24"/>
          <w:szCs w:val="24"/>
        </w:rPr>
        <w:t>Brownson et al, 2009</w:t>
      </w:r>
      <w:r w:rsidR="00DD4BA3">
        <w:rPr>
          <w:sz w:val="24"/>
          <w:szCs w:val="24"/>
        </w:rPr>
        <w:t>)</w:t>
      </w:r>
      <w:r w:rsidR="009F7C9D">
        <w:rPr>
          <w:sz w:val="24"/>
          <w:szCs w:val="24"/>
        </w:rPr>
        <w:t>.</w:t>
      </w:r>
      <w:r w:rsidRPr="00823639">
        <w:rPr>
          <w:sz w:val="24"/>
          <w:szCs w:val="24"/>
        </w:rPr>
        <w:t xml:space="preserve"> Germany’s system prioriti</w:t>
      </w:r>
      <w:r w:rsidR="005873DE">
        <w:rPr>
          <w:sz w:val="24"/>
          <w:szCs w:val="24"/>
        </w:rPr>
        <w:t>s</w:t>
      </w:r>
      <w:r w:rsidRPr="00823639">
        <w:rPr>
          <w:sz w:val="24"/>
          <w:szCs w:val="24"/>
        </w:rPr>
        <w:t xml:space="preserve">es </w:t>
      </w:r>
      <w:r w:rsidR="00823639" w:rsidRPr="00823639">
        <w:rPr>
          <w:sz w:val="24"/>
          <w:szCs w:val="24"/>
        </w:rPr>
        <w:t>labour</w:t>
      </w:r>
      <w:r w:rsidRPr="00823639">
        <w:rPr>
          <w:sz w:val="24"/>
          <w:szCs w:val="24"/>
        </w:rPr>
        <w:t xml:space="preserve"> market alignment through speciali</w:t>
      </w:r>
      <w:r w:rsidR="00823639" w:rsidRPr="00823639">
        <w:rPr>
          <w:sz w:val="24"/>
          <w:szCs w:val="24"/>
        </w:rPr>
        <w:t>s</w:t>
      </w:r>
      <w:r w:rsidRPr="00823639">
        <w:rPr>
          <w:sz w:val="24"/>
          <w:szCs w:val="24"/>
        </w:rPr>
        <w:t>ation</w:t>
      </w:r>
      <w:r w:rsidR="00DD4BA3">
        <w:rPr>
          <w:sz w:val="24"/>
          <w:szCs w:val="24"/>
        </w:rPr>
        <w:t xml:space="preserve"> (</w:t>
      </w:r>
      <w:r w:rsidR="00BB32DB" w:rsidRPr="00BB32DB">
        <w:rPr>
          <w:sz w:val="24"/>
          <w:szCs w:val="24"/>
        </w:rPr>
        <w:t>Ahrbeck et al., 2018</w:t>
      </w:r>
      <w:r w:rsidR="00DD4BA3">
        <w:rPr>
          <w:sz w:val="24"/>
          <w:szCs w:val="24"/>
        </w:rPr>
        <w:t>)</w:t>
      </w:r>
      <w:r w:rsidRPr="00823639">
        <w:rPr>
          <w:sz w:val="24"/>
          <w:szCs w:val="24"/>
        </w:rPr>
        <w:t>, while Wales focuses on inclusivity and adaptability</w:t>
      </w:r>
      <w:r w:rsidR="00DD4BA3">
        <w:rPr>
          <w:sz w:val="24"/>
          <w:szCs w:val="24"/>
        </w:rPr>
        <w:t xml:space="preserve"> </w:t>
      </w:r>
      <w:r w:rsidR="00DD4BA3" w:rsidRPr="00BB32DB">
        <w:rPr>
          <w:sz w:val="24"/>
          <w:szCs w:val="24"/>
        </w:rPr>
        <w:t>(</w:t>
      </w:r>
      <w:r w:rsidR="005475D1" w:rsidRPr="00BB32DB">
        <w:rPr>
          <w:sz w:val="24"/>
          <w:szCs w:val="24"/>
        </w:rPr>
        <w:t>Welsh Government, 2023b</w:t>
      </w:r>
      <w:r w:rsidR="00DD4BA3" w:rsidRPr="00BB32DB">
        <w:rPr>
          <w:sz w:val="24"/>
          <w:szCs w:val="24"/>
        </w:rPr>
        <w:t>)</w:t>
      </w:r>
      <w:r w:rsidRPr="00BB32DB">
        <w:rPr>
          <w:sz w:val="24"/>
          <w:szCs w:val="24"/>
        </w:rPr>
        <w:t xml:space="preserve">. </w:t>
      </w:r>
      <w:r w:rsidRPr="00823639">
        <w:rPr>
          <w:sz w:val="24"/>
          <w:szCs w:val="24"/>
        </w:rPr>
        <w:t xml:space="preserve">Both </w:t>
      </w:r>
      <w:r w:rsidRPr="00823639">
        <w:rPr>
          <w:sz w:val="24"/>
          <w:szCs w:val="24"/>
        </w:rPr>
        <w:lastRenderedPageBreak/>
        <w:t>systems</w:t>
      </w:r>
      <w:r w:rsidR="00823639" w:rsidRPr="00823639">
        <w:rPr>
          <w:sz w:val="24"/>
          <w:szCs w:val="24"/>
        </w:rPr>
        <w:t>, however,</w:t>
      </w:r>
      <w:r w:rsidRPr="00823639">
        <w:rPr>
          <w:sz w:val="24"/>
          <w:szCs w:val="24"/>
        </w:rPr>
        <w:t xml:space="preserve"> illustrate the importance of blending practical skills with academic knowledge to promote workforce readiness and lifelong learning</w:t>
      </w:r>
      <w:r w:rsidR="009F7C9D">
        <w:rPr>
          <w:sz w:val="24"/>
          <w:szCs w:val="24"/>
        </w:rPr>
        <w:t xml:space="preserve"> (</w:t>
      </w:r>
      <w:r w:rsidR="009F7C9D" w:rsidRPr="00C734B4">
        <w:rPr>
          <w:sz w:val="24"/>
          <w:szCs w:val="24"/>
        </w:rPr>
        <w:t>Young, 2011</w:t>
      </w:r>
      <w:r w:rsidR="009F7C9D">
        <w:rPr>
          <w:sz w:val="24"/>
          <w:szCs w:val="24"/>
        </w:rPr>
        <w:t>)</w:t>
      </w:r>
      <w:r w:rsidRPr="00823639">
        <w:rPr>
          <w:sz w:val="24"/>
          <w:szCs w:val="24"/>
        </w:rPr>
        <w:t>.</w:t>
      </w:r>
    </w:p>
    <w:p w14:paraId="4319487B" w14:textId="0E6EFC3F" w:rsidR="00025701" w:rsidRDefault="00AA5F2C" w:rsidP="00671701">
      <w:pPr>
        <w:spacing w:line="360" w:lineRule="auto"/>
        <w:jc w:val="both"/>
        <w:rPr>
          <w:sz w:val="24"/>
          <w:szCs w:val="24"/>
        </w:rPr>
      </w:pPr>
      <w:r w:rsidRPr="00823639">
        <w:rPr>
          <w:sz w:val="24"/>
          <w:szCs w:val="24"/>
        </w:rPr>
        <w:t xml:space="preserve">By learning from these </w:t>
      </w:r>
      <w:r w:rsidR="000D24CF">
        <w:rPr>
          <w:sz w:val="24"/>
          <w:szCs w:val="24"/>
        </w:rPr>
        <w:t xml:space="preserve">international </w:t>
      </w:r>
      <w:r w:rsidR="000D24CF" w:rsidRPr="00823639">
        <w:rPr>
          <w:sz w:val="24"/>
          <w:szCs w:val="24"/>
        </w:rPr>
        <w:t>models</w:t>
      </w:r>
      <w:r w:rsidR="000D24CF" w:rsidRPr="000D24CF">
        <w:rPr>
          <w:sz w:val="24"/>
          <w:szCs w:val="24"/>
        </w:rPr>
        <w:t xml:space="preserve"> (Kettunen, 2024)</w:t>
      </w:r>
      <w:r w:rsidRPr="00823639">
        <w:rPr>
          <w:sz w:val="24"/>
          <w:szCs w:val="24"/>
        </w:rPr>
        <w:t xml:space="preserve">, </w:t>
      </w:r>
      <w:r w:rsidR="00AC1628">
        <w:rPr>
          <w:sz w:val="24"/>
          <w:szCs w:val="24"/>
        </w:rPr>
        <w:t xml:space="preserve">it is proposed that </w:t>
      </w:r>
      <w:r w:rsidRPr="00823639">
        <w:rPr>
          <w:sz w:val="24"/>
          <w:szCs w:val="24"/>
        </w:rPr>
        <w:t xml:space="preserve">Wales can refine its approach to </w:t>
      </w:r>
      <w:r w:rsidR="000D24CF">
        <w:rPr>
          <w:sz w:val="24"/>
          <w:szCs w:val="24"/>
        </w:rPr>
        <w:t>developing</w:t>
      </w:r>
      <w:r w:rsidRPr="00823639">
        <w:rPr>
          <w:sz w:val="24"/>
          <w:szCs w:val="24"/>
        </w:rPr>
        <w:t xml:space="preserve"> teenage aspirations</w:t>
      </w:r>
      <w:r w:rsidR="000D24CF">
        <w:rPr>
          <w:sz w:val="24"/>
          <w:szCs w:val="24"/>
        </w:rPr>
        <w:t xml:space="preserve"> by</w:t>
      </w:r>
      <w:r w:rsidR="00307D6A">
        <w:rPr>
          <w:sz w:val="24"/>
          <w:szCs w:val="24"/>
        </w:rPr>
        <w:t xml:space="preserve"> </w:t>
      </w:r>
      <w:r w:rsidRPr="00823639">
        <w:rPr>
          <w:sz w:val="24"/>
          <w:szCs w:val="24"/>
        </w:rPr>
        <w:t>ensuring that its policies are both globally informed and uniquely tailored to the Welsh context</w:t>
      </w:r>
      <w:r w:rsidR="005841C7">
        <w:rPr>
          <w:sz w:val="24"/>
          <w:szCs w:val="24"/>
        </w:rPr>
        <w:t xml:space="preserve"> </w:t>
      </w:r>
      <w:r w:rsidR="005841C7" w:rsidRPr="00BB32DB">
        <w:rPr>
          <w:sz w:val="24"/>
          <w:szCs w:val="24"/>
        </w:rPr>
        <w:t>(</w:t>
      </w:r>
      <w:r w:rsidR="005475D1" w:rsidRPr="00BB32DB">
        <w:rPr>
          <w:sz w:val="24"/>
          <w:szCs w:val="24"/>
        </w:rPr>
        <w:t>Donaldson, 2015</w:t>
      </w:r>
      <w:r w:rsidR="005841C7" w:rsidRPr="00BB32DB">
        <w:rPr>
          <w:sz w:val="24"/>
          <w:szCs w:val="24"/>
        </w:rPr>
        <w:t>)</w:t>
      </w:r>
      <w:r w:rsidRPr="00BB32DB">
        <w:rPr>
          <w:sz w:val="24"/>
          <w:szCs w:val="24"/>
        </w:rPr>
        <w:t>.</w:t>
      </w:r>
    </w:p>
    <w:p w14:paraId="560FDCCD" w14:textId="77777777" w:rsidR="00671701" w:rsidRPr="00671701" w:rsidRDefault="00671701" w:rsidP="00671701">
      <w:pPr>
        <w:spacing w:line="360" w:lineRule="auto"/>
        <w:jc w:val="both"/>
        <w:rPr>
          <w:sz w:val="24"/>
          <w:szCs w:val="24"/>
        </w:rPr>
      </w:pPr>
    </w:p>
    <w:p w14:paraId="03D11266" w14:textId="77777777" w:rsidR="00446C7C" w:rsidRPr="00A159E3" w:rsidRDefault="00446C7C" w:rsidP="00DC7B63">
      <w:pPr>
        <w:rPr>
          <w:b/>
          <w:bCs/>
          <w:sz w:val="36"/>
          <w:szCs w:val="36"/>
        </w:rPr>
      </w:pPr>
      <w:r w:rsidRPr="00A159E3">
        <w:rPr>
          <w:b/>
          <w:bCs/>
          <w:sz w:val="32"/>
          <w:szCs w:val="32"/>
        </w:rPr>
        <w:t>Discussion</w:t>
      </w:r>
    </w:p>
    <w:p w14:paraId="06BB7DC5" w14:textId="54AA8BF3" w:rsidR="00446C7C" w:rsidRPr="00BA409A" w:rsidRDefault="00446C7C" w:rsidP="00446C7C">
      <w:pPr>
        <w:spacing w:line="360" w:lineRule="auto"/>
        <w:jc w:val="both"/>
        <w:rPr>
          <w:sz w:val="24"/>
          <w:szCs w:val="24"/>
        </w:rPr>
      </w:pPr>
      <w:r w:rsidRPr="00BA409A">
        <w:rPr>
          <w:sz w:val="24"/>
          <w:szCs w:val="24"/>
        </w:rPr>
        <w:t xml:space="preserve">Throughout this review, several themes have emerged. This section will draw together insights from the preceding sections and discuss </w:t>
      </w:r>
      <w:r w:rsidR="00104CE6">
        <w:rPr>
          <w:sz w:val="24"/>
          <w:szCs w:val="24"/>
        </w:rPr>
        <w:t xml:space="preserve">potential </w:t>
      </w:r>
      <w:r w:rsidRPr="00BA409A">
        <w:rPr>
          <w:sz w:val="24"/>
          <w:szCs w:val="24"/>
        </w:rPr>
        <w:t>implications for policy</w:t>
      </w:r>
      <w:r w:rsidR="00104CE6">
        <w:rPr>
          <w:sz w:val="24"/>
          <w:szCs w:val="24"/>
        </w:rPr>
        <w:t xml:space="preserve"> implementation</w:t>
      </w:r>
      <w:r w:rsidRPr="00BA409A">
        <w:rPr>
          <w:sz w:val="24"/>
          <w:szCs w:val="24"/>
        </w:rPr>
        <w:t xml:space="preserve"> in Wales.</w:t>
      </w:r>
    </w:p>
    <w:p w14:paraId="61D49035" w14:textId="77777777" w:rsidR="00446C7C" w:rsidRPr="00CB14DD" w:rsidRDefault="00446C7C" w:rsidP="00446C7C">
      <w:pPr>
        <w:jc w:val="both"/>
        <w:rPr>
          <w:sz w:val="24"/>
          <w:szCs w:val="24"/>
        </w:rPr>
      </w:pPr>
    </w:p>
    <w:p w14:paraId="32AD3073" w14:textId="77777777" w:rsidR="00446C7C" w:rsidRPr="00510666" w:rsidRDefault="00446C7C" w:rsidP="00446C7C">
      <w:pPr>
        <w:spacing w:line="360" w:lineRule="auto"/>
        <w:jc w:val="both"/>
        <w:rPr>
          <w:i/>
          <w:iCs/>
          <w:sz w:val="24"/>
          <w:szCs w:val="24"/>
        </w:rPr>
      </w:pPr>
      <w:r w:rsidRPr="00510666">
        <w:rPr>
          <w:i/>
          <w:iCs/>
          <w:sz w:val="24"/>
          <w:szCs w:val="24"/>
        </w:rPr>
        <w:t>The Role of Education in Bridging the Aspiration-Attainment Gap</w:t>
      </w:r>
    </w:p>
    <w:p w14:paraId="39287489" w14:textId="69AB677D" w:rsidR="00446C7C" w:rsidRDefault="00446C7C" w:rsidP="00446C7C">
      <w:pPr>
        <w:spacing w:line="360" w:lineRule="auto"/>
        <w:jc w:val="both"/>
        <w:rPr>
          <w:rFonts w:cs="Calibri"/>
          <w:sz w:val="24"/>
          <w:szCs w:val="24"/>
        </w:rPr>
      </w:pPr>
      <w:r w:rsidRPr="00CB14DD">
        <w:rPr>
          <w:rFonts w:cs="Calibri"/>
          <w:sz w:val="24"/>
          <w:szCs w:val="24"/>
        </w:rPr>
        <w:t xml:space="preserve">Research shows that teenage career aspirations are shaped by personal, educational, and societal factors, with socio-economic background and education playing key roles (St Clair et al., 2011). </w:t>
      </w:r>
      <w:r>
        <w:rPr>
          <w:rFonts w:cs="Calibri"/>
          <w:sz w:val="24"/>
          <w:szCs w:val="24"/>
        </w:rPr>
        <w:t>It is argued that d</w:t>
      </w:r>
      <w:r w:rsidRPr="00CB14DD">
        <w:rPr>
          <w:rFonts w:cs="Calibri"/>
          <w:sz w:val="24"/>
          <w:szCs w:val="24"/>
        </w:rPr>
        <w:t xml:space="preserve">isadvantaged youth often face limited resources, role models, and </w:t>
      </w:r>
      <w:r w:rsidR="001B357E">
        <w:rPr>
          <w:rFonts w:cs="Calibri"/>
          <w:sz w:val="24"/>
          <w:szCs w:val="24"/>
        </w:rPr>
        <w:t xml:space="preserve">access to </w:t>
      </w:r>
      <w:r w:rsidRPr="00CB14DD">
        <w:rPr>
          <w:rFonts w:cs="Calibri"/>
          <w:sz w:val="24"/>
          <w:szCs w:val="24"/>
        </w:rPr>
        <w:t>information, leading to unequal opportunities and diminished aspirations (</w:t>
      </w:r>
      <w:r w:rsidRPr="0035282E">
        <w:rPr>
          <w:rFonts w:cs="Calibri"/>
          <w:sz w:val="24"/>
          <w:szCs w:val="24"/>
        </w:rPr>
        <w:t>Patton, 2011</w:t>
      </w:r>
      <w:r w:rsidRPr="00CB14DD">
        <w:rPr>
          <w:rFonts w:cs="Calibri"/>
          <w:sz w:val="24"/>
          <w:szCs w:val="24"/>
        </w:rPr>
        <w:t xml:space="preserve">), which can hinder alignment with realistic career paths (Hughes et al., 2016). To address these issues, the Welsh Government has introduced policies targeting inequality, improving access to career guidance, and challenging stereotypes to align aspirations with labour market demands (Burgess, 2019). While this approach is promising, its ability to tackle systemic inequality remains </w:t>
      </w:r>
      <w:r>
        <w:rPr>
          <w:rFonts w:cs="Calibri"/>
          <w:sz w:val="24"/>
          <w:szCs w:val="24"/>
        </w:rPr>
        <w:t xml:space="preserve">a topic of </w:t>
      </w:r>
      <w:r w:rsidRPr="00CB14DD">
        <w:rPr>
          <w:rFonts w:cs="Calibri"/>
          <w:sz w:val="24"/>
          <w:szCs w:val="24"/>
        </w:rPr>
        <w:t>debate (Morris, 202</w:t>
      </w:r>
      <w:r w:rsidR="005A5D94">
        <w:rPr>
          <w:rFonts w:cs="Calibri"/>
          <w:sz w:val="24"/>
          <w:szCs w:val="24"/>
        </w:rPr>
        <w:t>1</w:t>
      </w:r>
      <w:r w:rsidRPr="00CB14DD">
        <w:rPr>
          <w:rFonts w:cs="Calibri"/>
          <w:sz w:val="24"/>
          <w:szCs w:val="24"/>
        </w:rPr>
        <w:t>). With the new qualifications framework launching in 2025</w:t>
      </w:r>
      <w:r>
        <w:rPr>
          <w:rFonts w:cs="Calibri"/>
          <w:sz w:val="24"/>
          <w:szCs w:val="24"/>
        </w:rPr>
        <w:t xml:space="preserve"> (</w:t>
      </w:r>
      <w:r w:rsidRPr="00CB14DD">
        <w:rPr>
          <w:rFonts w:cs="Calibri"/>
          <w:sz w:val="24"/>
          <w:szCs w:val="24"/>
        </w:rPr>
        <w:t>Qualifications Wales, n.d.</w:t>
      </w:r>
      <w:r>
        <w:rPr>
          <w:rFonts w:cs="Calibri"/>
          <w:sz w:val="24"/>
          <w:szCs w:val="24"/>
        </w:rPr>
        <w:t>)</w:t>
      </w:r>
      <w:r w:rsidRPr="00CB14DD">
        <w:rPr>
          <w:rFonts w:cs="Calibri"/>
          <w:sz w:val="24"/>
          <w:szCs w:val="24"/>
        </w:rPr>
        <w:t>, the full impact of these policies may not be evident for several years.</w:t>
      </w:r>
    </w:p>
    <w:p w14:paraId="600B6D8E" w14:textId="755F2E7B" w:rsidR="00446C7C" w:rsidRPr="00CB14DD" w:rsidRDefault="00446C7C" w:rsidP="00446C7C">
      <w:pPr>
        <w:spacing w:line="360" w:lineRule="auto"/>
        <w:jc w:val="both"/>
        <w:rPr>
          <w:rFonts w:cs="Calibri"/>
          <w:sz w:val="24"/>
          <w:szCs w:val="24"/>
        </w:rPr>
      </w:pPr>
      <w:r w:rsidRPr="00872FBD">
        <w:rPr>
          <w:rFonts w:cs="Calibri"/>
          <w:sz w:val="24"/>
          <w:szCs w:val="24"/>
        </w:rPr>
        <w:t xml:space="preserve">It is asserted that schools play a key role in shaping aspirations through their curriculum, role models, and career guidance (Hughes et al., 2016). </w:t>
      </w:r>
      <w:r w:rsidRPr="0035282E">
        <w:rPr>
          <w:rFonts w:cs="Calibri"/>
          <w:sz w:val="24"/>
          <w:szCs w:val="24"/>
        </w:rPr>
        <w:t>Expanding early career education through the CWRE framework and integrating vocational pathways via Wales’s New Qualifications Framework are central Welsh Government strategies</w:t>
      </w:r>
      <w:r w:rsidR="001B357E">
        <w:rPr>
          <w:rFonts w:cs="Calibri"/>
          <w:sz w:val="24"/>
          <w:szCs w:val="24"/>
        </w:rPr>
        <w:t xml:space="preserve"> and align with this research</w:t>
      </w:r>
      <w:r w:rsidRPr="0035282E">
        <w:rPr>
          <w:rFonts w:cs="Calibri"/>
          <w:sz w:val="24"/>
          <w:szCs w:val="24"/>
        </w:rPr>
        <w:t xml:space="preserve">. </w:t>
      </w:r>
      <w:r w:rsidR="001B357E">
        <w:rPr>
          <w:rFonts w:cs="Calibri"/>
          <w:sz w:val="24"/>
          <w:szCs w:val="24"/>
        </w:rPr>
        <w:t>However, it is argued that e</w:t>
      </w:r>
      <w:r w:rsidRPr="00C705AD">
        <w:rPr>
          <w:rFonts w:cs="Calibri"/>
          <w:sz w:val="24"/>
          <w:szCs w:val="24"/>
        </w:rPr>
        <w:t>ffective policy implementation is crucial</w:t>
      </w:r>
      <w:r w:rsidR="001B357E">
        <w:rPr>
          <w:rFonts w:cs="Calibri"/>
          <w:sz w:val="24"/>
          <w:szCs w:val="24"/>
        </w:rPr>
        <w:t xml:space="preserve"> to the </w:t>
      </w:r>
      <w:r w:rsidR="001B357E">
        <w:rPr>
          <w:rFonts w:cs="Calibri"/>
          <w:sz w:val="24"/>
          <w:szCs w:val="24"/>
        </w:rPr>
        <w:lastRenderedPageBreak/>
        <w:t>realisation of this vision</w:t>
      </w:r>
      <w:r w:rsidRPr="00C705AD">
        <w:rPr>
          <w:rFonts w:cs="Calibri"/>
          <w:sz w:val="24"/>
          <w:szCs w:val="24"/>
        </w:rPr>
        <w:t>, as how schools interpret the Curriculum for Wales could either help or hinder the development of aspirations (Damon, 2009).</w:t>
      </w:r>
    </w:p>
    <w:p w14:paraId="0ECD0F66" w14:textId="77777777" w:rsidR="00CD3F1E" w:rsidRDefault="00CD3F1E" w:rsidP="00446C7C">
      <w:pPr>
        <w:spacing w:line="360" w:lineRule="auto"/>
        <w:jc w:val="both"/>
        <w:rPr>
          <w:rFonts w:cs="Calibri"/>
          <w:b/>
          <w:bCs/>
          <w:sz w:val="24"/>
          <w:szCs w:val="24"/>
        </w:rPr>
      </w:pPr>
    </w:p>
    <w:p w14:paraId="3176CCDC" w14:textId="170AA79E" w:rsidR="00446C7C" w:rsidRPr="00510666" w:rsidRDefault="00446C7C" w:rsidP="00446C7C">
      <w:pPr>
        <w:spacing w:line="360" w:lineRule="auto"/>
        <w:jc w:val="both"/>
        <w:rPr>
          <w:rFonts w:cs="Calibri"/>
          <w:i/>
          <w:iCs/>
          <w:sz w:val="24"/>
          <w:szCs w:val="24"/>
        </w:rPr>
      </w:pPr>
      <w:r w:rsidRPr="00510666">
        <w:rPr>
          <w:rFonts w:cs="Calibri"/>
          <w:i/>
          <w:iCs/>
          <w:sz w:val="24"/>
          <w:szCs w:val="24"/>
        </w:rPr>
        <w:t>Challenges in Policy Implementation</w:t>
      </w:r>
    </w:p>
    <w:p w14:paraId="359DD975" w14:textId="52C20734" w:rsidR="00446C7C" w:rsidRDefault="00446C7C" w:rsidP="00446C7C">
      <w:pPr>
        <w:spacing w:line="360" w:lineRule="auto"/>
        <w:jc w:val="both"/>
        <w:rPr>
          <w:rFonts w:cs="Calibri"/>
          <w:sz w:val="24"/>
          <w:szCs w:val="24"/>
        </w:rPr>
      </w:pPr>
      <w:r w:rsidRPr="007951DF">
        <w:rPr>
          <w:rFonts w:cs="Calibri"/>
          <w:sz w:val="24"/>
          <w:szCs w:val="24"/>
        </w:rPr>
        <w:t>Wales faces significant economic inequalities, reflected in its schools, where some have higher levels of disadvantaged pupils (My Local School Wales). Although CWRE is a mandatory, cross-curricular responsibility in the Curriculum for Wales</w:t>
      </w:r>
      <w:r>
        <w:rPr>
          <w:rFonts w:cs="Calibri"/>
          <w:sz w:val="24"/>
          <w:szCs w:val="24"/>
        </w:rPr>
        <w:t xml:space="preserve"> (Welsh Government, 2020)</w:t>
      </w:r>
      <w:r w:rsidRPr="007951DF">
        <w:rPr>
          <w:rFonts w:cs="Calibri"/>
          <w:sz w:val="24"/>
          <w:szCs w:val="24"/>
        </w:rPr>
        <w:t>, the flexibility schools have in implementation could create inconsistencies, disadvantaging pupils who need support the most</w:t>
      </w:r>
      <w:r>
        <w:rPr>
          <w:rFonts w:cs="Calibri"/>
          <w:sz w:val="24"/>
          <w:szCs w:val="24"/>
        </w:rPr>
        <w:t xml:space="preserve"> </w:t>
      </w:r>
      <w:r w:rsidRPr="00D43547">
        <w:rPr>
          <w:rFonts w:cs="Calibri"/>
          <w:sz w:val="24"/>
          <w:szCs w:val="24"/>
        </w:rPr>
        <w:t>(</w:t>
      </w:r>
      <w:r w:rsidR="00BD379E">
        <w:rPr>
          <w:rFonts w:cs="Calibri"/>
          <w:sz w:val="24"/>
          <w:szCs w:val="24"/>
        </w:rPr>
        <w:t>IFS, 2024</w:t>
      </w:r>
      <w:r w:rsidRPr="00D43547">
        <w:rPr>
          <w:rFonts w:cs="Calibri"/>
          <w:sz w:val="24"/>
          <w:szCs w:val="24"/>
        </w:rPr>
        <w:t xml:space="preserve">). </w:t>
      </w:r>
      <w:r w:rsidRPr="007951DF">
        <w:rPr>
          <w:rFonts w:cs="Calibri"/>
          <w:sz w:val="24"/>
          <w:szCs w:val="24"/>
        </w:rPr>
        <w:t xml:space="preserve">Unclear policy language </w:t>
      </w:r>
      <w:r w:rsidR="00D041B5">
        <w:rPr>
          <w:rFonts w:cs="Calibri"/>
          <w:sz w:val="24"/>
          <w:szCs w:val="24"/>
        </w:rPr>
        <w:t>could hinder</w:t>
      </w:r>
      <w:r w:rsidRPr="007951DF">
        <w:rPr>
          <w:rFonts w:cs="Calibri"/>
          <w:sz w:val="24"/>
          <w:szCs w:val="24"/>
        </w:rPr>
        <w:t xml:space="preserve"> progress (</w:t>
      </w:r>
      <w:r>
        <w:rPr>
          <w:rFonts w:cs="Calibri"/>
          <w:sz w:val="24"/>
          <w:szCs w:val="24"/>
        </w:rPr>
        <w:t>Viennet, 2017</w:t>
      </w:r>
      <w:r w:rsidRPr="007951DF">
        <w:rPr>
          <w:rFonts w:cs="Calibri"/>
          <w:sz w:val="24"/>
          <w:szCs w:val="24"/>
        </w:rPr>
        <w:t xml:space="preserve">), and conflicts between individual aspirations and societal goals may exacerbate challenges (Ball, 2021). While flexibility has value (Mourshed et al., 2011), </w:t>
      </w:r>
      <w:r w:rsidR="00F00354">
        <w:rPr>
          <w:rFonts w:cs="Calibri"/>
          <w:sz w:val="24"/>
          <w:szCs w:val="24"/>
        </w:rPr>
        <w:t xml:space="preserve">it is argued that </w:t>
      </w:r>
      <w:r w:rsidRPr="007951DF">
        <w:rPr>
          <w:rFonts w:cs="Calibri"/>
          <w:sz w:val="24"/>
          <w:szCs w:val="24"/>
        </w:rPr>
        <w:t xml:space="preserve">clear guidelines and robust monitoring systems are essential to balance national consistency with local delivery (IFS, 2024). Greater clarity and strong </w:t>
      </w:r>
      <w:r>
        <w:rPr>
          <w:rFonts w:cs="Calibri"/>
          <w:sz w:val="24"/>
          <w:szCs w:val="24"/>
        </w:rPr>
        <w:t>monitoring processes</w:t>
      </w:r>
      <w:r w:rsidRPr="007951DF">
        <w:rPr>
          <w:rFonts w:cs="Calibri"/>
          <w:sz w:val="24"/>
          <w:szCs w:val="24"/>
        </w:rPr>
        <w:t xml:space="preserve"> </w:t>
      </w:r>
      <w:r w:rsidR="00CD3F1E">
        <w:rPr>
          <w:rFonts w:cs="Calibri"/>
          <w:sz w:val="24"/>
          <w:szCs w:val="24"/>
        </w:rPr>
        <w:t xml:space="preserve">would </w:t>
      </w:r>
      <w:r w:rsidR="00F00354">
        <w:rPr>
          <w:rFonts w:cs="Calibri"/>
          <w:sz w:val="24"/>
          <w:szCs w:val="24"/>
        </w:rPr>
        <w:t xml:space="preserve">therefore </w:t>
      </w:r>
      <w:r w:rsidR="00CD3F1E">
        <w:rPr>
          <w:rFonts w:cs="Calibri"/>
          <w:sz w:val="24"/>
          <w:szCs w:val="24"/>
        </w:rPr>
        <w:t>be beneficial</w:t>
      </w:r>
      <w:r w:rsidRPr="007951DF">
        <w:rPr>
          <w:rFonts w:cs="Calibri"/>
          <w:sz w:val="24"/>
          <w:szCs w:val="24"/>
        </w:rPr>
        <w:t xml:space="preserve"> to ensur</w:t>
      </w:r>
      <w:r w:rsidR="00CD3F1E">
        <w:rPr>
          <w:rFonts w:cs="Calibri"/>
          <w:sz w:val="24"/>
          <w:szCs w:val="24"/>
        </w:rPr>
        <w:t>ing</w:t>
      </w:r>
      <w:r w:rsidRPr="007951DF">
        <w:rPr>
          <w:rFonts w:cs="Calibri"/>
          <w:sz w:val="24"/>
          <w:szCs w:val="24"/>
        </w:rPr>
        <w:t xml:space="preserve"> equitable career support across Wales (Mo</w:t>
      </w:r>
      <w:r w:rsidR="004E727C">
        <w:rPr>
          <w:rFonts w:cs="Calibri"/>
          <w:sz w:val="24"/>
          <w:szCs w:val="24"/>
        </w:rPr>
        <w:t>rris</w:t>
      </w:r>
      <w:r w:rsidRPr="007951DF">
        <w:rPr>
          <w:rFonts w:cs="Calibri"/>
          <w:sz w:val="24"/>
          <w:szCs w:val="24"/>
        </w:rPr>
        <w:t>, 202</w:t>
      </w:r>
      <w:r w:rsidR="004E727C">
        <w:rPr>
          <w:rFonts w:cs="Calibri"/>
          <w:sz w:val="24"/>
          <w:szCs w:val="24"/>
        </w:rPr>
        <w:t>1</w:t>
      </w:r>
      <w:r w:rsidRPr="007951DF">
        <w:rPr>
          <w:rFonts w:cs="Calibri"/>
          <w:sz w:val="24"/>
          <w:szCs w:val="24"/>
        </w:rPr>
        <w:t>).</w:t>
      </w:r>
    </w:p>
    <w:p w14:paraId="03AC2690" w14:textId="77777777" w:rsidR="00446C7C" w:rsidRDefault="00446C7C" w:rsidP="00446C7C">
      <w:pPr>
        <w:spacing w:line="360" w:lineRule="auto"/>
        <w:jc w:val="both"/>
        <w:rPr>
          <w:rFonts w:cs="Calibri"/>
          <w:sz w:val="24"/>
          <w:szCs w:val="24"/>
        </w:rPr>
      </w:pPr>
    </w:p>
    <w:p w14:paraId="7E50199B" w14:textId="77777777" w:rsidR="00446C7C" w:rsidRPr="00510666" w:rsidRDefault="00446C7C" w:rsidP="00446C7C">
      <w:pPr>
        <w:rPr>
          <w:i/>
          <w:iCs/>
          <w:sz w:val="24"/>
          <w:szCs w:val="24"/>
        </w:rPr>
      </w:pPr>
      <w:r w:rsidRPr="00510666">
        <w:rPr>
          <w:i/>
          <w:iCs/>
          <w:sz w:val="24"/>
          <w:szCs w:val="24"/>
        </w:rPr>
        <w:t>Career Education, Mentorship, and Stakeholder Engagement</w:t>
      </w:r>
    </w:p>
    <w:p w14:paraId="4E88E2F9" w14:textId="3BF2A003" w:rsidR="00446C7C" w:rsidRDefault="00446C7C" w:rsidP="00446C7C">
      <w:pPr>
        <w:spacing w:line="360" w:lineRule="auto"/>
        <w:jc w:val="both"/>
        <w:rPr>
          <w:rFonts w:cs="Calibri"/>
          <w:b/>
          <w:bCs/>
          <w:sz w:val="24"/>
          <w:szCs w:val="24"/>
        </w:rPr>
      </w:pPr>
      <w:r>
        <w:rPr>
          <w:sz w:val="24"/>
          <w:szCs w:val="24"/>
        </w:rPr>
        <w:t>Another</w:t>
      </w:r>
      <w:r w:rsidRPr="008E2464">
        <w:rPr>
          <w:sz w:val="24"/>
          <w:szCs w:val="24"/>
        </w:rPr>
        <w:t xml:space="preserve"> challenge in policy implementation will be ensuring that those delivering program</w:t>
      </w:r>
      <w:r>
        <w:rPr>
          <w:sz w:val="24"/>
          <w:szCs w:val="24"/>
        </w:rPr>
        <w:t>me</w:t>
      </w:r>
      <w:r w:rsidRPr="008E2464">
        <w:rPr>
          <w:sz w:val="24"/>
          <w:szCs w:val="24"/>
        </w:rPr>
        <w:t xml:space="preserve">s of study and mentorship </w:t>
      </w:r>
      <w:r>
        <w:rPr>
          <w:sz w:val="24"/>
          <w:szCs w:val="24"/>
        </w:rPr>
        <w:t>have</w:t>
      </w:r>
      <w:r w:rsidRPr="008E2464">
        <w:rPr>
          <w:sz w:val="24"/>
          <w:szCs w:val="24"/>
        </w:rPr>
        <w:t xml:space="preserve"> the necessary skills to enhance, rather than hinder, pupils' pathways. Consistency across diverse school contexts is </w:t>
      </w:r>
      <w:r w:rsidR="00BC5874">
        <w:rPr>
          <w:sz w:val="24"/>
          <w:szCs w:val="24"/>
        </w:rPr>
        <w:t>key</w:t>
      </w:r>
      <w:r>
        <w:rPr>
          <w:sz w:val="24"/>
          <w:szCs w:val="24"/>
        </w:rPr>
        <w:t>, as</w:t>
      </w:r>
      <w:r w:rsidRPr="008E2464">
        <w:rPr>
          <w:sz w:val="24"/>
          <w:szCs w:val="24"/>
        </w:rPr>
        <w:t xml:space="preserve"> systematic career education and mentorship can expand students' career expectations (Kettunen, 2024). Early exposure to career education</w:t>
      </w:r>
      <w:r w:rsidR="00121F77">
        <w:rPr>
          <w:sz w:val="24"/>
          <w:szCs w:val="24"/>
        </w:rPr>
        <w:t xml:space="preserve">, including </w:t>
      </w:r>
      <w:r w:rsidRPr="008E2464">
        <w:rPr>
          <w:sz w:val="24"/>
          <w:szCs w:val="24"/>
        </w:rPr>
        <w:t>integrating employer and mentor involvement</w:t>
      </w:r>
      <w:r w:rsidR="00121F77">
        <w:rPr>
          <w:sz w:val="24"/>
          <w:szCs w:val="24"/>
        </w:rPr>
        <w:t xml:space="preserve">, can </w:t>
      </w:r>
      <w:r w:rsidR="00BC5874">
        <w:rPr>
          <w:sz w:val="24"/>
          <w:szCs w:val="24"/>
        </w:rPr>
        <w:t>help to align</w:t>
      </w:r>
      <w:r w:rsidRPr="008E2464">
        <w:rPr>
          <w:sz w:val="24"/>
          <w:szCs w:val="24"/>
        </w:rPr>
        <w:t xml:space="preserve"> aspirations with workforce demands</w:t>
      </w:r>
      <w:r>
        <w:rPr>
          <w:sz w:val="24"/>
          <w:szCs w:val="24"/>
        </w:rPr>
        <w:t xml:space="preserve"> (Hughes, et al., 2016)</w:t>
      </w:r>
      <w:r w:rsidRPr="008E2464">
        <w:rPr>
          <w:sz w:val="24"/>
          <w:szCs w:val="24"/>
        </w:rPr>
        <w:t xml:space="preserve">, </w:t>
      </w:r>
      <w:r w:rsidR="00BC5874">
        <w:rPr>
          <w:sz w:val="24"/>
          <w:szCs w:val="24"/>
        </w:rPr>
        <w:t xml:space="preserve">which is </w:t>
      </w:r>
      <w:r w:rsidRPr="008E2464">
        <w:rPr>
          <w:sz w:val="24"/>
          <w:szCs w:val="24"/>
        </w:rPr>
        <w:t xml:space="preserve">a </w:t>
      </w:r>
      <w:r w:rsidR="00821019">
        <w:rPr>
          <w:sz w:val="24"/>
          <w:szCs w:val="24"/>
        </w:rPr>
        <w:t>key element</w:t>
      </w:r>
      <w:r w:rsidRPr="008E2464">
        <w:rPr>
          <w:sz w:val="24"/>
          <w:szCs w:val="24"/>
        </w:rPr>
        <w:t xml:space="preserve"> of the CWRE framework (Welsh Government, 2020). However, </w:t>
      </w:r>
      <w:r w:rsidR="007069D8">
        <w:rPr>
          <w:sz w:val="24"/>
          <w:szCs w:val="24"/>
        </w:rPr>
        <w:t>gaps in resources</w:t>
      </w:r>
      <w:r w:rsidRPr="008E2464">
        <w:rPr>
          <w:sz w:val="24"/>
          <w:szCs w:val="24"/>
        </w:rPr>
        <w:t xml:space="preserve"> may restrict access to these opportunities (</w:t>
      </w:r>
      <w:r w:rsidR="00EB3567">
        <w:rPr>
          <w:sz w:val="24"/>
          <w:szCs w:val="24"/>
        </w:rPr>
        <w:t>Morris, 2021</w:t>
      </w:r>
      <w:r w:rsidRPr="008E2464">
        <w:rPr>
          <w:sz w:val="24"/>
          <w:szCs w:val="24"/>
        </w:rPr>
        <w:t xml:space="preserve">). </w:t>
      </w:r>
      <w:r w:rsidR="00BC5874" w:rsidRPr="00BC5874">
        <w:rPr>
          <w:sz w:val="24"/>
          <w:szCs w:val="24"/>
        </w:rPr>
        <w:t xml:space="preserve">It is asserted that policies encouraging partnerships between schools, employers, and mentors can promote diverse pathways, including vocational options (Young, 2011). In this regard, the Welsh Government appears to be on the right track. However, strengthening mentorship programs and ensuring consistent quality across schools </w:t>
      </w:r>
      <w:r w:rsidR="00BC5874" w:rsidRPr="00BC5874">
        <w:rPr>
          <w:sz w:val="24"/>
          <w:szCs w:val="24"/>
        </w:rPr>
        <w:lastRenderedPageBreak/>
        <w:t>remain vital for providing students with practical insights and guidance (</w:t>
      </w:r>
      <w:r w:rsidR="00EB3567">
        <w:rPr>
          <w:sz w:val="24"/>
          <w:szCs w:val="24"/>
        </w:rPr>
        <w:t>Hoff, et al., 2024</w:t>
      </w:r>
      <w:r w:rsidR="00BC5874" w:rsidRPr="00BC5874">
        <w:rPr>
          <w:sz w:val="24"/>
          <w:szCs w:val="24"/>
        </w:rPr>
        <w:t>).</w:t>
      </w:r>
    </w:p>
    <w:p w14:paraId="11E40A8C" w14:textId="77777777" w:rsidR="00F47CB6" w:rsidRDefault="00F47CB6" w:rsidP="00446C7C">
      <w:pPr>
        <w:spacing w:line="360" w:lineRule="auto"/>
        <w:jc w:val="both"/>
        <w:rPr>
          <w:rFonts w:cs="Calibri"/>
          <w:i/>
          <w:iCs/>
          <w:sz w:val="24"/>
          <w:szCs w:val="24"/>
        </w:rPr>
      </w:pPr>
    </w:p>
    <w:p w14:paraId="747852C1" w14:textId="2B024A2B" w:rsidR="00446C7C" w:rsidRPr="00510666" w:rsidRDefault="00446C7C" w:rsidP="00446C7C">
      <w:pPr>
        <w:spacing w:line="360" w:lineRule="auto"/>
        <w:jc w:val="both"/>
        <w:rPr>
          <w:rFonts w:cs="Calibri"/>
          <w:i/>
          <w:iCs/>
          <w:sz w:val="24"/>
          <w:szCs w:val="24"/>
        </w:rPr>
      </w:pPr>
      <w:r w:rsidRPr="00510666">
        <w:rPr>
          <w:rFonts w:cs="Calibri"/>
          <w:i/>
          <w:iCs/>
          <w:sz w:val="24"/>
          <w:szCs w:val="24"/>
        </w:rPr>
        <w:t>Standard and Quality of Vocational Qualifications</w:t>
      </w:r>
    </w:p>
    <w:p w14:paraId="470BB052" w14:textId="28734E58" w:rsidR="00446C7C" w:rsidRDefault="00446C7C" w:rsidP="00446C7C">
      <w:pPr>
        <w:spacing w:line="360" w:lineRule="auto"/>
        <w:jc w:val="both"/>
        <w:rPr>
          <w:rFonts w:cs="Calibri"/>
          <w:sz w:val="24"/>
          <w:szCs w:val="24"/>
        </w:rPr>
      </w:pPr>
      <w:r>
        <w:rPr>
          <w:rFonts w:cs="Calibri"/>
          <w:sz w:val="24"/>
          <w:szCs w:val="24"/>
        </w:rPr>
        <w:t>The</w:t>
      </w:r>
      <w:r w:rsidRPr="00E050A2">
        <w:rPr>
          <w:rFonts w:cs="Calibri"/>
          <w:sz w:val="24"/>
          <w:szCs w:val="24"/>
        </w:rPr>
        <w:t xml:space="preserve"> quality and breadth of vocational pathways</w:t>
      </w:r>
      <w:r>
        <w:rPr>
          <w:rFonts w:cs="Calibri"/>
          <w:sz w:val="24"/>
          <w:szCs w:val="24"/>
        </w:rPr>
        <w:t xml:space="preserve"> is another concern</w:t>
      </w:r>
      <w:r w:rsidRPr="00E050A2">
        <w:rPr>
          <w:rFonts w:cs="Calibri"/>
          <w:sz w:val="24"/>
          <w:szCs w:val="24"/>
        </w:rPr>
        <w:t xml:space="preserve">, along with consistent monitoring, to </w:t>
      </w:r>
      <w:r>
        <w:rPr>
          <w:rFonts w:cs="Calibri"/>
          <w:sz w:val="24"/>
          <w:szCs w:val="24"/>
        </w:rPr>
        <w:t xml:space="preserve">ensure they </w:t>
      </w:r>
      <w:r w:rsidRPr="00E050A2">
        <w:rPr>
          <w:rFonts w:cs="Calibri"/>
          <w:sz w:val="24"/>
          <w:szCs w:val="24"/>
        </w:rPr>
        <w:t xml:space="preserve">complement rather than compete with traditional </w:t>
      </w:r>
      <w:r>
        <w:rPr>
          <w:rFonts w:cs="Calibri"/>
          <w:sz w:val="24"/>
          <w:szCs w:val="24"/>
        </w:rPr>
        <w:t xml:space="preserve">academic </w:t>
      </w:r>
      <w:r w:rsidRPr="00E050A2">
        <w:rPr>
          <w:rFonts w:cs="Calibri"/>
          <w:sz w:val="24"/>
          <w:szCs w:val="24"/>
        </w:rPr>
        <w:t>routes</w:t>
      </w:r>
      <w:r w:rsidR="00196BF2">
        <w:rPr>
          <w:rFonts w:cs="Calibri"/>
          <w:sz w:val="24"/>
          <w:szCs w:val="24"/>
        </w:rPr>
        <w:t xml:space="preserve"> (Hoff et al., 2024)</w:t>
      </w:r>
      <w:r w:rsidRPr="00E050A2">
        <w:rPr>
          <w:rFonts w:cs="Calibri"/>
          <w:sz w:val="24"/>
          <w:szCs w:val="24"/>
        </w:rPr>
        <w:t xml:space="preserve">. </w:t>
      </w:r>
      <w:r w:rsidR="004A6283">
        <w:rPr>
          <w:rFonts w:cs="Calibri"/>
          <w:sz w:val="24"/>
          <w:szCs w:val="24"/>
        </w:rPr>
        <w:t>It is asserted that m</w:t>
      </w:r>
      <w:r w:rsidRPr="00E050A2">
        <w:rPr>
          <w:rFonts w:cs="Calibri"/>
          <w:sz w:val="24"/>
          <w:szCs w:val="24"/>
        </w:rPr>
        <w:t>aintaining parity in quality between vocational and academic qualifications is crucial for preparing students for the future (</w:t>
      </w:r>
      <w:r w:rsidR="00196BF2">
        <w:rPr>
          <w:rFonts w:cs="Calibri"/>
          <w:sz w:val="24"/>
          <w:szCs w:val="24"/>
        </w:rPr>
        <w:t>Young, 2011</w:t>
      </w:r>
      <w:r w:rsidRPr="00E050A2">
        <w:rPr>
          <w:rFonts w:cs="Calibri"/>
          <w:sz w:val="24"/>
          <w:szCs w:val="24"/>
        </w:rPr>
        <w:t xml:space="preserve">). Wales has drawn inspiration from international models, such as Germany, which integrate classroom learning with practical experience. However, unlike these examples, </w:t>
      </w:r>
      <w:r w:rsidR="001F05D2">
        <w:rPr>
          <w:rFonts w:cs="Calibri"/>
          <w:sz w:val="24"/>
          <w:szCs w:val="24"/>
        </w:rPr>
        <w:t xml:space="preserve">it is argued that </w:t>
      </w:r>
      <w:r w:rsidRPr="00E050A2">
        <w:rPr>
          <w:rFonts w:cs="Calibri"/>
          <w:sz w:val="24"/>
          <w:szCs w:val="24"/>
        </w:rPr>
        <w:t xml:space="preserve">the </w:t>
      </w:r>
      <w:r w:rsidR="0070445F">
        <w:rPr>
          <w:rFonts w:cs="Calibri"/>
          <w:sz w:val="24"/>
          <w:szCs w:val="24"/>
        </w:rPr>
        <w:t>provision</w:t>
      </w:r>
      <w:r w:rsidRPr="00E050A2">
        <w:rPr>
          <w:rFonts w:cs="Calibri"/>
          <w:sz w:val="24"/>
          <w:szCs w:val="24"/>
        </w:rPr>
        <w:t xml:space="preserve"> to fully support this vision</w:t>
      </w:r>
      <w:r w:rsidR="00196BF2">
        <w:rPr>
          <w:rFonts w:cs="Calibri"/>
          <w:sz w:val="24"/>
          <w:szCs w:val="24"/>
        </w:rPr>
        <w:t xml:space="preserve"> in Wales is unclear</w:t>
      </w:r>
      <w:r>
        <w:rPr>
          <w:rFonts w:cs="Calibri"/>
          <w:sz w:val="24"/>
          <w:szCs w:val="24"/>
        </w:rPr>
        <w:t xml:space="preserve"> (Morris, 2021)</w:t>
      </w:r>
      <w:r w:rsidRPr="00E050A2">
        <w:rPr>
          <w:rFonts w:cs="Calibri"/>
          <w:sz w:val="24"/>
          <w:szCs w:val="24"/>
        </w:rPr>
        <w:t xml:space="preserve">. The </w:t>
      </w:r>
      <w:r w:rsidR="0070445F">
        <w:rPr>
          <w:rFonts w:cs="Calibri"/>
          <w:sz w:val="24"/>
          <w:szCs w:val="24"/>
        </w:rPr>
        <w:t>infrastructure</w:t>
      </w:r>
      <w:r w:rsidRPr="00E050A2">
        <w:rPr>
          <w:rFonts w:cs="Calibri"/>
          <w:sz w:val="24"/>
          <w:szCs w:val="24"/>
        </w:rPr>
        <w:t xml:space="preserve"> for the new VCE qualifications remains uncertain, and inadequate support could undermine their perception and legitimacy as a viable alternative to academic pathways</w:t>
      </w:r>
      <w:r>
        <w:rPr>
          <w:rFonts w:cs="Calibri"/>
          <w:sz w:val="24"/>
          <w:szCs w:val="24"/>
        </w:rPr>
        <w:t xml:space="preserve"> (Young, 2011)</w:t>
      </w:r>
      <w:r w:rsidRPr="00E050A2">
        <w:rPr>
          <w:rFonts w:cs="Calibri"/>
          <w:sz w:val="24"/>
          <w:szCs w:val="24"/>
        </w:rPr>
        <w:t>.</w:t>
      </w:r>
    </w:p>
    <w:p w14:paraId="0F7D962D" w14:textId="77777777" w:rsidR="001F05D2" w:rsidRDefault="001F05D2" w:rsidP="00446C7C">
      <w:pPr>
        <w:spacing w:line="360" w:lineRule="auto"/>
        <w:jc w:val="both"/>
        <w:rPr>
          <w:rFonts w:cs="Calibri"/>
          <w:color w:val="FF0000"/>
          <w:sz w:val="24"/>
          <w:szCs w:val="24"/>
        </w:rPr>
      </w:pPr>
    </w:p>
    <w:p w14:paraId="26781D85" w14:textId="77777777" w:rsidR="00446C7C" w:rsidRPr="00A159E3" w:rsidRDefault="00446C7C" w:rsidP="00446C7C">
      <w:pPr>
        <w:spacing w:line="360" w:lineRule="auto"/>
        <w:jc w:val="both"/>
        <w:rPr>
          <w:b/>
          <w:bCs/>
          <w:sz w:val="32"/>
          <w:szCs w:val="32"/>
        </w:rPr>
      </w:pPr>
      <w:r w:rsidRPr="00A159E3">
        <w:rPr>
          <w:b/>
          <w:bCs/>
          <w:sz w:val="32"/>
          <w:szCs w:val="32"/>
        </w:rPr>
        <w:t>Conclusion and Recommendations</w:t>
      </w:r>
    </w:p>
    <w:p w14:paraId="69114816" w14:textId="507DF405" w:rsidR="00446C7C" w:rsidRPr="00E60F08" w:rsidRDefault="002B4D8B" w:rsidP="00446C7C">
      <w:pPr>
        <w:spacing w:line="360" w:lineRule="auto"/>
        <w:jc w:val="both"/>
        <w:rPr>
          <w:sz w:val="24"/>
          <w:szCs w:val="24"/>
        </w:rPr>
      </w:pPr>
      <w:r>
        <w:rPr>
          <w:sz w:val="24"/>
          <w:szCs w:val="24"/>
        </w:rPr>
        <w:t>It is asserted that</w:t>
      </w:r>
      <w:r w:rsidR="00446C7C" w:rsidRPr="008E2464">
        <w:rPr>
          <w:sz w:val="24"/>
          <w:szCs w:val="24"/>
        </w:rPr>
        <w:t xml:space="preserve"> Welsh Government’s </w:t>
      </w:r>
      <w:r w:rsidR="00B352BA">
        <w:rPr>
          <w:sz w:val="24"/>
          <w:szCs w:val="24"/>
        </w:rPr>
        <w:t>approach</w:t>
      </w:r>
      <w:r w:rsidR="00446C7C" w:rsidRPr="008E2464">
        <w:rPr>
          <w:sz w:val="24"/>
          <w:szCs w:val="24"/>
        </w:rPr>
        <w:t xml:space="preserve"> demonstrate</w:t>
      </w:r>
      <w:r w:rsidR="00B352BA">
        <w:rPr>
          <w:sz w:val="24"/>
          <w:szCs w:val="24"/>
        </w:rPr>
        <w:t>s</w:t>
      </w:r>
      <w:r w:rsidR="00446C7C" w:rsidRPr="008E2464">
        <w:rPr>
          <w:sz w:val="24"/>
          <w:szCs w:val="24"/>
        </w:rPr>
        <w:t xml:space="preserve"> a commitment to building an equitable education system </w:t>
      </w:r>
      <w:r w:rsidR="00B352BA">
        <w:rPr>
          <w:sz w:val="24"/>
          <w:szCs w:val="24"/>
        </w:rPr>
        <w:t>by</w:t>
      </w:r>
      <w:r w:rsidR="00446C7C" w:rsidRPr="008E2464">
        <w:rPr>
          <w:sz w:val="24"/>
          <w:szCs w:val="24"/>
        </w:rPr>
        <w:t xml:space="preserve"> </w:t>
      </w:r>
      <w:r w:rsidR="00B352BA">
        <w:rPr>
          <w:sz w:val="24"/>
          <w:szCs w:val="24"/>
        </w:rPr>
        <w:t>removing</w:t>
      </w:r>
      <w:r w:rsidR="00446C7C" w:rsidRPr="008E2464">
        <w:rPr>
          <w:sz w:val="24"/>
          <w:szCs w:val="24"/>
        </w:rPr>
        <w:t xml:space="preserve"> </w:t>
      </w:r>
      <w:r w:rsidR="00B352BA">
        <w:rPr>
          <w:sz w:val="24"/>
          <w:szCs w:val="24"/>
        </w:rPr>
        <w:t xml:space="preserve">barriers to learning, expanding post-16 pathways and addressing </w:t>
      </w:r>
      <w:r w:rsidR="00F503CE">
        <w:rPr>
          <w:sz w:val="24"/>
          <w:szCs w:val="24"/>
        </w:rPr>
        <w:t>gaps in skills</w:t>
      </w:r>
      <w:r w:rsidR="00B352BA">
        <w:rPr>
          <w:sz w:val="24"/>
          <w:szCs w:val="24"/>
        </w:rPr>
        <w:t xml:space="preserve"> </w:t>
      </w:r>
      <w:r w:rsidR="00446C7C" w:rsidRPr="00DE57A4">
        <w:rPr>
          <w:sz w:val="24"/>
          <w:szCs w:val="24"/>
        </w:rPr>
        <w:t>(MacBride-Stewart, 2021).</w:t>
      </w:r>
      <w:r w:rsidR="00446C7C" w:rsidRPr="008E2464">
        <w:rPr>
          <w:sz w:val="24"/>
          <w:szCs w:val="24"/>
        </w:rPr>
        <w:t xml:space="preserve"> </w:t>
      </w:r>
      <w:r w:rsidRPr="002B4D8B">
        <w:rPr>
          <w:sz w:val="24"/>
          <w:szCs w:val="24"/>
        </w:rPr>
        <w:t>By incorporating career experiences into the curriculum and broadening vocational pathways, these strategies align with research on improving educational outcomes and promoting social mobility (Young, 2011).</w:t>
      </w:r>
      <w:r>
        <w:rPr>
          <w:sz w:val="24"/>
          <w:szCs w:val="24"/>
        </w:rPr>
        <w:t xml:space="preserve"> </w:t>
      </w:r>
      <w:r w:rsidR="00446C7C" w:rsidRPr="008E2464">
        <w:rPr>
          <w:sz w:val="24"/>
          <w:szCs w:val="24"/>
        </w:rPr>
        <w:t xml:space="preserve">However, challenges </w:t>
      </w:r>
      <w:r>
        <w:rPr>
          <w:sz w:val="24"/>
          <w:szCs w:val="24"/>
        </w:rPr>
        <w:t>remain</w:t>
      </w:r>
      <w:r w:rsidR="00446C7C" w:rsidRPr="008E2464">
        <w:rPr>
          <w:sz w:val="24"/>
          <w:szCs w:val="24"/>
        </w:rPr>
        <w:t>, including the need for clearer guidance</w:t>
      </w:r>
      <w:r>
        <w:rPr>
          <w:sz w:val="24"/>
          <w:szCs w:val="24"/>
        </w:rPr>
        <w:t xml:space="preserve"> around policy implementation</w:t>
      </w:r>
      <w:r w:rsidR="00446C7C" w:rsidRPr="008E2464">
        <w:rPr>
          <w:sz w:val="24"/>
          <w:szCs w:val="24"/>
        </w:rPr>
        <w:t xml:space="preserve">, equitable resource distribution, and </w:t>
      </w:r>
      <w:r>
        <w:rPr>
          <w:sz w:val="24"/>
          <w:szCs w:val="24"/>
        </w:rPr>
        <w:t>stronger</w:t>
      </w:r>
      <w:r w:rsidR="00446C7C" w:rsidRPr="008E2464">
        <w:rPr>
          <w:sz w:val="24"/>
          <w:szCs w:val="24"/>
        </w:rPr>
        <w:t xml:space="preserve"> mentoring systems</w:t>
      </w:r>
      <w:r w:rsidR="00446C7C">
        <w:rPr>
          <w:sz w:val="24"/>
          <w:szCs w:val="24"/>
        </w:rPr>
        <w:t xml:space="preserve"> (</w:t>
      </w:r>
      <w:r w:rsidRPr="002B4D8B">
        <w:rPr>
          <w:sz w:val="24"/>
          <w:szCs w:val="24"/>
        </w:rPr>
        <w:t>Maloney et al., 2023</w:t>
      </w:r>
      <w:r>
        <w:rPr>
          <w:sz w:val="24"/>
          <w:szCs w:val="24"/>
        </w:rPr>
        <w:t xml:space="preserve">). </w:t>
      </w:r>
    </w:p>
    <w:p w14:paraId="57076CDA" w14:textId="77777777" w:rsidR="00446C7C" w:rsidRDefault="00446C7C" w:rsidP="00446C7C">
      <w:pPr>
        <w:rPr>
          <w:sz w:val="24"/>
          <w:szCs w:val="24"/>
        </w:rPr>
      </w:pPr>
      <w:r w:rsidRPr="00E60F08">
        <w:rPr>
          <w:sz w:val="24"/>
          <w:szCs w:val="24"/>
        </w:rPr>
        <w:t>Based on the research undertaken for this paper, the following recommendations are proposed:</w:t>
      </w:r>
    </w:p>
    <w:p w14:paraId="52E7C082" w14:textId="77777777" w:rsidR="00446C7C" w:rsidRDefault="00446C7C" w:rsidP="00446C7C">
      <w:pPr>
        <w:rPr>
          <w:sz w:val="24"/>
          <w:szCs w:val="24"/>
        </w:rPr>
      </w:pPr>
    </w:p>
    <w:p w14:paraId="1FD128D9" w14:textId="77777777" w:rsidR="00446C7C" w:rsidRPr="00510666" w:rsidRDefault="00446C7C" w:rsidP="00446C7C">
      <w:pPr>
        <w:spacing w:line="360" w:lineRule="auto"/>
        <w:jc w:val="both"/>
        <w:rPr>
          <w:i/>
          <w:iCs/>
          <w:sz w:val="24"/>
          <w:szCs w:val="24"/>
        </w:rPr>
      </w:pPr>
      <w:r w:rsidRPr="00510666">
        <w:rPr>
          <w:i/>
          <w:iCs/>
          <w:sz w:val="24"/>
          <w:szCs w:val="24"/>
        </w:rPr>
        <w:t>Recommendation 1: Enhance consistency in policy implementation</w:t>
      </w:r>
    </w:p>
    <w:p w14:paraId="72D7D75B" w14:textId="16D8D24C" w:rsidR="00446C7C" w:rsidRDefault="00446C7C" w:rsidP="00446C7C">
      <w:pPr>
        <w:spacing w:line="360" w:lineRule="auto"/>
        <w:jc w:val="both"/>
        <w:rPr>
          <w:b/>
          <w:bCs/>
          <w:sz w:val="24"/>
          <w:szCs w:val="24"/>
        </w:rPr>
      </w:pPr>
      <w:r w:rsidRPr="006313B8">
        <w:rPr>
          <w:sz w:val="24"/>
          <w:szCs w:val="24"/>
        </w:rPr>
        <w:lastRenderedPageBreak/>
        <w:t>While Careers Wales offers impartial support to all students across Wales</w:t>
      </w:r>
      <w:r w:rsidR="00F503CE">
        <w:rPr>
          <w:sz w:val="24"/>
          <w:szCs w:val="24"/>
        </w:rPr>
        <w:t xml:space="preserve"> (Careers Wales, 2021)</w:t>
      </w:r>
      <w:r w:rsidRPr="006313B8">
        <w:rPr>
          <w:sz w:val="24"/>
          <w:szCs w:val="24"/>
        </w:rPr>
        <w:t xml:space="preserve">, policies should more clearly communicate expectations to schools regarding the delivery of the CWRE curriculum. </w:t>
      </w:r>
      <w:r w:rsidRPr="006E44F9">
        <w:rPr>
          <w:sz w:val="24"/>
          <w:szCs w:val="24"/>
        </w:rPr>
        <w:t xml:space="preserve">Rather than presenting </w:t>
      </w:r>
      <w:r>
        <w:rPr>
          <w:sz w:val="24"/>
          <w:szCs w:val="24"/>
        </w:rPr>
        <w:t>guidance to schools</w:t>
      </w:r>
      <w:r w:rsidRPr="006E44F9">
        <w:rPr>
          <w:sz w:val="24"/>
          <w:szCs w:val="24"/>
        </w:rPr>
        <w:t xml:space="preserve"> </w:t>
      </w:r>
      <w:r>
        <w:rPr>
          <w:sz w:val="24"/>
          <w:szCs w:val="24"/>
        </w:rPr>
        <w:t>as</w:t>
      </w:r>
      <w:r w:rsidRPr="006E44F9">
        <w:rPr>
          <w:sz w:val="24"/>
          <w:szCs w:val="24"/>
        </w:rPr>
        <w:t xml:space="preserve"> </w:t>
      </w:r>
      <w:r w:rsidRPr="00666D68">
        <w:rPr>
          <w:i/>
          <w:iCs/>
          <w:sz w:val="24"/>
          <w:szCs w:val="24"/>
        </w:rPr>
        <w:t>frameworks</w:t>
      </w:r>
      <w:r w:rsidRPr="006E44F9">
        <w:rPr>
          <w:sz w:val="24"/>
          <w:szCs w:val="24"/>
        </w:rPr>
        <w:t xml:space="preserve">, consider using more definitive language, such as </w:t>
      </w:r>
      <w:r w:rsidRPr="00666D68">
        <w:rPr>
          <w:i/>
          <w:iCs/>
          <w:sz w:val="24"/>
          <w:szCs w:val="24"/>
        </w:rPr>
        <w:t>expectations</w:t>
      </w:r>
      <w:r w:rsidRPr="006E44F9">
        <w:rPr>
          <w:sz w:val="24"/>
          <w:szCs w:val="24"/>
        </w:rPr>
        <w:t>, and incorporate clearer, less ambiguous language in policy documents</w:t>
      </w:r>
      <w:r w:rsidR="00F503CE">
        <w:rPr>
          <w:sz w:val="24"/>
          <w:szCs w:val="24"/>
        </w:rPr>
        <w:t xml:space="preserve"> (</w:t>
      </w:r>
      <w:r w:rsidR="00560DB9">
        <w:rPr>
          <w:sz w:val="24"/>
          <w:szCs w:val="24"/>
        </w:rPr>
        <w:t>IFS, 2024</w:t>
      </w:r>
      <w:r w:rsidR="00F503CE">
        <w:rPr>
          <w:sz w:val="24"/>
          <w:szCs w:val="24"/>
        </w:rPr>
        <w:t>)</w:t>
      </w:r>
      <w:r w:rsidRPr="006E44F9">
        <w:rPr>
          <w:sz w:val="24"/>
          <w:szCs w:val="24"/>
        </w:rPr>
        <w:t xml:space="preserve">. This will send stronger signals to schools and help reduce variations in </w:t>
      </w:r>
      <w:r w:rsidR="00091298">
        <w:rPr>
          <w:sz w:val="24"/>
          <w:szCs w:val="24"/>
        </w:rPr>
        <w:t>local interpretation and implementation</w:t>
      </w:r>
      <w:r w:rsidRPr="006E44F9">
        <w:rPr>
          <w:sz w:val="24"/>
          <w:szCs w:val="24"/>
        </w:rPr>
        <w:t>.</w:t>
      </w:r>
      <w:r>
        <w:rPr>
          <w:sz w:val="24"/>
          <w:szCs w:val="24"/>
        </w:rPr>
        <w:t xml:space="preserve"> </w:t>
      </w:r>
    </w:p>
    <w:p w14:paraId="5D6DA276" w14:textId="65D2A106" w:rsidR="00446C7C" w:rsidRPr="00510666" w:rsidRDefault="00446C7C" w:rsidP="00446C7C">
      <w:pPr>
        <w:spacing w:line="360" w:lineRule="auto"/>
        <w:jc w:val="both"/>
        <w:rPr>
          <w:i/>
          <w:iCs/>
          <w:sz w:val="24"/>
          <w:szCs w:val="24"/>
        </w:rPr>
      </w:pPr>
      <w:r w:rsidRPr="00510666">
        <w:rPr>
          <w:i/>
          <w:iCs/>
          <w:sz w:val="24"/>
          <w:szCs w:val="24"/>
        </w:rPr>
        <w:t>Recommendation 2: Strengthen Career Pathways and Vocational Learning</w:t>
      </w:r>
    </w:p>
    <w:p w14:paraId="2967F10C" w14:textId="721F3F40" w:rsidR="00446C7C" w:rsidRDefault="00446C7C" w:rsidP="00446C7C">
      <w:pPr>
        <w:spacing w:line="360" w:lineRule="auto"/>
        <w:jc w:val="both"/>
        <w:rPr>
          <w:sz w:val="24"/>
          <w:szCs w:val="24"/>
        </w:rPr>
      </w:pPr>
      <w:r w:rsidRPr="004201E1">
        <w:rPr>
          <w:sz w:val="24"/>
          <w:szCs w:val="24"/>
        </w:rPr>
        <w:t xml:space="preserve">Develop </w:t>
      </w:r>
      <w:r>
        <w:rPr>
          <w:sz w:val="24"/>
          <w:szCs w:val="24"/>
        </w:rPr>
        <w:t xml:space="preserve">a national </w:t>
      </w:r>
      <w:r w:rsidRPr="004201E1">
        <w:rPr>
          <w:sz w:val="24"/>
          <w:szCs w:val="24"/>
        </w:rPr>
        <w:t>infrastructure to deliver vocational qualifications that match the quality and status of academic pathways</w:t>
      </w:r>
      <w:r w:rsidR="00F503CE">
        <w:rPr>
          <w:sz w:val="24"/>
          <w:szCs w:val="24"/>
        </w:rPr>
        <w:t xml:space="preserve"> (Hoff, et al., 2024)</w:t>
      </w:r>
      <w:r w:rsidRPr="004201E1">
        <w:rPr>
          <w:sz w:val="24"/>
          <w:szCs w:val="24"/>
        </w:rPr>
        <w:t xml:space="preserve">. </w:t>
      </w:r>
      <w:r>
        <w:rPr>
          <w:sz w:val="24"/>
          <w:szCs w:val="24"/>
        </w:rPr>
        <w:t>Taking lessons from the Canadian model</w:t>
      </w:r>
      <w:r w:rsidR="00F503CE">
        <w:rPr>
          <w:sz w:val="24"/>
          <w:szCs w:val="24"/>
        </w:rPr>
        <w:t xml:space="preserve"> (</w:t>
      </w:r>
      <w:r w:rsidR="00F503CE" w:rsidRPr="00BB32DB">
        <w:rPr>
          <w:sz w:val="24"/>
          <w:szCs w:val="24"/>
        </w:rPr>
        <w:t>Tiessen et al., 2018</w:t>
      </w:r>
      <w:r w:rsidR="00F503CE">
        <w:rPr>
          <w:sz w:val="24"/>
          <w:szCs w:val="24"/>
        </w:rPr>
        <w:t>)</w:t>
      </w:r>
      <w:r>
        <w:rPr>
          <w:sz w:val="24"/>
          <w:szCs w:val="24"/>
        </w:rPr>
        <w:t>, e</w:t>
      </w:r>
      <w:r w:rsidRPr="004201E1">
        <w:rPr>
          <w:sz w:val="24"/>
          <w:szCs w:val="24"/>
        </w:rPr>
        <w:t xml:space="preserve">quip schools with practical learning facilities to offer students hands-on experiences, employer </w:t>
      </w:r>
      <w:r w:rsidR="0078104D">
        <w:rPr>
          <w:sz w:val="24"/>
          <w:szCs w:val="24"/>
        </w:rPr>
        <w:t>engagement opportunities</w:t>
      </w:r>
      <w:r w:rsidRPr="004201E1">
        <w:rPr>
          <w:sz w:val="24"/>
          <w:szCs w:val="24"/>
        </w:rPr>
        <w:t>, and access to diverse role models</w:t>
      </w:r>
      <w:r w:rsidR="00F503CE">
        <w:rPr>
          <w:sz w:val="24"/>
          <w:szCs w:val="24"/>
        </w:rPr>
        <w:t xml:space="preserve"> (Young, 2011)</w:t>
      </w:r>
      <w:r w:rsidRPr="004201E1">
        <w:rPr>
          <w:sz w:val="24"/>
          <w:szCs w:val="24"/>
        </w:rPr>
        <w:t xml:space="preserve">. Balanced exposure to both academic and vocational options </w:t>
      </w:r>
      <w:r w:rsidR="00514D6F">
        <w:rPr>
          <w:sz w:val="24"/>
          <w:szCs w:val="24"/>
        </w:rPr>
        <w:t>could</w:t>
      </w:r>
      <w:r w:rsidRPr="0078104D">
        <w:rPr>
          <w:sz w:val="24"/>
          <w:szCs w:val="24"/>
        </w:rPr>
        <w:t xml:space="preserve"> </w:t>
      </w:r>
      <w:r w:rsidR="0078104D">
        <w:rPr>
          <w:sz w:val="24"/>
          <w:szCs w:val="24"/>
        </w:rPr>
        <w:t>support schools to close</w:t>
      </w:r>
      <w:r w:rsidRPr="0078104D">
        <w:rPr>
          <w:sz w:val="24"/>
          <w:szCs w:val="24"/>
        </w:rPr>
        <w:t xml:space="preserve"> the </w:t>
      </w:r>
      <w:r w:rsidRPr="004201E1">
        <w:rPr>
          <w:sz w:val="24"/>
          <w:szCs w:val="24"/>
        </w:rPr>
        <w:t>aspiration-attainment gap and enhance skill development</w:t>
      </w:r>
      <w:r w:rsidR="00F503CE">
        <w:rPr>
          <w:sz w:val="24"/>
          <w:szCs w:val="24"/>
        </w:rPr>
        <w:t xml:space="preserve"> (St. Clair, et al., 2011)</w:t>
      </w:r>
      <w:r w:rsidRPr="004201E1">
        <w:rPr>
          <w:sz w:val="24"/>
          <w:szCs w:val="24"/>
        </w:rPr>
        <w:t>.</w:t>
      </w:r>
    </w:p>
    <w:p w14:paraId="382A5352" w14:textId="2860EC33" w:rsidR="001F05D2" w:rsidRDefault="00446C7C" w:rsidP="001F05D2">
      <w:pPr>
        <w:spacing w:line="360" w:lineRule="auto"/>
        <w:rPr>
          <w:sz w:val="24"/>
          <w:szCs w:val="24"/>
        </w:rPr>
      </w:pPr>
      <w:r w:rsidRPr="00510666">
        <w:rPr>
          <w:i/>
          <w:iCs/>
          <w:sz w:val="24"/>
          <w:szCs w:val="24"/>
        </w:rPr>
        <w:t xml:space="preserve">Recommendation Three: Develop Mentoring Systems </w:t>
      </w:r>
      <w:r w:rsidR="00091714">
        <w:rPr>
          <w:i/>
          <w:iCs/>
          <w:sz w:val="24"/>
          <w:szCs w:val="24"/>
        </w:rPr>
        <w:t>and Training</w:t>
      </w:r>
      <w:r w:rsidRPr="00E60F08">
        <w:br/>
      </w:r>
      <w:r w:rsidR="0078104D" w:rsidRPr="0078104D">
        <w:rPr>
          <w:sz w:val="24"/>
          <w:szCs w:val="24"/>
        </w:rPr>
        <w:t>Establish a national mentorship program with clear guidelines, training, and monitoring to ensure fairness and accountability</w:t>
      </w:r>
      <w:r w:rsidR="00F503CE">
        <w:rPr>
          <w:sz w:val="24"/>
          <w:szCs w:val="24"/>
        </w:rPr>
        <w:t xml:space="preserve"> (IFS, 2024)</w:t>
      </w:r>
      <w:r w:rsidR="0078104D" w:rsidRPr="0078104D">
        <w:rPr>
          <w:sz w:val="24"/>
          <w:szCs w:val="24"/>
        </w:rPr>
        <w:t>. Collaborate with schools, employers, and mentors to enhance mentorship quality</w:t>
      </w:r>
      <w:r w:rsidR="00F503CE">
        <w:rPr>
          <w:sz w:val="24"/>
          <w:szCs w:val="24"/>
        </w:rPr>
        <w:t xml:space="preserve"> (</w:t>
      </w:r>
      <w:r w:rsidR="00F503CE" w:rsidRPr="00F47CB6">
        <w:rPr>
          <w:sz w:val="24"/>
          <w:szCs w:val="24"/>
        </w:rPr>
        <w:t>Stewart, 2012</w:t>
      </w:r>
      <w:r w:rsidR="00F503CE">
        <w:rPr>
          <w:sz w:val="24"/>
          <w:szCs w:val="24"/>
        </w:rPr>
        <w:t>)</w:t>
      </w:r>
      <w:r w:rsidR="0078104D" w:rsidRPr="0078104D">
        <w:rPr>
          <w:sz w:val="24"/>
          <w:szCs w:val="24"/>
        </w:rPr>
        <w:t xml:space="preserve">, drawing inspiration from global models like Germany’s dual education system and Finland’s mentoring programs </w:t>
      </w:r>
      <w:r w:rsidR="00F503CE">
        <w:rPr>
          <w:sz w:val="24"/>
          <w:szCs w:val="24"/>
        </w:rPr>
        <w:t>(</w:t>
      </w:r>
      <w:r w:rsidR="00F503CE" w:rsidRPr="00F503CE">
        <w:rPr>
          <w:sz w:val="24"/>
          <w:szCs w:val="24"/>
        </w:rPr>
        <w:t>Kettunen</w:t>
      </w:r>
      <w:r w:rsidR="00F503CE">
        <w:rPr>
          <w:sz w:val="24"/>
          <w:szCs w:val="24"/>
        </w:rPr>
        <w:t xml:space="preserve">, 2024), </w:t>
      </w:r>
      <w:r w:rsidR="0078104D" w:rsidRPr="0078104D">
        <w:rPr>
          <w:sz w:val="24"/>
          <w:szCs w:val="24"/>
        </w:rPr>
        <w:t>to support aspirations and bridge skills gaps.</w:t>
      </w:r>
    </w:p>
    <w:p w14:paraId="4B17FCD5" w14:textId="77777777" w:rsidR="00D102C1" w:rsidRDefault="00D102C1" w:rsidP="001F05D2">
      <w:pPr>
        <w:spacing w:line="360" w:lineRule="auto"/>
        <w:rPr>
          <w:b/>
          <w:bCs/>
          <w:sz w:val="24"/>
          <w:szCs w:val="24"/>
        </w:rPr>
      </w:pPr>
    </w:p>
    <w:p w14:paraId="5D337107" w14:textId="51515A84" w:rsidR="00F47CB6" w:rsidRPr="00F47CB6" w:rsidRDefault="000F6F1D" w:rsidP="00F47CB6">
      <w:pPr>
        <w:spacing w:line="360" w:lineRule="auto"/>
        <w:jc w:val="both"/>
        <w:rPr>
          <w:sz w:val="24"/>
          <w:szCs w:val="24"/>
        </w:rPr>
      </w:pPr>
      <w:r>
        <w:rPr>
          <w:sz w:val="24"/>
          <w:szCs w:val="24"/>
        </w:rPr>
        <w:t>It is concluded that a</w:t>
      </w:r>
      <w:r w:rsidR="00F47CB6" w:rsidRPr="00F47CB6">
        <w:rPr>
          <w:sz w:val="24"/>
          <w:szCs w:val="24"/>
        </w:rPr>
        <w:t xml:space="preserve">chieving the vision of an </w:t>
      </w:r>
      <w:r w:rsidR="00F47CB6" w:rsidRPr="00B352BA">
        <w:rPr>
          <w:i/>
          <w:iCs/>
          <w:sz w:val="24"/>
          <w:szCs w:val="24"/>
        </w:rPr>
        <w:t>excellent</w:t>
      </w:r>
      <w:r w:rsidR="00F47CB6" w:rsidRPr="00F47CB6">
        <w:rPr>
          <w:sz w:val="24"/>
          <w:szCs w:val="24"/>
        </w:rPr>
        <w:t xml:space="preserve"> and </w:t>
      </w:r>
      <w:r w:rsidR="00F47CB6" w:rsidRPr="00B352BA">
        <w:rPr>
          <w:i/>
          <w:iCs/>
          <w:sz w:val="24"/>
          <w:szCs w:val="24"/>
        </w:rPr>
        <w:t>equitable</w:t>
      </w:r>
      <w:r w:rsidR="00F47CB6" w:rsidRPr="00F47CB6">
        <w:rPr>
          <w:sz w:val="24"/>
          <w:szCs w:val="24"/>
        </w:rPr>
        <w:t xml:space="preserve"> system will require balancing flexibility with accountability (Donaldson, 2015) </w:t>
      </w:r>
      <w:r w:rsidR="00B352BA">
        <w:rPr>
          <w:sz w:val="24"/>
          <w:szCs w:val="24"/>
        </w:rPr>
        <w:t>while</w:t>
      </w:r>
      <w:r w:rsidR="00F47CB6" w:rsidRPr="00F47CB6">
        <w:rPr>
          <w:sz w:val="24"/>
          <w:szCs w:val="24"/>
        </w:rPr>
        <w:t xml:space="preserve"> addressing gaps in infrastructure, training, and monitoring (Stewart, 2012)</w:t>
      </w:r>
      <w:r w:rsidR="00B352BA">
        <w:rPr>
          <w:sz w:val="24"/>
          <w:szCs w:val="24"/>
        </w:rPr>
        <w:t xml:space="preserve">. This will </w:t>
      </w:r>
      <w:r w:rsidR="00F47CB6" w:rsidRPr="00F47CB6">
        <w:rPr>
          <w:sz w:val="24"/>
          <w:szCs w:val="24"/>
        </w:rPr>
        <w:t xml:space="preserve">ensure </w:t>
      </w:r>
      <w:r w:rsidR="00B352BA">
        <w:rPr>
          <w:sz w:val="24"/>
          <w:szCs w:val="24"/>
        </w:rPr>
        <w:t xml:space="preserve">that aspirations are attainable, and </w:t>
      </w:r>
      <w:r w:rsidR="00F47CB6" w:rsidRPr="00F47CB6">
        <w:rPr>
          <w:sz w:val="24"/>
          <w:szCs w:val="24"/>
        </w:rPr>
        <w:t xml:space="preserve">all young people </w:t>
      </w:r>
      <w:r w:rsidR="00B352BA">
        <w:rPr>
          <w:sz w:val="24"/>
          <w:szCs w:val="24"/>
        </w:rPr>
        <w:t xml:space="preserve">in Wales </w:t>
      </w:r>
      <w:r w:rsidR="00F47CB6" w:rsidRPr="00F47CB6">
        <w:rPr>
          <w:sz w:val="24"/>
          <w:szCs w:val="24"/>
        </w:rPr>
        <w:t xml:space="preserve">have the support needed to achieve </w:t>
      </w:r>
      <w:r w:rsidR="00B352BA">
        <w:rPr>
          <w:sz w:val="24"/>
          <w:szCs w:val="24"/>
        </w:rPr>
        <w:t>their potential.</w:t>
      </w:r>
    </w:p>
    <w:p w14:paraId="4E01D484" w14:textId="1DAF9EB3" w:rsidR="009F6CAB" w:rsidRDefault="009F6CAB">
      <w:pPr>
        <w:rPr>
          <w:sz w:val="24"/>
          <w:szCs w:val="24"/>
        </w:rPr>
      </w:pPr>
      <w:r>
        <w:rPr>
          <w:sz w:val="24"/>
          <w:szCs w:val="24"/>
        </w:rPr>
        <w:br w:type="page"/>
      </w:r>
    </w:p>
    <w:p w14:paraId="7F15D631" w14:textId="77777777" w:rsidR="009F6CAB" w:rsidRPr="009F6CAB" w:rsidRDefault="009F6CAB" w:rsidP="009F6CAB">
      <w:pPr>
        <w:spacing w:line="360" w:lineRule="auto"/>
        <w:rPr>
          <w:b/>
          <w:bCs/>
        </w:rPr>
      </w:pPr>
      <w:r w:rsidRPr="009F6CAB">
        <w:rPr>
          <w:b/>
          <w:bCs/>
          <w:sz w:val="24"/>
          <w:szCs w:val="24"/>
        </w:rPr>
        <w:lastRenderedPageBreak/>
        <w:t>References:</w:t>
      </w:r>
    </w:p>
    <w:p w14:paraId="03C70380" w14:textId="77777777" w:rsidR="009F6CAB" w:rsidRPr="009F6CAB" w:rsidRDefault="009F6CAB" w:rsidP="009F6CAB">
      <w:pPr>
        <w:spacing w:line="360" w:lineRule="auto"/>
        <w:rPr>
          <w:sz w:val="20"/>
          <w:szCs w:val="20"/>
        </w:rPr>
      </w:pPr>
      <w:r w:rsidRPr="009F6CAB">
        <w:rPr>
          <w:sz w:val="20"/>
          <w:szCs w:val="20"/>
        </w:rPr>
        <w:t>Abbott</w:t>
      </w:r>
      <w:r w:rsidRPr="009F6CAB">
        <w:rPr>
          <w:rFonts w:ascii="Cambria Math" w:hAnsi="Cambria Math" w:cs="Cambria Math"/>
          <w:sz w:val="20"/>
          <w:szCs w:val="20"/>
        </w:rPr>
        <w:t>‐</w:t>
      </w:r>
      <w:r w:rsidRPr="009F6CAB">
        <w:rPr>
          <w:sz w:val="20"/>
          <w:szCs w:val="20"/>
        </w:rPr>
        <w:t xml:space="preserve">Chapman, J., Martin, K., Ollington, N., Venn, A., Dwyer, T. and Gall, S., 2014. The longitudinal association of childhood school engagement with adult educational and occupational achievement: Findings from an Australian national study. </w:t>
      </w:r>
      <w:r w:rsidRPr="009F6CAB">
        <w:rPr>
          <w:i/>
          <w:iCs/>
          <w:sz w:val="20"/>
          <w:szCs w:val="20"/>
        </w:rPr>
        <w:t>British Educational Research Journal</w:t>
      </w:r>
      <w:r w:rsidRPr="009F6CAB">
        <w:rPr>
          <w:sz w:val="20"/>
          <w:szCs w:val="20"/>
        </w:rPr>
        <w:t>, 40(1), pp.102-120.</w:t>
      </w:r>
    </w:p>
    <w:p w14:paraId="04DDF5FC" w14:textId="77777777" w:rsidR="009F6CAB" w:rsidRPr="009F6CAB" w:rsidRDefault="009F6CAB" w:rsidP="009F6CAB">
      <w:pPr>
        <w:spacing w:line="360" w:lineRule="auto"/>
        <w:rPr>
          <w:sz w:val="20"/>
          <w:szCs w:val="20"/>
        </w:rPr>
      </w:pPr>
      <w:r w:rsidRPr="009F6CAB">
        <w:rPr>
          <w:sz w:val="20"/>
          <w:szCs w:val="20"/>
        </w:rPr>
        <w:t xml:space="preserve">Ahrbeck, B., Felder, M. and Schneiders, K., 2018. Lessons from educational reform in Germany: One school may not fit all. </w:t>
      </w:r>
      <w:r w:rsidRPr="009F6CAB">
        <w:rPr>
          <w:i/>
          <w:iCs/>
          <w:sz w:val="20"/>
          <w:szCs w:val="20"/>
        </w:rPr>
        <w:t>Journal of International Special Needs Education</w:t>
      </w:r>
      <w:r w:rsidRPr="009F6CAB">
        <w:rPr>
          <w:sz w:val="20"/>
          <w:szCs w:val="20"/>
        </w:rPr>
        <w:t>, 21(2), pp.23-33.</w:t>
      </w:r>
    </w:p>
    <w:p w14:paraId="523265AA" w14:textId="77777777" w:rsidR="009F6CAB" w:rsidRPr="009F6CAB" w:rsidRDefault="009F6CAB" w:rsidP="009F6CAB">
      <w:pPr>
        <w:spacing w:line="360" w:lineRule="auto"/>
        <w:rPr>
          <w:sz w:val="20"/>
          <w:szCs w:val="20"/>
        </w:rPr>
      </w:pPr>
      <w:r w:rsidRPr="009F6CAB">
        <w:rPr>
          <w:sz w:val="20"/>
          <w:szCs w:val="20"/>
        </w:rPr>
        <w:t xml:space="preserve">Al-Thani, G., 2024. Comparative Analysis of Stakeholder Integration in Education Policy Making: Case Studies of Singapore and Finland. </w:t>
      </w:r>
      <w:r w:rsidRPr="009F6CAB">
        <w:rPr>
          <w:i/>
          <w:iCs/>
          <w:sz w:val="20"/>
          <w:szCs w:val="20"/>
        </w:rPr>
        <w:t>Societies</w:t>
      </w:r>
      <w:r w:rsidRPr="009F6CAB">
        <w:rPr>
          <w:sz w:val="20"/>
          <w:szCs w:val="20"/>
        </w:rPr>
        <w:t>, 14(7), p.104.</w:t>
      </w:r>
    </w:p>
    <w:p w14:paraId="72730F89" w14:textId="77777777" w:rsidR="009F6CAB" w:rsidRPr="009F6CAB" w:rsidRDefault="009F6CAB" w:rsidP="009F6CAB">
      <w:pPr>
        <w:spacing w:line="360" w:lineRule="auto"/>
        <w:rPr>
          <w:sz w:val="20"/>
          <w:szCs w:val="20"/>
        </w:rPr>
      </w:pPr>
      <w:r w:rsidRPr="009F6CAB">
        <w:rPr>
          <w:sz w:val="20"/>
          <w:szCs w:val="20"/>
        </w:rPr>
        <w:t xml:space="preserve">Ball, S.J., 2021. </w:t>
      </w:r>
      <w:r w:rsidRPr="009F6CAB">
        <w:rPr>
          <w:i/>
          <w:iCs/>
          <w:sz w:val="20"/>
          <w:szCs w:val="20"/>
        </w:rPr>
        <w:t>The education debate</w:t>
      </w:r>
      <w:r w:rsidRPr="009F6CAB">
        <w:rPr>
          <w:sz w:val="20"/>
          <w:szCs w:val="20"/>
        </w:rPr>
        <w:t>. Policy Press.</w:t>
      </w:r>
    </w:p>
    <w:p w14:paraId="4327E05F" w14:textId="1A2C47FA" w:rsidR="009F6CAB" w:rsidRPr="009F6CAB" w:rsidRDefault="009F6CAB" w:rsidP="009F6CAB">
      <w:pPr>
        <w:spacing w:line="360" w:lineRule="auto"/>
        <w:rPr>
          <w:sz w:val="20"/>
          <w:szCs w:val="20"/>
        </w:rPr>
      </w:pPr>
      <w:r w:rsidRPr="009F6CAB">
        <w:rPr>
          <w:sz w:val="20"/>
          <w:szCs w:val="20"/>
        </w:rPr>
        <w:t xml:space="preserve">Mourshed, M., 2011. How the world’s most improved school systems keep getting better. </w:t>
      </w:r>
      <w:r w:rsidRPr="009F6CAB">
        <w:rPr>
          <w:i/>
          <w:iCs/>
          <w:sz w:val="20"/>
          <w:szCs w:val="20"/>
        </w:rPr>
        <w:t>Voprosy obrazovaniya/educational studies Moscow</w:t>
      </w:r>
      <w:r w:rsidRPr="009F6CAB">
        <w:rPr>
          <w:sz w:val="20"/>
          <w:szCs w:val="20"/>
        </w:rPr>
        <w:t>, (1), pp.7-25.</w:t>
      </w:r>
    </w:p>
    <w:p w14:paraId="6BD7820A" w14:textId="77777777" w:rsidR="009F6CAB" w:rsidRPr="009F6CAB" w:rsidRDefault="009F6CAB" w:rsidP="009F6CAB">
      <w:pPr>
        <w:spacing w:line="360" w:lineRule="auto"/>
        <w:rPr>
          <w:sz w:val="20"/>
          <w:szCs w:val="20"/>
        </w:rPr>
      </w:pPr>
      <w:r w:rsidRPr="009F6CAB">
        <w:rPr>
          <w:sz w:val="20"/>
          <w:szCs w:val="20"/>
        </w:rPr>
        <w:t xml:space="preserve">Becker, G.S., 2009. </w:t>
      </w:r>
      <w:r w:rsidRPr="009F6CAB">
        <w:rPr>
          <w:i/>
          <w:iCs/>
          <w:sz w:val="20"/>
          <w:szCs w:val="20"/>
        </w:rPr>
        <w:t>Human capital: A theoretical and empirical analysis, with special reference to education</w:t>
      </w:r>
      <w:r w:rsidRPr="009F6CAB">
        <w:rPr>
          <w:sz w:val="20"/>
          <w:szCs w:val="20"/>
        </w:rPr>
        <w:t>. University of Chicago Press.</w:t>
      </w:r>
    </w:p>
    <w:p w14:paraId="45A49831" w14:textId="77777777" w:rsidR="009F6CAB" w:rsidRPr="009F6CAB" w:rsidRDefault="009F6CAB" w:rsidP="009F6CAB">
      <w:pPr>
        <w:spacing w:line="360" w:lineRule="auto"/>
        <w:rPr>
          <w:sz w:val="20"/>
          <w:szCs w:val="20"/>
        </w:rPr>
      </w:pPr>
      <w:r w:rsidRPr="009F6CAB">
        <w:rPr>
          <w:sz w:val="20"/>
          <w:szCs w:val="20"/>
        </w:rPr>
        <w:t xml:space="preserve">Bernier, A., 2011. Representations of youth in local media: Implications for library service. </w:t>
      </w:r>
      <w:r w:rsidRPr="009F6CAB">
        <w:rPr>
          <w:i/>
          <w:iCs/>
          <w:sz w:val="20"/>
          <w:szCs w:val="20"/>
        </w:rPr>
        <w:t>Library and Information Science Research</w:t>
      </w:r>
      <w:r w:rsidRPr="009F6CAB">
        <w:rPr>
          <w:sz w:val="20"/>
          <w:szCs w:val="20"/>
        </w:rPr>
        <w:t xml:space="preserve">, 33(2), pp.158-167. </w:t>
      </w:r>
      <w:hyperlink r:id="rId5" w:tgtFrame="_new" w:history="1">
        <w:r w:rsidRPr="009F6CAB">
          <w:rPr>
            <w:rStyle w:val="Hyperlink"/>
            <w:sz w:val="20"/>
            <w:szCs w:val="20"/>
          </w:rPr>
          <w:t>https://doi.org/10.1016/j.lisr.2010.09.007</w:t>
        </w:r>
      </w:hyperlink>
    </w:p>
    <w:p w14:paraId="0C8D7ABC" w14:textId="77777777" w:rsidR="009F6CAB" w:rsidRPr="009F6CAB" w:rsidRDefault="009F6CAB" w:rsidP="009F6CAB">
      <w:pPr>
        <w:spacing w:line="360" w:lineRule="auto"/>
        <w:rPr>
          <w:sz w:val="20"/>
          <w:szCs w:val="20"/>
        </w:rPr>
      </w:pPr>
      <w:r w:rsidRPr="009F6CAB">
        <w:rPr>
          <w:sz w:val="20"/>
          <w:szCs w:val="20"/>
        </w:rPr>
        <w:t>Carter-Wall, C. and Whitfield, G., 2012. The role of aspirations, attitudes and behaviour in closing the educational attainment gap. p. 3. York: Joseph Rowntree Foundation.</w:t>
      </w:r>
    </w:p>
    <w:p w14:paraId="2AAA3585" w14:textId="77777777" w:rsidR="009F6CAB" w:rsidRPr="009F6CAB" w:rsidRDefault="009F6CAB" w:rsidP="009F6CAB">
      <w:pPr>
        <w:spacing w:line="360" w:lineRule="auto"/>
        <w:rPr>
          <w:sz w:val="20"/>
          <w:szCs w:val="20"/>
        </w:rPr>
      </w:pPr>
      <w:r w:rsidRPr="009F6CAB">
        <w:rPr>
          <w:sz w:val="20"/>
          <w:szCs w:val="20"/>
        </w:rPr>
        <w:t xml:space="preserve">Chlosta, S., Patzelt, H., Klein, S.B. and Dormann, C., 2012. Parental role models and the decision to become self-employed: The moderating effect of personality. </w:t>
      </w:r>
      <w:r w:rsidRPr="009F6CAB">
        <w:rPr>
          <w:i/>
          <w:iCs/>
          <w:sz w:val="20"/>
          <w:szCs w:val="20"/>
        </w:rPr>
        <w:t>Small Business Economics</w:t>
      </w:r>
      <w:r w:rsidRPr="009F6CAB">
        <w:rPr>
          <w:sz w:val="20"/>
          <w:szCs w:val="20"/>
        </w:rPr>
        <w:t>, 38(1), pp.121-138.</w:t>
      </w:r>
    </w:p>
    <w:p w14:paraId="5ED40422" w14:textId="77777777" w:rsidR="009F6CAB" w:rsidRPr="009F6CAB" w:rsidRDefault="009F6CAB" w:rsidP="009F6CAB">
      <w:pPr>
        <w:spacing w:line="360" w:lineRule="auto"/>
        <w:rPr>
          <w:sz w:val="20"/>
          <w:szCs w:val="20"/>
        </w:rPr>
      </w:pPr>
      <w:r w:rsidRPr="009F6CAB">
        <w:rPr>
          <w:sz w:val="20"/>
          <w:szCs w:val="20"/>
        </w:rPr>
        <w:t xml:space="preserve">Careers Wales, 2021. </w:t>
      </w:r>
      <w:r w:rsidRPr="009F6CAB">
        <w:rPr>
          <w:i/>
          <w:iCs/>
          <w:sz w:val="20"/>
          <w:szCs w:val="20"/>
        </w:rPr>
        <w:t>Brighter Futures: Vision and Strategy 2021–2026</w:t>
      </w:r>
      <w:r w:rsidRPr="009F6CAB">
        <w:rPr>
          <w:sz w:val="20"/>
          <w:szCs w:val="20"/>
        </w:rPr>
        <w:t xml:space="preserve">. Available at: </w:t>
      </w:r>
      <w:hyperlink r:id="rId6" w:tgtFrame="_new" w:history="1">
        <w:r w:rsidRPr="009F6CAB">
          <w:rPr>
            <w:rStyle w:val="Hyperlink"/>
            <w:sz w:val="20"/>
            <w:szCs w:val="20"/>
          </w:rPr>
          <w:t>https://careerswales.gov.wales/about-us/brighter-futures/brighter-futures-a-summary</w:t>
        </w:r>
      </w:hyperlink>
      <w:r w:rsidRPr="009F6CAB">
        <w:rPr>
          <w:sz w:val="20"/>
          <w:szCs w:val="20"/>
        </w:rPr>
        <w:t xml:space="preserve"> (Accessed: 16 Nov. 2024).</w:t>
      </w:r>
    </w:p>
    <w:p w14:paraId="06AF7DDF" w14:textId="77777777" w:rsidR="009F6CAB" w:rsidRPr="009F6CAB" w:rsidRDefault="009F6CAB" w:rsidP="009F6CAB">
      <w:pPr>
        <w:spacing w:line="360" w:lineRule="auto"/>
        <w:rPr>
          <w:sz w:val="20"/>
          <w:szCs w:val="20"/>
        </w:rPr>
      </w:pPr>
      <w:r w:rsidRPr="009F6CAB">
        <w:rPr>
          <w:sz w:val="20"/>
          <w:szCs w:val="20"/>
        </w:rPr>
        <w:t xml:space="preserve">Damon, W., 2009. </w:t>
      </w:r>
      <w:r w:rsidRPr="009F6CAB">
        <w:rPr>
          <w:i/>
          <w:iCs/>
          <w:sz w:val="20"/>
          <w:szCs w:val="20"/>
        </w:rPr>
        <w:t>The path to purpose: How young people find their calling in life</w:t>
      </w:r>
      <w:r w:rsidRPr="009F6CAB">
        <w:rPr>
          <w:sz w:val="20"/>
          <w:szCs w:val="20"/>
        </w:rPr>
        <w:t>. Simon and Schuster.</w:t>
      </w:r>
    </w:p>
    <w:p w14:paraId="157C8E9C" w14:textId="77777777" w:rsidR="009F6CAB" w:rsidRPr="009F6CAB" w:rsidRDefault="009F6CAB" w:rsidP="009F6CAB">
      <w:pPr>
        <w:spacing w:line="360" w:lineRule="auto"/>
        <w:rPr>
          <w:sz w:val="20"/>
          <w:szCs w:val="20"/>
        </w:rPr>
      </w:pPr>
      <w:r w:rsidRPr="009F6CAB">
        <w:rPr>
          <w:sz w:val="20"/>
          <w:szCs w:val="20"/>
        </w:rPr>
        <w:t>Darling-Hammond, L., 1997. School reform at the crossroads: Confronting the central issues of teaching. </w:t>
      </w:r>
      <w:r w:rsidRPr="009F6CAB">
        <w:rPr>
          <w:i/>
          <w:iCs/>
          <w:sz w:val="20"/>
          <w:szCs w:val="20"/>
        </w:rPr>
        <w:t>Educational Policy</w:t>
      </w:r>
      <w:r w:rsidRPr="009F6CAB">
        <w:rPr>
          <w:sz w:val="20"/>
          <w:szCs w:val="20"/>
        </w:rPr>
        <w:t>, </w:t>
      </w:r>
      <w:r w:rsidRPr="009F6CAB">
        <w:rPr>
          <w:i/>
          <w:iCs/>
          <w:sz w:val="20"/>
          <w:szCs w:val="20"/>
        </w:rPr>
        <w:t>11</w:t>
      </w:r>
      <w:r w:rsidRPr="009F6CAB">
        <w:rPr>
          <w:sz w:val="20"/>
          <w:szCs w:val="20"/>
        </w:rPr>
        <w:t>(2), pp.151-166.</w:t>
      </w:r>
    </w:p>
    <w:p w14:paraId="6677ABCB" w14:textId="77777777" w:rsidR="009F6CAB" w:rsidRPr="009F6CAB" w:rsidRDefault="009F6CAB" w:rsidP="009F6CAB">
      <w:pPr>
        <w:spacing w:line="360" w:lineRule="auto"/>
        <w:rPr>
          <w:sz w:val="20"/>
          <w:szCs w:val="20"/>
        </w:rPr>
      </w:pPr>
      <w:r w:rsidRPr="009F6CAB">
        <w:rPr>
          <w:sz w:val="20"/>
          <w:szCs w:val="20"/>
        </w:rPr>
        <w:t xml:space="preserve">Davies, A.J., Morgan, A., Connolly, M. and Milton, E., 2024. Education in Wales since Devolution: Three Waves of Policy, and the Pressing and Reoccurring Challenge of Implementation. </w:t>
      </w:r>
      <w:r w:rsidRPr="009F6CAB">
        <w:rPr>
          <w:i/>
          <w:iCs/>
          <w:sz w:val="20"/>
          <w:szCs w:val="20"/>
        </w:rPr>
        <w:t>Wales Journal of Education</w:t>
      </w:r>
      <w:r w:rsidRPr="009F6CAB">
        <w:rPr>
          <w:sz w:val="20"/>
          <w:szCs w:val="20"/>
        </w:rPr>
        <w:t>, 26(2).</w:t>
      </w:r>
    </w:p>
    <w:p w14:paraId="180682A2" w14:textId="77777777" w:rsidR="009F6CAB" w:rsidRPr="009F6CAB" w:rsidRDefault="009F6CAB" w:rsidP="009F6CAB">
      <w:pPr>
        <w:spacing w:line="360" w:lineRule="auto"/>
        <w:rPr>
          <w:sz w:val="20"/>
          <w:szCs w:val="20"/>
        </w:rPr>
      </w:pPr>
      <w:r w:rsidRPr="009F6CAB">
        <w:rPr>
          <w:sz w:val="20"/>
          <w:szCs w:val="20"/>
        </w:rPr>
        <w:t xml:space="preserve">Donaldson, G., 2015. </w:t>
      </w:r>
      <w:r w:rsidRPr="009F6CAB">
        <w:rPr>
          <w:i/>
          <w:iCs/>
          <w:sz w:val="20"/>
          <w:szCs w:val="20"/>
        </w:rPr>
        <w:t>Successful futures: Independent review of curriculum and assessment arrangements in Wales</w:t>
      </w:r>
      <w:r w:rsidRPr="009F6CAB">
        <w:rPr>
          <w:sz w:val="20"/>
          <w:szCs w:val="20"/>
        </w:rPr>
        <w:t>. Welsh Government.</w:t>
      </w:r>
    </w:p>
    <w:p w14:paraId="4CCE4C4E" w14:textId="77777777" w:rsidR="009F6CAB" w:rsidRPr="009F6CAB" w:rsidRDefault="009F6CAB" w:rsidP="009F6CAB">
      <w:pPr>
        <w:spacing w:line="360" w:lineRule="auto"/>
        <w:rPr>
          <w:sz w:val="20"/>
          <w:szCs w:val="20"/>
        </w:rPr>
      </w:pPr>
      <w:r w:rsidRPr="009F6CAB">
        <w:rPr>
          <w:sz w:val="20"/>
          <w:szCs w:val="20"/>
        </w:rPr>
        <w:lastRenderedPageBreak/>
        <w:t xml:space="preserve">Dewey, J., 2016. Excerpts from </w:t>
      </w:r>
      <w:r w:rsidRPr="009F6CAB">
        <w:rPr>
          <w:i/>
          <w:iCs/>
          <w:sz w:val="20"/>
          <w:szCs w:val="20"/>
        </w:rPr>
        <w:t>Democracy and Education</w:t>
      </w:r>
      <w:r w:rsidRPr="009F6CAB">
        <w:rPr>
          <w:sz w:val="20"/>
          <w:szCs w:val="20"/>
        </w:rPr>
        <w:t xml:space="preserve"> (1916). </w:t>
      </w:r>
      <w:r w:rsidRPr="009F6CAB">
        <w:rPr>
          <w:i/>
          <w:iCs/>
          <w:sz w:val="20"/>
          <w:szCs w:val="20"/>
        </w:rPr>
        <w:t>Schools</w:t>
      </w:r>
      <w:r w:rsidRPr="009F6CAB">
        <w:rPr>
          <w:sz w:val="20"/>
          <w:szCs w:val="20"/>
        </w:rPr>
        <w:t>, 13(1), pp.127-139.</w:t>
      </w:r>
    </w:p>
    <w:p w14:paraId="215222CE" w14:textId="77777777" w:rsidR="009F6CAB" w:rsidRPr="009F6CAB" w:rsidRDefault="009F6CAB" w:rsidP="009F6CAB">
      <w:pPr>
        <w:spacing w:line="360" w:lineRule="auto"/>
        <w:rPr>
          <w:sz w:val="20"/>
          <w:szCs w:val="20"/>
        </w:rPr>
      </w:pPr>
      <w:r w:rsidRPr="009F6CAB">
        <w:rPr>
          <w:sz w:val="20"/>
          <w:szCs w:val="20"/>
        </w:rPr>
        <w:t xml:space="preserve">Estyn, 2023. </w:t>
      </w:r>
      <w:r w:rsidRPr="009F6CAB">
        <w:rPr>
          <w:i/>
          <w:iCs/>
          <w:sz w:val="20"/>
          <w:szCs w:val="20"/>
        </w:rPr>
        <w:t>Annual Report: Tackling the impact of poverty and disadvantage</w:t>
      </w:r>
      <w:r w:rsidRPr="009F6CAB">
        <w:rPr>
          <w:sz w:val="20"/>
          <w:szCs w:val="20"/>
        </w:rPr>
        <w:t xml:space="preserve">. Available at: </w:t>
      </w:r>
      <w:hyperlink r:id="rId7" w:tgtFrame="_new" w:history="1">
        <w:r w:rsidRPr="009F6CAB">
          <w:rPr>
            <w:rStyle w:val="Hyperlink"/>
            <w:sz w:val="20"/>
            <w:szCs w:val="20"/>
          </w:rPr>
          <w:t>https://annual-report.estyn.gov.wales/annual_report/tackling-the-impact-of-poverty-and-disadvantage</w:t>
        </w:r>
      </w:hyperlink>
      <w:r w:rsidRPr="009F6CAB">
        <w:rPr>
          <w:sz w:val="20"/>
          <w:szCs w:val="20"/>
        </w:rPr>
        <w:t xml:space="preserve"> (Accessed: 22 July 2024).</w:t>
      </w:r>
    </w:p>
    <w:p w14:paraId="670E03D6" w14:textId="77777777" w:rsidR="009F6CAB" w:rsidRPr="009F6CAB" w:rsidRDefault="009F6CAB" w:rsidP="009F6CAB">
      <w:pPr>
        <w:spacing w:line="360" w:lineRule="auto"/>
        <w:rPr>
          <w:sz w:val="20"/>
          <w:szCs w:val="20"/>
        </w:rPr>
      </w:pPr>
      <w:r w:rsidRPr="009F6CAB">
        <w:rPr>
          <w:sz w:val="20"/>
          <w:szCs w:val="20"/>
        </w:rPr>
        <w:t xml:space="preserve">Freire, P., 1996. </w:t>
      </w:r>
      <w:r w:rsidRPr="009F6CAB">
        <w:rPr>
          <w:i/>
          <w:iCs/>
          <w:sz w:val="20"/>
          <w:szCs w:val="20"/>
        </w:rPr>
        <w:t>Pedagogy of the oppressed</w:t>
      </w:r>
      <w:r w:rsidRPr="009F6CAB">
        <w:rPr>
          <w:sz w:val="20"/>
          <w:szCs w:val="20"/>
        </w:rPr>
        <w:t xml:space="preserve"> (revised). New York: Continuum, pp.357-358.</w:t>
      </w:r>
    </w:p>
    <w:p w14:paraId="4B9BB8D5" w14:textId="77777777" w:rsidR="009F6CAB" w:rsidRPr="009F6CAB" w:rsidRDefault="009F6CAB" w:rsidP="009F6CAB">
      <w:pPr>
        <w:spacing w:line="360" w:lineRule="auto"/>
        <w:rPr>
          <w:sz w:val="20"/>
          <w:szCs w:val="20"/>
        </w:rPr>
      </w:pPr>
      <w:r w:rsidRPr="009F6CAB">
        <w:rPr>
          <w:sz w:val="20"/>
          <w:szCs w:val="20"/>
        </w:rPr>
        <w:t xml:space="preserve">Fullan, M., 2011. Whole system reform for innovative teaching and learning. In: Microsoft-ITL Research (Ed.), </w:t>
      </w:r>
      <w:r w:rsidRPr="009F6CAB">
        <w:rPr>
          <w:i/>
          <w:iCs/>
          <w:sz w:val="20"/>
          <w:szCs w:val="20"/>
        </w:rPr>
        <w:t>Innovative Teaching and Learning Research</w:t>
      </w:r>
      <w:r w:rsidRPr="009F6CAB">
        <w:rPr>
          <w:sz w:val="20"/>
          <w:szCs w:val="20"/>
        </w:rPr>
        <w:t>, pp.30-39.</w:t>
      </w:r>
    </w:p>
    <w:p w14:paraId="300E95E0" w14:textId="77777777" w:rsidR="009F6CAB" w:rsidRPr="009F6CAB" w:rsidRDefault="009F6CAB" w:rsidP="009F6CAB">
      <w:pPr>
        <w:spacing w:line="360" w:lineRule="auto"/>
        <w:rPr>
          <w:sz w:val="20"/>
          <w:szCs w:val="20"/>
        </w:rPr>
      </w:pPr>
      <w:r w:rsidRPr="009F6CAB">
        <w:rPr>
          <w:sz w:val="20"/>
          <w:szCs w:val="20"/>
        </w:rPr>
        <w:t xml:space="preserve">Guyon, N. and Huillery, E., 2021. Biased aspirations and social inequality at school: Evidence from French teenagers. </w:t>
      </w:r>
      <w:r w:rsidRPr="009F6CAB">
        <w:rPr>
          <w:i/>
          <w:iCs/>
          <w:sz w:val="20"/>
          <w:szCs w:val="20"/>
        </w:rPr>
        <w:t>The Economic Journal</w:t>
      </w:r>
      <w:r w:rsidRPr="009F6CAB">
        <w:rPr>
          <w:sz w:val="20"/>
          <w:szCs w:val="20"/>
        </w:rPr>
        <w:t>, 131(634), pp.745-796.</w:t>
      </w:r>
    </w:p>
    <w:p w14:paraId="3A988BB1" w14:textId="77777777" w:rsidR="009F6CAB" w:rsidRPr="009F6CAB" w:rsidRDefault="009F6CAB" w:rsidP="009F6CAB">
      <w:pPr>
        <w:spacing w:line="360" w:lineRule="auto"/>
        <w:rPr>
          <w:sz w:val="20"/>
          <w:szCs w:val="20"/>
        </w:rPr>
      </w:pPr>
      <w:r w:rsidRPr="009F6CAB">
        <w:rPr>
          <w:sz w:val="20"/>
          <w:szCs w:val="20"/>
        </w:rPr>
        <w:t xml:space="preserve">Hoff, K.A., Granillo-Velasquez, K.E., Hanna, A., Morris, M.L., Oswald, F.L. and Rounds, J., 2024. Interest gaps in the labour market: Comparing people’s vocational interests with national job demands. </w:t>
      </w:r>
      <w:r w:rsidRPr="009F6CAB">
        <w:rPr>
          <w:i/>
          <w:iCs/>
          <w:sz w:val="20"/>
          <w:szCs w:val="20"/>
        </w:rPr>
        <w:t>Journal of Business and Psychology</w:t>
      </w:r>
      <w:r w:rsidRPr="009F6CAB">
        <w:rPr>
          <w:sz w:val="20"/>
          <w:szCs w:val="20"/>
        </w:rPr>
        <w:t>, pp.1-22.</w:t>
      </w:r>
    </w:p>
    <w:p w14:paraId="0933CC90" w14:textId="77777777" w:rsidR="009F6CAB" w:rsidRPr="009F6CAB" w:rsidRDefault="009F6CAB" w:rsidP="009F6CAB">
      <w:pPr>
        <w:spacing w:line="360" w:lineRule="auto"/>
        <w:rPr>
          <w:sz w:val="20"/>
          <w:szCs w:val="20"/>
        </w:rPr>
      </w:pPr>
      <w:r w:rsidRPr="009F6CAB">
        <w:rPr>
          <w:sz w:val="20"/>
          <w:szCs w:val="20"/>
        </w:rPr>
        <w:t xml:space="preserve">Hughes, D., Mann, A., Barnes, S-A., Baldauf, B. &amp; McKeown, R., 2016. </w:t>
      </w:r>
      <w:r w:rsidRPr="009F6CAB">
        <w:rPr>
          <w:i/>
          <w:iCs/>
          <w:sz w:val="20"/>
          <w:szCs w:val="20"/>
        </w:rPr>
        <w:t>Careers education: International literature review</w:t>
      </w:r>
      <w:r w:rsidRPr="009F6CAB">
        <w:rPr>
          <w:sz w:val="20"/>
          <w:szCs w:val="20"/>
        </w:rPr>
        <w:t>. London: Education Endowment Foundation.</w:t>
      </w:r>
    </w:p>
    <w:p w14:paraId="233B59D3" w14:textId="77777777" w:rsidR="009F6CAB" w:rsidRPr="009F6CAB" w:rsidRDefault="009F6CAB" w:rsidP="009F6CAB">
      <w:pPr>
        <w:spacing w:line="360" w:lineRule="auto"/>
        <w:rPr>
          <w:sz w:val="20"/>
          <w:szCs w:val="20"/>
        </w:rPr>
      </w:pPr>
      <w:r w:rsidRPr="009F6CAB">
        <w:rPr>
          <w:sz w:val="20"/>
          <w:szCs w:val="20"/>
        </w:rPr>
        <w:t xml:space="preserve">Institute for Fiscal Studies, 2024. </w:t>
      </w:r>
      <w:r w:rsidRPr="009F6CAB">
        <w:rPr>
          <w:i/>
          <w:iCs/>
          <w:sz w:val="20"/>
          <w:szCs w:val="20"/>
        </w:rPr>
        <w:t>Major challenges for education in Wales</w:t>
      </w:r>
      <w:r w:rsidRPr="009F6CAB">
        <w:rPr>
          <w:sz w:val="20"/>
          <w:szCs w:val="20"/>
        </w:rPr>
        <w:t xml:space="preserve">. Available at: </w:t>
      </w:r>
      <w:hyperlink r:id="rId8" w:tgtFrame="_new" w:history="1">
        <w:r w:rsidRPr="009F6CAB">
          <w:rPr>
            <w:rStyle w:val="Hyperlink"/>
            <w:sz w:val="20"/>
            <w:szCs w:val="20"/>
          </w:rPr>
          <w:t>https://ifs.org.uk/sites/default/files/2024-03/Major-challenges-for-education-in-Wales-IFS-REPORT_0.pdf</w:t>
        </w:r>
      </w:hyperlink>
      <w:r w:rsidRPr="009F6CAB">
        <w:rPr>
          <w:sz w:val="20"/>
          <w:szCs w:val="20"/>
        </w:rPr>
        <w:t xml:space="preserve"> (Accessed: 23 November 2024).</w:t>
      </w:r>
    </w:p>
    <w:p w14:paraId="36F1BF42" w14:textId="77777777" w:rsidR="009F6CAB" w:rsidRPr="009F6CAB" w:rsidRDefault="009F6CAB" w:rsidP="009F6CAB">
      <w:pPr>
        <w:spacing w:line="360" w:lineRule="auto"/>
        <w:rPr>
          <w:sz w:val="20"/>
          <w:szCs w:val="20"/>
        </w:rPr>
      </w:pPr>
      <w:r w:rsidRPr="009F6CAB">
        <w:rPr>
          <w:sz w:val="20"/>
          <w:szCs w:val="20"/>
        </w:rPr>
        <w:t xml:space="preserve">Juutilainen, P.K. and Räty, K., 2017. Educational support and guidance counselling in Finnish vocational education. In: </w:t>
      </w:r>
      <w:r w:rsidRPr="009F6CAB">
        <w:rPr>
          <w:i/>
          <w:iCs/>
          <w:sz w:val="20"/>
          <w:szCs w:val="20"/>
        </w:rPr>
        <w:t>Vocational education with a Finnish touch</w:t>
      </w:r>
      <w:r w:rsidRPr="009F6CAB">
        <w:rPr>
          <w:sz w:val="20"/>
          <w:szCs w:val="20"/>
        </w:rPr>
        <w:t>, pp.75-88.</w:t>
      </w:r>
    </w:p>
    <w:p w14:paraId="73430504" w14:textId="77777777" w:rsidR="009F6CAB" w:rsidRPr="009F6CAB" w:rsidRDefault="009F6CAB" w:rsidP="009F6CAB">
      <w:pPr>
        <w:spacing w:line="360" w:lineRule="auto"/>
        <w:rPr>
          <w:sz w:val="20"/>
          <w:szCs w:val="20"/>
        </w:rPr>
      </w:pPr>
      <w:r w:rsidRPr="009F6CAB">
        <w:rPr>
          <w:sz w:val="20"/>
          <w:szCs w:val="20"/>
        </w:rPr>
        <w:t xml:space="preserve">Kettunen, J., 2024. Finnish Lower Secondary Career Education Through a Systems Lens. </w:t>
      </w:r>
      <w:r w:rsidRPr="009F6CAB">
        <w:rPr>
          <w:i/>
          <w:iCs/>
          <w:sz w:val="20"/>
          <w:szCs w:val="20"/>
        </w:rPr>
        <w:t>Nordic Journal of Transitions, Careers and Guidance</w:t>
      </w:r>
      <w:r w:rsidRPr="009F6CAB">
        <w:rPr>
          <w:sz w:val="20"/>
          <w:szCs w:val="20"/>
        </w:rPr>
        <w:t>, 5(1).</w:t>
      </w:r>
    </w:p>
    <w:p w14:paraId="6D245393" w14:textId="77777777" w:rsidR="009F6CAB" w:rsidRPr="009F6CAB" w:rsidRDefault="009F6CAB" w:rsidP="009F6CAB">
      <w:pPr>
        <w:spacing w:line="360" w:lineRule="auto"/>
        <w:rPr>
          <w:sz w:val="20"/>
          <w:szCs w:val="20"/>
        </w:rPr>
      </w:pPr>
      <w:r w:rsidRPr="009F6CAB">
        <w:rPr>
          <w:sz w:val="20"/>
          <w:szCs w:val="20"/>
        </w:rPr>
        <w:t xml:space="preserve">Lewis, T., 2007. The problem of cultural fit—what can we learn from borrowing the German Dual System?. </w:t>
      </w:r>
      <w:r w:rsidRPr="009F6CAB">
        <w:rPr>
          <w:i/>
          <w:iCs/>
          <w:sz w:val="20"/>
          <w:szCs w:val="20"/>
        </w:rPr>
        <w:t>Compare</w:t>
      </w:r>
      <w:r w:rsidRPr="009F6CAB">
        <w:rPr>
          <w:sz w:val="20"/>
          <w:szCs w:val="20"/>
        </w:rPr>
        <w:t>, 37(4), pp.463-477.</w:t>
      </w:r>
    </w:p>
    <w:p w14:paraId="25A7289D" w14:textId="77777777" w:rsidR="009F6CAB" w:rsidRPr="009F6CAB" w:rsidRDefault="009F6CAB" w:rsidP="009F6CAB">
      <w:pPr>
        <w:spacing w:line="360" w:lineRule="auto"/>
        <w:rPr>
          <w:sz w:val="20"/>
          <w:szCs w:val="20"/>
        </w:rPr>
      </w:pPr>
      <w:r w:rsidRPr="009F6CAB">
        <w:rPr>
          <w:sz w:val="20"/>
          <w:szCs w:val="20"/>
        </w:rPr>
        <w:t xml:space="preserve">Lawton, D., 2021. The national curriculum in England since 1988. In: </w:t>
      </w:r>
      <w:r w:rsidRPr="009F6CAB">
        <w:rPr>
          <w:i/>
          <w:iCs/>
          <w:sz w:val="20"/>
          <w:szCs w:val="20"/>
        </w:rPr>
        <w:t>International perspectives on educational reform and policy implementation</w:t>
      </w:r>
      <w:r w:rsidRPr="009F6CAB">
        <w:rPr>
          <w:sz w:val="20"/>
          <w:szCs w:val="20"/>
        </w:rPr>
        <w:t xml:space="preserve"> (pp. 44-51). Routledge.</w:t>
      </w:r>
    </w:p>
    <w:p w14:paraId="18CDCC67" w14:textId="77777777" w:rsidR="009F6CAB" w:rsidRPr="009F6CAB" w:rsidRDefault="009F6CAB" w:rsidP="009F6CAB">
      <w:pPr>
        <w:spacing w:line="360" w:lineRule="auto"/>
        <w:rPr>
          <w:sz w:val="20"/>
          <w:szCs w:val="20"/>
        </w:rPr>
      </w:pPr>
      <w:r w:rsidRPr="009F6CAB">
        <w:rPr>
          <w:sz w:val="20"/>
          <w:szCs w:val="20"/>
        </w:rPr>
        <w:t xml:space="preserve">MacBride-Stewart, S. and Parken, A., 2021. </w:t>
      </w:r>
      <w:r w:rsidRPr="009F6CAB">
        <w:rPr>
          <w:i/>
          <w:iCs/>
          <w:sz w:val="20"/>
          <w:szCs w:val="20"/>
        </w:rPr>
        <w:t>Inequality in a Future Wales</w:t>
      </w:r>
      <w:r w:rsidRPr="009F6CAB">
        <w:rPr>
          <w:sz w:val="20"/>
          <w:szCs w:val="20"/>
        </w:rPr>
        <w:t>.</w:t>
      </w:r>
    </w:p>
    <w:p w14:paraId="2A275C31" w14:textId="77777777" w:rsidR="009F6CAB" w:rsidRPr="009F6CAB" w:rsidRDefault="009F6CAB" w:rsidP="009F6CAB">
      <w:pPr>
        <w:spacing w:line="360" w:lineRule="auto"/>
        <w:rPr>
          <w:sz w:val="20"/>
          <w:szCs w:val="20"/>
        </w:rPr>
      </w:pPr>
      <w:r w:rsidRPr="009F6CAB">
        <w:rPr>
          <w:sz w:val="20"/>
          <w:szCs w:val="20"/>
        </w:rPr>
        <w:t xml:space="preserve">Mendick, H. and Williams, K., 2009. Does television influence young people’s career choices?. </w:t>
      </w:r>
      <w:r w:rsidRPr="009F6CAB">
        <w:rPr>
          <w:i/>
          <w:iCs/>
          <w:sz w:val="20"/>
          <w:szCs w:val="20"/>
        </w:rPr>
        <w:t>Journal of the National Institute for Career Education and Counselling</w:t>
      </w:r>
      <w:r w:rsidRPr="009F6CAB">
        <w:rPr>
          <w:sz w:val="20"/>
          <w:szCs w:val="20"/>
        </w:rPr>
        <w:t>, 21(1), pp.18-22.</w:t>
      </w:r>
    </w:p>
    <w:p w14:paraId="4308964C" w14:textId="77777777" w:rsidR="009F6CAB" w:rsidRPr="009F6CAB" w:rsidRDefault="009F6CAB" w:rsidP="009F6CAB">
      <w:pPr>
        <w:spacing w:line="360" w:lineRule="auto"/>
        <w:rPr>
          <w:sz w:val="20"/>
          <w:szCs w:val="20"/>
        </w:rPr>
      </w:pPr>
      <w:r w:rsidRPr="009F6CAB">
        <w:rPr>
          <w:sz w:val="20"/>
          <w:szCs w:val="20"/>
        </w:rPr>
        <w:t xml:space="preserve">Morris, O., 2021. </w:t>
      </w:r>
      <w:r w:rsidRPr="009F6CAB">
        <w:rPr>
          <w:i/>
          <w:iCs/>
          <w:sz w:val="20"/>
          <w:szCs w:val="20"/>
        </w:rPr>
        <w:t>The Educational and Economic Aspirations of Young People in Wales</w:t>
      </w:r>
      <w:r w:rsidRPr="009F6CAB">
        <w:rPr>
          <w:sz w:val="20"/>
          <w:szCs w:val="20"/>
        </w:rPr>
        <w:t xml:space="preserve"> (Doctoral dissertation, Aberystwyth University).</w:t>
      </w:r>
    </w:p>
    <w:p w14:paraId="3B7ABAED" w14:textId="77777777" w:rsidR="009F6CAB" w:rsidRPr="009F6CAB" w:rsidRDefault="009F6CAB" w:rsidP="009F6CAB">
      <w:pPr>
        <w:spacing w:line="360" w:lineRule="auto"/>
        <w:rPr>
          <w:sz w:val="20"/>
          <w:szCs w:val="20"/>
        </w:rPr>
      </w:pPr>
      <w:r w:rsidRPr="009F6CAB">
        <w:rPr>
          <w:sz w:val="20"/>
          <w:szCs w:val="20"/>
        </w:rPr>
        <w:lastRenderedPageBreak/>
        <w:t>Moore, K., 2020. Reporting on poverty: news media narratives and third sector communications in Wales (p.151). Cardiff University Press.</w:t>
      </w:r>
    </w:p>
    <w:p w14:paraId="6E61DD5A" w14:textId="77777777" w:rsidR="009F6CAB" w:rsidRPr="009F6CAB" w:rsidRDefault="009F6CAB" w:rsidP="009F6CAB">
      <w:pPr>
        <w:spacing w:line="360" w:lineRule="auto"/>
        <w:rPr>
          <w:sz w:val="20"/>
          <w:szCs w:val="20"/>
        </w:rPr>
      </w:pPr>
      <w:r w:rsidRPr="009F6CAB">
        <w:rPr>
          <w:sz w:val="20"/>
          <w:szCs w:val="20"/>
        </w:rPr>
        <w:t xml:space="preserve">Mourshed, M., Chijioke, C. and Barber, M., 2011. How the world’s most improved school systems keep getting better. </w:t>
      </w:r>
      <w:r w:rsidRPr="009F6CAB">
        <w:rPr>
          <w:i/>
          <w:iCs/>
          <w:sz w:val="20"/>
          <w:szCs w:val="20"/>
        </w:rPr>
        <w:t>Voprosy obrazovaniya/educational studies Moscow</w:t>
      </w:r>
      <w:r w:rsidRPr="009F6CAB">
        <w:rPr>
          <w:sz w:val="20"/>
          <w:szCs w:val="20"/>
        </w:rPr>
        <w:t>, (1), pp.7-25.</w:t>
      </w:r>
    </w:p>
    <w:p w14:paraId="3B75BBEF" w14:textId="77777777" w:rsidR="009F6CAB" w:rsidRPr="009F6CAB" w:rsidRDefault="009F6CAB" w:rsidP="009F6CAB">
      <w:pPr>
        <w:spacing w:line="360" w:lineRule="auto"/>
        <w:rPr>
          <w:sz w:val="20"/>
          <w:szCs w:val="20"/>
        </w:rPr>
      </w:pPr>
      <w:r w:rsidRPr="009F6CAB">
        <w:rPr>
          <w:sz w:val="20"/>
          <w:szCs w:val="20"/>
        </w:rPr>
        <w:t xml:space="preserve">Moloney, M., Pope, J. and Donnellan, A., 2023. Characteristics of a Mentor. In: </w:t>
      </w:r>
      <w:r w:rsidRPr="009F6CAB">
        <w:rPr>
          <w:i/>
          <w:iCs/>
          <w:sz w:val="20"/>
          <w:szCs w:val="20"/>
        </w:rPr>
        <w:t>Professional Mentoring for Early Childhood and Primary School Practice</w:t>
      </w:r>
      <w:r w:rsidRPr="009F6CAB">
        <w:rPr>
          <w:sz w:val="20"/>
          <w:szCs w:val="20"/>
        </w:rPr>
        <w:t xml:space="preserve"> (pp. 55-74). Cham: Springer International Publishing.</w:t>
      </w:r>
    </w:p>
    <w:p w14:paraId="2EB78B94" w14:textId="77777777" w:rsidR="009F6CAB" w:rsidRPr="009F6CAB" w:rsidRDefault="009F6CAB" w:rsidP="009F6CAB">
      <w:pPr>
        <w:spacing w:line="360" w:lineRule="auto"/>
        <w:rPr>
          <w:sz w:val="20"/>
          <w:szCs w:val="20"/>
        </w:rPr>
      </w:pPr>
      <w:r w:rsidRPr="009F6CAB">
        <w:rPr>
          <w:sz w:val="20"/>
          <w:szCs w:val="20"/>
        </w:rPr>
        <w:t xml:space="preserve">Ojoyeyi, T., 2022. </w:t>
      </w:r>
      <w:r w:rsidRPr="009F6CAB">
        <w:rPr>
          <w:i/>
          <w:iCs/>
          <w:sz w:val="20"/>
          <w:szCs w:val="20"/>
        </w:rPr>
        <w:t>The Role of Social Media Influencers on Career Development for BIPOC Youth</w:t>
      </w:r>
      <w:r w:rsidRPr="009F6CAB">
        <w:rPr>
          <w:sz w:val="20"/>
          <w:szCs w:val="20"/>
        </w:rPr>
        <w:t xml:space="preserve"> (Doctoral dissertation, University of St. Thomas, Minnesota).</w:t>
      </w:r>
    </w:p>
    <w:p w14:paraId="527278BE" w14:textId="77777777" w:rsidR="009F6CAB" w:rsidRPr="009F6CAB" w:rsidRDefault="009F6CAB" w:rsidP="009F6CAB">
      <w:pPr>
        <w:spacing w:line="360" w:lineRule="auto"/>
        <w:rPr>
          <w:sz w:val="20"/>
          <w:szCs w:val="20"/>
        </w:rPr>
      </w:pPr>
      <w:r w:rsidRPr="009F6CAB">
        <w:rPr>
          <w:sz w:val="20"/>
          <w:szCs w:val="20"/>
        </w:rPr>
        <w:t xml:space="preserve">Organisation for Economic Co-operation and Development (2024) </w:t>
      </w:r>
      <w:r w:rsidRPr="009F6CAB">
        <w:rPr>
          <w:i/>
          <w:iCs/>
          <w:sz w:val="20"/>
          <w:szCs w:val="20"/>
        </w:rPr>
        <w:t>What shapes upper secondary pathways and transitions</w:t>
      </w:r>
      <w:r w:rsidRPr="009F6CAB">
        <w:rPr>
          <w:sz w:val="20"/>
          <w:szCs w:val="20"/>
        </w:rPr>
        <w:t xml:space="preserve">. OECD. Available at: </w:t>
      </w:r>
      <w:hyperlink r:id="rId9" w:tgtFrame="_new" w:history="1">
        <w:r w:rsidRPr="009F6CAB">
          <w:rPr>
            <w:rStyle w:val="Hyperlink"/>
            <w:sz w:val="20"/>
            <w:szCs w:val="20"/>
          </w:rPr>
          <w:t>https://www.oecd.org/content/dam/oecd/en/publications/reports/2024/02/what-shapes-upper-secondary-pathways-and-transitions_e0eb8c49/7139d7f1-en.pdf</w:t>
        </w:r>
      </w:hyperlink>
      <w:r w:rsidRPr="009F6CAB">
        <w:rPr>
          <w:sz w:val="20"/>
          <w:szCs w:val="20"/>
        </w:rPr>
        <w:t xml:space="preserve"> (Accessed: 12/12/24)</w:t>
      </w:r>
    </w:p>
    <w:p w14:paraId="0C8EF1E9" w14:textId="77777777" w:rsidR="009F6CAB" w:rsidRPr="009F6CAB" w:rsidRDefault="009F6CAB" w:rsidP="009F6CAB">
      <w:pPr>
        <w:spacing w:line="360" w:lineRule="auto"/>
        <w:rPr>
          <w:sz w:val="20"/>
          <w:szCs w:val="20"/>
        </w:rPr>
      </w:pPr>
      <w:r w:rsidRPr="009F6CAB">
        <w:rPr>
          <w:sz w:val="20"/>
          <w:szCs w:val="20"/>
        </w:rPr>
        <w:t xml:space="preserve">Patton, D., 2011. Evaluating the Culturally Relevant and Responsive Education Professional Development Program at the Elementary School Level in the Los Angeles Unified School District. </w:t>
      </w:r>
      <w:r w:rsidRPr="009F6CAB">
        <w:rPr>
          <w:i/>
          <w:iCs/>
          <w:sz w:val="20"/>
          <w:szCs w:val="20"/>
        </w:rPr>
        <w:t>Learning Disabilities: A Contemporary Journal</w:t>
      </w:r>
      <w:r w:rsidRPr="009F6CAB">
        <w:rPr>
          <w:sz w:val="20"/>
          <w:szCs w:val="20"/>
        </w:rPr>
        <w:t>, 9(1), pp.71-107.</w:t>
      </w:r>
    </w:p>
    <w:p w14:paraId="62E325CC" w14:textId="77777777" w:rsidR="009F6CAB" w:rsidRPr="009F6CAB" w:rsidRDefault="009F6CAB" w:rsidP="009F6CAB">
      <w:pPr>
        <w:spacing w:line="360" w:lineRule="auto"/>
        <w:rPr>
          <w:sz w:val="20"/>
          <w:szCs w:val="20"/>
        </w:rPr>
      </w:pPr>
      <w:r w:rsidRPr="009F6CAB">
        <w:rPr>
          <w:sz w:val="20"/>
          <w:szCs w:val="20"/>
        </w:rPr>
        <w:t xml:space="preserve">Power, S., Newton, N. and Taylor, C., 2020. ‘Successful futures’ for all in Wales? The challenges of curriculum reform for addressing educational inequalities. </w:t>
      </w:r>
      <w:r w:rsidRPr="009F6CAB">
        <w:rPr>
          <w:i/>
          <w:iCs/>
          <w:sz w:val="20"/>
          <w:szCs w:val="20"/>
        </w:rPr>
        <w:t>The Curriculum Journal</w:t>
      </w:r>
      <w:r w:rsidRPr="009F6CAB">
        <w:rPr>
          <w:sz w:val="20"/>
          <w:szCs w:val="20"/>
        </w:rPr>
        <w:t>, 31(2), pp.317-333.</w:t>
      </w:r>
    </w:p>
    <w:p w14:paraId="3F2DFF1E" w14:textId="77777777" w:rsidR="009F6CAB" w:rsidRPr="009F6CAB" w:rsidRDefault="009F6CAB" w:rsidP="009F6CAB">
      <w:pPr>
        <w:spacing w:line="360" w:lineRule="auto"/>
        <w:rPr>
          <w:sz w:val="20"/>
          <w:szCs w:val="20"/>
        </w:rPr>
      </w:pPr>
      <w:r w:rsidRPr="009F6CAB">
        <w:rPr>
          <w:sz w:val="20"/>
          <w:szCs w:val="20"/>
        </w:rPr>
        <w:t xml:space="preserve">Qualifications Wales (n.d.) </w:t>
      </w:r>
      <w:r w:rsidRPr="009F6CAB">
        <w:rPr>
          <w:i/>
          <w:iCs/>
          <w:sz w:val="20"/>
          <w:szCs w:val="20"/>
        </w:rPr>
        <w:t>National qualifications (GCSEs)</w:t>
      </w:r>
      <w:r w:rsidRPr="009F6CAB">
        <w:rPr>
          <w:sz w:val="20"/>
          <w:szCs w:val="20"/>
        </w:rPr>
        <w:t xml:space="preserve">. Available at: </w:t>
      </w:r>
      <w:hyperlink r:id="rId10" w:tgtFrame="_new" w:history="1">
        <w:r w:rsidRPr="009F6CAB">
          <w:rPr>
            <w:rStyle w:val="Hyperlink"/>
            <w:sz w:val="20"/>
            <w:szCs w:val="20"/>
          </w:rPr>
          <w:t>https://qualifications.wales/regulation-reform/reforming/national-14-16-qualifications/national-qualifications-gcses/</w:t>
        </w:r>
      </w:hyperlink>
      <w:r w:rsidRPr="009F6CAB">
        <w:rPr>
          <w:sz w:val="20"/>
          <w:szCs w:val="20"/>
        </w:rPr>
        <w:t xml:space="preserve"> (Accessed: 08/01/25).</w:t>
      </w:r>
    </w:p>
    <w:p w14:paraId="62A0ECFA" w14:textId="77777777" w:rsidR="009F6CAB" w:rsidRPr="009F6CAB" w:rsidRDefault="009F6CAB" w:rsidP="009F6CAB">
      <w:pPr>
        <w:spacing w:line="360" w:lineRule="auto"/>
        <w:rPr>
          <w:sz w:val="20"/>
          <w:szCs w:val="20"/>
        </w:rPr>
      </w:pPr>
      <w:r w:rsidRPr="009F6CAB">
        <w:rPr>
          <w:sz w:val="20"/>
          <w:szCs w:val="20"/>
        </w:rPr>
        <w:t xml:space="preserve">Reupold, A. and Tippelt, R., 2010. Germany’s education system and the problem of dropouts: institutional segregation and program diversification. In: </w:t>
      </w:r>
      <w:r w:rsidRPr="009F6CAB">
        <w:rPr>
          <w:i/>
          <w:iCs/>
          <w:sz w:val="20"/>
          <w:szCs w:val="20"/>
        </w:rPr>
        <w:t>School Dropout and Completion: International Comparative Studies in Theory and Policy</w:t>
      </w:r>
      <w:r w:rsidRPr="009F6CAB">
        <w:rPr>
          <w:sz w:val="20"/>
          <w:szCs w:val="20"/>
        </w:rPr>
        <w:t xml:space="preserve"> (pp. 155-171). Dordrecht: Springer Netherlands.</w:t>
      </w:r>
    </w:p>
    <w:p w14:paraId="52B00CCF" w14:textId="77777777" w:rsidR="009F6CAB" w:rsidRPr="009F6CAB" w:rsidRDefault="009F6CAB" w:rsidP="009F6CAB">
      <w:pPr>
        <w:spacing w:line="360" w:lineRule="auto"/>
        <w:rPr>
          <w:sz w:val="20"/>
          <w:szCs w:val="20"/>
        </w:rPr>
      </w:pPr>
      <w:r w:rsidRPr="009F6CAB">
        <w:rPr>
          <w:sz w:val="20"/>
          <w:szCs w:val="20"/>
        </w:rPr>
        <w:t xml:space="preserve">Scott, J., Fowler, D., McGorry, P., Birchwood, M., Killackey, E., Christensen, H., Glozier, N., Yung, A., Power, P., Nordentoft, M. and Singh, S., 2013. Adolescents and young adults who are not in employment, education, or training. </w:t>
      </w:r>
      <w:r w:rsidRPr="009F6CAB">
        <w:rPr>
          <w:i/>
          <w:iCs/>
          <w:sz w:val="20"/>
          <w:szCs w:val="20"/>
        </w:rPr>
        <w:t>British Medical Journal</w:t>
      </w:r>
      <w:r w:rsidRPr="009F6CAB">
        <w:rPr>
          <w:sz w:val="20"/>
          <w:szCs w:val="20"/>
        </w:rPr>
        <w:t>, 347.</w:t>
      </w:r>
    </w:p>
    <w:p w14:paraId="46E840CF" w14:textId="77777777" w:rsidR="009F6CAB" w:rsidRPr="009F6CAB" w:rsidRDefault="009F6CAB" w:rsidP="009F6CAB">
      <w:pPr>
        <w:spacing w:line="360" w:lineRule="auto"/>
        <w:rPr>
          <w:sz w:val="20"/>
          <w:szCs w:val="20"/>
        </w:rPr>
      </w:pPr>
      <w:r w:rsidRPr="009F6CAB">
        <w:rPr>
          <w:sz w:val="20"/>
          <w:szCs w:val="20"/>
        </w:rPr>
        <w:t xml:space="preserve">Seren Network, 2023. </w:t>
      </w:r>
      <w:r w:rsidRPr="009F6CAB">
        <w:rPr>
          <w:i/>
          <w:iCs/>
          <w:sz w:val="20"/>
          <w:szCs w:val="20"/>
        </w:rPr>
        <w:t>Pathways to Higher Education and Careers</w:t>
      </w:r>
      <w:r w:rsidRPr="009F6CAB">
        <w:rPr>
          <w:sz w:val="20"/>
          <w:szCs w:val="20"/>
        </w:rPr>
        <w:t xml:space="preserve">. Available at: </w:t>
      </w:r>
      <w:hyperlink r:id="rId11" w:tgtFrame="_new" w:history="1">
        <w:r w:rsidRPr="009F6CAB">
          <w:rPr>
            <w:rStyle w:val="Hyperlink"/>
            <w:sz w:val="20"/>
            <w:szCs w:val="20"/>
          </w:rPr>
          <w:t>https://www.gov.wales/seren-network-overview</w:t>
        </w:r>
      </w:hyperlink>
      <w:r w:rsidRPr="009F6CAB">
        <w:rPr>
          <w:sz w:val="20"/>
          <w:szCs w:val="20"/>
        </w:rPr>
        <w:t xml:space="preserve"> (Accessed: 16 Nov. 2024).</w:t>
      </w:r>
    </w:p>
    <w:p w14:paraId="570B1658" w14:textId="77777777" w:rsidR="009F6CAB" w:rsidRPr="009F6CAB" w:rsidRDefault="009F6CAB" w:rsidP="009F6CAB">
      <w:pPr>
        <w:spacing w:line="360" w:lineRule="auto"/>
        <w:rPr>
          <w:sz w:val="20"/>
          <w:szCs w:val="20"/>
        </w:rPr>
      </w:pPr>
      <w:r w:rsidRPr="009F6CAB">
        <w:rPr>
          <w:sz w:val="20"/>
          <w:szCs w:val="20"/>
        </w:rPr>
        <w:t xml:space="preserve">Schoon, I. &amp; Parsons, S., 2010. Teenage aspirations for future careers and occupational outcomes. </w:t>
      </w:r>
      <w:r w:rsidRPr="009F6CAB">
        <w:rPr>
          <w:i/>
          <w:iCs/>
          <w:sz w:val="20"/>
          <w:szCs w:val="20"/>
        </w:rPr>
        <w:t>Journal of Vocational Behaviour</w:t>
      </w:r>
      <w:r w:rsidRPr="009F6CAB">
        <w:rPr>
          <w:sz w:val="20"/>
          <w:szCs w:val="20"/>
        </w:rPr>
        <w:t>, 60(2), pp.262-288.</w:t>
      </w:r>
    </w:p>
    <w:p w14:paraId="5F65234E" w14:textId="77777777" w:rsidR="009F6CAB" w:rsidRPr="009F6CAB" w:rsidRDefault="009F6CAB" w:rsidP="009F6CAB">
      <w:pPr>
        <w:spacing w:line="360" w:lineRule="auto"/>
        <w:rPr>
          <w:sz w:val="20"/>
          <w:szCs w:val="20"/>
        </w:rPr>
      </w:pPr>
      <w:r w:rsidRPr="009F6CAB">
        <w:rPr>
          <w:sz w:val="20"/>
          <w:szCs w:val="20"/>
        </w:rPr>
        <w:t xml:space="preserve">St Clair, R. and Benjamin, A., 2011. Performing desires: The dilemma of aspirations and educational attainment. </w:t>
      </w:r>
      <w:r w:rsidRPr="009F6CAB">
        <w:rPr>
          <w:i/>
          <w:iCs/>
          <w:sz w:val="20"/>
          <w:szCs w:val="20"/>
        </w:rPr>
        <w:t>British Educational Research Journal</w:t>
      </w:r>
      <w:r w:rsidRPr="009F6CAB">
        <w:rPr>
          <w:sz w:val="20"/>
          <w:szCs w:val="20"/>
        </w:rPr>
        <w:t>, 37(3), pp.501-517.</w:t>
      </w:r>
    </w:p>
    <w:p w14:paraId="46085269" w14:textId="77777777" w:rsidR="009F6CAB" w:rsidRPr="009F6CAB" w:rsidRDefault="009F6CAB" w:rsidP="009F6CAB">
      <w:pPr>
        <w:spacing w:line="360" w:lineRule="auto"/>
        <w:rPr>
          <w:sz w:val="20"/>
          <w:szCs w:val="20"/>
        </w:rPr>
      </w:pPr>
      <w:r w:rsidRPr="009F6CAB">
        <w:rPr>
          <w:sz w:val="20"/>
          <w:szCs w:val="20"/>
        </w:rPr>
        <w:lastRenderedPageBreak/>
        <w:t xml:space="preserve">Staff, J. and Kreager, D.A., 2008. Too cool for school? Violence, peer status and high school dropout. </w:t>
      </w:r>
      <w:r w:rsidRPr="009F6CAB">
        <w:rPr>
          <w:i/>
          <w:iCs/>
          <w:sz w:val="20"/>
          <w:szCs w:val="20"/>
        </w:rPr>
        <w:t>Social Forces</w:t>
      </w:r>
      <w:r w:rsidRPr="009F6CAB">
        <w:rPr>
          <w:sz w:val="20"/>
          <w:szCs w:val="20"/>
        </w:rPr>
        <w:t>, 87(1), pp.445-471.</w:t>
      </w:r>
    </w:p>
    <w:p w14:paraId="484E4F46" w14:textId="77777777" w:rsidR="009F6CAB" w:rsidRPr="009F6CAB" w:rsidRDefault="009F6CAB" w:rsidP="009F6CAB">
      <w:pPr>
        <w:spacing w:line="360" w:lineRule="auto"/>
        <w:rPr>
          <w:sz w:val="20"/>
          <w:szCs w:val="20"/>
        </w:rPr>
      </w:pPr>
      <w:r w:rsidRPr="009F6CAB">
        <w:rPr>
          <w:sz w:val="20"/>
          <w:szCs w:val="20"/>
        </w:rPr>
        <w:t xml:space="preserve">Stewart, V., 2012. </w:t>
      </w:r>
      <w:r w:rsidRPr="009F6CAB">
        <w:rPr>
          <w:i/>
          <w:iCs/>
          <w:sz w:val="20"/>
          <w:szCs w:val="20"/>
        </w:rPr>
        <w:t>A world-class education: Learning from international models of excellence and innovation</w:t>
      </w:r>
      <w:r w:rsidRPr="009F6CAB">
        <w:rPr>
          <w:sz w:val="20"/>
          <w:szCs w:val="20"/>
        </w:rPr>
        <w:t>. ASCD.</w:t>
      </w:r>
    </w:p>
    <w:p w14:paraId="7F44150E" w14:textId="77777777" w:rsidR="009F6CAB" w:rsidRPr="009F6CAB" w:rsidRDefault="009F6CAB" w:rsidP="009F6CAB">
      <w:pPr>
        <w:spacing w:line="360" w:lineRule="auto"/>
        <w:rPr>
          <w:sz w:val="20"/>
          <w:szCs w:val="20"/>
        </w:rPr>
      </w:pPr>
      <w:r w:rsidRPr="009F6CAB">
        <w:rPr>
          <w:sz w:val="20"/>
          <w:szCs w:val="20"/>
        </w:rPr>
        <w:t xml:space="preserve">Tiessen, R., Grantham, K. and Cameron, J., 2018. The relationship between experiential learning and career outcomes for alumni of international development studies programs in Canada. </w:t>
      </w:r>
      <w:r w:rsidRPr="009F6CAB">
        <w:rPr>
          <w:i/>
          <w:iCs/>
          <w:sz w:val="20"/>
          <w:szCs w:val="20"/>
        </w:rPr>
        <w:t>Canadian Journal of Higher Education</w:t>
      </w:r>
      <w:r w:rsidRPr="009F6CAB">
        <w:rPr>
          <w:sz w:val="20"/>
          <w:szCs w:val="20"/>
        </w:rPr>
        <w:t>, 48(3), pp.23-42.</w:t>
      </w:r>
    </w:p>
    <w:p w14:paraId="71E8B81D" w14:textId="77777777" w:rsidR="009F6CAB" w:rsidRPr="009F6CAB" w:rsidRDefault="009F6CAB" w:rsidP="009F6CAB">
      <w:pPr>
        <w:spacing w:line="360" w:lineRule="auto"/>
        <w:rPr>
          <w:sz w:val="20"/>
          <w:szCs w:val="20"/>
        </w:rPr>
      </w:pPr>
      <w:r w:rsidRPr="009F6CAB">
        <w:rPr>
          <w:sz w:val="20"/>
          <w:szCs w:val="20"/>
        </w:rPr>
        <w:t>Viennet, R. and Pont, B., 2017. Education policy implementation: A literature review and proposed framework.</w:t>
      </w:r>
    </w:p>
    <w:p w14:paraId="07EC1E75" w14:textId="77777777" w:rsidR="009F6CAB" w:rsidRPr="009F6CAB" w:rsidRDefault="009F6CAB" w:rsidP="009F6CAB">
      <w:pPr>
        <w:spacing w:line="360" w:lineRule="auto"/>
        <w:rPr>
          <w:sz w:val="20"/>
          <w:szCs w:val="20"/>
        </w:rPr>
      </w:pPr>
      <w:r w:rsidRPr="009F6CAB">
        <w:rPr>
          <w:sz w:val="20"/>
          <w:szCs w:val="20"/>
        </w:rPr>
        <w:t xml:space="preserve">Vondracek, F.W., Lerner, R.M. and Schulenberg, J.E., 2019. </w:t>
      </w:r>
      <w:r w:rsidRPr="009F6CAB">
        <w:rPr>
          <w:i/>
          <w:iCs/>
          <w:sz w:val="20"/>
          <w:szCs w:val="20"/>
        </w:rPr>
        <w:t>Career development: A life-span developmental approach</w:t>
      </w:r>
      <w:r w:rsidRPr="009F6CAB">
        <w:rPr>
          <w:sz w:val="20"/>
          <w:szCs w:val="20"/>
        </w:rPr>
        <w:t>. Routledge.</w:t>
      </w:r>
    </w:p>
    <w:p w14:paraId="085933F7" w14:textId="77777777" w:rsidR="009F6CAB" w:rsidRPr="009F6CAB" w:rsidRDefault="009F6CAB" w:rsidP="009F6CAB">
      <w:pPr>
        <w:spacing w:line="360" w:lineRule="auto"/>
        <w:rPr>
          <w:sz w:val="20"/>
          <w:szCs w:val="20"/>
        </w:rPr>
      </w:pPr>
      <w:r w:rsidRPr="009F6CAB">
        <w:rPr>
          <w:sz w:val="20"/>
          <w:szCs w:val="20"/>
        </w:rPr>
        <w:t xml:space="preserve">Vogel, P., 2015. </w:t>
      </w:r>
      <w:r w:rsidRPr="009F6CAB">
        <w:rPr>
          <w:i/>
          <w:iCs/>
          <w:sz w:val="20"/>
          <w:szCs w:val="20"/>
        </w:rPr>
        <w:t>Generation Jobless? Turning the youth unemployment crisis into opportunity</w:t>
      </w:r>
      <w:r w:rsidRPr="009F6CAB">
        <w:rPr>
          <w:sz w:val="20"/>
          <w:szCs w:val="20"/>
        </w:rPr>
        <w:t>. Springer.</w:t>
      </w:r>
    </w:p>
    <w:p w14:paraId="612B4CD1" w14:textId="77777777" w:rsidR="009F6CAB" w:rsidRPr="009F6CAB" w:rsidRDefault="009F6CAB" w:rsidP="009F6CAB">
      <w:pPr>
        <w:spacing w:line="360" w:lineRule="auto"/>
        <w:rPr>
          <w:sz w:val="20"/>
          <w:szCs w:val="20"/>
        </w:rPr>
      </w:pPr>
      <w:r w:rsidRPr="009F6CAB">
        <w:rPr>
          <w:sz w:val="20"/>
          <w:szCs w:val="20"/>
        </w:rPr>
        <w:t>Webster</w:t>
      </w:r>
      <w:r w:rsidRPr="009F6CAB">
        <w:rPr>
          <w:rFonts w:ascii="Cambria Math" w:hAnsi="Cambria Math" w:cs="Cambria Math"/>
          <w:sz w:val="20"/>
          <w:szCs w:val="20"/>
        </w:rPr>
        <w:t>‐</w:t>
      </w:r>
      <w:r w:rsidRPr="009F6CAB">
        <w:rPr>
          <w:sz w:val="20"/>
          <w:szCs w:val="20"/>
        </w:rPr>
        <w:t xml:space="preserve">Stratton, C., Jamila Reid, M. and Stoolmiller, M., 2008. Preventing conduct problems and improving school readiness: Evaluation of the Incredible Years teacher and child training programs in high-risk schools. </w:t>
      </w:r>
      <w:r w:rsidRPr="009F6CAB">
        <w:rPr>
          <w:i/>
          <w:iCs/>
          <w:sz w:val="20"/>
          <w:szCs w:val="20"/>
        </w:rPr>
        <w:t>Journal of Child Psychology and Psychiatry</w:t>
      </w:r>
      <w:r w:rsidRPr="009F6CAB">
        <w:rPr>
          <w:sz w:val="20"/>
          <w:szCs w:val="20"/>
        </w:rPr>
        <w:t>, 49(5), pp.471-488.</w:t>
      </w:r>
    </w:p>
    <w:p w14:paraId="552ECFB5" w14:textId="77777777" w:rsidR="009F6CAB" w:rsidRPr="009F6CAB" w:rsidRDefault="009F6CAB" w:rsidP="009F6CAB">
      <w:pPr>
        <w:spacing w:line="360" w:lineRule="auto"/>
        <w:rPr>
          <w:sz w:val="20"/>
          <w:szCs w:val="20"/>
        </w:rPr>
      </w:pPr>
      <w:r w:rsidRPr="009F6CAB">
        <w:rPr>
          <w:sz w:val="20"/>
          <w:szCs w:val="20"/>
        </w:rPr>
        <w:t xml:space="preserve">Wagner, T., 2008. </w:t>
      </w:r>
      <w:r w:rsidRPr="009F6CAB">
        <w:rPr>
          <w:i/>
          <w:iCs/>
          <w:sz w:val="20"/>
          <w:szCs w:val="20"/>
        </w:rPr>
        <w:t>The Global Achievement Gap: Why Even Our Best Schools Don't Teach The New Survival Skills Our Children Need and What We Can Do About It</w:t>
      </w:r>
      <w:r w:rsidRPr="009F6CAB">
        <w:rPr>
          <w:sz w:val="20"/>
          <w:szCs w:val="20"/>
        </w:rPr>
        <w:t>. Basic Books.</w:t>
      </w:r>
    </w:p>
    <w:p w14:paraId="7FE32E2A" w14:textId="77777777" w:rsidR="009F6CAB" w:rsidRPr="009F6CAB" w:rsidRDefault="009F6CAB" w:rsidP="009F6CAB">
      <w:pPr>
        <w:spacing w:line="360" w:lineRule="auto"/>
        <w:rPr>
          <w:sz w:val="20"/>
          <w:szCs w:val="20"/>
        </w:rPr>
      </w:pPr>
      <w:r w:rsidRPr="009F6CAB">
        <w:rPr>
          <w:sz w:val="20"/>
          <w:szCs w:val="20"/>
        </w:rPr>
        <w:t>Young, M., 2011. National vocational qualifications in the United Kingdom: their origins and legacy. </w:t>
      </w:r>
      <w:r w:rsidRPr="009F6CAB">
        <w:rPr>
          <w:i/>
          <w:iCs/>
          <w:sz w:val="20"/>
          <w:szCs w:val="20"/>
        </w:rPr>
        <w:t>Journal of Education and Work</w:t>
      </w:r>
      <w:r w:rsidRPr="009F6CAB">
        <w:rPr>
          <w:sz w:val="20"/>
          <w:szCs w:val="20"/>
        </w:rPr>
        <w:t>, </w:t>
      </w:r>
      <w:r w:rsidRPr="009F6CAB">
        <w:rPr>
          <w:i/>
          <w:iCs/>
          <w:sz w:val="20"/>
          <w:szCs w:val="20"/>
        </w:rPr>
        <w:t>24</w:t>
      </w:r>
      <w:r w:rsidRPr="009F6CAB">
        <w:rPr>
          <w:sz w:val="20"/>
          <w:szCs w:val="20"/>
        </w:rPr>
        <w:t>(3-4), pp.259-282.</w:t>
      </w:r>
    </w:p>
    <w:p w14:paraId="496EF22D" w14:textId="77777777" w:rsidR="009F6CAB" w:rsidRPr="009F6CAB" w:rsidRDefault="009F6CAB" w:rsidP="009F6CAB">
      <w:pPr>
        <w:spacing w:line="360" w:lineRule="auto"/>
        <w:rPr>
          <w:sz w:val="20"/>
          <w:szCs w:val="20"/>
        </w:rPr>
      </w:pPr>
      <w:r w:rsidRPr="009F6CAB">
        <w:rPr>
          <w:sz w:val="20"/>
          <w:szCs w:val="20"/>
        </w:rPr>
        <w:t xml:space="preserve">Welsh Government, 2015. </w:t>
      </w:r>
      <w:r w:rsidRPr="009F6CAB">
        <w:rPr>
          <w:i/>
          <w:iCs/>
          <w:sz w:val="20"/>
          <w:szCs w:val="20"/>
        </w:rPr>
        <w:t>Well-being of Future Generations (Wales) Act</w:t>
      </w:r>
      <w:r w:rsidRPr="009F6CAB">
        <w:rPr>
          <w:sz w:val="20"/>
          <w:szCs w:val="20"/>
        </w:rPr>
        <w:t xml:space="preserve">. Available online at: </w:t>
      </w:r>
      <w:hyperlink r:id="rId12" w:tgtFrame="_new" w:history="1">
        <w:r w:rsidRPr="009F6CAB">
          <w:rPr>
            <w:rStyle w:val="Hyperlink"/>
            <w:sz w:val="20"/>
            <w:szCs w:val="20"/>
          </w:rPr>
          <w:t>https://www.legislation.gov.uk/anaw/2015/2/enacted</w:t>
        </w:r>
      </w:hyperlink>
      <w:r w:rsidRPr="009F6CAB">
        <w:rPr>
          <w:sz w:val="20"/>
          <w:szCs w:val="20"/>
        </w:rPr>
        <w:t xml:space="preserve"> (Accessed: 12 Sep. 2023).</w:t>
      </w:r>
    </w:p>
    <w:p w14:paraId="404D77FF" w14:textId="77777777" w:rsidR="009F6CAB" w:rsidRPr="009F6CAB" w:rsidRDefault="009F6CAB" w:rsidP="009F6CAB">
      <w:pPr>
        <w:spacing w:line="360" w:lineRule="auto"/>
        <w:rPr>
          <w:sz w:val="20"/>
          <w:szCs w:val="20"/>
        </w:rPr>
      </w:pPr>
      <w:r w:rsidRPr="009F6CAB">
        <w:rPr>
          <w:sz w:val="20"/>
          <w:szCs w:val="20"/>
        </w:rPr>
        <w:t xml:space="preserve">Welsh Government, 2020. </w:t>
      </w:r>
      <w:r w:rsidRPr="009F6CAB">
        <w:rPr>
          <w:i/>
          <w:iCs/>
          <w:sz w:val="20"/>
          <w:szCs w:val="20"/>
        </w:rPr>
        <w:t>Curriculum for Wales: Guidance</w:t>
      </w:r>
      <w:r w:rsidRPr="009F6CAB">
        <w:rPr>
          <w:sz w:val="20"/>
          <w:szCs w:val="20"/>
        </w:rPr>
        <w:t xml:space="preserve">. Cardiff: Welsh Government. Available online at: </w:t>
      </w:r>
      <w:hyperlink r:id="rId13" w:tgtFrame="_new" w:history="1">
        <w:r w:rsidRPr="009F6CAB">
          <w:rPr>
            <w:rStyle w:val="Hyperlink"/>
            <w:sz w:val="20"/>
            <w:szCs w:val="20"/>
          </w:rPr>
          <w:t>https://hwb.gov.wales/curriculum-for-wales</w:t>
        </w:r>
      </w:hyperlink>
      <w:r w:rsidRPr="009F6CAB">
        <w:rPr>
          <w:sz w:val="20"/>
          <w:szCs w:val="20"/>
        </w:rPr>
        <w:t xml:space="preserve"> (Accessed: 21 Nov. 2024).</w:t>
      </w:r>
    </w:p>
    <w:p w14:paraId="77014EB2" w14:textId="77777777" w:rsidR="009F6CAB" w:rsidRPr="009F6CAB" w:rsidRDefault="009F6CAB" w:rsidP="009F6CAB">
      <w:pPr>
        <w:spacing w:line="360" w:lineRule="auto"/>
        <w:rPr>
          <w:sz w:val="20"/>
          <w:szCs w:val="20"/>
        </w:rPr>
      </w:pPr>
      <w:r w:rsidRPr="009F6CAB">
        <w:rPr>
          <w:sz w:val="20"/>
          <w:szCs w:val="20"/>
        </w:rPr>
        <w:t xml:space="preserve">Welsh Government, 2021. </w:t>
      </w:r>
      <w:r w:rsidRPr="009F6CAB">
        <w:rPr>
          <w:i/>
          <w:iCs/>
          <w:sz w:val="20"/>
          <w:szCs w:val="20"/>
        </w:rPr>
        <w:t>Young Person’s Guarantee</w:t>
      </w:r>
      <w:r w:rsidRPr="009F6CAB">
        <w:rPr>
          <w:sz w:val="20"/>
          <w:szCs w:val="20"/>
        </w:rPr>
        <w:t xml:space="preserve">. Available online at: </w:t>
      </w:r>
      <w:hyperlink r:id="rId14" w:tgtFrame="_new" w:history="1">
        <w:r w:rsidRPr="009F6CAB">
          <w:rPr>
            <w:rStyle w:val="Hyperlink"/>
            <w:sz w:val="20"/>
            <w:szCs w:val="20"/>
          </w:rPr>
          <w:t>https://gov.wales/young-persons-guarantee</w:t>
        </w:r>
      </w:hyperlink>
      <w:r w:rsidRPr="009F6CAB">
        <w:rPr>
          <w:sz w:val="20"/>
          <w:szCs w:val="20"/>
        </w:rPr>
        <w:t xml:space="preserve"> (Accessed: 16 Nov. 2024).</w:t>
      </w:r>
    </w:p>
    <w:p w14:paraId="0834F36F" w14:textId="77777777" w:rsidR="009F6CAB" w:rsidRPr="009F6CAB" w:rsidRDefault="009F6CAB" w:rsidP="009F6CAB">
      <w:pPr>
        <w:spacing w:line="360" w:lineRule="auto"/>
        <w:rPr>
          <w:sz w:val="20"/>
          <w:szCs w:val="20"/>
        </w:rPr>
      </w:pPr>
      <w:r w:rsidRPr="009F6CAB">
        <w:rPr>
          <w:sz w:val="20"/>
          <w:szCs w:val="20"/>
        </w:rPr>
        <w:t xml:space="preserve">Welsh Government, 2023a. </w:t>
      </w:r>
      <w:r w:rsidRPr="009F6CAB">
        <w:rPr>
          <w:i/>
          <w:iCs/>
          <w:sz w:val="20"/>
          <w:szCs w:val="20"/>
        </w:rPr>
        <w:t>Pupil Level Annual School Census (PLASC)</w:t>
      </w:r>
      <w:r w:rsidRPr="009F6CAB">
        <w:rPr>
          <w:sz w:val="20"/>
          <w:szCs w:val="20"/>
        </w:rPr>
        <w:t xml:space="preserve">. Available online at: </w:t>
      </w:r>
      <w:hyperlink r:id="rId15" w:tgtFrame="_new" w:history="1">
        <w:r w:rsidRPr="009F6CAB">
          <w:rPr>
            <w:rStyle w:val="Hyperlink"/>
            <w:sz w:val="20"/>
            <w:szCs w:val="20"/>
          </w:rPr>
          <w:t>https://statswales.gov.wales/Catalogue/Education-and-Skills/Schools-and-Teachers/Schools-Census/Pupil-Level-Annual-School-Census</w:t>
        </w:r>
      </w:hyperlink>
      <w:r w:rsidRPr="009F6CAB">
        <w:rPr>
          <w:sz w:val="20"/>
          <w:szCs w:val="20"/>
        </w:rPr>
        <w:t xml:space="preserve"> (Accessed: 22 July 2024).</w:t>
      </w:r>
    </w:p>
    <w:p w14:paraId="726BAB09" w14:textId="77777777" w:rsidR="009F6CAB" w:rsidRPr="009F6CAB" w:rsidRDefault="009F6CAB" w:rsidP="009F6CAB">
      <w:pPr>
        <w:spacing w:line="360" w:lineRule="auto"/>
        <w:rPr>
          <w:sz w:val="20"/>
          <w:szCs w:val="20"/>
        </w:rPr>
      </w:pPr>
      <w:r w:rsidRPr="009F6CAB">
        <w:rPr>
          <w:sz w:val="20"/>
          <w:szCs w:val="20"/>
        </w:rPr>
        <w:t xml:space="preserve">Welsh Government, 2023b. </w:t>
      </w:r>
      <w:r w:rsidRPr="009F6CAB">
        <w:rPr>
          <w:i/>
          <w:iCs/>
          <w:sz w:val="20"/>
          <w:szCs w:val="20"/>
        </w:rPr>
        <w:t>Our national mission: High standards and aspirations for all</w:t>
      </w:r>
      <w:r w:rsidRPr="009F6CAB">
        <w:rPr>
          <w:sz w:val="20"/>
          <w:szCs w:val="20"/>
        </w:rPr>
        <w:t xml:space="preserve">. Available online at: </w:t>
      </w:r>
      <w:hyperlink r:id="rId16" w:tgtFrame="_new" w:history="1">
        <w:r w:rsidRPr="009F6CAB">
          <w:rPr>
            <w:rStyle w:val="Hyperlink"/>
            <w:sz w:val="20"/>
            <w:szCs w:val="20"/>
          </w:rPr>
          <w:t>https://www.gov.wales/our-national-mission-high-standards-and-aspirations-all-html</w:t>
        </w:r>
      </w:hyperlink>
      <w:r w:rsidRPr="009F6CAB">
        <w:rPr>
          <w:sz w:val="20"/>
          <w:szCs w:val="20"/>
        </w:rPr>
        <w:t xml:space="preserve"> (Accessed: 4 Apr. 2024).</w:t>
      </w:r>
    </w:p>
    <w:p w14:paraId="278D5D93" w14:textId="77777777" w:rsidR="009F6CAB" w:rsidRPr="009F6CAB" w:rsidRDefault="009F6CAB" w:rsidP="009F6CAB">
      <w:pPr>
        <w:spacing w:line="360" w:lineRule="auto"/>
        <w:rPr>
          <w:sz w:val="20"/>
          <w:szCs w:val="20"/>
        </w:rPr>
      </w:pPr>
      <w:r w:rsidRPr="009F6CAB">
        <w:rPr>
          <w:sz w:val="20"/>
          <w:szCs w:val="20"/>
        </w:rPr>
        <w:lastRenderedPageBreak/>
        <w:t xml:space="preserve">Welsh Government, 2023c. </w:t>
      </w:r>
      <w:r w:rsidRPr="009F6CAB">
        <w:rPr>
          <w:i/>
          <w:iCs/>
          <w:sz w:val="20"/>
          <w:szCs w:val="20"/>
        </w:rPr>
        <w:t>Vocational Qualifications Review: Government response</w:t>
      </w:r>
      <w:r w:rsidRPr="009F6CAB">
        <w:rPr>
          <w:sz w:val="20"/>
          <w:szCs w:val="20"/>
        </w:rPr>
        <w:t xml:space="preserve">. Available at: </w:t>
      </w:r>
      <w:hyperlink r:id="rId17" w:tgtFrame="_new" w:history="1">
        <w:r w:rsidRPr="009F6CAB">
          <w:rPr>
            <w:rStyle w:val="Hyperlink"/>
            <w:sz w:val="20"/>
            <w:szCs w:val="20"/>
          </w:rPr>
          <w:t>https://gov.wales</w:t>
        </w:r>
      </w:hyperlink>
      <w:r w:rsidRPr="009F6CAB">
        <w:rPr>
          <w:sz w:val="20"/>
          <w:szCs w:val="20"/>
        </w:rPr>
        <w:t xml:space="preserve"> (Accessed: 16 Nov. 2024).</w:t>
      </w:r>
    </w:p>
    <w:p w14:paraId="754B9A0E" w14:textId="77777777" w:rsidR="009F6CAB" w:rsidRPr="009F6CAB" w:rsidRDefault="009F6CAB" w:rsidP="009F6CAB">
      <w:pPr>
        <w:spacing w:line="360" w:lineRule="auto"/>
        <w:rPr>
          <w:sz w:val="20"/>
          <w:szCs w:val="20"/>
        </w:rPr>
      </w:pPr>
      <w:r w:rsidRPr="009F6CAB">
        <w:rPr>
          <w:sz w:val="20"/>
          <w:szCs w:val="20"/>
        </w:rPr>
        <w:t xml:space="preserve">Welsh Government, 2023d. </w:t>
      </w:r>
      <w:r w:rsidRPr="009F6CAB">
        <w:rPr>
          <w:i/>
          <w:iCs/>
          <w:sz w:val="20"/>
          <w:szCs w:val="20"/>
        </w:rPr>
        <w:t>Inspiring Children and Young People's Career Journeys Through Work-Related Experiences</w:t>
      </w:r>
      <w:r w:rsidRPr="009F6CAB">
        <w:rPr>
          <w:sz w:val="20"/>
          <w:szCs w:val="20"/>
        </w:rPr>
        <w:t xml:space="preserve">. Available online at: </w:t>
      </w:r>
      <w:hyperlink r:id="rId18" w:tgtFrame="_new" w:history="1">
        <w:r w:rsidRPr="009F6CAB">
          <w:rPr>
            <w:rStyle w:val="Hyperlink"/>
            <w:sz w:val="20"/>
            <w:szCs w:val="20"/>
          </w:rPr>
          <w:t>https://www.gov.wales/sites/default/files/publications/2023-09/inspiring-children-and-young-peoples-career-journeys-through-work-related-experiences.pdf</w:t>
        </w:r>
      </w:hyperlink>
      <w:r w:rsidRPr="009F6CAB">
        <w:rPr>
          <w:sz w:val="20"/>
          <w:szCs w:val="20"/>
        </w:rPr>
        <w:t xml:space="preserve"> (Accessed 02/01/2025).</w:t>
      </w:r>
    </w:p>
    <w:p w14:paraId="7061FA21" w14:textId="77777777" w:rsidR="009F6CAB" w:rsidRPr="009F6CAB" w:rsidRDefault="009F6CAB" w:rsidP="009F6CAB">
      <w:pPr>
        <w:spacing w:line="360" w:lineRule="auto"/>
        <w:rPr>
          <w:sz w:val="20"/>
          <w:szCs w:val="20"/>
        </w:rPr>
      </w:pPr>
      <w:r w:rsidRPr="009F6CAB">
        <w:rPr>
          <w:sz w:val="20"/>
          <w:szCs w:val="20"/>
        </w:rPr>
        <w:t xml:space="preserve">Welsh Government Credit and Qualifications Framework, 2024b. Available at </w:t>
      </w:r>
      <w:hyperlink r:id="rId19" w:history="1">
        <w:r w:rsidRPr="009F6CAB">
          <w:rPr>
            <w:rStyle w:val="Hyperlink"/>
            <w:sz w:val="20"/>
            <w:szCs w:val="20"/>
          </w:rPr>
          <w:t>https://www.gov.wales/credit-and-qualifications-framework-cqfw</w:t>
        </w:r>
      </w:hyperlink>
      <w:r w:rsidRPr="009F6CAB">
        <w:rPr>
          <w:sz w:val="20"/>
          <w:szCs w:val="20"/>
        </w:rPr>
        <w:t xml:space="preserve"> (Accessed 02/01/25)</w:t>
      </w:r>
    </w:p>
    <w:p w14:paraId="79C5A551" w14:textId="77777777" w:rsidR="009F6CAB" w:rsidRPr="009F6CAB" w:rsidRDefault="009F6CAB" w:rsidP="009F6CAB">
      <w:pPr>
        <w:spacing w:line="360" w:lineRule="auto"/>
        <w:rPr>
          <w:sz w:val="20"/>
          <w:szCs w:val="20"/>
        </w:rPr>
      </w:pPr>
      <w:r w:rsidRPr="009F6CAB">
        <w:rPr>
          <w:sz w:val="20"/>
          <w:szCs w:val="20"/>
        </w:rPr>
        <w:t xml:space="preserve">Welsh Government, 2024a. </w:t>
      </w:r>
      <w:r w:rsidRPr="009F6CAB">
        <w:rPr>
          <w:i/>
          <w:iCs/>
          <w:sz w:val="20"/>
          <w:szCs w:val="20"/>
        </w:rPr>
        <w:t>Cross-cutting themes for designing your curriculum: Careers and work-related experiences</w:t>
      </w:r>
      <w:r w:rsidRPr="009F6CAB">
        <w:rPr>
          <w:sz w:val="20"/>
          <w:szCs w:val="20"/>
        </w:rPr>
        <w:t xml:space="preserve">. Available at: </w:t>
      </w:r>
      <w:hyperlink r:id="rId20" w:anchor="careers-and-work-related-experiences" w:tgtFrame="_new" w:history="1">
        <w:r w:rsidRPr="009F6CAB">
          <w:rPr>
            <w:rStyle w:val="Hyperlink"/>
            <w:sz w:val="20"/>
            <w:szCs w:val="20"/>
          </w:rPr>
          <w:t>https://hwb.gov.wales/curriculum-for-wales/designing-your-curriculum/cross-cutting-themes-for-designing-your-curriculum#careers-and-work-related-experiences</w:t>
        </w:r>
      </w:hyperlink>
      <w:r w:rsidRPr="009F6CAB">
        <w:rPr>
          <w:sz w:val="20"/>
          <w:szCs w:val="20"/>
        </w:rPr>
        <w:t xml:space="preserve"> (Accessed 8 Nov. 2024).</w:t>
      </w:r>
    </w:p>
    <w:p w14:paraId="2E6412D5" w14:textId="77777777" w:rsidR="009F6CAB" w:rsidRPr="009F6CAB" w:rsidRDefault="009F6CAB" w:rsidP="009F6CAB">
      <w:pPr>
        <w:spacing w:line="360" w:lineRule="auto"/>
        <w:rPr>
          <w:sz w:val="20"/>
          <w:szCs w:val="20"/>
        </w:rPr>
      </w:pPr>
      <w:r w:rsidRPr="009F6CAB">
        <w:rPr>
          <w:sz w:val="20"/>
          <w:szCs w:val="20"/>
        </w:rPr>
        <w:t xml:space="preserve">World Health Organization (WHO) (2012) </w:t>
      </w:r>
      <w:r w:rsidRPr="009F6CAB">
        <w:rPr>
          <w:i/>
          <w:iCs/>
          <w:sz w:val="20"/>
          <w:szCs w:val="20"/>
        </w:rPr>
        <w:t>Public health action for the prevention of suicide: a framework</w:t>
      </w:r>
      <w:r w:rsidRPr="009F6CAB">
        <w:rPr>
          <w:sz w:val="20"/>
          <w:szCs w:val="20"/>
        </w:rPr>
        <w:t xml:space="preserve">. Available online at: </w:t>
      </w:r>
      <w:hyperlink r:id="rId21" w:history="1">
        <w:r w:rsidRPr="009F6CAB">
          <w:rPr>
            <w:rStyle w:val="Hyperlink"/>
            <w:sz w:val="20"/>
            <w:szCs w:val="20"/>
          </w:rPr>
          <w:t>https://sante.public.lu/dam-assets/fr/publications/p/public-health-action-prevention-suicide/public-health-action-prevention-suicide.pdf</w:t>
        </w:r>
      </w:hyperlink>
      <w:r w:rsidRPr="009F6CAB">
        <w:rPr>
          <w:sz w:val="20"/>
          <w:szCs w:val="20"/>
        </w:rPr>
        <w:t xml:space="preserve"> (Accessed 12/03/24)</w:t>
      </w:r>
    </w:p>
    <w:p w14:paraId="7567FF4F" w14:textId="77777777" w:rsidR="00F718DC" w:rsidRPr="001D4767" w:rsidRDefault="00F718DC" w:rsidP="00B463A9">
      <w:pPr>
        <w:spacing w:line="360" w:lineRule="auto"/>
        <w:rPr>
          <w:sz w:val="20"/>
          <w:szCs w:val="20"/>
        </w:rPr>
      </w:pPr>
    </w:p>
    <w:sectPr w:rsidR="00F718DC" w:rsidRPr="001D47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744AC"/>
    <w:multiLevelType w:val="multilevel"/>
    <w:tmpl w:val="83E8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0F776E"/>
    <w:multiLevelType w:val="multilevel"/>
    <w:tmpl w:val="32B81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206CCA"/>
    <w:multiLevelType w:val="multilevel"/>
    <w:tmpl w:val="3912C19E"/>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FC4B6D"/>
    <w:multiLevelType w:val="multilevel"/>
    <w:tmpl w:val="BA4C9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AF6EF0"/>
    <w:multiLevelType w:val="multilevel"/>
    <w:tmpl w:val="91365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481A1F"/>
    <w:multiLevelType w:val="hybridMultilevel"/>
    <w:tmpl w:val="A5F2B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8295885">
    <w:abstractNumId w:val="1"/>
  </w:num>
  <w:num w:numId="2" w16cid:durableId="1679767866">
    <w:abstractNumId w:val="3"/>
  </w:num>
  <w:num w:numId="3" w16cid:durableId="568808456">
    <w:abstractNumId w:val="5"/>
  </w:num>
  <w:num w:numId="4" w16cid:durableId="1137070180">
    <w:abstractNumId w:val="0"/>
  </w:num>
  <w:num w:numId="5" w16cid:durableId="446972899">
    <w:abstractNumId w:val="2"/>
  </w:num>
  <w:num w:numId="6" w16cid:durableId="36286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9E2"/>
    <w:rsid w:val="000200AB"/>
    <w:rsid w:val="000206B3"/>
    <w:rsid w:val="00022C70"/>
    <w:rsid w:val="00023EF8"/>
    <w:rsid w:val="000250E6"/>
    <w:rsid w:val="00025701"/>
    <w:rsid w:val="0004434A"/>
    <w:rsid w:val="00052BA4"/>
    <w:rsid w:val="00053F30"/>
    <w:rsid w:val="00055726"/>
    <w:rsid w:val="000603CB"/>
    <w:rsid w:val="000624F0"/>
    <w:rsid w:val="000750AE"/>
    <w:rsid w:val="0008042D"/>
    <w:rsid w:val="00082265"/>
    <w:rsid w:val="00091298"/>
    <w:rsid w:val="00091714"/>
    <w:rsid w:val="0009392E"/>
    <w:rsid w:val="00094EDD"/>
    <w:rsid w:val="000A0A18"/>
    <w:rsid w:val="000A2424"/>
    <w:rsid w:val="000B3A01"/>
    <w:rsid w:val="000C692A"/>
    <w:rsid w:val="000D0B61"/>
    <w:rsid w:val="000D24CF"/>
    <w:rsid w:val="000D32DE"/>
    <w:rsid w:val="000D58C9"/>
    <w:rsid w:val="000D6BDD"/>
    <w:rsid w:val="000D6F9B"/>
    <w:rsid w:val="000D738A"/>
    <w:rsid w:val="000E0576"/>
    <w:rsid w:val="000E213A"/>
    <w:rsid w:val="000E2A45"/>
    <w:rsid w:val="000E68AD"/>
    <w:rsid w:val="000F02E5"/>
    <w:rsid w:val="000F1C8B"/>
    <w:rsid w:val="000F6458"/>
    <w:rsid w:val="000F6F1D"/>
    <w:rsid w:val="00104CE6"/>
    <w:rsid w:val="00121F77"/>
    <w:rsid w:val="00122357"/>
    <w:rsid w:val="00131186"/>
    <w:rsid w:val="00140B9E"/>
    <w:rsid w:val="001448AE"/>
    <w:rsid w:val="001549BA"/>
    <w:rsid w:val="00154C95"/>
    <w:rsid w:val="00155B5D"/>
    <w:rsid w:val="00163FC5"/>
    <w:rsid w:val="00166903"/>
    <w:rsid w:val="00173A90"/>
    <w:rsid w:val="0018021F"/>
    <w:rsid w:val="00182AD9"/>
    <w:rsid w:val="0018362F"/>
    <w:rsid w:val="0018552B"/>
    <w:rsid w:val="00190A55"/>
    <w:rsid w:val="00195B05"/>
    <w:rsid w:val="00196289"/>
    <w:rsid w:val="00196BF2"/>
    <w:rsid w:val="001A0B06"/>
    <w:rsid w:val="001A269C"/>
    <w:rsid w:val="001B15CA"/>
    <w:rsid w:val="001B357E"/>
    <w:rsid w:val="001C104C"/>
    <w:rsid w:val="001C550B"/>
    <w:rsid w:val="001D2066"/>
    <w:rsid w:val="001D4084"/>
    <w:rsid w:val="001D4767"/>
    <w:rsid w:val="001D7D8B"/>
    <w:rsid w:val="001E24E7"/>
    <w:rsid w:val="001F05D2"/>
    <w:rsid w:val="001F4212"/>
    <w:rsid w:val="0020003C"/>
    <w:rsid w:val="00200278"/>
    <w:rsid w:val="00204C6A"/>
    <w:rsid w:val="00212413"/>
    <w:rsid w:val="00220D54"/>
    <w:rsid w:val="002301FB"/>
    <w:rsid w:val="00235D60"/>
    <w:rsid w:val="00242081"/>
    <w:rsid w:val="002445AC"/>
    <w:rsid w:val="00251425"/>
    <w:rsid w:val="0025469E"/>
    <w:rsid w:val="002638C1"/>
    <w:rsid w:val="002657BE"/>
    <w:rsid w:val="00270460"/>
    <w:rsid w:val="00272522"/>
    <w:rsid w:val="00272B42"/>
    <w:rsid w:val="00272F85"/>
    <w:rsid w:val="00273267"/>
    <w:rsid w:val="002842E5"/>
    <w:rsid w:val="002864C8"/>
    <w:rsid w:val="002875C2"/>
    <w:rsid w:val="00292A8C"/>
    <w:rsid w:val="00296099"/>
    <w:rsid w:val="002A44B2"/>
    <w:rsid w:val="002A4F8E"/>
    <w:rsid w:val="002B4D8B"/>
    <w:rsid w:val="002C4B39"/>
    <w:rsid w:val="002D1356"/>
    <w:rsid w:val="002D50F4"/>
    <w:rsid w:val="002D7D23"/>
    <w:rsid w:val="002F3766"/>
    <w:rsid w:val="003046F3"/>
    <w:rsid w:val="00307D6A"/>
    <w:rsid w:val="0032122C"/>
    <w:rsid w:val="003226FC"/>
    <w:rsid w:val="00326BC7"/>
    <w:rsid w:val="003410FD"/>
    <w:rsid w:val="0034514C"/>
    <w:rsid w:val="00354374"/>
    <w:rsid w:val="003568A1"/>
    <w:rsid w:val="00356BBD"/>
    <w:rsid w:val="00361603"/>
    <w:rsid w:val="0036551C"/>
    <w:rsid w:val="00366DF1"/>
    <w:rsid w:val="00380F10"/>
    <w:rsid w:val="00386EF5"/>
    <w:rsid w:val="00390CE1"/>
    <w:rsid w:val="003920AB"/>
    <w:rsid w:val="00396B64"/>
    <w:rsid w:val="003A13AA"/>
    <w:rsid w:val="003A3EAC"/>
    <w:rsid w:val="003B4D49"/>
    <w:rsid w:val="003B5EC0"/>
    <w:rsid w:val="003B5FE2"/>
    <w:rsid w:val="003B7216"/>
    <w:rsid w:val="003C235D"/>
    <w:rsid w:val="003C59EF"/>
    <w:rsid w:val="003D4416"/>
    <w:rsid w:val="003D7538"/>
    <w:rsid w:val="003D7953"/>
    <w:rsid w:val="003E1595"/>
    <w:rsid w:val="003E30B4"/>
    <w:rsid w:val="003E73AC"/>
    <w:rsid w:val="003F00F3"/>
    <w:rsid w:val="004040D6"/>
    <w:rsid w:val="00407477"/>
    <w:rsid w:val="00407F78"/>
    <w:rsid w:val="00420B02"/>
    <w:rsid w:val="00424437"/>
    <w:rsid w:val="00435D3F"/>
    <w:rsid w:val="00445780"/>
    <w:rsid w:val="00445E81"/>
    <w:rsid w:val="00446C7C"/>
    <w:rsid w:val="004570EA"/>
    <w:rsid w:val="00457362"/>
    <w:rsid w:val="0046626C"/>
    <w:rsid w:val="004820F2"/>
    <w:rsid w:val="004870B3"/>
    <w:rsid w:val="004921A4"/>
    <w:rsid w:val="004A0639"/>
    <w:rsid w:val="004A333C"/>
    <w:rsid w:val="004A5F03"/>
    <w:rsid w:val="004A6283"/>
    <w:rsid w:val="004B2E62"/>
    <w:rsid w:val="004B7261"/>
    <w:rsid w:val="004C269E"/>
    <w:rsid w:val="004C3283"/>
    <w:rsid w:val="004C45C6"/>
    <w:rsid w:val="004E1C90"/>
    <w:rsid w:val="004E727C"/>
    <w:rsid w:val="004F1CEC"/>
    <w:rsid w:val="004F33C6"/>
    <w:rsid w:val="004F6F10"/>
    <w:rsid w:val="004F7D63"/>
    <w:rsid w:val="00510666"/>
    <w:rsid w:val="0051281D"/>
    <w:rsid w:val="00514D6F"/>
    <w:rsid w:val="0051792E"/>
    <w:rsid w:val="00517D75"/>
    <w:rsid w:val="00525D1C"/>
    <w:rsid w:val="005355CF"/>
    <w:rsid w:val="00542889"/>
    <w:rsid w:val="00543C4F"/>
    <w:rsid w:val="005475D1"/>
    <w:rsid w:val="0055078E"/>
    <w:rsid w:val="00557437"/>
    <w:rsid w:val="00560DB9"/>
    <w:rsid w:val="005668CF"/>
    <w:rsid w:val="0057265D"/>
    <w:rsid w:val="00572F92"/>
    <w:rsid w:val="005841C7"/>
    <w:rsid w:val="00586C54"/>
    <w:rsid w:val="00586EBA"/>
    <w:rsid w:val="005873DE"/>
    <w:rsid w:val="0059122A"/>
    <w:rsid w:val="00597088"/>
    <w:rsid w:val="005A5D94"/>
    <w:rsid w:val="005C7645"/>
    <w:rsid w:val="005C7FB4"/>
    <w:rsid w:val="005D0A05"/>
    <w:rsid w:val="005E18D3"/>
    <w:rsid w:val="005E6B58"/>
    <w:rsid w:val="005E6D24"/>
    <w:rsid w:val="005F3871"/>
    <w:rsid w:val="005F406E"/>
    <w:rsid w:val="0061312D"/>
    <w:rsid w:val="00622235"/>
    <w:rsid w:val="00624EFF"/>
    <w:rsid w:val="006272C9"/>
    <w:rsid w:val="00643172"/>
    <w:rsid w:val="006436A6"/>
    <w:rsid w:val="0065414D"/>
    <w:rsid w:val="00664923"/>
    <w:rsid w:val="00664AA3"/>
    <w:rsid w:val="00671701"/>
    <w:rsid w:val="00683B4F"/>
    <w:rsid w:val="00692AE2"/>
    <w:rsid w:val="0069745C"/>
    <w:rsid w:val="006A11AD"/>
    <w:rsid w:val="006B42CA"/>
    <w:rsid w:val="006B52C0"/>
    <w:rsid w:val="006C314C"/>
    <w:rsid w:val="006C51B1"/>
    <w:rsid w:val="006D2A72"/>
    <w:rsid w:val="006F1E97"/>
    <w:rsid w:val="006F51AD"/>
    <w:rsid w:val="0070445F"/>
    <w:rsid w:val="00705C87"/>
    <w:rsid w:val="007069D8"/>
    <w:rsid w:val="00712312"/>
    <w:rsid w:val="00712A6C"/>
    <w:rsid w:val="00717E2E"/>
    <w:rsid w:val="00734194"/>
    <w:rsid w:val="00735CF3"/>
    <w:rsid w:val="00736CB4"/>
    <w:rsid w:val="007437E8"/>
    <w:rsid w:val="00744024"/>
    <w:rsid w:val="00744EBA"/>
    <w:rsid w:val="00750270"/>
    <w:rsid w:val="00750BAB"/>
    <w:rsid w:val="00755395"/>
    <w:rsid w:val="00757455"/>
    <w:rsid w:val="007660C7"/>
    <w:rsid w:val="00774B35"/>
    <w:rsid w:val="0078104D"/>
    <w:rsid w:val="00782619"/>
    <w:rsid w:val="0078447A"/>
    <w:rsid w:val="007928C1"/>
    <w:rsid w:val="007A67C2"/>
    <w:rsid w:val="007B1F88"/>
    <w:rsid w:val="007B32EF"/>
    <w:rsid w:val="007C1598"/>
    <w:rsid w:val="007D2EA8"/>
    <w:rsid w:val="007D6FF6"/>
    <w:rsid w:val="007E5773"/>
    <w:rsid w:val="007E7689"/>
    <w:rsid w:val="007F1B42"/>
    <w:rsid w:val="008058B6"/>
    <w:rsid w:val="00812E90"/>
    <w:rsid w:val="008154AF"/>
    <w:rsid w:val="00821019"/>
    <w:rsid w:val="00822836"/>
    <w:rsid w:val="00823639"/>
    <w:rsid w:val="00830CC7"/>
    <w:rsid w:val="008340CC"/>
    <w:rsid w:val="008423F1"/>
    <w:rsid w:val="008433E4"/>
    <w:rsid w:val="00844C78"/>
    <w:rsid w:val="008709C2"/>
    <w:rsid w:val="00883DEA"/>
    <w:rsid w:val="008871B7"/>
    <w:rsid w:val="008901CE"/>
    <w:rsid w:val="00894066"/>
    <w:rsid w:val="00894E4E"/>
    <w:rsid w:val="008A42B2"/>
    <w:rsid w:val="008B3388"/>
    <w:rsid w:val="008B5DF7"/>
    <w:rsid w:val="008C2F0D"/>
    <w:rsid w:val="008E1532"/>
    <w:rsid w:val="008F793B"/>
    <w:rsid w:val="009079B8"/>
    <w:rsid w:val="00914AB9"/>
    <w:rsid w:val="00921746"/>
    <w:rsid w:val="0093113E"/>
    <w:rsid w:val="009349AA"/>
    <w:rsid w:val="009404A5"/>
    <w:rsid w:val="00941C87"/>
    <w:rsid w:val="009457FB"/>
    <w:rsid w:val="00955C8D"/>
    <w:rsid w:val="00965EBA"/>
    <w:rsid w:val="00967A66"/>
    <w:rsid w:val="00971A3C"/>
    <w:rsid w:val="009738B5"/>
    <w:rsid w:val="00973A8E"/>
    <w:rsid w:val="00977A7E"/>
    <w:rsid w:val="00977C5B"/>
    <w:rsid w:val="00983A17"/>
    <w:rsid w:val="009C7326"/>
    <w:rsid w:val="009E14C1"/>
    <w:rsid w:val="009F6CAB"/>
    <w:rsid w:val="009F710E"/>
    <w:rsid w:val="009F7C9D"/>
    <w:rsid w:val="00A0187B"/>
    <w:rsid w:val="00A01AD6"/>
    <w:rsid w:val="00A12B91"/>
    <w:rsid w:val="00A12FC7"/>
    <w:rsid w:val="00A1402C"/>
    <w:rsid w:val="00A159E3"/>
    <w:rsid w:val="00A266A7"/>
    <w:rsid w:val="00A30FE1"/>
    <w:rsid w:val="00A4005D"/>
    <w:rsid w:val="00A44F49"/>
    <w:rsid w:val="00A5085D"/>
    <w:rsid w:val="00A5683D"/>
    <w:rsid w:val="00A638ED"/>
    <w:rsid w:val="00A674A7"/>
    <w:rsid w:val="00A82DE5"/>
    <w:rsid w:val="00A85E4E"/>
    <w:rsid w:val="00AA5849"/>
    <w:rsid w:val="00AA5F2C"/>
    <w:rsid w:val="00AB38E9"/>
    <w:rsid w:val="00AB498A"/>
    <w:rsid w:val="00AC1628"/>
    <w:rsid w:val="00AC3D67"/>
    <w:rsid w:val="00AC7590"/>
    <w:rsid w:val="00AE3680"/>
    <w:rsid w:val="00AF4135"/>
    <w:rsid w:val="00AF499B"/>
    <w:rsid w:val="00B01B36"/>
    <w:rsid w:val="00B0260F"/>
    <w:rsid w:val="00B066B0"/>
    <w:rsid w:val="00B12F58"/>
    <w:rsid w:val="00B135E8"/>
    <w:rsid w:val="00B15547"/>
    <w:rsid w:val="00B21664"/>
    <w:rsid w:val="00B23E19"/>
    <w:rsid w:val="00B256A8"/>
    <w:rsid w:val="00B352BA"/>
    <w:rsid w:val="00B37B93"/>
    <w:rsid w:val="00B43B4F"/>
    <w:rsid w:val="00B44E0C"/>
    <w:rsid w:val="00B463A9"/>
    <w:rsid w:val="00B46BFD"/>
    <w:rsid w:val="00B46D08"/>
    <w:rsid w:val="00B52166"/>
    <w:rsid w:val="00B80128"/>
    <w:rsid w:val="00B80D57"/>
    <w:rsid w:val="00B83B3E"/>
    <w:rsid w:val="00B902A5"/>
    <w:rsid w:val="00BA1970"/>
    <w:rsid w:val="00BA1C95"/>
    <w:rsid w:val="00BA282D"/>
    <w:rsid w:val="00BA2AF1"/>
    <w:rsid w:val="00BA477F"/>
    <w:rsid w:val="00BA656C"/>
    <w:rsid w:val="00BA7E6E"/>
    <w:rsid w:val="00BB32DB"/>
    <w:rsid w:val="00BB33DB"/>
    <w:rsid w:val="00BB4CD1"/>
    <w:rsid w:val="00BC2A4F"/>
    <w:rsid w:val="00BC3DE0"/>
    <w:rsid w:val="00BC5874"/>
    <w:rsid w:val="00BD379E"/>
    <w:rsid w:val="00BD525D"/>
    <w:rsid w:val="00BD6A0A"/>
    <w:rsid w:val="00BE6D4F"/>
    <w:rsid w:val="00BF2A8D"/>
    <w:rsid w:val="00C02447"/>
    <w:rsid w:val="00C0377D"/>
    <w:rsid w:val="00C14A1C"/>
    <w:rsid w:val="00C20A0C"/>
    <w:rsid w:val="00C21B37"/>
    <w:rsid w:val="00C26127"/>
    <w:rsid w:val="00C30A0F"/>
    <w:rsid w:val="00C34F7C"/>
    <w:rsid w:val="00C35223"/>
    <w:rsid w:val="00C44604"/>
    <w:rsid w:val="00C46CFB"/>
    <w:rsid w:val="00C51D0F"/>
    <w:rsid w:val="00C61077"/>
    <w:rsid w:val="00C72F20"/>
    <w:rsid w:val="00C734B4"/>
    <w:rsid w:val="00C747CD"/>
    <w:rsid w:val="00C83F69"/>
    <w:rsid w:val="00CA52C5"/>
    <w:rsid w:val="00CB69E2"/>
    <w:rsid w:val="00CB788E"/>
    <w:rsid w:val="00CC5D0D"/>
    <w:rsid w:val="00CD3F1E"/>
    <w:rsid w:val="00CE6FC6"/>
    <w:rsid w:val="00CF6A30"/>
    <w:rsid w:val="00D02DC2"/>
    <w:rsid w:val="00D041B5"/>
    <w:rsid w:val="00D06CCB"/>
    <w:rsid w:val="00D06F7D"/>
    <w:rsid w:val="00D07E18"/>
    <w:rsid w:val="00D102C1"/>
    <w:rsid w:val="00D11C84"/>
    <w:rsid w:val="00D13027"/>
    <w:rsid w:val="00D22D69"/>
    <w:rsid w:val="00D23451"/>
    <w:rsid w:val="00D272A8"/>
    <w:rsid w:val="00D304B4"/>
    <w:rsid w:val="00D350D6"/>
    <w:rsid w:val="00D52473"/>
    <w:rsid w:val="00D53A3E"/>
    <w:rsid w:val="00D62D95"/>
    <w:rsid w:val="00D70CB0"/>
    <w:rsid w:val="00D8258D"/>
    <w:rsid w:val="00D8497E"/>
    <w:rsid w:val="00D9225C"/>
    <w:rsid w:val="00DA3AE1"/>
    <w:rsid w:val="00DA6BBB"/>
    <w:rsid w:val="00DB2BC6"/>
    <w:rsid w:val="00DB3B04"/>
    <w:rsid w:val="00DC1D1A"/>
    <w:rsid w:val="00DC252C"/>
    <w:rsid w:val="00DC7B63"/>
    <w:rsid w:val="00DD4BA3"/>
    <w:rsid w:val="00DE31A4"/>
    <w:rsid w:val="00DE5ABA"/>
    <w:rsid w:val="00DE64F2"/>
    <w:rsid w:val="00E04BC1"/>
    <w:rsid w:val="00E072C1"/>
    <w:rsid w:val="00E202CB"/>
    <w:rsid w:val="00E23DD0"/>
    <w:rsid w:val="00E35819"/>
    <w:rsid w:val="00E44615"/>
    <w:rsid w:val="00E64368"/>
    <w:rsid w:val="00E72915"/>
    <w:rsid w:val="00E86139"/>
    <w:rsid w:val="00E919F4"/>
    <w:rsid w:val="00EA524A"/>
    <w:rsid w:val="00EB0BD1"/>
    <w:rsid w:val="00EB3567"/>
    <w:rsid w:val="00EB6EDF"/>
    <w:rsid w:val="00EC5579"/>
    <w:rsid w:val="00ED00E1"/>
    <w:rsid w:val="00EE031D"/>
    <w:rsid w:val="00EE3D00"/>
    <w:rsid w:val="00EF00BA"/>
    <w:rsid w:val="00EF17B5"/>
    <w:rsid w:val="00EF3C59"/>
    <w:rsid w:val="00F00354"/>
    <w:rsid w:val="00F00903"/>
    <w:rsid w:val="00F00B3E"/>
    <w:rsid w:val="00F03133"/>
    <w:rsid w:val="00F04791"/>
    <w:rsid w:val="00F06D8D"/>
    <w:rsid w:val="00F07BF5"/>
    <w:rsid w:val="00F47CB6"/>
    <w:rsid w:val="00F503CE"/>
    <w:rsid w:val="00F50DBD"/>
    <w:rsid w:val="00F52A60"/>
    <w:rsid w:val="00F6234D"/>
    <w:rsid w:val="00F66630"/>
    <w:rsid w:val="00F718DC"/>
    <w:rsid w:val="00F81BB8"/>
    <w:rsid w:val="00F87261"/>
    <w:rsid w:val="00FA0A83"/>
    <w:rsid w:val="00FA2D9A"/>
    <w:rsid w:val="00FB1C05"/>
    <w:rsid w:val="00FB6548"/>
    <w:rsid w:val="00FB7957"/>
    <w:rsid w:val="00FD1636"/>
    <w:rsid w:val="00FD1B6D"/>
    <w:rsid w:val="00FD28EA"/>
    <w:rsid w:val="00FD5D86"/>
    <w:rsid w:val="00FE223C"/>
    <w:rsid w:val="00FF0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3BD5A"/>
  <w15:chartTrackingRefBased/>
  <w15:docId w15:val="{575047F0-3F34-4A51-81BB-27C29810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7BE"/>
  </w:style>
  <w:style w:type="paragraph" w:styleId="Heading1">
    <w:name w:val="heading 1"/>
    <w:basedOn w:val="Normal"/>
    <w:next w:val="Normal"/>
    <w:link w:val="Heading1Char"/>
    <w:uiPriority w:val="9"/>
    <w:qFormat/>
    <w:rsid w:val="00CB69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9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9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9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9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9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9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9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9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9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9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9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9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9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9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9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9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9E2"/>
    <w:rPr>
      <w:rFonts w:eastAsiaTheme="majorEastAsia" w:cstheme="majorBidi"/>
      <w:color w:val="272727" w:themeColor="text1" w:themeTint="D8"/>
    </w:rPr>
  </w:style>
  <w:style w:type="paragraph" w:styleId="Title">
    <w:name w:val="Title"/>
    <w:basedOn w:val="Normal"/>
    <w:next w:val="Normal"/>
    <w:link w:val="TitleChar"/>
    <w:uiPriority w:val="10"/>
    <w:qFormat/>
    <w:rsid w:val="00CB69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9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9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9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9E2"/>
    <w:pPr>
      <w:spacing w:before="160"/>
      <w:jc w:val="center"/>
    </w:pPr>
    <w:rPr>
      <w:i/>
      <w:iCs/>
      <w:color w:val="404040" w:themeColor="text1" w:themeTint="BF"/>
    </w:rPr>
  </w:style>
  <w:style w:type="character" w:customStyle="1" w:styleId="QuoteChar">
    <w:name w:val="Quote Char"/>
    <w:basedOn w:val="DefaultParagraphFont"/>
    <w:link w:val="Quote"/>
    <w:uiPriority w:val="29"/>
    <w:rsid w:val="00CB69E2"/>
    <w:rPr>
      <w:i/>
      <w:iCs/>
      <w:color w:val="404040" w:themeColor="text1" w:themeTint="BF"/>
    </w:rPr>
  </w:style>
  <w:style w:type="paragraph" w:styleId="ListParagraph">
    <w:name w:val="List Paragraph"/>
    <w:basedOn w:val="Normal"/>
    <w:uiPriority w:val="34"/>
    <w:qFormat/>
    <w:rsid w:val="00CB69E2"/>
    <w:pPr>
      <w:ind w:left="720"/>
      <w:contextualSpacing/>
    </w:pPr>
  </w:style>
  <w:style w:type="character" w:styleId="IntenseEmphasis">
    <w:name w:val="Intense Emphasis"/>
    <w:basedOn w:val="DefaultParagraphFont"/>
    <w:uiPriority w:val="21"/>
    <w:qFormat/>
    <w:rsid w:val="00CB69E2"/>
    <w:rPr>
      <w:i/>
      <w:iCs/>
      <w:color w:val="0F4761" w:themeColor="accent1" w:themeShade="BF"/>
    </w:rPr>
  </w:style>
  <w:style w:type="paragraph" w:styleId="IntenseQuote">
    <w:name w:val="Intense Quote"/>
    <w:basedOn w:val="Normal"/>
    <w:next w:val="Normal"/>
    <w:link w:val="IntenseQuoteChar"/>
    <w:uiPriority w:val="30"/>
    <w:qFormat/>
    <w:rsid w:val="00CB69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9E2"/>
    <w:rPr>
      <w:i/>
      <w:iCs/>
      <w:color w:val="0F4761" w:themeColor="accent1" w:themeShade="BF"/>
    </w:rPr>
  </w:style>
  <w:style w:type="character" w:styleId="IntenseReference">
    <w:name w:val="Intense Reference"/>
    <w:basedOn w:val="DefaultParagraphFont"/>
    <w:uiPriority w:val="32"/>
    <w:qFormat/>
    <w:rsid w:val="00CB69E2"/>
    <w:rPr>
      <w:b/>
      <w:bCs/>
      <w:smallCaps/>
      <w:color w:val="0F4761" w:themeColor="accent1" w:themeShade="BF"/>
      <w:spacing w:val="5"/>
    </w:rPr>
  </w:style>
  <w:style w:type="character" w:styleId="Hyperlink">
    <w:name w:val="Hyperlink"/>
    <w:basedOn w:val="DefaultParagraphFont"/>
    <w:uiPriority w:val="99"/>
    <w:unhideWhenUsed/>
    <w:rsid w:val="00A44F49"/>
    <w:rPr>
      <w:color w:val="467886" w:themeColor="hyperlink"/>
      <w:u w:val="single"/>
    </w:rPr>
  </w:style>
  <w:style w:type="character" w:styleId="UnresolvedMention">
    <w:name w:val="Unresolved Mention"/>
    <w:basedOn w:val="DefaultParagraphFont"/>
    <w:uiPriority w:val="99"/>
    <w:semiHidden/>
    <w:unhideWhenUsed/>
    <w:rsid w:val="00A44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014873">
      <w:bodyDiv w:val="1"/>
      <w:marLeft w:val="0"/>
      <w:marRight w:val="0"/>
      <w:marTop w:val="0"/>
      <w:marBottom w:val="0"/>
      <w:divBdr>
        <w:top w:val="none" w:sz="0" w:space="0" w:color="auto"/>
        <w:left w:val="none" w:sz="0" w:space="0" w:color="auto"/>
        <w:bottom w:val="none" w:sz="0" w:space="0" w:color="auto"/>
        <w:right w:val="none" w:sz="0" w:space="0" w:color="auto"/>
      </w:divBdr>
      <w:divsChild>
        <w:div w:id="78714712">
          <w:marLeft w:val="0"/>
          <w:marRight w:val="0"/>
          <w:marTop w:val="0"/>
          <w:marBottom w:val="0"/>
          <w:divBdr>
            <w:top w:val="none" w:sz="0" w:space="0" w:color="auto"/>
            <w:left w:val="none" w:sz="0" w:space="0" w:color="auto"/>
            <w:bottom w:val="none" w:sz="0" w:space="0" w:color="auto"/>
            <w:right w:val="none" w:sz="0" w:space="0" w:color="auto"/>
          </w:divBdr>
          <w:divsChild>
            <w:div w:id="1687554909">
              <w:marLeft w:val="0"/>
              <w:marRight w:val="0"/>
              <w:marTop w:val="0"/>
              <w:marBottom w:val="0"/>
              <w:divBdr>
                <w:top w:val="none" w:sz="0" w:space="0" w:color="auto"/>
                <w:left w:val="none" w:sz="0" w:space="0" w:color="auto"/>
                <w:bottom w:val="none" w:sz="0" w:space="0" w:color="auto"/>
                <w:right w:val="none" w:sz="0" w:space="0" w:color="auto"/>
              </w:divBdr>
              <w:divsChild>
                <w:div w:id="1193885586">
                  <w:marLeft w:val="0"/>
                  <w:marRight w:val="0"/>
                  <w:marTop w:val="0"/>
                  <w:marBottom w:val="0"/>
                  <w:divBdr>
                    <w:top w:val="none" w:sz="0" w:space="0" w:color="auto"/>
                    <w:left w:val="none" w:sz="0" w:space="0" w:color="auto"/>
                    <w:bottom w:val="none" w:sz="0" w:space="0" w:color="auto"/>
                    <w:right w:val="none" w:sz="0" w:space="0" w:color="auto"/>
                  </w:divBdr>
                  <w:divsChild>
                    <w:div w:id="21069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130426">
          <w:marLeft w:val="0"/>
          <w:marRight w:val="0"/>
          <w:marTop w:val="0"/>
          <w:marBottom w:val="0"/>
          <w:divBdr>
            <w:top w:val="none" w:sz="0" w:space="0" w:color="auto"/>
            <w:left w:val="none" w:sz="0" w:space="0" w:color="auto"/>
            <w:bottom w:val="none" w:sz="0" w:space="0" w:color="auto"/>
            <w:right w:val="none" w:sz="0" w:space="0" w:color="auto"/>
          </w:divBdr>
          <w:divsChild>
            <w:div w:id="28575321">
              <w:marLeft w:val="0"/>
              <w:marRight w:val="0"/>
              <w:marTop w:val="0"/>
              <w:marBottom w:val="0"/>
              <w:divBdr>
                <w:top w:val="none" w:sz="0" w:space="0" w:color="auto"/>
                <w:left w:val="none" w:sz="0" w:space="0" w:color="auto"/>
                <w:bottom w:val="none" w:sz="0" w:space="0" w:color="auto"/>
                <w:right w:val="none" w:sz="0" w:space="0" w:color="auto"/>
              </w:divBdr>
              <w:divsChild>
                <w:div w:id="739641765">
                  <w:marLeft w:val="0"/>
                  <w:marRight w:val="0"/>
                  <w:marTop w:val="0"/>
                  <w:marBottom w:val="0"/>
                  <w:divBdr>
                    <w:top w:val="none" w:sz="0" w:space="0" w:color="auto"/>
                    <w:left w:val="none" w:sz="0" w:space="0" w:color="auto"/>
                    <w:bottom w:val="none" w:sz="0" w:space="0" w:color="auto"/>
                    <w:right w:val="none" w:sz="0" w:space="0" w:color="auto"/>
                  </w:divBdr>
                  <w:divsChild>
                    <w:div w:id="41844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710031">
      <w:bodyDiv w:val="1"/>
      <w:marLeft w:val="0"/>
      <w:marRight w:val="0"/>
      <w:marTop w:val="0"/>
      <w:marBottom w:val="0"/>
      <w:divBdr>
        <w:top w:val="none" w:sz="0" w:space="0" w:color="auto"/>
        <w:left w:val="none" w:sz="0" w:space="0" w:color="auto"/>
        <w:bottom w:val="none" w:sz="0" w:space="0" w:color="auto"/>
        <w:right w:val="none" w:sz="0" w:space="0" w:color="auto"/>
      </w:divBdr>
    </w:div>
    <w:div w:id="580722617">
      <w:bodyDiv w:val="1"/>
      <w:marLeft w:val="0"/>
      <w:marRight w:val="0"/>
      <w:marTop w:val="0"/>
      <w:marBottom w:val="0"/>
      <w:divBdr>
        <w:top w:val="none" w:sz="0" w:space="0" w:color="auto"/>
        <w:left w:val="none" w:sz="0" w:space="0" w:color="auto"/>
        <w:bottom w:val="none" w:sz="0" w:space="0" w:color="auto"/>
        <w:right w:val="none" w:sz="0" w:space="0" w:color="auto"/>
      </w:divBdr>
      <w:divsChild>
        <w:div w:id="753013688">
          <w:marLeft w:val="0"/>
          <w:marRight w:val="0"/>
          <w:marTop w:val="0"/>
          <w:marBottom w:val="0"/>
          <w:divBdr>
            <w:top w:val="none" w:sz="0" w:space="0" w:color="auto"/>
            <w:left w:val="none" w:sz="0" w:space="0" w:color="auto"/>
            <w:bottom w:val="none" w:sz="0" w:space="0" w:color="auto"/>
            <w:right w:val="none" w:sz="0" w:space="0" w:color="auto"/>
          </w:divBdr>
          <w:divsChild>
            <w:div w:id="544677197">
              <w:marLeft w:val="0"/>
              <w:marRight w:val="0"/>
              <w:marTop w:val="0"/>
              <w:marBottom w:val="0"/>
              <w:divBdr>
                <w:top w:val="none" w:sz="0" w:space="0" w:color="auto"/>
                <w:left w:val="none" w:sz="0" w:space="0" w:color="auto"/>
                <w:bottom w:val="none" w:sz="0" w:space="0" w:color="auto"/>
                <w:right w:val="none" w:sz="0" w:space="0" w:color="auto"/>
              </w:divBdr>
              <w:divsChild>
                <w:div w:id="1417287115">
                  <w:marLeft w:val="0"/>
                  <w:marRight w:val="0"/>
                  <w:marTop w:val="0"/>
                  <w:marBottom w:val="0"/>
                  <w:divBdr>
                    <w:top w:val="none" w:sz="0" w:space="0" w:color="auto"/>
                    <w:left w:val="none" w:sz="0" w:space="0" w:color="auto"/>
                    <w:bottom w:val="none" w:sz="0" w:space="0" w:color="auto"/>
                    <w:right w:val="none" w:sz="0" w:space="0" w:color="auto"/>
                  </w:divBdr>
                  <w:divsChild>
                    <w:div w:id="122934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2478">
          <w:marLeft w:val="0"/>
          <w:marRight w:val="0"/>
          <w:marTop w:val="0"/>
          <w:marBottom w:val="0"/>
          <w:divBdr>
            <w:top w:val="none" w:sz="0" w:space="0" w:color="auto"/>
            <w:left w:val="none" w:sz="0" w:space="0" w:color="auto"/>
            <w:bottom w:val="none" w:sz="0" w:space="0" w:color="auto"/>
            <w:right w:val="none" w:sz="0" w:space="0" w:color="auto"/>
          </w:divBdr>
          <w:divsChild>
            <w:div w:id="1068113592">
              <w:marLeft w:val="0"/>
              <w:marRight w:val="0"/>
              <w:marTop w:val="0"/>
              <w:marBottom w:val="0"/>
              <w:divBdr>
                <w:top w:val="none" w:sz="0" w:space="0" w:color="auto"/>
                <w:left w:val="none" w:sz="0" w:space="0" w:color="auto"/>
                <w:bottom w:val="none" w:sz="0" w:space="0" w:color="auto"/>
                <w:right w:val="none" w:sz="0" w:space="0" w:color="auto"/>
              </w:divBdr>
              <w:divsChild>
                <w:div w:id="842285069">
                  <w:marLeft w:val="0"/>
                  <w:marRight w:val="0"/>
                  <w:marTop w:val="0"/>
                  <w:marBottom w:val="0"/>
                  <w:divBdr>
                    <w:top w:val="none" w:sz="0" w:space="0" w:color="auto"/>
                    <w:left w:val="none" w:sz="0" w:space="0" w:color="auto"/>
                    <w:bottom w:val="none" w:sz="0" w:space="0" w:color="auto"/>
                    <w:right w:val="none" w:sz="0" w:space="0" w:color="auto"/>
                  </w:divBdr>
                  <w:divsChild>
                    <w:div w:id="200134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159255">
      <w:bodyDiv w:val="1"/>
      <w:marLeft w:val="0"/>
      <w:marRight w:val="0"/>
      <w:marTop w:val="0"/>
      <w:marBottom w:val="0"/>
      <w:divBdr>
        <w:top w:val="none" w:sz="0" w:space="0" w:color="auto"/>
        <w:left w:val="none" w:sz="0" w:space="0" w:color="auto"/>
        <w:bottom w:val="none" w:sz="0" w:space="0" w:color="auto"/>
        <w:right w:val="none" w:sz="0" w:space="0" w:color="auto"/>
      </w:divBdr>
    </w:div>
    <w:div w:id="601109924">
      <w:bodyDiv w:val="1"/>
      <w:marLeft w:val="0"/>
      <w:marRight w:val="0"/>
      <w:marTop w:val="0"/>
      <w:marBottom w:val="0"/>
      <w:divBdr>
        <w:top w:val="none" w:sz="0" w:space="0" w:color="auto"/>
        <w:left w:val="none" w:sz="0" w:space="0" w:color="auto"/>
        <w:bottom w:val="none" w:sz="0" w:space="0" w:color="auto"/>
        <w:right w:val="none" w:sz="0" w:space="0" w:color="auto"/>
      </w:divBdr>
    </w:div>
    <w:div w:id="645666849">
      <w:bodyDiv w:val="1"/>
      <w:marLeft w:val="0"/>
      <w:marRight w:val="0"/>
      <w:marTop w:val="0"/>
      <w:marBottom w:val="0"/>
      <w:divBdr>
        <w:top w:val="none" w:sz="0" w:space="0" w:color="auto"/>
        <w:left w:val="none" w:sz="0" w:space="0" w:color="auto"/>
        <w:bottom w:val="none" w:sz="0" w:space="0" w:color="auto"/>
        <w:right w:val="none" w:sz="0" w:space="0" w:color="auto"/>
      </w:divBdr>
    </w:div>
    <w:div w:id="793987978">
      <w:bodyDiv w:val="1"/>
      <w:marLeft w:val="0"/>
      <w:marRight w:val="0"/>
      <w:marTop w:val="0"/>
      <w:marBottom w:val="0"/>
      <w:divBdr>
        <w:top w:val="none" w:sz="0" w:space="0" w:color="auto"/>
        <w:left w:val="none" w:sz="0" w:space="0" w:color="auto"/>
        <w:bottom w:val="none" w:sz="0" w:space="0" w:color="auto"/>
        <w:right w:val="none" w:sz="0" w:space="0" w:color="auto"/>
      </w:divBdr>
    </w:div>
    <w:div w:id="818693117">
      <w:bodyDiv w:val="1"/>
      <w:marLeft w:val="0"/>
      <w:marRight w:val="0"/>
      <w:marTop w:val="0"/>
      <w:marBottom w:val="0"/>
      <w:divBdr>
        <w:top w:val="none" w:sz="0" w:space="0" w:color="auto"/>
        <w:left w:val="none" w:sz="0" w:space="0" w:color="auto"/>
        <w:bottom w:val="none" w:sz="0" w:space="0" w:color="auto"/>
        <w:right w:val="none" w:sz="0" w:space="0" w:color="auto"/>
      </w:divBdr>
      <w:divsChild>
        <w:div w:id="1674259244">
          <w:marLeft w:val="0"/>
          <w:marRight w:val="0"/>
          <w:marTop w:val="0"/>
          <w:marBottom w:val="0"/>
          <w:divBdr>
            <w:top w:val="none" w:sz="0" w:space="0" w:color="auto"/>
            <w:left w:val="none" w:sz="0" w:space="0" w:color="auto"/>
            <w:bottom w:val="none" w:sz="0" w:space="0" w:color="auto"/>
            <w:right w:val="none" w:sz="0" w:space="0" w:color="auto"/>
          </w:divBdr>
          <w:divsChild>
            <w:div w:id="904100428">
              <w:marLeft w:val="0"/>
              <w:marRight w:val="0"/>
              <w:marTop w:val="0"/>
              <w:marBottom w:val="0"/>
              <w:divBdr>
                <w:top w:val="none" w:sz="0" w:space="0" w:color="auto"/>
                <w:left w:val="none" w:sz="0" w:space="0" w:color="auto"/>
                <w:bottom w:val="none" w:sz="0" w:space="0" w:color="auto"/>
                <w:right w:val="none" w:sz="0" w:space="0" w:color="auto"/>
              </w:divBdr>
              <w:divsChild>
                <w:div w:id="1609660406">
                  <w:marLeft w:val="0"/>
                  <w:marRight w:val="0"/>
                  <w:marTop w:val="0"/>
                  <w:marBottom w:val="0"/>
                  <w:divBdr>
                    <w:top w:val="none" w:sz="0" w:space="0" w:color="auto"/>
                    <w:left w:val="none" w:sz="0" w:space="0" w:color="auto"/>
                    <w:bottom w:val="none" w:sz="0" w:space="0" w:color="auto"/>
                    <w:right w:val="none" w:sz="0" w:space="0" w:color="auto"/>
                  </w:divBdr>
                  <w:divsChild>
                    <w:div w:id="123065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010484">
          <w:marLeft w:val="0"/>
          <w:marRight w:val="0"/>
          <w:marTop w:val="0"/>
          <w:marBottom w:val="0"/>
          <w:divBdr>
            <w:top w:val="none" w:sz="0" w:space="0" w:color="auto"/>
            <w:left w:val="none" w:sz="0" w:space="0" w:color="auto"/>
            <w:bottom w:val="none" w:sz="0" w:space="0" w:color="auto"/>
            <w:right w:val="none" w:sz="0" w:space="0" w:color="auto"/>
          </w:divBdr>
          <w:divsChild>
            <w:div w:id="577986700">
              <w:marLeft w:val="0"/>
              <w:marRight w:val="0"/>
              <w:marTop w:val="0"/>
              <w:marBottom w:val="0"/>
              <w:divBdr>
                <w:top w:val="none" w:sz="0" w:space="0" w:color="auto"/>
                <w:left w:val="none" w:sz="0" w:space="0" w:color="auto"/>
                <w:bottom w:val="none" w:sz="0" w:space="0" w:color="auto"/>
                <w:right w:val="none" w:sz="0" w:space="0" w:color="auto"/>
              </w:divBdr>
              <w:divsChild>
                <w:div w:id="700281845">
                  <w:marLeft w:val="0"/>
                  <w:marRight w:val="0"/>
                  <w:marTop w:val="0"/>
                  <w:marBottom w:val="0"/>
                  <w:divBdr>
                    <w:top w:val="none" w:sz="0" w:space="0" w:color="auto"/>
                    <w:left w:val="none" w:sz="0" w:space="0" w:color="auto"/>
                    <w:bottom w:val="none" w:sz="0" w:space="0" w:color="auto"/>
                    <w:right w:val="none" w:sz="0" w:space="0" w:color="auto"/>
                  </w:divBdr>
                  <w:divsChild>
                    <w:div w:id="155126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735154">
      <w:bodyDiv w:val="1"/>
      <w:marLeft w:val="0"/>
      <w:marRight w:val="0"/>
      <w:marTop w:val="0"/>
      <w:marBottom w:val="0"/>
      <w:divBdr>
        <w:top w:val="none" w:sz="0" w:space="0" w:color="auto"/>
        <w:left w:val="none" w:sz="0" w:space="0" w:color="auto"/>
        <w:bottom w:val="none" w:sz="0" w:space="0" w:color="auto"/>
        <w:right w:val="none" w:sz="0" w:space="0" w:color="auto"/>
      </w:divBdr>
    </w:div>
    <w:div w:id="1036663113">
      <w:bodyDiv w:val="1"/>
      <w:marLeft w:val="0"/>
      <w:marRight w:val="0"/>
      <w:marTop w:val="0"/>
      <w:marBottom w:val="0"/>
      <w:divBdr>
        <w:top w:val="none" w:sz="0" w:space="0" w:color="auto"/>
        <w:left w:val="none" w:sz="0" w:space="0" w:color="auto"/>
        <w:bottom w:val="none" w:sz="0" w:space="0" w:color="auto"/>
        <w:right w:val="none" w:sz="0" w:space="0" w:color="auto"/>
      </w:divBdr>
    </w:div>
    <w:div w:id="1094283117">
      <w:bodyDiv w:val="1"/>
      <w:marLeft w:val="0"/>
      <w:marRight w:val="0"/>
      <w:marTop w:val="0"/>
      <w:marBottom w:val="0"/>
      <w:divBdr>
        <w:top w:val="none" w:sz="0" w:space="0" w:color="auto"/>
        <w:left w:val="none" w:sz="0" w:space="0" w:color="auto"/>
        <w:bottom w:val="none" w:sz="0" w:space="0" w:color="auto"/>
        <w:right w:val="none" w:sz="0" w:space="0" w:color="auto"/>
      </w:divBdr>
    </w:div>
    <w:div w:id="1103919777">
      <w:bodyDiv w:val="1"/>
      <w:marLeft w:val="0"/>
      <w:marRight w:val="0"/>
      <w:marTop w:val="0"/>
      <w:marBottom w:val="0"/>
      <w:divBdr>
        <w:top w:val="none" w:sz="0" w:space="0" w:color="auto"/>
        <w:left w:val="none" w:sz="0" w:space="0" w:color="auto"/>
        <w:bottom w:val="none" w:sz="0" w:space="0" w:color="auto"/>
        <w:right w:val="none" w:sz="0" w:space="0" w:color="auto"/>
      </w:divBdr>
      <w:divsChild>
        <w:div w:id="456490969">
          <w:marLeft w:val="0"/>
          <w:marRight w:val="0"/>
          <w:marTop w:val="0"/>
          <w:marBottom w:val="0"/>
          <w:divBdr>
            <w:top w:val="none" w:sz="0" w:space="0" w:color="auto"/>
            <w:left w:val="none" w:sz="0" w:space="0" w:color="auto"/>
            <w:bottom w:val="none" w:sz="0" w:space="0" w:color="auto"/>
            <w:right w:val="none" w:sz="0" w:space="0" w:color="auto"/>
          </w:divBdr>
        </w:div>
        <w:div w:id="1333489893">
          <w:marLeft w:val="0"/>
          <w:marRight w:val="0"/>
          <w:marTop w:val="0"/>
          <w:marBottom w:val="0"/>
          <w:divBdr>
            <w:top w:val="none" w:sz="0" w:space="0" w:color="auto"/>
            <w:left w:val="none" w:sz="0" w:space="0" w:color="auto"/>
            <w:bottom w:val="none" w:sz="0" w:space="0" w:color="auto"/>
            <w:right w:val="none" w:sz="0" w:space="0" w:color="auto"/>
          </w:divBdr>
        </w:div>
        <w:div w:id="832141711">
          <w:marLeft w:val="0"/>
          <w:marRight w:val="0"/>
          <w:marTop w:val="0"/>
          <w:marBottom w:val="0"/>
          <w:divBdr>
            <w:top w:val="none" w:sz="0" w:space="0" w:color="auto"/>
            <w:left w:val="none" w:sz="0" w:space="0" w:color="auto"/>
            <w:bottom w:val="none" w:sz="0" w:space="0" w:color="auto"/>
            <w:right w:val="none" w:sz="0" w:space="0" w:color="auto"/>
          </w:divBdr>
        </w:div>
        <w:div w:id="34504564">
          <w:marLeft w:val="0"/>
          <w:marRight w:val="0"/>
          <w:marTop w:val="0"/>
          <w:marBottom w:val="0"/>
          <w:divBdr>
            <w:top w:val="none" w:sz="0" w:space="0" w:color="auto"/>
            <w:left w:val="none" w:sz="0" w:space="0" w:color="auto"/>
            <w:bottom w:val="none" w:sz="0" w:space="0" w:color="auto"/>
            <w:right w:val="none" w:sz="0" w:space="0" w:color="auto"/>
          </w:divBdr>
        </w:div>
      </w:divsChild>
    </w:div>
    <w:div w:id="1552226602">
      <w:bodyDiv w:val="1"/>
      <w:marLeft w:val="0"/>
      <w:marRight w:val="0"/>
      <w:marTop w:val="0"/>
      <w:marBottom w:val="0"/>
      <w:divBdr>
        <w:top w:val="none" w:sz="0" w:space="0" w:color="auto"/>
        <w:left w:val="none" w:sz="0" w:space="0" w:color="auto"/>
        <w:bottom w:val="none" w:sz="0" w:space="0" w:color="auto"/>
        <w:right w:val="none" w:sz="0" w:space="0" w:color="auto"/>
      </w:divBdr>
    </w:div>
    <w:div w:id="1738898610">
      <w:bodyDiv w:val="1"/>
      <w:marLeft w:val="0"/>
      <w:marRight w:val="0"/>
      <w:marTop w:val="0"/>
      <w:marBottom w:val="0"/>
      <w:divBdr>
        <w:top w:val="none" w:sz="0" w:space="0" w:color="auto"/>
        <w:left w:val="none" w:sz="0" w:space="0" w:color="auto"/>
        <w:bottom w:val="none" w:sz="0" w:space="0" w:color="auto"/>
        <w:right w:val="none" w:sz="0" w:space="0" w:color="auto"/>
      </w:divBdr>
    </w:div>
    <w:div w:id="1767992065">
      <w:bodyDiv w:val="1"/>
      <w:marLeft w:val="0"/>
      <w:marRight w:val="0"/>
      <w:marTop w:val="0"/>
      <w:marBottom w:val="0"/>
      <w:divBdr>
        <w:top w:val="none" w:sz="0" w:space="0" w:color="auto"/>
        <w:left w:val="none" w:sz="0" w:space="0" w:color="auto"/>
        <w:bottom w:val="none" w:sz="0" w:space="0" w:color="auto"/>
        <w:right w:val="none" w:sz="0" w:space="0" w:color="auto"/>
      </w:divBdr>
    </w:div>
    <w:div w:id="1790051429">
      <w:bodyDiv w:val="1"/>
      <w:marLeft w:val="0"/>
      <w:marRight w:val="0"/>
      <w:marTop w:val="0"/>
      <w:marBottom w:val="0"/>
      <w:divBdr>
        <w:top w:val="none" w:sz="0" w:space="0" w:color="auto"/>
        <w:left w:val="none" w:sz="0" w:space="0" w:color="auto"/>
        <w:bottom w:val="none" w:sz="0" w:space="0" w:color="auto"/>
        <w:right w:val="none" w:sz="0" w:space="0" w:color="auto"/>
      </w:divBdr>
    </w:div>
    <w:div w:id="2019848663">
      <w:bodyDiv w:val="1"/>
      <w:marLeft w:val="0"/>
      <w:marRight w:val="0"/>
      <w:marTop w:val="0"/>
      <w:marBottom w:val="0"/>
      <w:divBdr>
        <w:top w:val="none" w:sz="0" w:space="0" w:color="auto"/>
        <w:left w:val="none" w:sz="0" w:space="0" w:color="auto"/>
        <w:bottom w:val="none" w:sz="0" w:space="0" w:color="auto"/>
        <w:right w:val="none" w:sz="0" w:space="0" w:color="auto"/>
      </w:divBdr>
    </w:div>
    <w:div w:id="2062364355">
      <w:bodyDiv w:val="1"/>
      <w:marLeft w:val="0"/>
      <w:marRight w:val="0"/>
      <w:marTop w:val="0"/>
      <w:marBottom w:val="0"/>
      <w:divBdr>
        <w:top w:val="none" w:sz="0" w:space="0" w:color="auto"/>
        <w:left w:val="none" w:sz="0" w:space="0" w:color="auto"/>
        <w:bottom w:val="none" w:sz="0" w:space="0" w:color="auto"/>
        <w:right w:val="none" w:sz="0" w:space="0" w:color="auto"/>
      </w:divBdr>
      <w:divsChild>
        <w:div w:id="752555508">
          <w:marLeft w:val="0"/>
          <w:marRight w:val="0"/>
          <w:marTop w:val="0"/>
          <w:marBottom w:val="0"/>
          <w:divBdr>
            <w:top w:val="none" w:sz="0" w:space="0" w:color="auto"/>
            <w:left w:val="none" w:sz="0" w:space="0" w:color="auto"/>
            <w:bottom w:val="none" w:sz="0" w:space="0" w:color="auto"/>
            <w:right w:val="none" w:sz="0" w:space="0" w:color="auto"/>
          </w:divBdr>
        </w:div>
        <w:div w:id="842746497">
          <w:marLeft w:val="0"/>
          <w:marRight w:val="0"/>
          <w:marTop w:val="0"/>
          <w:marBottom w:val="0"/>
          <w:divBdr>
            <w:top w:val="none" w:sz="0" w:space="0" w:color="auto"/>
            <w:left w:val="none" w:sz="0" w:space="0" w:color="auto"/>
            <w:bottom w:val="none" w:sz="0" w:space="0" w:color="auto"/>
            <w:right w:val="none" w:sz="0" w:space="0" w:color="auto"/>
          </w:divBdr>
        </w:div>
        <w:div w:id="1251743463">
          <w:marLeft w:val="0"/>
          <w:marRight w:val="0"/>
          <w:marTop w:val="0"/>
          <w:marBottom w:val="0"/>
          <w:divBdr>
            <w:top w:val="none" w:sz="0" w:space="0" w:color="auto"/>
            <w:left w:val="none" w:sz="0" w:space="0" w:color="auto"/>
            <w:bottom w:val="none" w:sz="0" w:space="0" w:color="auto"/>
            <w:right w:val="none" w:sz="0" w:space="0" w:color="auto"/>
          </w:divBdr>
        </w:div>
        <w:div w:id="778379022">
          <w:marLeft w:val="0"/>
          <w:marRight w:val="0"/>
          <w:marTop w:val="0"/>
          <w:marBottom w:val="0"/>
          <w:divBdr>
            <w:top w:val="none" w:sz="0" w:space="0" w:color="auto"/>
            <w:left w:val="none" w:sz="0" w:space="0" w:color="auto"/>
            <w:bottom w:val="none" w:sz="0" w:space="0" w:color="auto"/>
            <w:right w:val="none" w:sz="0" w:space="0" w:color="auto"/>
          </w:divBdr>
        </w:div>
      </w:divsChild>
    </w:div>
    <w:div w:id="2067140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fs.org.uk/sites/default/files/2024-03/Major-challenges-for-education-in-Wales-IFS-REPORT_0.pdf" TargetMode="External"/><Relationship Id="rId13" Type="http://schemas.openxmlformats.org/officeDocument/2006/relationships/hyperlink" Target="https://hwb.gov.wales/curriculum-for-wales" TargetMode="External"/><Relationship Id="rId18" Type="http://schemas.openxmlformats.org/officeDocument/2006/relationships/hyperlink" Target="https://www.gov.wales/sites/default/files/publications/2023-09/inspiring-children-and-young-peoples-career-journeys-through-work-related-experiences.pdf" TargetMode="External"/><Relationship Id="rId3" Type="http://schemas.openxmlformats.org/officeDocument/2006/relationships/settings" Target="settings.xml"/><Relationship Id="rId21" Type="http://schemas.openxmlformats.org/officeDocument/2006/relationships/hyperlink" Target="https://sante.public.lu/dam-assets/fr/publications/p/public-health-action-prevention-suicide/public-health-action-prevention-suicide.pdf" TargetMode="External"/><Relationship Id="rId7" Type="http://schemas.openxmlformats.org/officeDocument/2006/relationships/hyperlink" Target="https://annual-report.estyn.gov.wales/annual_report/tackling-the-impact-of-poverty-and-disadvantage" TargetMode="External"/><Relationship Id="rId12" Type="http://schemas.openxmlformats.org/officeDocument/2006/relationships/hyperlink" Target="https://www.legislation.gov.uk/anaw/2015/2/enacted" TargetMode="External"/><Relationship Id="rId17" Type="http://schemas.openxmlformats.org/officeDocument/2006/relationships/hyperlink" Target="https://gov.wales" TargetMode="External"/><Relationship Id="rId2" Type="http://schemas.openxmlformats.org/officeDocument/2006/relationships/styles" Target="styles.xml"/><Relationship Id="rId16" Type="http://schemas.openxmlformats.org/officeDocument/2006/relationships/hyperlink" Target="https://www.gov.wales/our-national-mission-high-standards-and-aspirations-all-html" TargetMode="External"/><Relationship Id="rId20" Type="http://schemas.openxmlformats.org/officeDocument/2006/relationships/hyperlink" Target="https://hwb.gov.wales/curriculum-for-wales/designing-your-curriculum/cross-cutting-themes-for-designing-your-curriculum" TargetMode="External"/><Relationship Id="rId1" Type="http://schemas.openxmlformats.org/officeDocument/2006/relationships/numbering" Target="numbering.xml"/><Relationship Id="rId6" Type="http://schemas.openxmlformats.org/officeDocument/2006/relationships/hyperlink" Target="https://careerswales.gov.wales/about-us/brighter-futures/brighter-futures-a-summary" TargetMode="External"/><Relationship Id="rId11" Type="http://schemas.openxmlformats.org/officeDocument/2006/relationships/hyperlink" Target="https://www.gov.wales/seren-network-overview" TargetMode="External"/><Relationship Id="rId5" Type="http://schemas.openxmlformats.org/officeDocument/2006/relationships/hyperlink" Target="https://doi.org/10.1016/j.lisr.2010.09.007" TargetMode="External"/><Relationship Id="rId15" Type="http://schemas.openxmlformats.org/officeDocument/2006/relationships/hyperlink" Target="https://statswales.gov.wales/Catalogue/Education-and-Skills/Schools-and-Teachers/Schools-Census/Pupil-Level-Annual-School-Census" TargetMode="External"/><Relationship Id="rId23" Type="http://schemas.openxmlformats.org/officeDocument/2006/relationships/theme" Target="theme/theme1.xml"/><Relationship Id="rId10" Type="http://schemas.openxmlformats.org/officeDocument/2006/relationships/hyperlink" Target="https://qualifications.wales/regulation-reform/reforming/national-14-16-qualifications/national-qualifications-gcses/" TargetMode="External"/><Relationship Id="rId19" Type="http://schemas.openxmlformats.org/officeDocument/2006/relationships/hyperlink" Target="https://www.gov.wales/credit-and-qualifications-framework-cqfw" TargetMode="External"/><Relationship Id="rId4" Type="http://schemas.openxmlformats.org/officeDocument/2006/relationships/webSettings" Target="webSettings.xml"/><Relationship Id="rId9" Type="http://schemas.openxmlformats.org/officeDocument/2006/relationships/hyperlink" Target="https://www.oecd.org/content/dam/oecd/en/publications/reports/2024/02/what-shapes-upper-secondary-pathways-and-transitions_e0eb8c49/7139d7f1-en.pdf" TargetMode="External"/><Relationship Id="rId14" Type="http://schemas.openxmlformats.org/officeDocument/2006/relationships/hyperlink" Target="https://gov.wales/young-persons-guarante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914</TotalTime>
  <Pages>21</Pages>
  <Words>6921</Words>
  <Characters>39454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bamsey</dc:creator>
  <cp:keywords/>
  <dc:description/>
  <cp:lastModifiedBy>jo bamsey</cp:lastModifiedBy>
  <cp:revision>268</cp:revision>
  <dcterms:created xsi:type="dcterms:W3CDTF">2025-01-04T18:04:00Z</dcterms:created>
  <dcterms:modified xsi:type="dcterms:W3CDTF">2025-01-12T11:16:00Z</dcterms:modified>
</cp:coreProperties>
</file>