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D3BD" w14:textId="77777777" w:rsidR="00DC3BCC" w:rsidRDefault="0098423C" w:rsidP="00DC3BCC">
      <w:pPr>
        <w:spacing w:before="240"/>
        <w:jc w:val="left"/>
        <w:rPr>
          <w:sz w:val="32"/>
          <w:szCs w:val="32"/>
        </w:rPr>
      </w:pPr>
      <w:bookmarkStart w:id="0" w:name="_Toc210563900"/>
      <w:r w:rsidRPr="00A406E5">
        <w:rPr>
          <w:rFonts w:ascii="Arial" w:hAnsi="Arial" w:cs="Arial"/>
          <w:noProof/>
        </w:rPr>
        <w:drawing>
          <wp:anchor distT="0" distB="0" distL="114300" distR="114300" simplePos="0" relativeHeight="251659264" behindDoc="0" locked="0" layoutInCell="1" allowOverlap="1" wp14:anchorId="45AF8E11" wp14:editId="72A4D19A">
            <wp:simplePos x="0" y="0"/>
            <wp:positionH relativeFrom="column">
              <wp:posOffset>1676400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56973457" w14:textId="54BA13FE" w:rsidR="00DC3BCC" w:rsidRPr="008E7AE1" w:rsidRDefault="00DC3BCC" w:rsidP="00DC3BCC">
      <w:pPr>
        <w:spacing w:before="240"/>
        <w:jc w:val="left"/>
        <w:rPr>
          <w:sz w:val="32"/>
          <w:szCs w:val="32"/>
        </w:rPr>
      </w:pPr>
      <w:r w:rsidRPr="008E7AE1">
        <w:rPr>
          <w:sz w:val="32"/>
          <w:szCs w:val="32"/>
        </w:rPr>
        <w:t>Programme Name:</w:t>
      </w:r>
      <w:r>
        <w:rPr>
          <w:sz w:val="32"/>
          <w:szCs w:val="32"/>
        </w:rPr>
        <w:t xml:space="preserve">     </w:t>
      </w:r>
      <w:r w:rsidRPr="008E7AE1">
        <w:rPr>
          <w:sz w:val="32"/>
          <w:szCs w:val="32"/>
        </w:rPr>
        <w:t>Master of Business Administration</w:t>
      </w:r>
    </w:p>
    <w:p w14:paraId="01BFD34A" w14:textId="3311A568" w:rsidR="00DC3BCC" w:rsidRPr="008E7AE1" w:rsidRDefault="00DC3BCC" w:rsidP="00DC3BCC">
      <w:pPr>
        <w:spacing w:before="240"/>
        <w:jc w:val="left"/>
        <w:rPr>
          <w:sz w:val="32"/>
          <w:szCs w:val="32"/>
        </w:rPr>
      </w:pPr>
      <w:r w:rsidRPr="008E7AE1">
        <w:rPr>
          <w:sz w:val="32"/>
          <w:szCs w:val="32"/>
        </w:rPr>
        <w:t xml:space="preserve">Module Code: </w:t>
      </w:r>
      <w:r w:rsidRPr="008E7AE1">
        <w:rPr>
          <w:sz w:val="32"/>
          <w:szCs w:val="32"/>
        </w:rPr>
        <w:tab/>
      </w:r>
      <w:r>
        <w:rPr>
          <w:sz w:val="32"/>
          <w:szCs w:val="32"/>
        </w:rPr>
        <w:t xml:space="preserve">        </w:t>
      </w:r>
      <w:r w:rsidRPr="00DC3BCC">
        <w:rPr>
          <w:sz w:val="32"/>
          <w:szCs w:val="32"/>
        </w:rPr>
        <w:t>LCMB7002</w:t>
      </w:r>
    </w:p>
    <w:p w14:paraId="37195DA7" w14:textId="5D828258" w:rsidR="00DC3BCC" w:rsidRPr="008E7AE1" w:rsidRDefault="00DC3BCC" w:rsidP="00DC3BCC">
      <w:pPr>
        <w:spacing w:before="240"/>
        <w:jc w:val="left"/>
        <w:rPr>
          <w:sz w:val="32"/>
          <w:szCs w:val="32"/>
        </w:rPr>
      </w:pPr>
      <w:r w:rsidRPr="008E7AE1">
        <w:rPr>
          <w:sz w:val="32"/>
          <w:szCs w:val="32"/>
        </w:rPr>
        <w:t xml:space="preserve">Module Title: </w:t>
      </w:r>
      <w:r w:rsidRPr="008E7AE1">
        <w:rPr>
          <w:sz w:val="32"/>
          <w:szCs w:val="32"/>
        </w:rPr>
        <w:tab/>
      </w:r>
      <w:r>
        <w:rPr>
          <w:sz w:val="32"/>
          <w:szCs w:val="32"/>
        </w:rPr>
        <w:t xml:space="preserve">      </w:t>
      </w:r>
      <w:r w:rsidRPr="00DC3BCC">
        <w:rPr>
          <w:sz w:val="32"/>
          <w:szCs w:val="32"/>
        </w:rPr>
        <w:t>Financial Management</w:t>
      </w:r>
    </w:p>
    <w:p w14:paraId="632AAA1B" w14:textId="490075CA" w:rsidR="00DC3BCC" w:rsidRPr="008E7AE1" w:rsidRDefault="00DC3BCC" w:rsidP="00DC3BCC">
      <w:pPr>
        <w:spacing w:before="240"/>
        <w:jc w:val="left"/>
        <w:rPr>
          <w:sz w:val="32"/>
          <w:szCs w:val="32"/>
        </w:rPr>
      </w:pPr>
      <w:r w:rsidRPr="008E7AE1">
        <w:rPr>
          <w:sz w:val="32"/>
          <w:szCs w:val="32"/>
        </w:rPr>
        <w:t xml:space="preserve">Title: </w:t>
      </w:r>
      <w:r w:rsidRPr="008E7AE1">
        <w:rPr>
          <w:sz w:val="32"/>
          <w:szCs w:val="32"/>
        </w:rPr>
        <w:tab/>
      </w:r>
      <w:r>
        <w:rPr>
          <w:sz w:val="32"/>
          <w:szCs w:val="32"/>
        </w:rPr>
        <w:t xml:space="preserve">         </w:t>
      </w:r>
      <w:r w:rsidRPr="00DC3BCC">
        <w:rPr>
          <w:sz w:val="32"/>
          <w:szCs w:val="32"/>
        </w:rPr>
        <w:t>Strategic CFO Challenge. Saving a Failing Global Firm</w:t>
      </w:r>
    </w:p>
    <w:p w14:paraId="76CCC7DD" w14:textId="74DB7B7E" w:rsidR="00DC3BCC" w:rsidRPr="008E7AE1" w:rsidRDefault="00DC3BCC" w:rsidP="00DC3BCC">
      <w:pPr>
        <w:spacing w:before="240"/>
        <w:jc w:val="left"/>
        <w:rPr>
          <w:sz w:val="32"/>
          <w:szCs w:val="32"/>
        </w:rPr>
      </w:pPr>
      <w:r w:rsidRPr="008E7AE1">
        <w:rPr>
          <w:sz w:val="32"/>
          <w:szCs w:val="32"/>
        </w:rPr>
        <w:t xml:space="preserve">Lecturer Name: </w:t>
      </w:r>
      <w:r w:rsidRPr="008E7AE1">
        <w:rPr>
          <w:sz w:val="32"/>
          <w:szCs w:val="32"/>
        </w:rPr>
        <w:tab/>
      </w:r>
      <w:r>
        <w:rPr>
          <w:sz w:val="32"/>
          <w:szCs w:val="32"/>
        </w:rPr>
        <w:t xml:space="preserve">      </w:t>
      </w:r>
      <w:r w:rsidRPr="00DC3BCC">
        <w:rPr>
          <w:sz w:val="32"/>
          <w:szCs w:val="32"/>
        </w:rPr>
        <w:t>Patrick Yeboah</w:t>
      </w:r>
    </w:p>
    <w:p w14:paraId="291C655E" w14:textId="77777777" w:rsidR="00DC3BCC" w:rsidRPr="008E7AE1" w:rsidRDefault="00DC3BCC" w:rsidP="00DC3BCC">
      <w:pPr>
        <w:spacing w:before="240"/>
        <w:jc w:val="left"/>
        <w:rPr>
          <w:sz w:val="32"/>
          <w:szCs w:val="32"/>
        </w:rPr>
      </w:pPr>
      <w:r w:rsidRPr="008E7AE1">
        <w:rPr>
          <w:sz w:val="32"/>
          <w:szCs w:val="32"/>
        </w:rPr>
        <w:t xml:space="preserve">Student Name: </w:t>
      </w:r>
      <w:r w:rsidRPr="008E7AE1">
        <w:rPr>
          <w:sz w:val="32"/>
          <w:szCs w:val="32"/>
        </w:rPr>
        <w:tab/>
      </w:r>
      <w:r>
        <w:rPr>
          <w:sz w:val="32"/>
          <w:szCs w:val="32"/>
        </w:rPr>
        <w:t xml:space="preserve">      </w:t>
      </w:r>
      <w:r w:rsidRPr="008E7AE1">
        <w:rPr>
          <w:sz w:val="32"/>
          <w:szCs w:val="32"/>
        </w:rPr>
        <w:t>AYSHA SULTANA</w:t>
      </w:r>
    </w:p>
    <w:p w14:paraId="41699932" w14:textId="77777777" w:rsidR="00DC3BCC" w:rsidRPr="008E7AE1" w:rsidRDefault="00DC3BCC" w:rsidP="00DC3BCC">
      <w:pPr>
        <w:spacing w:before="240"/>
        <w:jc w:val="left"/>
        <w:rPr>
          <w:sz w:val="32"/>
          <w:szCs w:val="32"/>
        </w:rPr>
      </w:pPr>
      <w:r w:rsidRPr="008E7AE1">
        <w:rPr>
          <w:sz w:val="32"/>
          <w:szCs w:val="32"/>
        </w:rPr>
        <w:t xml:space="preserve">Student ID: </w:t>
      </w:r>
      <w:r w:rsidRPr="008E7AE1">
        <w:rPr>
          <w:sz w:val="32"/>
          <w:szCs w:val="32"/>
        </w:rPr>
        <w:tab/>
      </w:r>
      <w:r>
        <w:rPr>
          <w:sz w:val="32"/>
          <w:szCs w:val="32"/>
        </w:rPr>
        <w:t xml:space="preserve">     </w:t>
      </w:r>
      <w:r w:rsidRPr="008E7AE1">
        <w:rPr>
          <w:sz w:val="32"/>
          <w:szCs w:val="32"/>
        </w:rPr>
        <w:t>2512232</w:t>
      </w:r>
    </w:p>
    <w:p w14:paraId="0B26E909" w14:textId="264BC55B" w:rsidR="00DC3BCC" w:rsidRPr="008E7AE1" w:rsidRDefault="00DC3BCC" w:rsidP="00DC3BCC">
      <w:pPr>
        <w:spacing w:before="240"/>
        <w:jc w:val="left"/>
        <w:rPr>
          <w:sz w:val="32"/>
          <w:szCs w:val="32"/>
        </w:rPr>
      </w:pPr>
      <w:r w:rsidRPr="008E7AE1">
        <w:rPr>
          <w:sz w:val="32"/>
          <w:szCs w:val="32"/>
        </w:rPr>
        <w:t xml:space="preserve">Word Count: </w:t>
      </w:r>
      <w:r w:rsidRPr="008E7AE1">
        <w:rPr>
          <w:sz w:val="32"/>
          <w:szCs w:val="32"/>
        </w:rPr>
        <w:tab/>
      </w:r>
      <w:r>
        <w:rPr>
          <w:sz w:val="32"/>
          <w:szCs w:val="32"/>
        </w:rPr>
        <w:t xml:space="preserve">    5043</w:t>
      </w:r>
    </w:p>
    <w:p w14:paraId="201E39D1" w14:textId="1B8BBFEA" w:rsidR="0098423C" w:rsidRPr="00DC3BCC" w:rsidRDefault="00DC3BCC" w:rsidP="00DC3BCC">
      <w:pPr>
        <w:spacing w:before="240"/>
        <w:jc w:val="left"/>
        <w:rPr>
          <w:sz w:val="32"/>
          <w:szCs w:val="32"/>
        </w:rPr>
      </w:pPr>
      <w:r w:rsidRPr="008E7AE1">
        <w:rPr>
          <w:sz w:val="32"/>
          <w:szCs w:val="32"/>
        </w:rPr>
        <w:t xml:space="preserve">Submission Date: </w:t>
      </w:r>
      <w:r>
        <w:rPr>
          <w:sz w:val="32"/>
          <w:szCs w:val="32"/>
        </w:rPr>
        <w:t xml:space="preserve"> 24t</w:t>
      </w:r>
      <w:r w:rsidRPr="008E7AE1">
        <w:rPr>
          <w:sz w:val="32"/>
          <w:szCs w:val="32"/>
        </w:rPr>
        <w:t xml:space="preserve">h </w:t>
      </w:r>
      <w:r>
        <w:rPr>
          <w:sz w:val="32"/>
          <w:szCs w:val="32"/>
        </w:rPr>
        <w:t>November</w:t>
      </w:r>
      <w:r w:rsidRPr="008E7AE1">
        <w:rPr>
          <w:sz w:val="32"/>
          <w:szCs w:val="32"/>
        </w:rPr>
        <w:t xml:space="preserve"> 2025</w:t>
      </w:r>
    </w:p>
    <w:p w14:paraId="71405EB9" w14:textId="77777777" w:rsidR="00BB5B49" w:rsidRDefault="00BB5B49" w:rsidP="00BB5B49"/>
    <w:p w14:paraId="15876554" w14:textId="77777777" w:rsidR="00BB5B49" w:rsidRDefault="00BB5B49">
      <w:pPr>
        <w:spacing w:after="160" w:line="278" w:lineRule="auto"/>
        <w:jc w:val="left"/>
        <w:rPr>
          <w:rFonts w:eastAsia="Times New Roman" w:cs="Times New Roman"/>
          <w:b/>
          <w:color w:val="000000" w:themeColor="text1"/>
          <w:sz w:val="30"/>
          <w:szCs w:val="28"/>
        </w:rPr>
      </w:pPr>
      <w:r>
        <w:br w:type="page"/>
      </w:r>
    </w:p>
    <w:p w14:paraId="7ED4C3BC" w14:textId="520916CF" w:rsidR="000A2334" w:rsidRDefault="000A2334" w:rsidP="006046BD">
      <w:pPr>
        <w:pStyle w:val="Heading1"/>
      </w:pPr>
      <w:r>
        <w:lastRenderedPageBreak/>
        <w:t>Table of Contents</w:t>
      </w:r>
      <w:bookmarkEnd w:id="0"/>
    </w:p>
    <w:sdt>
      <w:sdtPr>
        <w:rPr>
          <w:rFonts w:ascii="Times New Roman" w:eastAsiaTheme="minorEastAsia" w:hAnsi="Times New Roman" w:cstheme="minorBidi"/>
          <w:color w:val="auto"/>
          <w:kern w:val="2"/>
          <w:sz w:val="24"/>
          <w:szCs w:val="24"/>
          <w:lang w:eastAsia="zh-CN"/>
          <w14:ligatures w14:val="standardContextual"/>
        </w:rPr>
        <w:id w:val="-1885318079"/>
        <w:docPartObj>
          <w:docPartGallery w:val="Table of Contents"/>
          <w:docPartUnique/>
        </w:docPartObj>
      </w:sdtPr>
      <w:sdtEndPr>
        <w:rPr>
          <w:b/>
          <w:bCs/>
          <w:noProof/>
        </w:rPr>
      </w:sdtEndPr>
      <w:sdtContent>
        <w:p w14:paraId="10C0F384" w14:textId="725BD393" w:rsidR="000A2334" w:rsidRDefault="000A2334">
          <w:pPr>
            <w:pStyle w:val="TOCHeading"/>
          </w:pPr>
          <w:r>
            <w:t>Contents</w:t>
          </w:r>
        </w:p>
        <w:p w14:paraId="68180911" w14:textId="052D5016" w:rsidR="000A2334" w:rsidRDefault="000A2334">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210563900" w:history="1">
            <w:r w:rsidRPr="00054A4D">
              <w:rPr>
                <w:rStyle w:val="Hyperlink"/>
                <w:noProof/>
              </w:rPr>
              <w:t>Table of Contents</w:t>
            </w:r>
            <w:r>
              <w:rPr>
                <w:noProof/>
                <w:webHidden/>
              </w:rPr>
              <w:tab/>
            </w:r>
            <w:r>
              <w:rPr>
                <w:noProof/>
                <w:webHidden/>
              </w:rPr>
              <w:fldChar w:fldCharType="begin"/>
            </w:r>
            <w:r>
              <w:rPr>
                <w:noProof/>
                <w:webHidden/>
              </w:rPr>
              <w:instrText xml:space="preserve"> PAGEREF _Toc210563900 \h </w:instrText>
            </w:r>
            <w:r>
              <w:rPr>
                <w:noProof/>
                <w:webHidden/>
              </w:rPr>
            </w:r>
            <w:r>
              <w:rPr>
                <w:noProof/>
                <w:webHidden/>
              </w:rPr>
              <w:fldChar w:fldCharType="separate"/>
            </w:r>
            <w:r w:rsidR="0012228B">
              <w:rPr>
                <w:noProof/>
                <w:webHidden/>
              </w:rPr>
              <w:t>i</w:t>
            </w:r>
            <w:r>
              <w:rPr>
                <w:noProof/>
                <w:webHidden/>
              </w:rPr>
              <w:fldChar w:fldCharType="end"/>
            </w:r>
          </w:hyperlink>
        </w:p>
        <w:p w14:paraId="7D20BD25" w14:textId="396F2BD2" w:rsidR="000A2334" w:rsidRDefault="00000000">
          <w:pPr>
            <w:pStyle w:val="TOC1"/>
            <w:tabs>
              <w:tab w:val="right" w:leader="dot" w:pos="9350"/>
            </w:tabs>
            <w:rPr>
              <w:rFonts w:asciiTheme="minorHAnsi" w:hAnsiTheme="minorHAnsi"/>
              <w:noProof/>
            </w:rPr>
          </w:pPr>
          <w:hyperlink w:anchor="_Toc210563901" w:history="1">
            <w:r w:rsidR="000A2334" w:rsidRPr="00054A4D">
              <w:rPr>
                <w:rStyle w:val="Hyperlink"/>
                <w:noProof/>
              </w:rPr>
              <w:t>1. Introduction</w:t>
            </w:r>
            <w:r w:rsidR="000A2334">
              <w:rPr>
                <w:noProof/>
                <w:webHidden/>
              </w:rPr>
              <w:tab/>
            </w:r>
            <w:r w:rsidR="000A2334">
              <w:rPr>
                <w:noProof/>
                <w:webHidden/>
              </w:rPr>
              <w:fldChar w:fldCharType="begin"/>
            </w:r>
            <w:r w:rsidR="000A2334">
              <w:rPr>
                <w:noProof/>
                <w:webHidden/>
              </w:rPr>
              <w:instrText xml:space="preserve"> PAGEREF _Toc210563901 \h </w:instrText>
            </w:r>
            <w:r w:rsidR="000A2334">
              <w:rPr>
                <w:noProof/>
                <w:webHidden/>
              </w:rPr>
            </w:r>
            <w:r w:rsidR="000A2334">
              <w:rPr>
                <w:noProof/>
                <w:webHidden/>
              </w:rPr>
              <w:fldChar w:fldCharType="separate"/>
            </w:r>
            <w:r w:rsidR="0012228B">
              <w:rPr>
                <w:noProof/>
                <w:webHidden/>
              </w:rPr>
              <w:t>1</w:t>
            </w:r>
            <w:r w:rsidR="000A2334">
              <w:rPr>
                <w:noProof/>
                <w:webHidden/>
              </w:rPr>
              <w:fldChar w:fldCharType="end"/>
            </w:r>
          </w:hyperlink>
        </w:p>
        <w:p w14:paraId="6C052AD3" w14:textId="31A368C4" w:rsidR="000A2334" w:rsidRDefault="00000000">
          <w:pPr>
            <w:pStyle w:val="TOC2"/>
            <w:tabs>
              <w:tab w:val="right" w:leader="dot" w:pos="9350"/>
            </w:tabs>
            <w:rPr>
              <w:rFonts w:asciiTheme="minorHAnsi" w:hAnsiTheme="minorHAnsi"/>
              <w:noProof/>
            </w:rPr>
          </w:pPr>
          <w:hyperlink w:anchor="_Toc210563902" w:history="1">
            <w:r w:rsidR="000A2334" w:rsidRPr="00054A4D">
              <w:rPr>
                <w:rStyle w:val="Hyperlink"/>
                <w:noProof/>
              </w:rPr>
              <w:t>1.1. Overview of General Electronics</w:t>
            </w:r>
            <w:r w:rsidR="000A2334">
              <w:rPr>
                <w:noProof/>
                <w:webHidden/>
              </w:rPr>
              <w:tab/>
            </w:r>
            <w:r w:rsidR="000A2334">
              <w:rPr>
                <w:noProof/>
                <w:webHidden/>
              </w:rPr>
              <w:fldChar w:fldCharType="begin"/>
            </w:r>
            <w:r w:rsidR="000A2334">
              <w:rPr>
                <w:noProof/>
                <w:webHidden/>
              </w:rPr>
              <w:instrText xml:space="preserve"> PAGEREF _Toc210563902 \h </w:instrText>
            </w:r>
            <w:r w:rsidR="000A2334">
              <w:rPr>
                <w:noProof/>
                <w:webHidden/>
              </w:rPr>
            </w:r>
            <w:r w:rsidR="000A2334">
              <w:rPr>
                <w:noProof/>
                <w:webHidden/>
              </w:rPr>
              <w:fldChar w:fldCharType="separate"/>
            </w:r>
            <w:r w:rsidR="0012228B">
              <w:rPr>
                <w:noProof/>
                <w:webHidden/>
              </w:rPr>
              <w:t>1</w:t>
            </w:r>
            <w:r w:rsidR="000A2334">
              <w:rPr>
                <w:noProof/>
                <w:webHidden/>
              </w:rPr>
              <w:fldChar w:fldCharType="end"/>
            </w:r>
          </w:hyperlink>
        </w:p>
        <w:p w14:paraId="1D48E08F" w14:textId="1583A028" w:rsidR="000A2334" w:rsidRDefault="00000000">
          <w:pPr>
            <w:pStyle w:val="TOC2"/>
            <w:tabs>
              <w:tab w:val="right" w:leader="dot" w:pos="9350"/>
            </w:tabs>
            <w:rPr>
              <w:rFonts w:asciiTheme="minorHAnsi" w:hAnsiTheme="minorHAnsi"/>
              <w:noProof/>
            </w:rPr>
          </w:pPr>
          <w:hyperlink w:anchor="_Toc210563903" w:history="1">
            <w:r w:rsidR="000A2334" w:rsidRPr="00054A4D">
              <w:rPr>
                <w:rStyle w:val="Hyperlink"/>
                <w:noProof/>
              </w:rPr>
              <w:t>1.2. Objectives of the Assignment</w:t>
            </w:r>
            <w:r w:rsidR="000A2334">
              <w:rPr>
                <w:noProof/>
                <w:webHidden/>
              </w:rPr>
              <w:tab/>
            </w:r>
            <w:r w:rsidR="000A2334">
              <w:rPr>
                <w:noProof/>
                <w:webHidden/>
              </w:rPr>
              <w:fldChar w:fldCharType="begin"/>
            </w:r>
            <w:r w:rsidR="000A2334">
              <w:rPr>
                <w:noProof/>
                <w:webHidden/>
              </w:rPr>
              <w:instrText xml:space="preserve"> PAGEREF _Toc210563903 \h </w:instrText>
            </w:r>
            <w:r w:rsidR="000A2334">
              <w:rPr>
                <w:noProof/>
                <w:webHidden/>
              </w:rPr>
            </w:r>
            <w:r w:rsidR="000A2334">
              <w:rPr>
                <w:noProof/>
                <w:webHidden/>
              </w:rPr>
              <w:fldChar w:fldCharType="separate"/>
            </w:r>
            <w:r w:rsidR="0012228B">
              <w:rPr>
                <w:noProof/>
                <w:webHidden/>
              </w:rPr>
              <w:t>1</w:t>
            </w:r>
            <w:r w:rsidR="000A2334">
              <w:rPr>
                <w:noProof/>
                <w:webHidden/>
              </w:rPr>
              <w:fldChar w:fldCharType="end"/>
            </w:r>
          </w:hyperlink>
        </w:p>
        <w:p w14:paraId="0FDB83D3" w14:textId="6530F6ED" w:rsidR="000A2334" w:rsidRDefault="00000000">
          <w:pPr>
            <w:pStyle w:val="TOC1"/>
            <w:tabs>
              <w:tab w:val="right" w:leader="dot" w:pos="9350"/>
            </w:tabs>
            <w:rPr>
              <w:rFonts w:asciiTheme="minorHAnsi" w:hAnsiTheme="minorHAnsi"/>
              <w:noProof/>
            </w:rPr>
          </w:pPr>
          <w:hyperlink w:anchor="_Toc210563904" w:history="1">
            <w:r w:rsidR="000A2334" w:rsidRPr="00054A4D">
              <w:rPr>
                <w:rStyle w:val="Hyperlink"/>
                <w:rFonts w:hint="eastAsia"/>
                <w:noProof/>
              </w:rPr>
              <w:t>2. Financial Health Check (</w:t>
            </w:r>
            <w:r w:rsidR="000A2334" w:rsidRPr="00054A4D">
              <w:rPr>
                <w:rStyle w:val="Hyperlink"/>
                <w:rFonts w:hint="eastAsia"/>
                <w:noProof/>
              </w:rPr>
              <w:t>≈</w:t>
            </w:r>
            <w:r w:rsidR="000A2334" w:rsidRPr="00054A4D">
              <w:rPr>
                <w:rStyle w:val="Hyperlink"/>
                <w:rFonts w:hint="eastAsia"/>
                <w:noProof/>
              </w:rPr>
              <w:t>1,400 words)</w:t>
            </w:r>
            <w:r w:rsidR="000A2334">
              <w:rPr>
                <w:noProof/>
                <w:webHidden/>
              </w:rPr>
              <w:tab/>
            </w:r>
            <w:r w:rsidR="000A2334">
              <w:rPr>
                <w:noProof/>
                <w:webHidden/>
              </w:rPr>
              <w:fldChar w:fldCharType="begin"/>
            </w:r>
            <w:r w:rsidR="000A2334">
              <w:rPr>
                <w:noProof/>
                <w:webHidden/>
              </w:rPr>
              <w:instrText xml:space="preserve"> PAGEREF _Toc210563904 \h </w:instrText>
            </w:r>
            <w:r w:rsidR="000A2334">
              <w:rPr>
                <w:noProof/>
                <w:webHidden/>
              </w:rPr>
            </w:r>
            <w:r w:rsidR="000A2334">
              <w:rPr>
                <w:noProof/>
                <w:webHidden/>
              </w:rPr>
              <w:fldChar w:fldCharType="separate"/>
            </w:r>
            <w:r w:rsidR="0012228B">
              <w:rPr>
                <w:noProof/>
                <w:webHidden/>
              </w:rPr>
              <w:t>2</w:t>
            </w:r>
            <w:r w:rsidR="000A2334">
              <w:rPr>
                <w:noProof/>
                <w:webHidden/>
              </w:rPr>
              <w:fldChar w:fldCharType="end"/>
            </w:r>
          </w:hyperlink>
        </w:p>
        <w:p w14:paraId="735D0021" w14:textId="370302F0" w:rsidR="000A2334" w:rsidRDefault="00000000">
          <w:pPr>
            <w:pStyle w:val="TOC2"/>
            <w:tabs>
              <w:tab w:val="right" w:leader="dot" w:pos="9350"/>
            </w:tabs>
            <w:rPr>
              <w:rFonts w:asciiTheme="minorHAnsi" w:hAnsiTheme="minorHAnsi"/>
              <w:noProof/>
            </w:rPr>
          </w:pPr>
          <w:hyperlink w:anchor="_Toc210563905" w:history="1">
            <w:r w:rsidR="000A2334" w:rsidRPr="00054A4D">
              <w:rPr>
                <w:rStyle w:val="Hyperlink"/>
                <w:noProof/>
              </w:rPr>
              <w:t>2.1. Analysis of Financial Statements</w:t>
            </w:r>
            <w:r w:rsidR="000A2334">
              <w:rPr>
                <w:noProof/>
                <w:webHidden/>
              </w:rPr>
              <w:tab/>
            </w:r>
            <w:r w:rsidR="000A2334">
              <w:rPr>
                <w:noProof/>
                <w:webHidden/>
              </w:rPr>
              <w:fldChar w:fldCharType="begin"/>
            </w:r>
            <w:r w:rsidR="000A2334">
              <w:rPr>
                <w:noProof/>
                <w:webHidden/>
              </w:rPr>
              <w:instrText xml:space="preserve"> PAGEREF _Toc210563905 \h </w:instrText>
            </w:r>
            <w:r w:rsidR="000A2334">
              <w:rPr>
                <w:noProof/>
                <w:webHidden/>
              </w:rPr>
            </w:r>
            <w:r w:rsidR="000A2334">
              <w:rPr>
                <w:noProof/>
                <w:webHidden/>
              </w:rPr>
              <w:fldChar w:fldCharType="separate"/>
            </w:r>
            <w:r w:rsidR="0012228B">
              <w:rPr>
                <w:noProof/>
                <w:webHidden/>
              </w:rPr>
              <w:t>2</w:t>
            </w:r>
            <w:r w:rsidR="000A2334">
              <w:rPr>
                <w:noProof/>
                <w:webHidden/>
              </w:rPr>
              <w:fldChar w:fldCharType="end"/>
            </w:r>
          </w:hyperlink>
        </w:p>
        <w:p w14:paraId="51DAE0F5" w14:textId="6AECF955" w:rsidR="000A2334" w:rsidRDefault="00000000">
          <w:pPr>
            <w:pStyle w:val="TOC3"/>
            <w:tabs>
              <w:tab w:val="right" w:leader="dot" w:pos="9350"/>
            </w:tabs>
            <w:rPr>
              <w:rFonts w:asciiTheme="minorHAnsi" w:hAnsiTheme="minorHAnsi"/>
              <w:noProof/>
            </w:rPr>
          </w:pPr>
          <w:hyperlink w:anchor="_Toc210563906" w:history="1">
            <w:r w:rsidR="000A2334" w:rsidRPr="00054A4D">
              <w:rPr>
                <w:rStyle w:val="Hyperlink"/>
                <w:noProof/>
              </w:rPr>
              <w:t>2.1.1. Income Statement Analysis</w:t>
            </w:r>
            <w:r w:rsidR="000A2334">
              <w:rPr>
                <w:noProof/>
                <w:webHidden/>
              </w:rPr>
              <w:tab/>
            </w:r>
            <w:r w:rsidR="000A2334">
              <w:rPr>
                <w:noProof/>
                <w:webHidden/>
              </w:rPr>
              <w:fldChar w:fldCharType="begin"/>
            </w:r>
            <w:r w:rsidR="000A2334">
              <w:rPr>
                <w:noProof/>
                <w:webHidden/>
              </w:rPr>
              <w:instrText xml:space="preserve"> PAGEREF _Toc210563906 \h </w:instrText>
            </w:r>
            <w:r w:rsidR="000A2334">
              <w:rPr>
                <w:noProof/>
                <w:webHidden/>
              </w:rPr>
            </w:r>
            <w:r w:rsidR="000A2334">
              <w:rPr>
                <w:noProof/>
                <w:webHidden/>
              </w:rPr>
              <w:fldChar w:fldCharType="separate"/>
            </w:r>
            <w:r w:rsidR="0012228B">
              <w:rPr>
                <w:noProof/>
                <w:webHidden/>
              </w:rPr>
              <w:t>2</w:t>
            </w:r>
            <w:r w:rsidR="000A2334">
              <w:rPr>
                <w:noProof/>
                <w:webHidden/>
              </w:rPr>
              <w:fldChar w:fldCharType="end"/>
            </w:r>
          </w:hyperlink>
        </w:p>
        <w:p w14:paraId="54F4F14B" w14:textId="2735CA7C" w:rsidR="000A2334" w:rsidRDefault="00000000">
          <w:pPr>
            <w:pStyle w:val="TOC3"/>
            <w:tabs>
              <w:tab w:val="right" w:leader="dot" w:pos="9350"/>
            </w:tabs>
            <w:rPr>
              <w:rFonts w:asciiTheme="minorHAnsi" w:hAnsiTheme="minorHAnsi"/>
              <w:noProof/>
            </w:rPr>
          </w:pPr>
          <w:hyperlink w:anchor="_Toc210563907" w:history="1">
            <w:r w:rsidR="000A2334" w:rsidRPr="00054A4D">
              <w:rPr>
                <w:rStyle w:val="Hyperlink"/>
                <w:noProof/>
              </w:rPr>
              <w:t>2.1.2. Balance Sheet Analysis</w:t>
            </w:r>
            <w:r w:rsidR="000A2334">
              <w:rPr>
                <w:noProof/>
                <w:webHidden/>
              </w:rPr>
              <w:tab/>
            </w:r>
            <w:r w:rsidR="000A2334">
              <w:rPr>
                <w:noProof/>
                <w:webHidden/>
              </w:rPr>
              <w:fldChar w:fldCharType="begin"/>
            </w:r>
            <w:r w:rsidR="000A2334">
              <w:rPr>
                <w:noProof/>
                <w:webHidden/>
              </w:rPr>
              <w:instrText xml:space="preserve"> PAGEREF _Toc210563907 \h </w:instrText>
            </w:r>
            <w:r w:rsidR="000A2334">
              <w:rPr>
                <w:noProof/>
                <w:webHidden/>
              </w:rPr>
            </w:r>
            <w:r w:rsidR="000A2334">
              <w:rPr>
                <w:noProof/>
                <w:webHidden/>
              </w:rPr>
              <w:fldChar w:fldCharType="separate"/>
            </w:r>
            <w:r w:rsidR="0012228B">
              <w:rPr>
                <w:noProof/>
                <w:webHidden/>
              </w:rPr>
              <w:t>3</w:t>
            </w:r>
            <w:r w:rsidR="000A2334">
              <w:rPr>
                <w:noProof/>
                <w:webHidden/>
              </w:rPr>
              <w:fldChar w:fldCharType="end"/>
            </w:r>
          </w:hyperlink>
        </w:p>
        <w:p w14:paraId="53D99F5D" w14:textId="3B194E19" w:rsidR="000A2334" w:rsidRDefault="00000000">
          <w:pPr>
            <w:pStyle w:val="TOC3"/>
            <w:tabs>
              <w:tab w:val="right" w:leader="dot" w:pos="9350"/>
            </w:tabs>
            <w:rPr>
              <w:rFonts w:asciiTheme="minorHAnsi" w:hAnsiTheme="minorHAnsi"/>
              <w:noProof/>
            </w:rPr>
          </w:pPr>
          <w:hyperlink w:anchor="_Toc210563908" w:history="1">
            <w:r w:rsidR="000A2334" w:rsidRPr="00054A4D">
              <w:rPr>
                <w:rStyle w:val="Hyperlink"/>
                <w:noProof/>
              </w:rPr>
              <w:t>2.1.3. Cash Flow Statement Analysis</w:t>
            </w:r>
            <w:r w:rsidR="000A2334">
              <w:rPr>
                <w:noProof/>
                <w:webHidden/>
              </w:rPr>
              <w:tab/>
            </w:r>
            <w:r w:rsidR="000A2334">
              <w:rPr>
                <w:noProof/>
                <w:webHidden/>
              </w:rPr>
              <w:fldChar w:fldCharType="begin"/>
            </w:r>
            <w:r w:rsidR="000A2334">
              <w:rPr>
                <w:noProof/>
                <w:webHidden/>
              </w:rPr>
              <w:instrText xml:space="preserve"> PAGEREF _Toc210563908 \h </w:instrText>
            </w:r>
            <w:r w:rsidR="000A2334">
              <w:rPr>
                <w:noProof/>
                <w:webHidden/>
              </w:rPr>
            </w:r>
            <w:r w:rsidR="000A2334">
              <w:rPr>
                <w:noProof/>
                <w:webHidden/>
              </w:rPr>
              <w:fldChar w:fldCharType="separate"/>
            </w:r>
            <w:r w:rsidR="0012228B">
              <w:rPr>
                <w:noProof/>
                <w:webHidden/>
              </w:rPr>
              <w:t>3</w:t>
            </w:r>
            <w:r w:rsidR="000A2334">
              <w:rPr>
                <w:noProof/>
                <w:webHidden/>
              </w:rPr>
              <w:fldChar w:fldCharType="end"/>
            </w:r>
          </w:hyperlink>
        </w:p>
        <w:p w14:paraId="5EC399CF" w14:textId="7A8043CB" w:rsidR="000A2334" w:rsidRDefault="00000000">
          <w:pPr>
            <w:pStyle w:val="TOC2"/>
            <w:tabs>
              <w:tab w:val="right" w:leader="dot" w:pos="9350"/>
            </w:tabs>
            <w:rPr>
              <w:rFonts w:asciiTheme="minorHAnsi" w:hAnsiTheme="minorHAnsi"/>
              <w:noProof/>
            </w:rPr>
          </w:pPr>
          <w:hyperlink w:anchor="_Toc210563909" w:history="1">
            <w:r w:rsidR="000A2334" w:rsidRPr="00054A4D">
              <w:rPr>
                <w:rStyle w:val="Hyperlink"/>
                <w:noProof/>
              </w:rPr>
              <w:t>2.2. Ratio Analysis</w:t>
            </w:r>
            <w:r w:rsidR="000A2334">
              <w:rPr>
                <w:noProof/>
                <w:webHidden/>
              </w:rPr>
              <w:tab/>
            </w:r>
            <w:r w:rsidR="000A2334">
              <w:rPr>
                <w:noProof/>
                <w:webHidden/>
              </w:rPr>
              <w:fldChar w:fldCharType="begin"/>
            </w:r>
            <w:r w:rsidR="000A2334">
              <w:rPr>
                <w:noProof/>
                <w:webHidden/>
              </w:rPr>
              <w:instrText xml:space="preserve"> PAGEREF _Toc210563909 \h </w:instrText>
            </w:r>
            <w:r w:rsidR="000A2334">
              <w:rPr>
                <w:noProof/>
                <w:webHidden/>
              </w:rPr>
            </w:r>
            <w:r w:rsidR="000A2334">
              <w:rPr>
                <w:noProof/>
                <w:webHidden/>
              </w:rPr>
              <w:fldChar w:fldCharType="separate"/>
            </w:r>
            <w:r w:rsidR="0012228B">
              <w:rPr>
                <w:noProof/>
                <w:webHidden/>
              </w:rPr>
              <w:t>4</w:t>
            </w:r>
            <w:r w:rsidR="000A2334">
              <w:rPr>
                <w:noProof/>
                <w:webHidden/>
              </w:rPr>
              <w:fldChar w:fldCharType="end"/>
            </w:r>
          </w:hyperlink>
        </w:p>
        <w:p w14:paraId="10F0910A" w14:textId="17DEB066" w:rsidR="000A2334" w:rsidRDefault="00000000">
          <w:pPr>
            <w:pStyle w:val="TOC2"/>
            <w:tabs>
              <w:tab w:val="right" w:leader="dot" w:pos="9350"/>
            </w:tabs>
            <w:rPr>
              <w:rFonts w:asciiTheme="minorHAnsi" w:hAnsiTheme="minorHAnsi"/>
              <w:noProof/>
            </w:rPr>
          </w:pPr>
          <w:hyperlink w:anchor="_Toc210563910" w:history="1">
            <w:r w:rsidR="000A2334" w:rsidRPr="00054A4D">
              <w:rPr>
                <w:rStyle w:val="Hyperlink"/>
                <w:noProof/>
              </w:rPr>
              <w:t>2.3. Identification of Trends, Strengths, and Threats</w:t>
            </w:r>
            <w:r w:rsidR="000A2334">
              <w:rPr>
                <w:noProof/>
                <w:webHidden/>
              </w:rPr>
              <w:tab/>
            </w:r>
            <w:r w:rsidR="000A2334">
              <w:rPr>
                <w:noProof/>
                <w:webHidden/>
              </w:rPr>
              <w:fldChar w:fldCharType="begin"/>
            </w:r>
            <w:r w:rsidR="000A2334">
              <w:rPr>
                <w:noProof/>
                <w:webHidden/>
              </w:rPr>
              <w:instrText xml:space="preserve"> PAGEREF _Toc210563910 \h </w:instrText>
            </w:r>
            <w:r w:rsidR="000A2334">
              <w:rPr>
                <w:noProof/>
                <w:webHidden/>
              </w:rPr>
            </w:r>
            <w:r w:rsidR="000A2334">
              <w:rPr>
                <w:noProof/>
                <w:webHidden/>
              </w:rPr>
              <w:fldChar w:fldCharType="separate"/>
            </w:r>
            <w:r w:rsidR="0012228B">
              <w:rPr>
                <w:noProof/>
                <w:webHidden/>
              </w:rPr>
              <w:t>6</w:t>
            </w:r>
            <w:r w:rsidR="000A2334">
              <w:rPr>
                <w:noProof/>
                <w:webHidden/>
              </w:rPr>
              <w:fldChar w:fldCharType="end"/>
            </w:r>
          </w:hyperlink>
        </w:p>
        <w:p w14:paraId="77F8E341" w14:textId="3071A807" w:rsidR="000A2334" w:rsidRDefault="00000000">
          <w:pPr>
            <w:pStyle w:val="TOC2"/>
            <w:tabs>
              <w:tab w:val="right" w:leader="dot" w:pos="9350"/>
            </w:tabs>
            <w:rPr>
              <w:rFonts w:asciiTheme="minorHAnsi" w:hAnsiTheme="minorHAnsi"/>
              <w:noProof/>
            </w:rPr>
          </w:pPr>
          <w:hyperlink w:anchor="_Toc210563911" w:history="1">
            <w:r w:rsidR="000A2334" w:rsidRPr="00054A4D">
              <w:rPr>
                <w:rStyle w:val="Hyperlink"/>
                <w:noProof/>
              </w:rPr>
              <w:t>2.4. Corporate Failure Prediction Models</w:t>
            </w:r>
            <w:r w:rsidR="000A2334">
              <w:rPr>
                <w:noProof/>
                <w:webHidden/>
              </w:rPr>
              <w:tab/>
            </w:r>
            <w:r w:rsidR="000A2334">
              <w:rPr>
                <w:noProof/>
                <w:webHidden/>
              </w:rPr>
              <w:fldChar w:fldCharType="begin"/>
            </w:r>
            <w:r w:rsidR="000A2334">
              <w:rPr>
                <w:noProof/>
                <w:webHidden/>
              </w:rPr>
              <w:instrText xml:space="preserve"> PAGEREF _Toc210563911 \h </w:instrText>
            </w:r>
            <w:r w:rsidR="000A2334">
              <w:rPr>
                <w:noProof/>
                <w:webHidden/>
              </w:rPr>
            </w:r>
            <w:r w:rsidR="000A2334">
              <w:rPr>
                <w:noProof/>
                <w:webHidden/>
              </w:rPr>
              <w:fldChar w:fldCharType="separate"/>
            </w:r>
            <w:r w:rsidR="0012228B">
              <w:rPr>
                <w:noProof/>
                <w:webHidden/>
              </w:rPr>
              <w:t>6</w:t>
            </w:r>
            <w:r w:rsidR="000A2334">
              <w:rPr>
                <w:noProof/>
                <w:webHidden/>
              </w:rPr>
              <w:fldChar w:fldCharType="end"/>
            </w:r>
          </w:hyperlink>
        </w:p>
        <w:p w14:paraId="22331E6A" w14:textId="200A1E69" w:rsidR="000A2334" w:rsidRDefault="00000000">
          <w:pPr>
            <w:pStyle w:val="TOC1"/>
            <w:tabs>
              <w:tab w:val="right" w:leader="dot" w:pos="9350"/>
            </w:tabs>
            <w:rPr>
              <w:rFonts w:asciiTheme="minorHAnsi" w:hAnsiTheme="minorHAnsi"/>
              <w:noProof/>
            </w:rPr>
          </w:pPr>
          <w:hyperlink w:anchor="_Toc210563912" w:history="1">
            <w:r w:rsidR="000A2334" w:rsidRPr="00054A4D">
              <w:rPr>
                <w:rStyle w:val="Hyperlink"/>
                <w:rFonts w:hint="eastAsia"/>
                <w:noProof/>
              </w:rPr>
              <w:t>3. Working Capital Management Analysis (</w:t>
            </w:r>
            <w:r w:rsidR="000A2334" w:rsidRPr="00054A4D">
              <w:rPr>
                <w:rStyle w:val="Hyperlink"/>
                <w:rFonts w:hint="eastAsia"/>
                <w:noProof/>
              </w:rPr>
              <w:t>≈</w:t>
            </w:r>
            <w:r w:rsidR="000A2334" w:rsidRPr="00054A4D">
              <w:rPr>
                <w:rStyle w:val="Hyperlink"/>
                <w:rFonts w:hint="eastAsia"/>
                <w:noProof/>
              </w:rPr>
              <w:t>900 words)</w:t>
            </w:r>
            <w:r w:rsidR="000A2334">
              <w:rPr>
                <w:noProof/>
                <w:webHidden/>
              </w:rPr>
              <w:tab/>
            </w:r>
            <w:r w:rsidR="000A2334">
              <w:rPr>
                <w:noProof/>
                <w:webHidden/>
              </w:rPr>
              <w:fldChar w:fldCharType="begin"/>
            </w:r>
            <w:r w:rsidR="000A2334">
              <w:rPr>
                <w:noProof/>
                <w:webHidden/>
              </w:rPr>
              <w:instrText xml:space="preserve"> PAGEREF _Toc210563912 \h </w:instrText>
            </w:r>
            <w:r w:rsidR="000A2334">
              <w:rPr>
                <w:noProof/>
                <w:webHidden/>
              </w:rPr>
            </w:r>
            <w:r w:rsidR="000A2334">
              <w:rPr>
                <w:noProof/>
                <w:webHidden/>
              </w:rPr>
              <w:fldChar w:fldCharType="separate"/>
            </w:r>
            <w:r w:rsidR="0012228B">
              <w:rPr>
                <w:noProof/>
                <w:webHidden/>
              </w:rPr>
              <w:t>7</w:t>
            </w:r>
            <w:r w:rsidR="000A2334">
              <w:rPr>
                <w:noProof/>
                <w:webHidden/>
              </w:rPr>
              <w:fldChar w:fldCharType="end"/>
            </w:r>
          </w:hyperlink>
        </w:p>
        <w:p w14:paraId="1E228E45" w14:textId="5C325C84" w:rsidR="000A2334" w:rsidRDefault="00000000">
          <w:pPr>
            <w:pStyle w:val="TOC2"/>
            <w:tabs>
              <w:tab w:val="right" w:leader="dot" w:pos="9350"/>
            </w:tabs>
            <w:rPr>
              <w:rFonts w:asciiTheme="minorHAnsi" w:hAnsiTheme="minorHAnsi"/>
              <w:noProof/>
            </w:rPr>
          </w:pPr>
          <w:hyperlink w:anchor="_Toc210563913" w:history="1">
            <w:r w:rsidR="000A2334" w:rsidRPr="00054A4D">
              <w:rPr>
                <w:rStyle w:val="Hyperlink"/>
                <w:noProof/>
              </w:rPr>
              <w:t>3.1. Assessment of the Cash Operating Cycle</w:t>
            </w:r>
            <w:r w:rsidR="000A2334">
              <w:rPr>
                <w:noProof/>
                <w:webHidden/>
              </w:rPr>
              <w:tab/>
            </w:r>
            <w:r w:rsidR="000A2334">
              <w:rPr>
                <w:noProof/>
                <w:webHidden/>
              </w:rPr>
              <w:fldChar w:fldCharType="begin"/>
            </w:r>
            <w:r w:rsidR="000A2334">
              <w:rPr>
                <w:noProof/>
                <w:webHidden/>
              </w:rPr>
              <w:instrText xml:space="preserve"> PAGEREF _Toc210563913 \h </w:instrText>
            </w:r>
            <w:r w:rsidR="000A2334">
              <w:rPr>
                <w:noProof/>
                <w:webHidden/>
              </w:rPr>
            </w:r>
            <w:r w:rsidR="000A2334">
              <w:rPr>
                <w:noProof/>
                <w:webHidden/>
              </w:rPr>
              <w:fldChar w:fldCharType="separate"/>
            </w:r>
            <w:r w:rsidR="0012228B">
              <w:rPr>
                <w:noProof/>
                <w:webHidden/>
              </w:rPr>
              <w:t>7</w:t>
            </w:r>
            <w:r w:rsidR="000A2334">
              <w:rPr>
                <w:noProof/>
                <w:webHidden/>
              </w:rPr>
              <w:fldChar w:fldCharType="end"/>
            </w:r>
          </w:hyperlink>
        </w:p>
        <w:p w14:paraId="2EB8A4AA" w14:textId="0DB8DCA9" w:rsidR="000A2334" w:rsidRDefault="00000000">
          <w:pPr>
            <w:pStyle w:val="TOC2"/>
            <w:tabs>
              <w:tab w:val="right" w:leader="dot" w:pos="9350"/>
            </w:tabs>
            <w:rPr>
              <w:rFonts w:asciiTheme="minorHAnsi" w:hAnsiTheme="minorHAnsi"/>
              <w:noProof/>
            </w:rPr>
          </w:pPr>
          <w:hyperlink w:anchor="_Toc210563914" w:history="1">
            <w:r w:rsidR="000A2334" w:rsidRPr="00054A4D">
              <w:rPr>
                <w:rStyle w:val="Hyperlink"/>
                <w:noProof/>
              </w:rPr>
              <w:t>3.2. Recommendations to Improve Liquidity</w:t>
            </w:r>
            <w:r w:rsidR="000A2334">
              <w:rPr>
                <w:noProof/>
                <w:webHidden/>
              </w:rPr>
              <w:tab/>
            </w:r>
            <w:r w:rsidR="000A2334">
              <w:rPr>
                <w:noProof/>
                <w:webHidden/>
              </w:rPr>
              <w:fldChar w:fldCharType="begin"/>
            </w:r>
            <w:r w:rsidR="000A2334">
              <w:rPr>
                <w:noProof/>
                <w:webHidden/>
              </w:rPr>
              <w:instrText xml:space="preserve"> PAGEREF _Toc210563914 \h </w:instrText>
            </w:r>
            <w:r w:rsidR="000A2334">
              <w:rPr>
                <w:noProof/>
                <w:webHidden/>
              </w:rPr>
            </w:r>
            <w:r w:rsidR="000A2334">
              <w:rPr>
                <w:noProof/>
                <w:webHidden/>
              </w:rPr>
              <w:fldChar w:fldCharType="separate"/>
            </w:r>
            <w:r w:rsidR="0012228B">
              <w:rPr>
                <w:noProof/>
                <w:webHidden/>
              </w:rPr>
              <w:t>8</w:t>
            </w:r>
            <w:r w:rsidR="000A2334">
              <w:rPr>
                <w:noProof/>
                <w:webHidden/>
              </w:rPr>
              <w:fldChar w:fldCharType="end"/>
            </w:r>
          </w:hyperlink>
        </w:p>
        <w:p w14:paraId="7C91DF0D" w14:textId="343D3060" w:rsidR="000A2334" w:rsidRDefault="00000000">
          <w:pPr>
            <w:pStyle w:val="TOC2"/>
            <w:tabs>
              <w:tab w:val="right" w:leader="dot" w:pos="9350"/>
            </w:tabs>
            <w:rPr>
              <w:rFonts w:asciiTheme="minorHAnsi" w:hAnsiTheme="minorHAnsi"/>
              <w:noProof/>
            </w:rPr>
          </w:pPr>
          <w:hyperlink w:anchor="_Toc210563915" w:history="1">
            <w:r w:rsidR="000A2334" w:rsidRPr="00054A4D">
              <w:rPr>
                <w:rStyle w:val="Hyperlink"/>
                <w:noProof/>
              </w:rPr>
              <w:t>3.3. Comparison of Short-term vs Long-term Financing Options</w:t>
            </w:r>
            <w:r w:rsidR="000A2334">
              <w:rPr>
                <w:noProof/>
                <w:webHidden/>
              </w:rPr>
              <w:tab/>
            </w:r>
            <w:r w:rsidR="000A2334">
              <w:rPr>
                <w:noProof/>
                <w:webHidden/>
              </w:rPr>
              <w:fldChar w:fldCharType="begin"/>
            </w:r>
            <w:r w:rsidR="000A2334">
              <w:rPr>
                <w:noProof/>
                <w:webHidden/>
              </w:rPr>
              <w:instrText xml:space="preserve"> PAGEREF _Toc210563915 \h </w:instrText>
            </w:r>
            <w:r w:rsidR="000A2334">
              <w:rPr>
                <w:noProof/>
                <w:webHidden/>
              </w:rPr>
            </w:r>
            <w:r w:rsidR="000A2334">
              <w:rPr>
                <w:noProof/>
                <w:webHidden/>
              </w:rPr>
              <w:fldChar w:fldCharType="separate"/>
            </w:r>
            <w:r w:rsidR="0012228B">
              <w:rPr>
                <w:noProof/>
                <w:webHidden/>
              </w:rPr>
              <w:t>9</w:t>
            </w:r>
            <w:r w:rsidR="000A2334">
              <w:rPr>
                <w:noProof/>
                <w:webHidden/>
              </w:rPr>
              <w:fldChar w:fldCharType="end"/>
            </w:r>
          </w:hyperlink>
        </w:p>
        <w:p w14:paraId="0326F900" w14:textId="7D436B8F" w:rsidR="000A2334" w:rsidRDefault="00000000">
          <w:pPr>
            <w:pStyle w:val="TOC1"/>
            <w:tabs>
              <w:tab w:val="right" w:leader="dot" w:pos="9350"/>
            </w:tabs>
            <w:rPr>
              <w:rFonts w:asciiTheme="minorHAnsi" w:hAnsiTheme="minorHAnsi"/>
              <w:noProof/>
            </w:rPr>
          </w:pPr>
          <w:hyperlink w:anchor="_Toc210563916" w:history="1">
            <w:r w:rsidR="000A2334" w:rsidRPr="00054A4D">
              <w:rPr>
                <w:rStyle w:val="Hyperlink"/>
                <w:rFonts w:hint="eastAsia"/>
                <w:noProof/>
              </w:rPr>
              <w:t>4. Strategic Financial Restructuring Plan (</w:t>
            </w:r>
            <w:r w:rsidR="000A2334" w:rsidRPr="00054A4D">
              <w:rPr>
                <w:rStyle w:val="Hyperlink"/>
                <w:rFonts w:hint="eastAsia"/>
                <w:noProof/>
              </w:rPr>
              <w:t>≈</w:t>
            </w:r>
            <w:r w:rsidR="000A2334" w:rsidRPr="00054A4D">
              <w:rPr>
                <w:rStyle w:val="Hyperlink"/>
                <w:rFonts w:hint="eastAsia"/>
                <w:noProof/>
              </w:rPr>
              <w:t>1,200 words)</w:t>
            </w:r>
            <w:r w:rsidR="000A2334">
              <w:rPr>
                <w:noProof/>
                <w:webHidden/>
              </w:rPr>
              <w:tab/>
            </w:r>
            <w:r w:rsidR="000A2334">
              <w:rPr>
                <w:noProof/>
                <w:webHidden/>
              </w:rPr>
              <w:fldChar w:fldCharType="begin"/>
            </w:r>
            <w:r w:rsidR="000A2334">
              <w:rPr>
                <w:noProof/>
                <w:webHidden/>
              </w:rPr>
              <w:instrText xml:space="preserve"> PAGEREF _Toc210563916 \h </w:instrText>
            </w:r>
            <w:r w:rsidR="000A2334">
              <w:rPr>
                <w:noProof/>
                <w:webHidden/>
              </w:rPr>
            </w:r>
            <w:r w:rsidR="000A2334">
              <w:rPr>
                <w:noProof/>
                <w:webHidden/>
              </w:rPr>
              <w:fldChar w:fldCharType="separate"/>
            </w:r>
            <w:r w:rsidR="0012228B">
              <w:rPr>
                <w:noProof/>
                <w:webHidden/>
              </w:rPr>
              <w:t>10</w:t>
            </w:r>
            <w:r w:rsidR="000A2334">
              <w:rPr>
                <w:noProof/>
                <w:webHidden/>
              </w:rPr>
              <w:fldChar w:fldCharType="end"/>
            </w:r>
          </w:hyperlink>
        </w:p>
        <w:p w14:paraId="092B3179" w14:textId="185B9216" w:rsidR="000A2334" w:rsidRDefault="00000000">
          <w:pPr>
            <w:pStyle w:val="TOC2"/>
            <w:tabs>
              <w:tab w:val="right" w:leader="dot" w:pos="9350"/>
            </w:tabs>
            <w:rPr>
              <w:rFonts w:asciiTheme="minorHAnsi" w:hAnsiTheme="minorHAnsi"/>
              <w:noProof/>
            </w:rPr>
          </w:pPr>
          <w:hyperlink w:anchor="_Toc210563917" w:history="1">
            <w:r w:rsidR="000A2334" w:rsidRPr="00054A4D">
              <w:rPr>
                <w:rStyle w:val="Hyperlink"/>
                <w:noProof/>
              </w:rPr>
              <w:t>4.1. Recommended Financial Restructuring Options</w:t>
            </w:r>
            <w:r w:rsidR="000A2334">
              <w:rPr>
                <w:noProof/>
                <w:webHidden/>
              </w:rPr>
              <w:tab/>
            </w:r>
            <w:r w:rsidR="000A2334">
              <w:rPr>
                <w:noProof/>
                <w:webHidden/>
              </w:rPr>
              <w:fldChar w:fldCharType="begin"/>
            </w:r>
            <w:r w:rsidR="000A2334">
              <w:rPr>
                <w:noProof/>
                <w:webHidden/>
              </w:rPr>
              <w:instrText xml:space="preserve"> PAGEREF _Toc210563917 \h </w:instrText>
            </w:r>
            <w:r w:rsidR="000A2334">
              <w:rPr>
                <w:noProof/>
                <w:webHidden/>
              </w:rPr>
            </w:r>
            <w:r w:rsidR="000A2334">
              <w:rPr>
                <w:noProof/>
                <w:webHidden/>
              </w:rPr>
              <w:fldChar w:fldCharType="separate"/>
            </w:r>
            <w:r w:rsidR="0012228B">
              <w:rPr>
                <w:noProof/>
                <w:webHidden/>
              </w:rPr>
              <w:t>10</w:t>
            </w:r>
            <w:r w:rsidR="000A2334">
              <w:rPr>
                <w:noProof/>
                <w:webHidden/>
              </w:rPr>
              <w:fldChar w:fldCharType="end"/>
            </w:r>
          </w:hyperlink>
        </w:p>
        <w:p w14:paraId="59159279" w14:textId="69A1209A" w:rsidR="000A2334" w:rsidRDefault="00000000">
          <w:pPr>
            <w:pStyle w:val="TOC2"/>
            <w:tabs>
              <w:tab w:val="right" w:leader="dot" w:pos="9350"/>
            </w:tabs>
            <w:rPr>
              <w:rFonts w:asciiTheme="minorHAnsi" w:hAnsiTheme="minorHAnsi"/>
              <w:noProof/>
            </w:rPr>
          </w:pPr>
          <w:hyperlink w:anchor="_Toc210563918" w:history="1">
            <w:r w:rsidR="000A2334" w:rsidRPr="00054A4D">
              <w:rPr>
                <w:rStyle w:val="Hyperlink"/>
                <w:noProof/>
              </w:rPr>
              <w:t>4.2. Evaluation of the Impact on Shareholder Value</w:t>
            </w:r>
            <w:r w:rsidR="000A2334">
              <w:rPr>
                <w:noProof/>
                <w:webHidden/>
              </w:rPr>
              <w:tab/>
            </w:r>
            <w:r w:rsidR="000A2334">
              <w:rPr>
                <w:noProof/>
                <w:webHidden/>
              </w:rPr>
              <w:fldChar w:fldCharType="begin"/>
            </w:r>
            <w:r w:rsidR="000A2334">
              <w:rPr>
                <w:noProof/>
                <w:webHidden/>
              </w:rPr>
              <w:instrText xml:space="preserve"> PAGEREF _Toc210563918 \h </w:instrText>
            </w:r>
            <w:r w:rsidR="000A2334">
              <w:rPr>
                <w:noProof/>
                <w:webHidden/>
              </w:rPr>
            </w:r>
            <w:r w:rsidR="000A2334">
              <w:rPr>
                <w:noProof/>
                <w:webHidden/>
              </w:rPr>
              <w:fldChar w:fldCharType="separate"/>
            </w:r>
            <w:r w:rsidR="0012228B">
              <w:rPr>
                <w:noProof/>
                <w:webHidden/>
              </w:rPr>
              <w:t>11</w:t>
            </w:r>
            <w:r w:rsidR="000A2334">
              <w:rPr>
                <w:noProof/>
                <w:webHidden/>
              </w:rPr>
              <w:fldChar w:fldCharType="end"/>
            </w:r>
          </w:hyperlink>
        </w:p>
        <w:p w14:paraId="2BA1208A" w14:textId="1872A1C4" w:rsidR="000A2334" w:rsidRDefault="00000000">
          <w:pPr>
            <w:pStyle w:val="TOC2"/>
            <w:tabs>
              <w:tab w:val="right" w:leader="dot" w:pos="9350"/>
            </w:tabs>
            <w:rPr>
              <w:rFonts w:asciiTheme="minorHAnsi" w:hAnsiTheme="minorHAnsi"/>
              <w:noProof/>
            </w:rPr>
          </w:pPr>
          <w:hyperlink w:anchor="_Toc210563919" w:history="1">
            <w:r w:rsidR="000A2334" w:rsidRPr="00054A4D">
              <w:rPr>
                <w:rStyle w:val="Hyperlink"/>
                <w:noProof/>
              </w:rPr>
              <w:t>4.3. Evaluation of the Impact on Debt Structure</w:t>
            </w:r>
            <w:r w:rsidR="000A2334">
              <w:rPr>
                <w:noProof/>
                <w:webHidden/>
              </w:rPr>
              <w:tab/>
            </w:r>
            <w:r w:rsidR="000A2334">
              <w:rPr>
                <w:noProof/>
                <w:webHidden/>
              </w:rPr>
              <w:fldChar w:fldCharType="begin"/>
            </w:r>
            <w:r w:rsidR="000A2334">
              <w:rPr>
                <w:noProof/>
                <w:webHidden/>
              </w:rPr>
              <w:instrText xml:space="preserve"> PAGEREF _Toc210563919 \h </w:instrText>
            </w:r>
            <w:r w:rsidR="000A2334">
              <w:rPr>
                <w:noProof/>
                <w:webHidden/>
              </w:rPr>
            </w:r>
            <w:r w:rsidR="000A2334">
              <w:rPr>
                <w:noProof/>
                <w:webHidden/>
              </w:rPr>
              <w:fldChar w:fldCharType="separate"/>
            </w:r>
            <w:r w:rsidR="0012228B">
              <w:rPr>
                <w:noProof/>
                <w:webHidden/>
              </w:rPr>
              <w:t>12</w:t>
            </w:r>
            <w:r w:rsidR="000A2334">
              <w:rPr>
                <w:noProof/>
                <w:webHidden/>
              </w:rPr>
              <w:fldChar w:fldCharType="end"/>
            </w:r>
          </w:hyperlink>
        </w:p>
        <w:p w14:paraId="5F6A0A99" w14:textId="6DE0747C" w:rsidR="000A2334" w:rsidRDefault="00000000">
          <w:pPr>
            <w:pStyle w:val="TOC2"/>
            <w:tabs>
              <w:tab w:val="right" w:leader="dot" w:pos="9350"/>
            </w:tabs>
            <w:rPr>
              <w:rFonts w:asciiTheme="minorHAnsi" w:hAnsiTheme="minorHAnsi"/>
              <w:noProof/>
            </w:rPr>
          </w:pPr>
          <w:hyperlink w:anchor="_Toc210563920" w:history="1">
            <w:r w:rsidR="000A2334" w:rsidRPr="00054A4D">
              <w:rPr>
                <w:rStyle w:val="Hyperlink"/>
                <w:noProof/>
              </w:rPr>
              <w:t>4.4. Operational Flexibility Considerations</w:t>
            </w:r>
            <w:r w:rsidR="000A2334">
              <w:rPr>
                <w:noProof/>
                <w:webHidden/>
              </w:rPr>
              <w:tab/>
            </w:r>
            <w:r w:rsidR="000A2334">
              <w:rPr>
                <w:noProof/>
                <w:webHidden/>
              </w:rPr>
              <w:fldChar w:fldCharType="begin"/>
            </w:r>
            <w:r w:rsidR="000A2334">
              <w:rPr>
                <w:noProof/>
                <w:webHidden/>
              </w:rPr>
              <w:instrText xml:space="preserve"> PAGEREF _Toc210563920 \h </w:instrText>
            </w:r>
            <w:r w:rsidR="000A2334">
              <w:rPr>
                <w:noProof/>
                <w:webHidden/>
              </w:rPr>
            </w:r>
            <w:r w:rsidR="000A2334">
              <w:rPr>
                <w:noProof/>
                <w:webHidden/>
              </w:rPr>
              <w:fldChar w:fldCharType="separate"/>
            </w:r>
            <w:r w:rsidR="0012228B">
              <w:rPr>
                <w:noProof/>
                <w:webHidden/>
              </w:rPr>
              <w:t>12</w:t>
            </w:r>
            <w:r w:rsidR="000A2334">
              <w:rPr>
                <w:noProof/>
                <w:webHidden/>
              </w:rPr>
              <w:fldChar w:fldCharType="end"/>
            </w:r>
          </w:hyperlink>
        </w:p>
        <w:p w14:paraId="02257FD4" w14:textId="0F5CA027" w:rsidR="000A2334" w:rsidRDefault="00000000">
          <w:pPr>
            <w:pStyle w:val="TOC2"/>
            <w:tabs>
              <w:tab w:val="right" w:leader="dot" w:pos="9350"/>
            </w:tabs>
            <w:rPr>
              <w:rFonts w:asciiTheme="minorHAnsi" w:hAnsiTheme="minorHAnsi"/>
              <w:noProof/>
            </w:rPr>
          </w:pPr>
          <w:hyperlink w:anchor="_Toc210563921" w:history="1">
            <w:r w:rsidR="000A2334" w:rsidRPr="00054A4D">
              <w:rPr>
                <w:rStyle w:val="Hyperlink"/>
                <w:noProof/>
              </w:rPr>
              <w:t>4.5. International and Ethical Considerations</w:t>
            </w:r>
            <w:r w:rsidR="000A2334">
              <w:rPr>
                <w:noProof/>
                <w:webHidden/>
              </w:rPr>
              <w:tab/>
            </w:r>
            <w:r w:rsidR="000A2334">
              <w:rPr>
                <w:noProof/>
                <w:webHidden/>
              </w:rPr>
              <w:fldChar w:fldCharType="begin"/>
            </w:r>
            <w:r w:rsidR="000A2334">
              <w:rPr>
                <w:noProof/>
                <w:webHidden/>
              </w:rPr>
              <w:instrText xml:space="preserve"> PAGEREF _Toc210563921 \h </w:instrText>
            </w:r>
            <w:r w:rsidR="000A2334">
              <w:rPr>
                <w:noProof/>
                <w:webHidden/>
              </w:rPr>
            </w:r>
            <w:r w:rsidR="000A2334">
              <w:rPr>
                <w:noProof/>
                <w:webHidden/>
              </w:rPr>
              <w:fldChar w:fldCharType="separate"/>
            </w:r>
            <w:r w:rsidR="0012228B">
              <w:rPr>
                <w:noProof/>
                <w:webHidden/>
              </w:rPr>
              <w:t>13</w:t>
            </w:r>
            <w:r w:rsidR="000A2334">
              <w:rPr>
                <w:noProof/>
                <w:webHidden/>
              </w:rPr>
              <w:fldChar w:fldCharType="end"/>
            </w:r>
          </w:hyperlink>
        </w:p>
        <w:p w14:paraId="73A59F3C" w14:textId="7B2BD4D3" w:rsidR="000A2334" w:rsidRDefault="00000000">
          <w:pPr>
            <w:pStyle w:val="TOC1"/>
            <w:tabs>
              <w:tab w:val="right" w:leader="dot" w:pos="9350"/>
            </w:tabs>
            <w:rPr>
              <w:rFonts w:asciiTheme="minorHAnsi" w:hAnsiTheme="minorHAnsi"/>
              <w:noProof/>
            </w:rPr>
          </w:pPr>
          <w:hyperlink w:anchor="_Toc210563922" w:history="1">
            <w:r w:rsidR="000A2334" w:rsidRPr="00054A4D">
              <w:rPr>
                <w:rStyle w:val="Hyperlink"/>
                <w:rFonts w:hint="eastAsia"/>
                <w:noProof/>
              </w:rPr>
              <w:t>5. Investment Appraisal and Capital Budgeting (</w:t>
            </w:r>
            <w:r w:rsidR="000A2334" w:rsidRPr="00054A4D">
              <w:rPr>
                <w:rStyle w:val="Hyperlink"/>
                <w:rFonts w:hint="eastAsia"/>
                <w:noProof/>
              </w:rPr>
              <w:t>≈</w:t>
            </w:r>
            <w:r w:rsidR="000A2334" w:rsidRPr="00054A4D">
              <w:rPr>
                <w:rStyle w:val="Hyperlink"/>
                <w:rFonts w:hint="eastAsia"/>
                <w:noProof/>
              </w:rPr>
              <w:t>1,500 words)</w:t>
            </w:r>
            <w:r w:rsidR="000A2334">
              <w:rPr>
                <w:noProof/>
                <w:webHidden/>
              </w:rPr>
              <w:tab/>
            </w:r>
            <w:r w:rsidR="000A2334">
              <w:rPr>
                <w:noProof/>
                <w:webHidden/>
              </w:rPr>
              <w:fldChar w:fldCharType="begin"/>
            </w:r>
            <w:r w:rsidR="000A2334">
              <w:rPr>
                <w:noProof/>
                <w:webHidden/>
              </w:rPr>
              <w:instrText xml:space="preserve"> PAGEREF _Toc210563922 \h </w:instrText>
            </w:r>
            <w:r w:rsidR="000A2334">
              <w:rPr>
                <w:noProof/>
                <w:webHidden/>
              </w:rPr>
            </w:r>
            <w:r w:rsidR="000A2334">
              <w:rPr>
                <w:noProof/>
                <w:webHidden/>
              </w:rPr>
              <w:fldChar w:fldCharType="separate"/>
            </w:r>
            <w:r w:rsidR="0012228B">
              <w:rPr>
                <w:noProof/>
                <w:webHidden/>
              </w:rPr>
              <w:t>14</w:t>
            </w:r>
            <w:r w:rsidR="000A2334">
              <w:rPr>
                <w:noProof/>
                <w:webHidden/>
              </w:rPr>
              <w:fldChar w:fldCharType="end"/>
            </w:r>
          </w:hyperlink>
        </w:p>
        <w:p w14:paraId="33DABBFB" w14:textId="48CC37E6" w:rsidR="000A2334" w:rsidRDefault="00000000">
          <w:pPr>
            <w:pStyle w:val="TOC2"/>
            <w:tabs>
              <w:tab w:val="right" w:leader="dot" w:pos="9350"/>
            </w:tabs>
            <w:rPr>
              <w:rFonts w:asciiTheme="minorHAnsi" w:hAnsiTheme="minorHAnsi"/>
              <w:noProof/>
            </w:rPr>
          </w:pPr>
          <w:hyperlink w:anchor="_Toc210563923" w:history="1">
            <w:r w:rsidR="000A2334" w:rsidRPr="00054A4D">
              <w:rPr>
                <w:rStyle w:val="Hyperlink"/>
                <w:noProof/>
              </w:rPr>
              <w:t>5.1. Investment Appraisal Framework</w:t>
            </w:r>
            <w:r w:rsidR="000A2334">
              <w:rPr>
                <w:noProof/>
                <w:webHidden/>
              </w:rPr>
              <w:tab/>
            </w:r>
            <w:r w:rsidR="000A2334">
              <w:rPr>
                <w:noProof/>
                <w:webHidden/>
              </w:rPr>
              <w:fldChar w:fldCharType="begin"/>
            </w:r>
            <w:r w:rsidR="000A2334">
              <w:rPr>
                <w:noProof/>
                <w:webHidden/>
              </w:rPr>
              <w:instrText xml:space="preserve"> PAGEREF _Toc210563923 \h </w:instrText>
            </w:r>
            <w:r w:rsidR="000A2334">
              <w:rPr>
                <w:noProof/>
                <w:webHidden/>
              </w:rPr>
            </w:r>
            <w:r w:rsidR="000A2334">
              <w:rPr>
                <w:noProof/>
                <w:webHidden/>
              </w:rPr>
              <w:fldChar w:fldCharType="separate"/>
            </w:r>
            <w:r w:rsidR="0012228B">
              <w:rPr>
                <w:noProof/>
                <w:webHidden/>
              </w:rPr>
              <w:t>14</w:t>
            </w:r>
            <w:r w:rsidR="000A2334">
              <w:rPr>
                <w:noProof/>
                <w:webHidden/>
              </w:rPr>
              <w:fldChar w:fldCharType="end"/>
            </w:r>
          </w:hyperlink>
        </w:p>
        <w:p w14:paraId="696A6E6A" w14:textId="3EA3AC10" w:rsidR="000A2334" w:rsidRDefault="00000000">
          <w:pPr>
            <w:pStyle w:val="TOC2"/>
            <w:tabs>
              <w:tab w:val="right" w:leader="dot" w:pos="9350"/>
            </w:tabs>
            <w:rPr>
              <w:rFonts w:asciiTheme="minorHAnsi" w:hAnsiTheme="minorHAnsi"/>
              <w:noProof/>
            </w:rPr>
          </w:pPr>
          <w:hyperlink w:anchor="_Toc210563924" w:history="1">
            <w:r w:rsidR="000A2334" w:rsidRPr="00054A4D">
              <w:rPr>
                <w:rStyle w:val="Hyperlink"/>
                <w:noProof/>
              </w:rPr>
              <w:t>5.2. Evaluation of Investment Projects</w:t>
            </w:r>
            <w:r w:rsidR="000A2334">
              <w:rPr>
                <w:noProof/>
                <w:webHidden/>
              </w:rPr>
              <w:tab/>
            </w:r>
            <w:r w:rsidR="000A2334">
              <w:rPr>
                <w:noProof/>
                <w:webHidden/>
              </w:rPr>
              <w:fldChar w:fldCharType="begin"/>
            </w:r>
            <w:r w:rsidR="000A2334">
              <w:rPr>
                <w:noProof/>
                <w:webHidden/>
              </w:rPr>
              <w:instrText xml:space="preserve"> PAGEREF _Toc210563924 \h </w:instrText>
            </w:r>
            <w:r w:rsidR="000A2334">
              <w:rPr>
                <w:noProof/>
                <w:webHidden/>
              </w:rPr>
            </w:r>
            <w:r w:rsidR="000A2334">
              <w:rPr>
                <w:noProof/>
                <w:webHidden/>
              </w:rPr>
              <w:fldChar w:fldCharType="separate"/>
            </w:r>
            <w:r w:rsidR="0012228B">
              <w:rPr>
                <w:noProof/>
                <w:webHidden/>
              </w:rPr>
              <w:t>15</w:t>
            </w:r>
            <w:r w:rsidR="000A2334">
              <w:rPr>
                <w:noProof/>
                <w:webHidden/>
              </w:rPr>
              <w:fldChar w:fldCharType="end"/>
            </w:r>
          </w:hyperlink>
        </w:p>
        <w:p w14:paraId="331AB75E" w14:textId="093EF620" w:rsidR="000A2334" w:rsidRDefault="00000000">
          <w:pPr>
            <w:pStyle w:val="TOC2"/>
            <w:tabs>
              <w:tab w:val="right" w:leader="dot" w:pos="9350"/>
            </w:tabs>
            <w:rPr>
              <w:rFonts w:asciiTheme="minorHAnsi" w:hAnsiTheme="minorHAnsi"/>
              <w:noProof/>
            </w:rPr>
          </w:pPr>
          <w:hyperlink w:anchor="_Toc210563925" w:history="1">
            <w:r w:rsidR="000A2334" w:rsidRPr="00054A4D">
              <w:rPr>
                <w:rStyle w:val="Hyperlink"/>
                <w:noProof/>
              </w:rPr>
              <w:t>5.3. Final Investment Recommendation</w:t>
            </w:r>
            <w:r w:rsidR="000A2334">
              <w:rPr>
                <w:noProof/>
                <w:webHidden/>
              </w:rPr>
              <w:tab/>
            </w:r>
            <w:r w:rsidR="000A2334">
              <w:rPr>
                <w:noProof/>
                <w:webHidden/>
              </w:rPr>
              <w:fldChar w:fldCharType="begin"/>
            </w:r>
            <w:r w:rsidR="000A2334">
              <w:rPr>
                <w:noProof/>
                <w:webHidden/>
              </w:rPr>
              <w:instrText xml:space="preserve"> PAGEREF _Toc210563925 \h </w:instrText>
            </w:r>
            <w:r w:rsidR="000A2334">
              <w:rPr>
                <w:noProof/>
                <w:webHidden/>
              </w:rPr>
            </w:r>
            <w:r w:rsidR="000A2334">
              <w:rPr>
                <w:noProof/>
                <w:webHidden/>
              </w:rPr>
              <w:fldChar w:fldCharType="separate"/>
            </w:r>
            <w:r w:rsidR="0012228B">
              <w:rPr>
                <w:noProof/>
                <w:webHidden/>
              </w:rPr>
              <w:t>16</w:t>
            </w:r>
            <w:r w:rsidR="000A2334">
              <w:rPr>
                <w:noProof/>
                <w:webHidden/>
              </w:rPr>
              <w:fldChar w:fldCharType="end"/>
            </w:r>
          </w:hyperlink>
        </w:p>
        <w:p w14:paraId="22F96957" w14:textId="2B63B62E" w:rsidR="000A2334" w:rsidRDefault="00000000">
          <w:pPr>
            <w:pStyle w:val="TOC1"/>
            <w:tabs>
              <w:tab w:val="right" w:leader="dot" w:pos="9350"/>
            </w:tabs>
            <w:rPr>
              <w:rFonts w:asciiTheme="minorHAnsi" w:hAnsiTheme="minorHAnsi"/>
              <w:noProof/>
            </w:rPr>
          </w:pPr>
          <w:hyperlink w:anchor="_Toc210563926" w:history="1">
            <w:r w:rsidR="000A2334" w:rsidRPr="00054A4D">
              <w:rPr>
                <w:rStyle w:val="Hyperlink"/>
                <w:noProof/>
              </w:rPr>
              <w:t>6. Conclusion</w:t>
            </w:r>
            <w:r w:rsidR="000A2334">
              <w:rPr>
                <w:noProof/>
                <w:webHidden/>
              </w:rPr>
              <w:tab/>
            </w:r>
            <w:r w:rsidR="000A2334">
              <w:rPr>
                <w:noProof/>
                <w:webHidden/>
              </w:rPr>
              <w:fldChar w:fldCharType="begin"/>
            </w:r>
            <w:r w:rsidR="000A2334">
              <w:rPr>
                <w:noProof/>
                <w:webHidden/>
              </w:rPr>
              <w:instrText xml:space="preserve"> PAGEREF _Toc210563926 \h </w:instrText>
            </w:r>
            <w:r w:rsidR="000A2334">
              <w:rPr>
                <w:noProof/>
                <w:webHidden/>
              </w:rPr>
            </w:r>
            <w:r w:rsidR="000A2334">
              <w:rPr>
                <w:noProof/>
                <w:webHidden/>
              </w:rPr>
              <w:fldChar w:fldCharType="separate"/>
            </w:r>
            <w:r w:rsidR="0012228B">
              <w:rPr>
                <w:noProof/>
                <w:webHidden/>
              </w:rPr>
              <w:t>18</w:t>
            </w:r>
            <w:r w:rsidR="000A2334">
              <w:rPr>
                <w:noProof/>
                <w:webHidden/>
              </w:rPr>
              <w:fldChar w:fldCharType="end"/>
            </w:r>
          </w:hyperlink>
        </w:p>
        <w:p w14:paraId="554B006D" w14:textId="59FFA54D" w:rsidR="000A2334" w:rsidRDefault="00000000">
          <w:pPr>
            <w:pStyle w:val="TOC1"/>
            <w:tabs>
              <w:tab w:val="right" w:leader="dot" w:pos="9350"/>
            </w:tabs>
            <w:rPr>
              <w:rFonts w:asciiTheme="minorHAnsi" w:hAnsiTheme="minorHAnsi"/>
              <w:noProof/>
            </w:rPr>
          </w:pPr>
          <w:hyperlink w:anchor="_Toc210563927" w:history="1">
            <w:r w:rsidR="000A2334" w:rsidRPr="00054A4D">
              <w:rPr>
                <w:rStyle w:val="Hyperlink"/>
                <w:noProof/>
              </w:rPr>
              <w:t>References</w:t>
            </w:r>
            <w:r w:rsidR="000A2334">
              <w:rPr>
                <w:noProof/>
                <w:webHidden/>
              </w:rPr>
              <w:tab/>
            </w:r>
            <w:r w:rsidR="000A2334">
              <w:rPr>
                <w:noProof/>
                <w:webHidden/>
              </w:rPr>
              <w:fldChar w:fldCharType="begin"/>
            </w:r>
            <w:r w:rsidR="000A2334">
              <w:rPr>
                <w:noProof/>
                <w:webHidden/>
              </w:rPr>
              <w:instrText xml:space="preserve"> PAGEREF _Toc210563927 \h </w:instrText>
            </w:r>
            <w:r w:rsidR="000A2334">
              <w:rPr>
                <w:noProof/>
                <w:webHidden/>
              </w:rPr>
            </w:r>
            <w:r w:rsidR="000A2334">
              <w:rPr>
                <w:noProof/>
                <w:webHidden/>
              </w:rPr>
              <w:fldChar w:fldCharType="separate"/>
            </w:r>
            <w:r w:rsidR="0012228B">
              <w:rPr>
                <w:noProof/>
                <w:webHidden/>
              </w:rPr>
              <w:t>19</w:t>
            </w:r>
            <w:r w:rsidR="000A2334">
              <w:rPr>
                <w:noProof/>
                <w:webHidden/>
              </w:rPr>
              <w:fldChar w:fldCharType="end"/>
            </w:r>
          </w:hyperlink>
        </w:p>
        <w:p w14:paraId="395C3CED" w14:textId="4BDD1931" w:rsidR="000A2334" w:rsidRDefault="00000000">
          <w:pPr>
            <w:pStyle w:val="TOC1"/>
            <w:tabs>
              <w:tab w:val="right" w:leader="dot" w:pos="9350"/>
            </w:tabs>
            <w:rPr>
              <w:rFonts w:asciiTheme="minorHAnsi" w:hAnsiTheme="minorHAnsi"/>
              <w:noProof/>
            </w:rPr>
          </w:pPr>
          <w:hyperlink w:anchor="_Toc210563928" w:history="1">
            <w:r w:rsidR="000A2334" w:rsidRPr="00054A4D">
              <w:rPr>
                <w:rStyle w:val="Hyperlink"/>
                <w:noProof/>
              </w:rPr>
              <w:t>Appendices</w:t>
            </w:r>
            <w:r w:rsidR="000A2334">
              <w:rPr>
                <w:noProof/>
                <w:webHidden/>
              </w:rPr>
              <w:tab/>
            </w:r>
            <w:r w:rsidR="000A2334">
              <w:rPr>
                <w:noProof/>
                <w:webHidden/>
              </w:rPr>
              <w:fldChar w:fldCharType="begin"/>
            </w:r>
            <w:r w:rsidR="000A2334">
              <w:rPr>
                <w:noProof/>
                <w:webHidden/>
              </w:rPr>
              <w:instrText xml:space="preserve"> PAGEREF _Toc210563928 \h </w:instrText>
            </w:r>
            <w:r w:rsidR="000A2334">
              <w:rPr>
                <w:noProof/>
                <w:webHidden/>
              </w:rPr>
            </w:r>
            <w:r w:rsidR="000A2334">
              <w:rPr>
                <w:noProof/>
                <w:webHidden/>
              </w:rPr>
              <w:fldChar w:fldCharType="separate"/>
            </w:r>
            <w:r w:rsidR="0012228B">
              <w:rPr>
                <w:noProof/>
                <w:webHidden/>
              </w:rPr>
              <w:t>22</w:t>
            </w:r>
            <w:r w:rsidR="000A2334">
              <w:rPr>
                <w:noProof/>
                <w:webHidden/>
              </w:rPr>
              <w:fldChar w:fldCharType="end"/>
            </w:r>
          </w:hyperlink>
        </w:p>
        <w:p w14:paraId="554ADB3B" w14:textId="229A1615" w:rsidR="000A2334" w:rsidRDefault="000A2334">
          <w:r>
            <w:rPr>
              <w:b/>
              <w:bCs/>
              <w:noProof/>
            </w:rPr>
            <w:fldChar w:fldCharType="end"/>
          </w:r>
        </w:p>
      </w:sdtContent>
    </w:sdt>
    <w:p w14:paraId="4817F05E" w14:textId="64C47613" w:rsidR="0012228B" w:rsidRDefault="0012228B">
      <w:pPr>
        <w:pStyle w:val="TableofFigures"/>
        <w:tabs>
          <w:tab w:val="right" w:leader="dot" w:pos="9350"/>
        </w:tabs>
        <w:rPr>
          <w:noProof/>
        </w:rPr>
      </w:pPr>
      <w:r>
        <w:fldChar w:fldCharType="begin"/>
      </w:r>
      <w:r>
        <w:instrText xml:space="preserve"> TOC \h \z \c "Figure" </w:instrText>
      </w:r>
      <w:r>
        <w:fldChar w:fldCharType="separate"/>
      </w:r>
      <w:hyperlink w:anchor="_Toc212661116" w:history="1">
        <w:r w:rsidRPr="00A95083">
          <w:rPr>
            <w:rStyle w:val="Hyperlink"/>
            <w:noProof/>
          </w:rPr>
          <w:t>Figure 1: Financial Ratios and Models</w:t>
        </w:r>
        <w:r>
          <w:rPr>
            <w:noProof/>
            <w:webHidden/>
          </w:rPr>
          <w:tab/>
        </w:r>
        <w:r>
          <w:rPr>
            <w:noProof/>
            <w:webHidden/>
          </w:rPr>
          <w:fldChar w:fldCharType="begin"/>
        </w:r>
        <w:r>
          <w:rPr>
            <w:noProof/>
            <w:webHidden/>
          </w:rPr>
          <w:instrText xml:space="preserve"> PAGEREF _Toc212661116 \h </w:instrText>
        </w:r>
        <w:r>
          <w:rPr>
            <w:noProof/>
            <w:webHidden/>
          </w:rPr>
        </w:r>
        <w:r>
          <w:rPr>
            <w:noProof/>
            <w:webHidden/>
          </w:rPr>
          <w:fldChar w:fldCharType="separate"/>
        </w:r>
        <w:r>
          <w:rPr>
            <w:noProof/>
            <w:webHidden/>
          </w:rPr>
          <w:t>5</w:t>
        </w:r>
        <w:r>
          <w:rPr>
            <w:noProof/>
            <w:webHidden/>
          </w:rPr>
          <w:fldChar w:fldCharType="end"/>
        </w:r>
      </w:hyperlink>
    </w:p>
    <w:p w14:paraId="596D1CC4" w14:textId="096DD64B" w:rsidR="0012228B" w:rsidRDefault="0012228B">
      <w:pPr>
        <w:pStyle w:val="TableofFigures"/>
        <w:tabs>
          <w:tab w:val="right" w:leader="dot" w:pos="9350"/>
        </w:tabs>
        <w:rPr>
          <w:noProof/>
        </w:rPr>
      </w:pPr>
      <w:hyperlink w:anchor="_Toc212661117" w:history="1">
        <w:r w:rsidRPr="00A95083">
          <w:rPr>
            <w:rStyle w:val="Hyperlink"/>
            <w:noProof/>
          </w:rPr>
          <w:t>Figure 2: Solvency, Liquidity, Efficiency &amp; Cash Flow Ratios</w:t>
        </w:r>
        <w:r>
          <w:rPr>
            <w:noProof/>
            <w:webHidden/>
          </w:rPr>
          <w:tab/>
        </w:r>
        <w:r>
          <w:rPr>
            <w:noProof/>
            <w:webHidden/>
          </w:rPr>
          <w:fldChar w:fldCharType="begin"/>
        </w:r>
        <w:r>
          <w:rPr>
            <w:noProof/>
            <w:webHidden/>
          </w:rPr>
          <w:instrText xml:space="preserve"> PAGEREF _Toc212661117 \h </w:instrText>
        </w:r>
        <w:r>
          <w:rPr>
            <w:noProof/>
            <w:webHidden/>
          </w:rPr>
        </w:r>
        <w:r>
          <w:rPr>
            <w:noProof/>
            <w:webHidden/>
          </w:rPr>
          <w:fldChar w:fldCharType="separate"/>
        </w:r>
        <w:r>
          <w:rPr>
            <w:noProof/>
            <w:webHidden/>
          </w:rPr>
          <w:t>5</w:t>
        </w:r>
        <w:r>
          <w:rPr>
            <w:noProof/>
            <w:webHidden/>
          </w:rPr>
          <w:fldChar w:fldCharType="end"/>
        </w:r>
      </w:hyperlink>
    </w:p>
    <w:p w14:paraId="49F56425" w14:textId="06B80B44" w:rsidR="0012228B" w:rsidRDefault="0012228B">
      <w:pPr>
        <w:pStyle w:val="TableofFigures"/>
        <w:tabs>
          <w:tab w:val="right" w:leader="dot" w:pos="9350"/>
        </w:tabs>
        <w:rPr>
          <w:noProof/>
        </w:rPr>
      </w:pPr>
      <w:hyperlink w:anchor="_Toc212661118" w:history="1">
        <w:r w:rsidRPr="00A95083">
          <w:rPr>
            <w:rStyle w:val="Hyperlink"/>
            <w:noProof/>
          </w:rPr>
          <w:t>Figure 3: Working Capital Over Time (2020-2024)</w:t>
        </w:r>
        <w:r>
          <w:rPr>
            <w:noProof/>
            <w:webHidden/>
          </w:rPr>
          <w:tab/>
        </w:r>
        <w:r>
          <w:rPr>
            <w:noProof/>
            <w:webHidden/>
          </w:rPr>
          <w:fldChar w:fldCharType="begin"/>
        </w:r>
        <w:r>
          <w:rPr>
            <w:noProof/>
            <w:webHidden/>
          </w:rPr>
          <w:instrText xml:space="preserve"> PAGEREF _Toc212661118 \h </w:instrText>
        </w:r>
        <w:r>
          <w:rPr>
            <w:noProof/>
            <w:webHidden/>
          </w:rPr>
        </w:r>
        <w:r>
          <w:rPr>
            <w:noProof/>
            <w:webHidden/>
          </w:rPr>
          <w:fldChar w:fldCharType="separate"/>
        </w:r>
        <w:r>
          <w:rPr>
            <w:noProof/>
            <w:webHidden/>
          </w:rPr>
          <w:t>8</w:t>
        </w:r>
        <w:r>
          <w:rPr>
            <w:noProof/>
            <w:webHidden/>
          </w:rPr>
          <w:fldChar w:fldCharType="end"/>
        </w:r>
      </w:hyperlink>
    </w:p>
    <w:p w14:paraId="660FAA38" w14:textId="0589D791" w:rsidR="0012228B" w:rsidRDefault="0012228B">
      <w:pPr>
        <w:pStyle w:val="TableofFigures"/>
        <w:tabs>
          <w:tab w:val="right" w:leader="dot" w:pos="9350"/>
        </w:tabs>
        <w:rPr>
          <w:noProof/>
        </w:rPr>
      </w:pPr>
      <w:hyperlink w:anchor="_Toc212661119" w:history="1">
        <w:r w:rsidRPr="00A95083">
          <w:rPr>
            <w:rStyle w:val="Hyperlink"/>
            <w:noProof/>
          </w:rPr>
          <w:t>Figure 4: Investment Appraisal and Capital Budgeting</w:t>
        </w:r>
        <w:r>
          <w:rPr>
            <w:noProof/>
            <w:webHidden/>
          </w:rPr>
          <w:tab/>
        </w:r>
        <w:r>
          <w:rPr>
            <w:noProof/>
            <w:webHidden/>
          </w:rPr>
          <w:fldChar w:fldCharType="begin"/>
        </w:r>
        <w:r>
          <w:rPr>
            <w:noProof/>
            <w:webHidden/>
          </w:rPr>
          <w:instrText xml:space="preserve"> PAGEREF _Toc212661119 \h </w:instrText>
        </w:r>
        <w:r>
          <w:rPr>
            <w:noProof/>
            <w:webHidden/>
          </w:rPr>
        </w:r>
        <w:r>
          <w:rPr>
            <w:noProof/>
            <w:webHidden/>
          </w:rPr>
          <w:fldChar w:fldCharType="separate"/>
        </w:r>
        <w:r>
          <w:rPr>
            <w:noProof/>
            <w:webHidden/>
          </w:rPr>
          <w:t>17</w:t>
        </w:r>
        <w:r>
          <w:rPr>
            <w:noProof/>
            <w:webHidden/>
          </w:rPr>
          <w:fldChar w:fldCharType="end"/>
        </w:r>
      </w:hyperlink>
    </w:p>
    <w:p w14:paraId="38253FB9" w14:textId="02020AD4" w:rsidR="000A2334" w:rsidRPr="000A2334" w:rsidRDefault="0012228B" w:rsidP="000A2334">
      <w:pPr>
        <w:sectPr w:rsidR="000A2334" w:rsidRPr="000A2334" w:rsidSect="00E16F04">
          <w:footerReference w:type="default" r:id="rId10"/>
          <w:pgSz w:w="12240" w:h="15840"/>
          <w:pgMar w:top="1440" w:right="1440" w:bottom="1440" w:left="1440" w:header="720" w:footer="720" w:gutter="0"/>
          <w:pgNumType w:fmt="lowerRoman"/>
          <w:cols w:space="720"/>
          <w:docGrid w:linePitch="360"/>
        </w:sectPr>
      </w:pPr>
      <w:r>
        <w:fldChar w:fldCharType="end"/>
      </w:r>
    </w:p>
    <w:p w14:paraId="7864A794" w14:textId="705F0BB6" w:rsidR="00E5051B" w:rsidRDefault="00AA32DA" w:rsidP="00AA32DA">
      <w:pPr>
        <w:pStyle w:val="Heading1"/>
      </w:pPr>
      <w:bookmarkStart w:id="1" w:name="_Toc210563901"/>
      <w:r w:rsidRPr="00AA32DA">
        <w:lastRenderedPageBreak/>
        <w:t>1. Introduction</w:t>
      </w:r>
      <w:bookmarkEnd w:id="1"/>
    </w:p>
    <w:p w14:paraId="1423A495" w14:textId="77C45955" w:rsidR="00AA32DA" w:rsidRDefault="00AA32DA" w:rsidP="00AA32DA">
      <w:pPr>
        <w:pStyle w:val="Heading2"/>
      </w:pPr>
      <w:bookmarkStart w:id="2" w:name="_Toc210563902"/>
      <w:r w:rsidRPr="00AA32DA">
        <w:t>1.1. Overview of General Electronics</w:t>
      </w:r>
      <w:bookmarkEnd w:id="2"/>
    </w:p>
    <w:p w14:paraId="0C718CF0" w14:textId="2A1A4F9A" w:rsidR="00AA32DA" w:rsidRDefault="00AA32DA">
      <w:r w:rsidRPr="00AA32DA">
        <w:t>General Electronics is a global player in the consumer electronics industry, with a diversified product portfolio that includes smartphones, home appliances, personal computing devices, and wearable technology. Established over 30 years ago, the company has built a strong reputation for innovation and quality. Headquartered in the United States, General Electronics operates in more than 50 countries, with manufacturing and assembly facilities spread across key regions including North America, Asia, and Europe. Despite its historical success, the company has recently faced significant challenges, including declining profitability, increasing operational costs, and intense competition from emerging technology firms. As a result, General Electronics' market share has been eroding, and its financial health has deteriorated. The company now finds itself at a critical juncture, needing to reassess its strategic direction to regain market position and stabilize its financial performance. This assignment focuses on analyzing General Electronics past five years of financial performance to identify underlying problems and propose a robust turnaround strategy.</w:t>
      </w:r>
    </w:p>
    <w:p w14:paraId="384CF199" w14:textId="77777777" w:rsidR="00AA32DA" w:rsidRDefault="00AA32DA"/>
    <w:p w14:paraId="167E361C" w14:textId="0E459A31" w:rsidR="00AA32DA" w:rsidRDefault="00AA32DA" w:rsidP="00AA32DA">
      <w:pPr>
        <w:pStyle w:val="Heading2"/>
      </w:pPr>
      <w:bookmarkStart w:id="3" w:name="_Toc210563903"/>
      <w:r w:rsidRPr="00AA32DA">
        <w:t>1.2. Objectives of the Assignment</w:t>
      </w:r>
      <w:bookmarkEnd w:id="3"/>
    </w:p>
    <w:p w14:paraId="680EA1D3" w14:textId="137770A1" w:rsidR="00AA32DA" w:rsidRDefault="00AA32DA">
      <w:r w:rsidRPr="00AA32DA">
        <w:t xml:space="preserve">The primary objective of this assignment is to conduct a comprehensive analysis of General Electronics’ financial performance over the past five years, identify the core issues affecting its profitability and operational efficiency, and recommend a viable turnaround strategy. This involves a thorough evaluation of the company's financial statements, including profitability, liquidity, and efficiency ratios, which will provide insight into its current financial health </w:t>
      </w:r>
      <w:sdt>
        <w:sdtPr>
          <w:id w:val="2071842306"/>
          <w:citation/>
        </w:sdtPr>
        <w:sdtContent>
          <w:r w:rsidR="0046254B">
            <w:fldChar w:fldCharType="begin"/>
          </w:r>
          <w:r w:rsidR="0046254B">
            <w:instrText xml:space="preserve"> CITATION Rob23 \l 1033 </w:instrText>
          </w:r>
          <w:r w:rsidR="0046254B">
            <w:fldChar w:fldCharType="separate"/>
          </w:r>
          <w:r w:rsidR="0046254B" w:rsidRPr="0046254B">
            <w:rPr>
              <w:noProof/>
            </w:rPr>
            <w:t>(Higgins, et al., 2023)</w:t>
          </w:r>
          <w:r w:rsidR="0046254B">
            <w:fldChar w:fldCharType="end"/>
          </w:r>
        </w:sdtContent>
      </w:sdt>
      <w:r w:rsidRPr="00AA32DA">
        <w:t xml:space="preserve">. Additionally, this assignment will assess the company’s ability to manage its working capital, propose strategies to enhance liquidity, and recommend optimal financing options </w:t>
      </w:r>
      <w:sdt>
        <w:sdtPr>
          <w:id w:val="-1877066571"/>
          <w:citation/>
        </w:sdtPr>
        <w:sdtContent>
          <w:r w:rsidR="00DF6762">
            <w:fldChar w:fldCharType="begin"/>
          </w:r>
          <w:r w:rsidR="00DF6762">
            <w:instrText xml:space="preserve"> CITATION Pet19 \l 1033 </w:instrText>
          </w:r>
          <w:r w:rsidR="00DF6762">
            <w:fldChar w:fldCharType="separate"/>
          </w:r>
          <w:r w:rsidR="00DF6762" w:rsidRPr="00DF6762">
            <w:rPr>
              <w:noProof/>
            </w:rPr>
            <w:t>(Atrill &amp; McLaney, 2019)</w:t>
          </w:r>
          <w:r w:rsidR="00DF6762">
            <w:fldChar w:fldCharType="end"/>
          </w:r>
        </w:sdtContent>
      </w:sdt>
      <w:r w:rsidRPr="00AA32DA">
        <w:t xml:space="preserve">. Furthermore, the assignment aims to explore potential strategic financial restructuring options, such as mergers, equity injections, or divestitures, that could improve shareholder value and operational flexibility </w:t>
      </w:r>
      <w:sdt>
        <w:sdtPr>
          <w:id w:val="1208992602"/>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rsidRPr="00AA32DA">
        <w:t xml:space="preserve">. Lastly, a critical aspect of the assignment will involve appraising investment opportunities to ensure that future capital expenditures align with the company’s strategic goals and financial capacity </w:t>
      </w:r>
      <w:sdt>
        <w:sdtPr>
          <w:id w:val="845682640"/>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rsidRPr="00AA32DA">
        <w:t xml:space="preserve">. By the end of this assignment, a comprehensive, ethically sound, and financially viable turnaround </w:t>
      </w:r>
      <w:r w:rsidRPr="00AA32DA">
        <w:lastRenderedPageBreak/>
        <w:t>plan for General Electronics will be proposed, backed by financial evidence and strategic recommendations.</w:t>
      </w:r>
    </w:p>
    <w:p w14:paraId="30202220" w14:textId="77777777" w:rsidR="00AA32DA" w:rsidRDefault="00AA32DA"/>
    <w:p w14:paraId="1522D89F" w14:textId="77777777" w:rsidR="00AA32DA" w:rsidRDefault="00AA32DA" w:rsidP="00AA32DA">
      <w:pPr>
        <w:pStyle w:val="Heading1"/>
      </w:pPr>
      <w:bookmarkStart w:id="4" w:name="_Toc210563904"/>
      <w:r>
        <w:rPr>
          <w:rFonts w:hint="eastAsia"/>
        </w:rPr>
        <w:t>2. Financial Health Check (≈1,400 words)</w:t>
      </w:r>
      <w:bookmarkEnd w:id="4"/>
    </w:p>
    <w:p w14:paraId="74DD0887" w14:textId="77777777" w:rsidR="00AA32DA" w:rsidRDefault="00AA32DA" w:rsidP="00AA32DA">
      <w:pPr>
        <w:pStyle w:val="Heading2"/>
      </w:pPr>
      <w:bookmarkStart w:id="5" w:name="_Toc210563905"/>
      <w:r>
        <w:t>2.1. Analysis of Financial Statements</w:t>
      </w:r>
      <w:bookmarkEnd w:id="5"/>
    </w:p>
    <w:p w14:paraId="6BAE5431" w14:textId="5E9D08CB" w:rsidR="00AA32DA" w:rsidRDefault="00AA32DA" w:rsidP="00AA32DA">
      <w:pPr>
        <w:pStyle w:val="Heading3"/>
      </w:pPr>
      <w:bookmarkStart w:id="6" w:name="_Toc210563906"/>
      <w:r>
        <w:t>2.1.1. Income Statement Analysis</w:t>
      </w:r>
      <w:bookmarkEnd w:id="6"/>
    </w:p>
    <w:p w14:paraId="1B052D23" w14:textId="14BFE1BB" w:rsidR="00AA32DA" w:rsidRDefault="00AA32DA" w:rsidP="00AA32DA">
      <w:r>
        <w:t xml:space="preserve">The income statement of General Electronics reveals a downward trend in revenue growth over the past five years, indicating declining market demand and heightened competitive pressures. In 2024, the company reported a significant drop in sales revenue to £394,879 million, compared to £420,457 million in 2023, a decrease of approximately 6%. This decline in revenue is reflective of the broader challenges within the consumer electronics sector, including price competition, shifting consumer preferences, and global supply chain disruptions </w:t>
      </w:r>
      <w:sdt>
        <w:sdtPr>
          <w:id w:val="-1452393206"/>
          <w:citation/>
        </w:sdtPr>
        <w:sdtContent>
          <w:r w:rsidR="006854B3">
            <w:fldChar w:fldCharType="begin"/>
          </w:r>
          <w:r w:rsidR="006854B3">
            <w:instrText xml:space="preserve"> CITATION Mic80 \l 1033 </w:instrText>
          </w:r>
          <w:r w:rsidR="006854B3">
            <w:fldChar w:fldCharType="separate"/>
          </w:r>
          <w:r w:rsidR="006854B3" w:rsidRPr="006854B3">
            <w:rPr>
              <w:noProof/>
            </w:rPr>
            <w:t>(Porter, 1980)</w:t>
          </w:r>
          <w:r w:rsidR="006854B3">
            <w:fldChar w:fldCharType="end"/>
          </w:r>
        </w:sdtContent>
      </w:sdt>
      <w:r>
        <w:t xml:space="preserve">. The company’s cost of goods sold (COGS) has also been increasing </w:t>
      </w:r>
      <w:r w:rsidR="00F95C7A">
        <w:t xml:space="preserve">faster </w:t>
      </w:r>
      <w:r>
        <w:t xml:space="preserve">than revenue, </w:t>
      </w:r>
      <w:r w:rsidR="00014263">
        <w:t>contributing</w:t>
      </w:r>
      <w:r>
        <w:t xml:space="preserve"> to a </w:t>
      </w:r>
      <w:r w:rsidR="00014263">
        <w:t>decline in its</w:t>
      </w:r>
      <w:r>
        <w:t xml:space="preserve"> gross profit margin. In 2024, COGS amounted to £280,885 million, leading to a gross profit margin of 28.87%, which is a significant decrease from previous years, indicating reduced efficiency in managing production costs </w:t>
      </w:r>
      <w:sdt>
        <w:sdtPr>
          <w:id w:val="-1261217053"/>
          <w:citation/>
        </w:sdtPr>
        <w:sdtContent>
          <w:r w:rsidR="0046254B">
            <w:fldChar w:fldCharType="begin"/>
          </w:r>
          <w:r w:rsidR="0046254B">
            <w:instrText xml:space="preserve"> CITATION Rob23 \l 1033 </w:instrText>
          </w:r>
          <w:r w:rsidR="0046254B">
            <w:fldChar w:fldCharType="separate"/>
          </w:r>
          <w:r w:rsidR="0046254B" w:rsidRPr="0046254B">
            <w:rPr>
              <w:noProof/>
            </w:rPr>
            <w:t>(Higgins, et al., 2023)</w:t>
          </w:r>
          <w:r w:rsidR="0046254B">
            <w:fldChar w:fldCharType="end"/>
          </w:r>
        </w:sdtContent>
      </w:sdt>
      <w:r>
        <w:t>.</w:t>
      </w:r>
    </w:p>
    <w:p w14:paraId="30A154C8" w14:textId="77777777" w:rsidR="00AA32DA" w:rsidRDefault="00AA32DA" w:rsidP="00AA32DA"/>
    <w:p w14:paraId="383E57EB" w14:textId="561CD796" w:rsidR="00AA32DA" w:rsidRDefault="00AA32DA" w:rsidP="00AA32DA">
      <w:r>
        <w:t>The net profit margin for 2024 was negative, at -6.09%, reflecting General Electronics' struggle to maintain profitability. The firm’s operating expenses have risen, primarily driven by higher research and development costs, marketing</w:t>
      </w:r>
      <w:r w:rsidR="00F95C7A">
        <w:t xml:space="preserve"> expenses, and administrative fees, further compounding</w:t>
      </w:r>
      <w:r>
        <w:t xml:space="preserve"> the impact of lower sales. Moreover, a substantial increase in interest expenses, from £1,422 million in 2020 to £3,361 million in 2024, has placed additional strain on the firm’s profitability. This increase is concerning as it indicates the company’s growing reliance on debt, which is inconsistent with long-term sustainability </w:t>
      </w:r>
      <w:sdt>
        <w:sdtPr>
          <w:id w:val="-1686975863"/>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t>.</w:t>
      </w:r>
    </w:p>
    <w:p w14:paraId="4ABFB55A" w14:textId="77777777" w:rsidR="00AA32DA" w:rsidRDefault="00AA32DA" w:rsidP="00AA32DA"/>
    <w:p w14:paraId="15560165" w14:textId="1E1A236E" w:rsidR="00AA32DA" w:rsidRDefault="00AA32DA" w:rsidP="00AA32DA">
      <w:r>
        <w:t xml:space="preserve">General Electronics also recorded a sharp decline in net income in 2024, posting a loss of £24,029 million, a significant drop from the previous year’s loss of £98,238 million. This is a critical warning sign of the firm’s deteriorating financial health, as the company's inability to generate consistent earnings raises concerns about its future viability in the industry </w:t>
      </w:r>
      <w:sdt>
        <w:sdtPr>
          <w:id w:val="355922922"/>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t xml:space="preserve">. </w:t>
      </w:r>
      <w:r>
        <w:lastRenderedPageBreak/>
        <w:t xml:space="preserve">The income statement also highlights substantial losses </w:t>
      </w:r>
      <w:r w:rsidR="00014263">
        <w:t>over the last two years, suggesting</w:t>
      </w:r>
      <w:r>
        <w:t xml:space="preserve"> that the company must immediately reconsider its pricing strategy, cost control measures, and product innovation to recover profitability.</w:t>
      </w:r>
    </w:p>
    <w:p w14:paraId="16B5ED96" w14:textId="77777777" w:rsidR="00AA32DA" w:rsidRDefault="00AA32DA" w:rsidP="00AA32DA"/>
    <w:p w14:paraId="0A17CB2A" w14:textId="77777777" w:rsidR="00AA32DA" w:rsidRDefault="00AA32DA" w:rsidP="00AA32DA">
      <w:pPr>
        <w:pStyle w:val="Heading3"/>
      </w:pPr>
      <w:bookmarkStart w:id="7" w:name="_Toc210563907"/>
      <w:r w:rsidRPr="00AA32DA">
        <w:t>2.1.2. Balance Sheet Analysis</w:t>
      </w:r>
      <w:bookmarkEnd w:id="7"/>
    </w:p>
    <w:p w14:paraId="043F07AF" w14:textId="34DEDEEC" w:rsidR="00AA32DA" w:rsidRDefault="00AA32DA" w:rsidP="00AA32DA">
      <w:r w:rsidRPr="00AA32DA">
        <w:t xml:space="preserve">The balance sheet of General Electronics highlights several critical issues impacting its financial stability. Total assets have decreased from £510,348 million in 2021 to £323,354 million in 2024, reflecting a significant reduction in the company’s asset base. This reduction is primarily due to impairments in fixed assets and the decline in inventory value, which has further strained liquidity. The company’s total liabilities have also </w:t>
      </w:r>
      <w:r w:rsidR="00014263">
        <w:t>increased, rising from £196,989 million in 2020 to £170,249 million in 2024, indicating a heightened</w:t>
      </w:r>
      <w:r w:rsidRPr="00AA32DA">
        <w:t xml:space="preserve"> reliance on debt financing. This growing leverage is concerning</w:t>
      </w:r>
      <w:r w:rsidR="00014263">
        <w:t>, as it heightens financial risk, especially given the</w:t>
      </w:r>
      <w:r w:rsidRPr="00AA32DA">
        <w:t xml:space="preserve"> negative equity base in 2024. The equity section reveals a substantial reduction in shareholders' equity, from £313,301 million in 2020 to £153,105 million in 2024, driven by continuous losses and poor profitability. These balance sheet trends underscore the need for immediate restructuring to improve financial leverage and capital management </w:t>
      </w:r>
      <w:sdt>
        <w:sdtPr>
          <w:id w:val="770516511"/>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rsidR="000B175A">
        <w:t>.</w:t>
      </w:r>
    </w:p>
    <w:p w14:paraId="56E5B26F" w14:textId="77777777" w:rsidR="00AA32DA" w:rsidRDefault="00AA32DA" w:rsidP="00AA32DA"/>
    <w:p w14:paraId="66AC3F89" w14:textId="77777777" w:rsidR="00AA32DA" w:rsidRDefault="00AA32DA" w:rsidP="00AA32DA">
      <w:pPr>
        <w:pStyle w:val="Heading3"/>
      </w:pPr>
      <w:bookmarkStart w:id="8" w:name="_Toc210563908"/>
      <w:r w:rsidRPr="00AA32DA">
        <w:t>2.1.3. Cash Flow Statement Analysis</w:t>
      </w:r>
      <w:bookmarkEnd w:id="8"/>
    </w:p>
    <w:p w14:paraId="115249EC" w14:textId="56EAE773" w:rsidR="00AA32DA" w:rsidRDefault="00AA32DA" w:rsidP="00AA32DA">
      <w:r w:rsidRPr="00AA32DA">
        <w:t xml:space="preserve">The cash flow statement for General Electronics reveals concerning trends in operational liquidity. Operating cash flow in 2024 was £42,276 million, a positive figure, but it is insufficient to offset the ongoing capital expenditures (£27,339 million), resulting in a reduction of free cash flow. This illustrates the company's struggle to generate sufficient internal liquidity to support growth initiatives and debt obligations </w:t>
      </w:r>
      <w:sdt>
        <w:sdtPr>
          <w:id w:val="-1402518987"/>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rsidRPr="00AA32DA">
        <w:t xml:space="preserve">. Additionally, the company’s investing activities show significant outflows, </w:t>
      </w:r>
      <w:r w:rsidR="00014263">
        <w:t>primarily driven</w:t>
      </w:r>
      <w:r w:rsidRPr="00AA32DA">
        <w:t xml:space="preserve"> by capital investments and acquisitions aimed at expanding its product portfolio. However, these investments have not translated into higher sales growth, as evidenced by the decline in revenue. Financing activities have been </w:t>
      </w:r>
      <w:r w:rsidR="00014263">
        <w:t xml:space="preserve">characterized by increasing borrowings to meet the company’s capital needs, reflecting its </w:t>
      </w:r>
      <w:r w:rsidRPr="00AA32DA">
        <w:t xml:space="preserve">reliance on external debt to sustain operations. The cash flow analysis underscores the firm’s liquidity strain and the urgent need for improved operational cash generation and cost management </w:t>
      </w:r>
      <w:sdt>
        <w:sdtPr>
          <w:id w:val="-1692136478"/>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rsidRPr="00AA32DA">
        <w:t>.</w:t>
      </w:r>
    </w:p>
    <w:p w14:paraId="4ED8F0A6" w14:textId="77777777" w:rsidR="00AA32DA" w:rsidRDefault="00AA32DA" w:rsidP="00AA32DA">
      <w:pPr>
        <w:pStyle w:val="Heading2"/>
      </w:pPr>
      <w:bookmarkStart w:id="9" w:name="_Toc210563909"/>
      <w:r w:rsidRPr="00AA32DA">
        <w:lastRenderedPageBreak/>
        <w:t>2.2. Ratio Analysis</w:t>
      </w:r>
      <w:bookmarkEnd w:id="9"/>
    </w:p>
    <w:p w14:paraId="187F9156" w14:textId="36E818B5" w:rsidR="00DE29F1" w:rsidRDefault="00DE29F1" w:rsidP="00DE29F1">
      <w:r>
        <w:t>The ratio analysis for General Electronics provides a detailed understanding of the company’s financial health across multiple dimensions, highlighting both strengths and weaknesses. Profitability ratios</w:t>
      </w:r>
      <w:r w:rsidR="00014263">
        <w:t>, such as the Gross Profit Margin (28.87% in 2024),</w:t>
      </w:r>
      <w:r>
        <w:t xml:space="preserve"> </w:t>
      </w:r>
      <w:r w:rsidR="00014263">
        <w:t>indicate that the company is generating a sufficient</w:t>
      </w:r>
      <w:r>
        <w:t xml:space="preserve"> profit from its core operations after covering direct production costs. However, the company’s Net Profit Margin, which </w:t>
      </w:r>
      <w:r w:rsidR="00014263">
        <w:t>has remained</w:t>
      </w:r>
      <w:r>
        <w:t xml:space="preserve"> negative in recent years, signals issues beyond production costs, such as inefficiencies in controlling operating expenses, high interest costs, and possible pricing issues. The Return on Assets (ROA), which has been declining, further reflects the company’s struggle to leverage its asset base effectively to generate profits </w:t>
      </w:r>
      <w:sdt>
        <w:sdtPr>
          <w:id w:val="1856003343"/>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t xml:space="preserve">. The Return on Equity (ROE), particularly the negative values in 2024 and 2023, indicates poor returns to shareholders, pointing to insufficient profitability and an inability to maximize shareholder value despite significant capital investment </w:t>
      </w:r>
      <w:sdt>
        <w:sdtPr>
          <w:id w:val="854381262"/>
          <w:citation/>
        </w:sdtPr>
        <w:sdtContent>
          <w:r w:rsidR="0046254B">
            <w:fldChar w:fldCharType="begin"/>
          </w:r>
          <w:r w:rsidR="0046254B">
            <w:instrText xml:space="preserve"> CITATION Rob23 \l 1033 </w:instrText>
          </w:r>
          <w:r w:rsidR="0046254B">
            <w:fldChar w:fldCharType="separate"/>
          </w:r>
          <w:r w:rsidR="0046254B" w:rsidRPr="0046254B">
            <w:rPr>
              <w:noProof/>
            </w:rPr>
            <w:t>(Higgins, et al., 2023)</w:t>
          </w:r>
          <w:r w:rsidR="0046254B">
            <w:fldChar w:fldCharType="end"/>
          </w:r>
        </w:sdtContent>
      </w:sdt>
      <w:r>
        <w:t>.</w:t>
      </w:r>
    </w:p>
    <w:p w14:paraId="70F75C4B" w14:textId="77777777" w:rsidR="00DE29F1" w:rsidRDefault="00DE29F1" w:rsidP="00DE29F1"/>
    <w:p w14:paraId="5C9C9118" w14:textId="7BE16DE7" w:rsidR="00DE29F1" w:rsidRDefault="00DE29F1" w:rsidP="00DE29F1">
      <w:r>
        <w:t xml:space="preserve">In terms of liquidity, while the Current Ratio and Quick Ratio indicate that the company can cover its short-term obligations, the Cash Ratio remains low, suggesting that the company is facing liquidity strain despite its ability to meet short-term liabilities with more liquid assets </w:t>
      </w:r>
      <w:sdt>
        <w:sdtPr>
          <w:id w:val="1965001961"/>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t>. This could imply that the company is relying more on inventory and receivables to meet its obligations, which might not be as liquid as cash.</w:t>
      </w:r>
    </w:p>
    <w:p w14:paraId="7D773CA0" w14:textId="77777777" w:rsidR="00DE29F1" w:rsidRDefault="00DE29F1" w:rsidP="00DE29F1"/>
    <w:p w14:paraId="625DD071" w14:textId="445893FD" w:rsidR="00DE29F1" w:rsidRDefault="00DE29F1" w:rsidP="00DE29F1">
      <w:r>
        <w:t xml:space="preserve">The Efficiency Ratios, such as Accounts Receivable Turnover (3.48 in 2024) and Inventory Turnover (3.35 in 2024), show a declining trend in asset utilization. The company’s slow collection of receivables and low </w:t>
      </w:r>
      <w:r w:rsidR="00014263">
        <w:t xml:space="preserve">inventory turnover suggest inefficiencies in working capital management, which could impact its </w:t>
      </w:r>
      <w:r>
        <w:t>cash flow and profitability.</w:t>
      </w:r>
    </w:p>
    <w:p w14:paraId="441264E1" w14:textId="77777777" w:rsidR="00DE29F1" w:rsidRDefault="00DE29F1" w:rsidP="00DE29F1"/>
    <w:p w14:paraId="10B4DFD0" w14:textId="73D803F6" w:rsidR="00DE29F1" w:rsidRDefault="00DE29F1" w:rsidP="00DE29F1">
      <w:r>
        <w:t xml:space="preserve">Lastly, the Total Debt Ratio and Interest Coverage Ratio indicate an increasing reliance on debt, raising concerns about the company’s ability to manage its financial leverage and meet interest obligations </w:t>
      </w:r>
      <w:sdt>
        <w:sdtPr>
          <w:id w:val="-1577507016"/>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t>. With the rising debt burden, General Electronics may face difficulties in servicing its debt if profitability continues to decline.</w:t>
      </w:r>
    </w:p>
    <w:p w14:paraId="05FADA66" w14:textId="77777777" w:rsidR="00DE29F1" w:rsidRDefault="00DE29F1" w:rsidP="00DE29F1"/>
    <w:p w14:paraId="1493CFB0" w14:textId="15321F24" w:rsidR="00DE29F1" w:rsidRDefault="00DE29F1" w:rsidP="00DE29F1">
      <w:r>
        <w:t xml:space="preserve">In short, while General Electronics maintains a reasonable level of liquidity and profitability, its declining efficiency and rising debt pose significant risks. The company needs to focus on </w:t>
      </w:r>
      <w:r>
        <w:lastRenderedPageBreak/>
        <w:t>improving asset utilization, reducing operating expenses, and addressing its high debt levels to improve long-term financial health.</w:t>
      </w:r>
    </w:p>
    <w:p w14:paraId="2551641A" w14:textId="630AD599" w:rsidR="00C71C3A" w:rsidRDefault="00C71C3A" w:rsidP="00DE29F1">
      <w:r>
        <w:rPr>
          <w:noProof/>
        </w:rPr>
        <w:drawing>
          <wp:inline distT="0" distB="0" distL="0" distR="0" wp14:anchorId="31B13516" wp14:editId="3775127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AFDD7CE" w14:textId="32976CB6" w:rsidR="00C71C3A" w:rsidRDefault="00C01E51" w:rsidP="00C01E51">
      <w:pPr>
        <w:pStyle w:val="Caption"/>
      </w:pPr>
      <w:bookmarkStart w:id="10" w:name="_Toc212661116"/>
      <w:r>
        <w:t xml:space="preserve">Figure </w:t>
      </w:r>
      <w:r>
        <w:fldChar w:fldCharType="begin"/>
      </w:r>
      <w:r>
        <w:instrText xml:space="preserve"> SEQ Figure \* ARABIC </w:instrText>
      </w:r>
      <w:r>
        <w:fldChar w:fldCharType="separate"/>
      </w:r>
      <w:r w:rsidR="003306D2">
        <w:rPr>
          <w:noProof/>
        </w:rPr>
        <w:t>1</w:t>
      </w:r>
      <w:r>
        <w:fldChar w:fldCharType="end"/>
      </w:r>
      <w:r>
        <w:t xml:space="preserve">: </w:t>
      </w:r>
      <w:r w:rsidRPr="00C01E51">
        <w:t>Financial Ratios and Models</w:t>
      </w:r>
      <w:bookmarkEnd w:id="10"/>
      <w:r w:rsidRPr="00C01E51">
        <w:t xml:space="preserve"> </w:t>
      </w:r>
    </w:p>
    <w:p w14:paraId="4A1C3D1D" w14:textId="2A6AFF81" w:rsidR="00C71C3A" w:rsidRDefault="00C01E51" w:rsidP="00DE29F1">
      <w:r>
        <w:rPr>
          <w:noProof/>
        </w:rPr>
        <w:drawing>
          <wp:inline distT="0" distB="0" distL="0" distR="0" wp14:anchorId="65D8C6E9" wp14:editId="5ECFC44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03E32A" w14:textId="71069B12" w:rsidR="00C71C3A" w:rsidRDefault="00C01E51" w:rsidP="00C01E51">
      <w:pPr>
        <w:pStyle w:val="Caption"/>
      </w:pPr>
      <w:bookmarkStart w:id="11" w:name="_Toc212661117"/>
      <w:r>
        <w:t xml:space="preserve">Figure </w:t>
      </w:r>
      <w:r>
        <w:fldChar w:fldCharType="begin"/>
      </w:r>
      <w:r>
        <w:instrText xml:space="preserve"> SEQ Figure \* ARABIC </w:instrText>
      </w:r>
      <w:r>
        <w:fldChar w:fldCharType="separate"/>
      </w:r>
      <w:r w:rsidR="003306D2">
        <w:rPr>
          <w:noProof/>
        </w:rPr>
        <w:t>2</w:t>
      </w:r>
      <w:r>
        <w:fldChar w:fldCharType="end"/>
      </w:r>
      <w:r>
        <w:t xml:space="preserve">: </w:t>
      </w:r>
      <w:r w:rsidRPr="00C01E51">
        <w:t>Solvency, Liquidity, Efficiency &amp; Cash Flow Ratios</w:t>
      </w:r>
      <w:bookmarkEnd w:id="11"/>
    </w:p>
    <w:p w14:paraId="524B150B" w14:textId="77777777" w:rsidR="00AA32DA" w:rsidRDefault="00AA32DA" w:rsidP="00AA32DA">
      <w:pPr>
        <w:pStyle w:val="Heading2"/>
      </w:pPr>
      <w:bookmarkStart w:id="12" w:name="_Toc210563910"/>
      <w:r w:rsidRPr="00AA32DA">
        <w:lastRenderedPageBreak/>
        <w:t>2.3. Identification of Trends, Strengths, and Threats</w:t>
      </w:r>
      <w:bookmarkEnd w:id="12"/>
    </w:p>
    <w:p w14:paraId="211050B8" w14:textId="4AB5FE47" w:rsidR="00AA32DA" w:rsidRDefault="00AA32DA" w:rsidP="00AA32DA">
      <w:r>
        <w:t xml:space="preserve">Profitability Analysis indicates a worrying decline in both gross profit margin and net profit margin over the past five years, with a significant drop in 2024, </w:t>
      </w:r>
      <w:r w:rsidR="00014263">
        <w:t>signaling</w:t>
      </w:r>
      <w:r>
        <w:t xml:space="preserve"> inefficiencies in cost management and pricing strategy </w:t>
      </w:r>
      <w:sdt>
        <w:sdtPr>
          <w:id w:val="1969163834"/>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t xml:space="preserve">. The Return on Assets (ROA) and Return on Equity (ROE) show poor returns, particularly in 2023 and 2024, as the company struggles to generate returns from its assets and equity </w:t>
      </w:r>
      <w:sdt>
        <w:sdtPr>
          <w:id w:val="-1752120730"/>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t>.</w:t>
      </w:r>
    </w:p>
    <w:p w14:paraId="09F5721F" w14:textId="77777777" w:rsidR="00AA32DA" w:rsidRDefault="00AA32DA" w:rsidP="00AA32DA"/>
    <w:p w14:paraId="2827C97C" w14:textId="296E750E" w:rsidR="00AA32DA" w:rsidRDefault="00AA32DA" w:rsidP="00AA32DA">
      <w:r>
        <w:t xml:space="preserve">In terms of liquidity, while the Current Ratio and Quick Ratio suggest the ability to meet short-term obligations, the Cash Ratio remains low, indicating potential liquidity pressure in the future </w:t>
      </w:r>
      <w:sdt>
        <w:sdtPr>
          <w:id w:val="1334493293"/>
          <w:citation/>
        </w:sdtPr>
        <w:sdtContent>
          <w:r w:rsidR="0046254B">
            <w:fldChar w:fldCharType="begin"/>
          </w:r>
          <w:r w:rsidR="0046254B">
            <w:instrText xml:space="preserve"> CITATION Rob23 \l 1033 </w:instrText>
          </w:r>
          <w:r w:rsidR="0046254B">
            <w:fldChar w:fldCharType="separate"/>
          </w:r>
          <w:r w:rsidR="0046254B" w:rsidRPr="0046254B">
            <w:rPr>
              <w:noProof/>
            </w:rPr>
            <w:t>(Higgins, et al., 2023)</w:t>
          </w:r>
          <w:r w:rsidR="0046254B">
            <w:fldChar w:fldCharType="end"/>
          </w:r>
        </w:sdtContent>
      </w:sdt>
      <w:r>
        <w:t>.</w:t>
      </w:r>
    </w:p>
    <w:p w14:paraId="196952B2" w14:textId="77777777" w:rsidR="00AA32DA" w:rsidRDefault="00AA32DA" w:rsidP="00AA32DA"/>
    <w:p w14:paraId="2AD00D5C" w14:textId="13A905F3" w:rsidR="00AA32DA" w:rsidRDefault="00AA32DA" w:rsidP="00AA32DA">
      <w:r>
        <w:t xml:space="preserve">Efficiency ratios </w:t>
      </w:r>
      <w:r w:rsidR="00014263">
        <w:t xml:space="preserve">indicate a decline in asset </w:t>
      </w:r>
      <w:r w:rsidR="002221C4">
        <w:t>utilization</w:t>
      </w:r>
      <w:r w:rsidR="00014263">
        <w:t xml:space="preserve">, as evidenced by decreases in Accounts Receivable Turnover and Inventory Turnover </w:t>
      </w:r>
      <w:r>
        <w:t xml:space="preserve">in recent years. Gearing analysis shows an increasing reliance on debt, which raises concerns about the company's financial stability and risk exposure </w:t>
      </w:r>
      <w:sdt>
        <w:sdtPr>
          <w:id w:val="-1023554153"/>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rsidR="000B175A">
        <w:t>.</w:t>
      </w:r>
    </w:p>
    <w:p w14:paraId="4FF7FE62" w14:textId="77777777" w:rsidR="00AA32DA" w:rsidRDefault="00AA32DA" w:rsidP="00AA32DA"/>
    <w:p w14:paraId="5236C21A" w14:textId="77777777" w:rsidR="00AA32DA" w:rsidRDefault="00AA32DA" w:rsidP="00AA32DA">
      <w:pPr>
        <w:pStyle w:val="Heading2"/>
      </w:pPr>
      <w:bookmarkStart w:id="13" w:name="_Toc210563911"/>
      <w:r w:rsidRPr="00AA32DA">
        <w:t>2.4. Corporate Failure Prediction Models</w:t>
      </w:r>
      <w:bookmarkEnd w:id="13"/>
    </w:p>
    <w:p w14:paraId="5454169D" w14:textId="00003741" w:rsidR="00D67C1E" w:rsidRDefault="00D67C1E" w:rsidP="00D67C1E">
      <w:r>
        <w:t xml:space="preserve">The Altman Z-Score remains a cornerstone in bankruptcy prediction, demonstrating robust accuracy even decades after its inception (Altman, 2018). Recent studies affirm its efficacy, with Z-scores below 1.81 indicating imminent financial distress, while scores above 2.99 denote a low likelihood of bankruptcy </w:t>
      </w:r>
      <w:sdt>
        <w:sdtPr>
          <w:id w:val="406964867"/>
          <w:citation/>
        </w:sdtPr>
        <w:sdtContent>
          <w:r w:rsidR="00FB4024">
            <w:fldChar w:fldCharType="begin"/>
          </w:r>
          <w:r w:rsidR="00FB4024">
            <w:instrText xml:space="preserve"> CITATION Chr25 \l 1033 </w:instrText>
          </w:r>
          <w:r w:rsidR="00FB4024">
            <w:fldChar w:fldCharType="separate"/>
          </w:r>
          <w:r w:rsidR="00FB4024" w:rsidRPr="00FB4024">
            <w:rPr>
              <w:noProof/>
            </w:rPr>
            <w:t>(Braunsberger &amp; Aschauer, 2025)</w:t>
          </w:r>
          <w:r w:rsidR="00FB4024">
            <w:fldChar w:fldCharType="end"/>
          </w:r>
        </w:sdtContent>
      </w:sdt>
      <w:r>
        <w:t xml:space="preserve">. General Electronics' declining Z-scores—from 3.61 in 2020 to 2.03 in 2023—signal a shift from the "safe zone" to the "grey zone," indicating heightened bankruptcy risk (Altman, 2018). This deterioration is attributed to negative EBIT, increased leverage, and declining profitability, aligning with factors identified as precursors to corporate failure </w:t>
      </w:r>
      <w:sdt>
        <w:sdtPr>
          <w:id w:val="-1789882860"/>
          <w:citation/>
        </w:sdtPr>
        <w:sdtContent>
          <w:r w:rsidR="00FB4024">
            <w:fldChar w:fldCharType="begin"/>
          </w:r>
          <w:r w:rsidR="00FB4024">
            <w:instrText xml:space="preserve"> CITATION Chr25 \l 1033 </w:instrText>
          </w:r>
          <w:r w:rsidR="00FB4024">
            <w:fldChar w:fldCharType="separate"/>
          </w:r>
          <w:r w:rsidR="00FB4024" w:rsidRPr="00FB4024">
            <w:rPr>
              <w:noProof/>
            </w:rPr>
            <w:t>(Braunsberger &amp; Aschauer, 2025)</w:t>
          </w:r>
          <w:r w:rsidR="00FB4024">
            <w:fldChar w:fldCharType="end"/>
          </w:r>
        </w:sdtContent>
      </w:sdt>
      <w:r>
        <w:t>.</w:t>
      </w:r>
    </w:p>
    <w:p w14:paraId="38F47700" w14:textId="77777777" w:rsidR="00D67C1E" w:rsidRDefault="00D67C1E" w:rsidP="00D67C1E"/>
    <w:p w14:paraId="2C7874E8" w14:textId="0067F34D" w:rsidR="00DE29F1" w:rsidRDefault="00D67C1E" w:rsidP="00D67C1E">
      <w:r>
        <w:t xml:space="preserve">While the </w:t>
      </w:r>
      <w:r w:rsidR="00014263">
        <w:t>Z-score</w:t>
      </w:r>
      <w:r>
        <w:t xml:space="preserve"> offers valuable insights, its limitations include a static nature and reduced applicability to non-manufacturing firms </w:t>
      </w:r>
      <w:sdt>
        <w:sdtPr>
          <w:id w:val="1947278783"/>
          <w:citation/>
        </w:sdtPr>
        <w:sdtContent>
          <w:r w:rsidR="00FB4024">
            <w:fldChar w:fldCharType="begin"/>
          </w:r>
          <w:r w:rsidR="00FB4024">
            <w:instrText xml:space="preserve"> CITATION Chr25 \l 1033 </w:instrText>
          </w:r>
          <w:r w:rsidR="00FB4024">
            <w:fldChar w:fldCharType="separate"/>
          </w:r>
          <w:r w:rsidR="00FB4024" w:rsidRPr="00FB4024">
            <w:rPr>
              <w:noProof/>
            </w:rPr>
            <w:t>(Braunsberger &amp; Aschauer, 2025)</w:t>
          </w:r>
          <w:r w:rsidR="00FB4024">
            <w:fldChar w:fldCharType="end"/>
          </w:r>
        </w:sdtContent>
      </w:sdt>
      <w:r>
        <w:t xml:space="preserve">. Consequently, integrating machine learning models with financial ratios has been proposed to enhance prediction accuracy and adaptability </w:t>
      </w:r>
      <w:sdt>
        <w:sdtPr>
          <w:id w:val="2023435550"/>
          <w:citation/>
        </w:sdtPr>
        <w:sdtContent>
          <w:r w:rsidR="00FB4024">
            <w:fldChar w:fldCharType="begin"/>
          </w:r>
          <w:r w:rsidR="00FB4024">
            <w:instrText xml:space="preserve"> CITATION Chr25 \l 1033 </w:instrText>
          </w:r>
          <w:r w:rsidR="00FB4024">
            <w:fldChar w:fldCharType="separate"/>
          </w:r>
          <w:r w:rsidR="00FB4024" w:rsidRPr="00FB4024">
            <w:rPr>
              <w:noProof/>
            </w:rPr>
            <w:t>(Braunsberger &amp; Aschauer, 2025)</w:t>
          </w:r>
          <w:r w:rsidR="00FB4024">
            <w:fldChar w:fldCharType="end"/>
          </w:r>
        </w:sdtContent>
      </w:sdt>
      <w:r>
        <w:t xml:space="preserve">. In short, General Electronics' </w:t>
      </w:r>
      <w:r>
        <w:lastRenderedPageBreak/>
        <w:t xml:space="preserve">financial trajectory necessitates immediate strategic interventions to mitigate </w:t>
      </w:r>
      <w:r w:rsidR="00014263">
        <w:t>the risk of bankruptcy</w:t>
      </w:r>
      <w:r>
        <w:t xml:space="preserve">. Employing the </w:t>
      </w:r>
      <w:r w:rsidR="00014263">
        <w:t>Z-score</w:t>
      </w:r>
      <w:r>
        <w:t xml:space="preserve"> alongside advanced predictive models can provide a comprehensive risk assessment framework, guiding effective turnaround strategies.</w:t>
      </w:r>
    </w:p>
    <w:p w14:paraId="6C4627C4" w14:textId="77777777" w:rsidR="00DE29F1" w:rsidRDefault="00DE29F1" w:rsidP="00D67C1E"/>
    <w:p w14:paraId="60E44BE0" w14:textId="77777777" w:rsidR="00DE29F1" w:rsidRDefault="00DE29F1" w:rsidP="00DE29F1">
      <w:pPr>
        <w:pStyle w:val="Heading1"/>
      </w:pPr>
      <w:bookmarkStart w:id="14" w:name="_Toc210563912"/>
      <w:r>
        <w:rPr>
          <w:rFonts w:hint="eastAsia"/>
        </w:rPr>
        <w:t>3. Working Capital Management Analysis (≈900 words)</w:t>
      </w:r>
      <w:bookmarkEnd w:id="14"/>
    </w:p>
    <w:p w14:paraId="12CF45B6" w14:textId="77777777" w:rsidR="00DE29F1" w:rsidRDefault="00DE29F1" w:rsidP="00DE29F1">
      <w:pPr>
        <w:pStyle w:val="Heading2"/>
      </w:pPr>
      <w:bookmarkStart w:id="15" w:name="_Toc210563913"/>
      <w:r>
        <w:t>3.1. Assessment of the Cash Operating Cycle</w:t>
      </w:r>
      <w:bookmarkEnd w:id="15"/>
    </w:p>
    <w:p w14:paraId="22848334" w14:textId="5B72A83C" w:rsidR="00DE29F1" w:rsidRDefault="00DE29F1" w:rsidP="00DE29F1">
      <w:r>
        <w:t xml:space="preserve">The Cash Operating Cycle (COC) is a critical metric in evaluating a company's efficiency in managing its working capital. It measures the time it takes for a company to convert its investments in inventory and accounts receivable back into cash. For General Electronics, the COC has shown concerning trends over the past few years, reflecting inefficiencies in managing working capital. In 2024, the COC was 143.46 days, a significant increase from 121.88 days in 2020. This upward trend indicates that the company is taking longer to convert its resources into cash, which can negatively impact liquidity and the ability to meet short-term obligations </w:t>
      </w:r>
      <w:sdt>
        <w:sdtPr>
          <w:id w:val="1041089566"/>
          <w:citation/>
        </w:sdtPr>
        <w:sdtContent>
          <w:r w:rsidR="00DF6762">
            <w:fldChar w:fldCharType="begin"/>
          </w:r>
          <w:r w:rsidR="00DF6762">
            <w:instrText xml:space="preserve"> CITATION Pet191 \l 1033 </w:instrText>
          </w:r>
          <w:r w:rsidR="00DF6762">
            <w:fldChar w:fldCharType="separate"/>
          </w:r>
          <w:r w:rsidR="00DF6762" w:rsidRPr="00DF6762">
            <w:rPr>
              <w:noProof/>
            </w:rPr>
            <w:t>(Atrill &amp; McLaney, 2019)</w:t>
          </w:r>
          <w:r w:rsidR="00DF6762">
            <w:fldChar w:fldCharType="end"/>
          </w:r>
        </w:sdtContent>
      </w:sdt>
      <w:r>
        <w:t>.</w:t>
      </w:r>
    </w:p>
    <w:p w14:paraId="50AA32E3" w14:textId="77777777" w:rsidR="00DE29F1" w:rsidRDefault="00DE29F1" w:rsidP="00DE29F1"/>
    <w:p w14:paraId="2C6F15DE" w14:textId="3BB3AEF8" w:rsidR="00DE29F1" w:rsidRDefault="00DE29F1" w:rsidP="00DE29F1">
      <w:r>
        <w:t xml:space="preserve">The increase in the COC is primarily driven by the rising Receivable Days and Inventory Days, which reflect delays in collecting payments from customers and slower </w:t>
      </w:r>
      <w:r w:rsidR="00014263">
        <w:t>inventory turnover</w:t>
      </w:r>
      <w:r>
        <w:t xml:space="preserve">. For example, Receivable Days increased to 104.89 days in 2024, up from 76.84 days in 2020, indicating that the company is taking longer to collect receivables </w:t>
      </w:r>
      <w:sdt>
        <w:sdtPr>
          <w:id w:val="1714700508"/>
          <w:citation/>
        </w:sdtPr>
        <w:sdtContent>
          <w:r w:rsidR="0046254B">
            <w:fldChar w:fldCharType="begin"/>
          </w:r>
          <w:r w:rsidR="0046254B">
            <w:instrText xml:space="preserve"> CITATION Rob23 \l 1033 </w:instrText>
          </w:r>
          <w:r w:rsidR="0046254B">
            <w:fldChar w:fldCharType="separate"/>
          </w:r>
          <w:r w:rsidR="0046254B" w:rsidRPr="0046254B">
            <w:rPr>
              <w:noProof/>
            </w:rPr>
            <w:t>(Higgins, et al., 2023)</w:t>
          </w:r>
          <w:r w:rsidR="0046254B">
            <w:fldChar w:fldCharType="end"/>
          </w:r>
        </w:sdtContent>
      </w:sdt>
      <w:r>
        <w:t xml:space="preserve">. This delay can strain </w:t>
      </w:r>
      <w:r w:rsidR="00014263">
        <w:t>the company's cash flow and reduce its</w:t>
      </w:r>
      <w:r>
        <w:t xml:space="preserve"> ability to reinvest in operations or meet immediate financial needs. Similarly, Inventory Days in 2024 were 108.96 days, up from 106.02 days in 2020, suggesting inefficiencies in inventory management and possibly excess stock levels that are not being sold quickly enough </w:t>
      </w:r>
      <w:sdt>
        <w:sdtPr>
          <w:id w:val="-1919392548"/>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t>.</w:t>
      </w:r>
    </w:p>
    <w:p w14:paraId="3CA6B29A" w14:textId="77777777" w:rsidR="00DE29F1" w:rsidRDefault="00DE29F1" w:rsidP="00DE29F1"/>
    <w:p w14:paraId="621E8653" w14:textId="580D7797" w:rsidR="00DE29F1" w:rsidRDefault="00DE29F1" w:rsidP="00DE29F1">
      <w:r>
        <w:t xml:space="preserve">The company's Payables Days, however, have remained relatively stable over the years, hovering around 60 to 70 days, </w:t>
      </w:r>
      <w:r w:rsidR="00014263">
        <w:t xml:space="preserve">indicating that General Electronics can delay payments to its </w:t>
      </w:r>
      <w:r>
        <w:t>suppliers. While this can help conserve cash in the short term, a longer COC may lead to strained relationships with suppliers and potential disruptions in the supply chain.</w:t>
      </w:r>
    </w:p>
    <w:p w14:paraId="481409D3" w14:textId="77777777" w:rsidR="00DE29F1" w:rsidRDefault="00DE29F1" w:rsidP="00DE29F1"/>
    <w:p w14:paraId="379C13D2" w14:textId="18BDECA7" w:rsidR="00DE29F1" w:rsidRDefault="00DE29F1" w:rsidP="00DE29F1">
      <w:r>
        <w:t xml:space="preserve">Overall, the increasing COC suggests that General Electronics needs to focus on improving its receivables collection and inventory management processes to reduce the cycle time and enhance </w:t>
      </w:r>
      <w:r>
        <w:lastRenderedPageBreak/>
        <w:t xml:space="preserve">liquidity </w:t>
      </w:r>
      <w:sdt>
        <w:sdtPr>
          <w:id w:val="-411314897"/>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t>. Efficient working capital management will be essential for the company's long-term financial stability.</w:t>
      </w:r>
    </w:p>
    <w:p w14:paraId="5D5D7980" w14:textId="2B22B759" w:rsidR="00C01E51" w:rsidRDefault="00C01E51" w:rsidP="00DE29F1">
      <w:r>
        <w:rPr>
          <w:noProof/>
        </w:rPr>
        <w:drawing>
          <wp:inline distT="0" distB="0" distL="0" distR="0" wp14:anchorId="6DE0AA32" wp14:editId="643C3A1F">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4D9DDD" w14:textId="1CAA3B98" w:rsidR="00C01E51" w:rsidRDefault="003306D2" w:rsidP="003306D2">
      <w:pPr>
        <w:pStyle w:val="Caption"/>
      </w:pPr>
      <w:bookmarkStart w:id="16" w:name="_Toc212661118"/>
      <w:r>
        <w:t xml:space="preserve">Figure </w:t>
      </w:r>
      <w:r>
        <w:fldChar w:fldCharType="begin"/>
      </w:r>
      <w:r>
        <w:instrText xml:space="preserve"> SEQ Figure \* ARABIC </w:instrText>
      </w:r>
      <w:r>
        <w:fldChar w:fldCharType="separate"/>
      </w:r>
      <w:r>
        <w:rPr>
          <w:noProof/>
        </w:rPr>
        <w:t>3</w:t>
      </w:r>
      <w:r>
        <w:fldChar w:fldCharType="end"/>
      </w:r>
      <w:r>
        <w:t xml:space="preserve">: </w:t>
      </w:r>
      <w:r w:rsidRPr="003306D2">
        <w:t>Working Capital Over Time (2020-2024)</w:t>
      </w:r>
      <w:bookmarkEnd w:id="16"/>
    </w:p>
    <w:p w14:paraId="1DAD46E3" w14:textId="77777777" w:rsidR="00DE29F1" w:rsidRDefault="00DE29F1" w:rsidP="00DE29F1"/>
    <w:p w14:paraId="655300E5" w14:textId="77777777" w:rsidR="00DE29F1" w:rsidRDefault="00DE29F1" w:rsidP="00DE29F1">
      <w:pPr>
        <w:pStyle w:val="Heading2"/>
      </w:pPr>
      <w:bookmarkStart w:id="17" w:name="_Toc210563914"/>
      <w:r w:rsidRPr="00DE29F1">
        <w:t>3.2. Recommendations to Improve Liquidity</w:t>
      </w:r>
      <w:bookmarkEnd w:id="17"/>
    </w:p>
    <w:p w14:paraId="1CD4C8ED" w14:textId="660764A9" w:rsidR="00755752" w:rsidRDefault="00755752" w:rsidP="00755752">
      <w:r>
        <w:t xml:space="preserve">To enhance General Electronics' liquidity, several key strategies should be implemented. First, the company should </w:t>
      </w:r>
      <w:r w:rsidR="00E16F04">
        <w:t>optimize</w:t>
      </w:r>
      <w:r w:rsidR="00014263">
        <w:t xml:space="preserve"> its inventory management by adopting a Just-In-Time (JIT) system</w:t>
      </w:r>
      <w:r>
        <w:t>. JIT inventory helps minimize stock levels by synchronizing inventory with actual demand, reducing storage costs</w:t>
      </w:r>
      <w:r w:rsidR="0098423C">
        <w:t>,</w:t>
      </w:r>
      <w:r>
        <w:t xml:space="preserve"> and freeing up cash that would otherwise be tied up in unsold goods </w:t>
      </w:r>
      <w:sdt>
        <w:sdtPr>
          <w:id w:val="-628393185"/>
          <w:citation/>
        </w:sdtPr>
        <w:sdtContent>
          <w:r w:rsidR="00386053">
            <w:fldChar w:fldCharType="begin"/>
          </w:r>
          <w:r w:rsidR="00386053">
            <w:instrText xml:space="preserve"> CITATION Ahs22 \l 1033 </w:instrText>
          </w:r>
          <w:r w:rsidR="00386053">
            <w:fldChar w:fldCharType="separate"/>
          </w:r>
          <w:r w:rsidR="00386053" w:rsidRPr="00386053">
            <w:rPr>
              <w:noProof/>
            </w:rPr>
            <w:t>(Siddiqui, 2022)</w:t>
          </w:r>
          <w:r w:rsidR="00386053">
            <w:fldChar w:fldCharType="end"/>
          </w:r>
        </w:sdtContent>
      </w:sdt>
      <w:r>
        <w:t xml:space="preserve">. Additionally, enhancing the accounts receivable process by adopting electronic invoicing and offering early payment discounts can accelerate cash inflows, improving liquidity. Using digital payment platforms not only expedites collections but also reduces administrative costs, allowing General Electronics </w:t>
      </w:r>
      <w:r w:rsidR="00014263">
        <w:t>to manage its cash position better</w:t>
      </w:r>
      <w:r>
        <w:t xml:space="preserve"> </w:t>
      </w:r>
      <w:sdt>
        <w:sdtPr>
          <w:id w:val="-182517352"/>
          <w:citation/>
        </w:sdtPr>
        <w:sdtContent>
          <w:r w:rsidR="00386053">
            <w:fldChar w:fldCharType="begin"/>
          </w:r>
          <w:r w:rsidR="00386053">
            <w:instrText xml:space="preserve"> CITATION All25 \l 1033 </w:instrText>
          </w:r>
          <w:r w:rsidR="00386053">
            <w:fldChar w:fldCharType="separate"/>
          </w:r>
          <w:r w:rsidR="00386053" w:rsidRPr="00386053">
            <w:rPr>
              <w:noProof/>
            </w:rPr>
            <w:t>(Allianz Trade, 2025)</w:t>
          </w:r>
          <w:r w:rsidR="00386053">
            <w:fldChar w:fldCharType="end"/>
          </w:r>
        </w:sdtContent>
      </w:sdt>
      <w:r>
        <w:t>.</w:t>
      </w:r>
    </w:p>
    <w:p w14:paraId="2A2CE5A5" w14:textId="77777777" w:rsidR="00755752" w:rsidRDefault="00755752" w:rsidP="00755752"/>
    <w:p w14:paraId="1772B19A" w14:textId="5131034D" w:rsidR="00755752" w:rsidRDefault="00755752" w:rsidP="00755752">
      <w:r>
        <w:t xml:space="preserve">Furthermore, negotiating longer payment terms with suppliers can provide the company with additional time to manage its working capital. However, this strategy must be carefully balanced with maintaining positive relationships with suppliers to avoid operational disruptions </w:t>
      </w:r>
      <w:sdt>
        <w:sdtPr>
          <w:id w:val="-1162773015"/>
          <w:citation/>
        </w:sdtPr>
        <w:sdtContent>
          <w:r w:rsidR="00833FE6">
            <w:fldChar w:fldCharType="begin"/>
          </w:r>
          <w:r w:rsidR="00833FE6">
            <w:instrText xml:space="preserve">CITATION Ben \l 1033 </w:instrText>
          </w:r>
          <w:r w:rsidR="00833FE6">
            <w:fldChar w:fldCharType="separate"/>
          </w:r>
          <w:r w:rsidR="00833FE6" w:rsidRPr="00833FE6">
            <w:rPr>
              <w:noProof/>
            </w:rPr>
            <w:t>(Bentson, et al., 2024)</w:t>
          </w:r>
          <w:r w:rsidR="00833FE6">
            <w:fldChar w:fldCharType="end"/>
          </w:r>
        </w:sdtContent>
      </w:sdt>
      <w:sdt>
        <w:sdtPr>
          <w:id w:val="-87241765"/>
          <w:citation/>
        </w:sdtPr>
        <w:sdtContent>
          <w:r w:rsidR="00833FE6">
            <w:fldChar w:fldCharType="begin"/>
          </w:r>
          <w:r w:rsidR="00833FE6">
            <w:instrText xml:space="preserve"> CITATION Mal25 \l 1033 </w:instrText>
          </w:r>
          <w:r w:rsidR="00833FE6">
            <w:fldChar w:fldCharType="separate"/>
          </w:r>
          <w:r w:rsidR="00833FE6">
            <w:rPr>
              <w:noProof/>
            </w:rPr>
            <w:t xml:space="preserve"> </w:t>
          </w:r>
          <w:r w:rsidR="00833FE6" w:rsidRPr="00833FE6">
            <w:rPr>
              <w:noProof/>
            </w:rPr>
            <w:t>(Malik, 2025)</w:t>
          </w:r>
          <w:r w:rsidR="00833FE6">
            <w:fldChar w:fldCharType="end"/>
          </w:r>
        </w:sdtContent>
      </w:sdt>
      <w:r>
        <w:t xml:space="preserve">. Another effective liquidity improvement strategy is to implement </w:t>
      </w:r>
      <w:r>
        <w:lastRenderedPageBreak/>
        <w:t xml:space="preserve">robust cash flow forecasting tools. These tools can provide the company with real-time visibility of cash positions, allowing for proactive planning and avoiding unexpected cash shortages </w:t>
      </w:r>
      <w:sdt>
        <w:sdtPr>
          <w:id w:val="1670988397"/>
          <w:citation/>
        </w:sdtPr>
        <w:sdtContent>
          <w:r w:rsidR="00EF0ACD">
            <w:fldChar w:fldCharType="begin"/>
          </w:r>
          <w:r w:rsidR="00EF0ACD">
            <w:instrText xml:space="preserve"> CITATION Meh24 \l 1033 </w:instrText>
          </w:r>
          <w:r w:rsidR="00EF0ACD">
            <w:fldChar w:fldCharType="separate"/>
          </w:r>
          <w:r w:rsidR="00EF0ACD" w:rsidRPr="00EF0ACD">
            <w:rPr>
              <w:noProof/>
            </w:rPr>
            <w:t>(Mehlkopf, 2024)</w:t>
          </w:r>
          <w:r w:rsidR="00EF0ACD">
            <w:fldChar w:fldCharType="end"/>
          </w:r>
        </w:sdtContent>
      </w:sdt>
      <w:r>
        <w:t>.</w:t>
      </w:r>
    </w:p>
    <w:p w14:paraId="26141F70" w14:textId="77777777" w:rsidR="00755752" w:rsidRDefault="00755752" w:rsidP="00755752"/>
    <w:p w14:paraId="0E5C0F85" w14:textId="6272E28F" w:rsidR="00755752" w:rsidRDefault="00755752" w:rsidP="00755752">
      <w:r>
        <w:t xml:space="preserve">Lastly, General Electronics could explore alternative financing options, such as supply chain finance or accounts receivable financing, to access liquidity without resorting to traditional loans. These financing methods enable the company to get immediate cash from third-party financial institutions, which help cover short-term operational needs </w:t>
      </w:r>
      <w:sdt>
        <w:sdtPr>
          <w:id w:val="-470136943"/>
          <w:citation/>
        </w:sdtPr>
        <w:sdtContent>
          <w:r w:rsidR="0048699A">
            <w:fldChar w:fldCharType="begin"/>
          </w:r>
          <w:r w:rsidR="0048699A">
            <w:instrText xml:space="preserve"> CITATION PGI25 \l 1033 </w:instrText>
          </w:r>
          <w:r w:rsidR="0048699A">
            <w:fldChar w:fldCharType="separate"/>
          </w:r>
          <w:r w:rsidR="0048699A" w:rsidRPr="0048699A">
            <w:rPr>
              <w:noProof/>
            </w:rPr>
            <w:t>(PGIM Private Capital, 2025)</w:t>
          </w:r>
          <w:r w:rsidR="0048699A">
            <w:fldChar w:fldCharType="end"/>
          </w:r>
        </w:sdtContent>
      </w:sdt>
      <w:sdt>
        <w:sdtPr>
          <w:id w:val="-2131136"/>
          <w:citation/>
        </w:sdtPr>
        <w:sdtContent>
          <w:r w:rsidR="0048699A">
            <w:fldChar w:fldCharType="begin"/>
          </w:r>
          <w:r w:rsidR="0048699A">
            <w:instrText xml:space="preserve"> CITATION Kyr25 \l 1033 </w:instrText>
          </w:r>
          <w:r w:rsidR="0048699A">
            <w:fldChar w:fldCharType="separate"/>
          </w:r>
          <w:r w:rsidR="0048699A">
            <w:rPr>
              <w:noProof/>
            </w:rPr>
            <w:t xml:space="preserve"> </w:t>
          </w:r>
          <w:r w:rsidR="0048699A" w:rsidRPr="0048699A">
            <w:rPr>
              <w:noProof/>
            </w:rPr>
            <w:t>(Kyriba, 2025)</w:t>
          </w:r>
          <w:r w:rsidR="0048699A">
            <w:fldChar w:fldCharType="end"/>
          </w:r>
        </w:sdtContent>
      </w:sdt>
      <w:r>
        <w:t xml:space="preserve">. By adopting these strategies, General Electronics can </w:t>
      </w:r>
      <w:r w:rsidR="00014263">
        <w:t xml:space="preserve">enhance its liquidity, shorten the cash conversion cycle, and ensure </w:t>
      </w:r>
      <w:r>
        <w:t>it has the necessary funds to meet its financial obligations.</w:t>
      </w:r>
    </w:p>
    <w:p w14:paraId="3D12983C" w14:textId="77777777" w:rsidR="00755752" w:rsidRDefault="00755752" w:rsidP="00755752"/>
    <w:p w14:paraId="04FFEDC5" w14:textId="77777777" w:rsidR="00755752" w:rsidRDefault="00755752" w:rsidP="00755752">
      <w:pPr>
        <w:pStyle w:val="Heading2"/>
      </w:pPr>
      <w:bookmarkStart w:id="18" w:name="_Toc210563915"/>
      <w:r w:rsidRPr="00755752">
        <w:t>3.3. Comparison of Short-term vs Long-term Financing Options</w:t>
      </w:r>
      <w:bookmarkEnd w:id="18"/>
    </w:p>
    <w:p w14:paraId="1F26A4C6" w14:textId="28AF787D" w:rsidR="00755752" w:rsidRDefault="00755752" w:rsidP="00755752">
      <w:r>
        <w:t xml:space="preserve">In light of General Electronics' financial performance, particularly concerning liquidity and profitability ratios, a strategic evaluation of financing options is imperative. Short-term Financing provides immediate capital, beneficial for addressing urgent liquidity needs. However, given the company's declining Net Profit Margin and Return on Equity (ROE), reliance on short-term debt could exacerbate financial strain. Studies indicate that excessive short-term debt may lead to increased rollover risk and higher interest expenses, potentially impacting profitability </w:t>
      </w:r>
      <w:sdt>
        <w:sdtPr>
          <w:id w:val="234826197"/>
          <w:citation/>
        </w:sdtPr>
        <w:sdtContent>
          <w:r w:rsidR="00EF0ACD">
            <w:fldChar w:fldCharType="begin"/>
          </w:r>
          <w:r w:rsidR="00EF0ACD">
            <w:instrText xml:space="preserve"> CITATION Sam24 \l 1033 </w:instrText>
          </w:r>
          <w:r w:rsidR="00EF0ACD">
            <w:fldChar w:fldCharType="separate"/>
          </w:r>
          <w:r w:rsidR="00EF0ACD" w:rsidRPr="00EF0ACD">
            <w:rPr>
              <w:noProof/>
            </w:rPr>
            <w:t>(Hempel, et al., 2024)</w:t>
          </w:r>
          <w:r w:rsidR="00EF0ACD">
            <w:fldChar w:fldCharType="end"/>
          </w:r>
        </w:sdtContent>
      </w:sdt>
      <w:r>
        <w:t>.</w:t>
      </w:r>
    </w:p>
    <w:p w14:paraId="288BF595" w14:textId="77777777" w:rsidR="00755752" w:rsidRDefault="00755752" w:rsidP="00755752"/>
    <w:p w14:paraId="556F5283" w14:textId="3B4E6E8F" w:rsidR="00755752" w:rsidRDefault="00755752" w:rsidP="00755752">
      <w:r>
        <w:t xml:space="preserve">Long-term Financing, such as bonds or long-term loans, offers larger capital amounts with extended repayment schedules. This approach can stabilize liquidity over time, aligning with the company's need for sustained investment in assets and operations. Research suggests that moderate levels of long-term debt can leverage growth without significantly increasing financial risk </w:t>
      </w:r>
      <w:sdt>
        <w:sdtPr>
          <w:id w:val="-1110428095"/>
          <w:citation/>
        </w:sdtPr>
        <w:sdtContent>
          <w:r w:rsidR="003A2F67">
            <w:fldChar w:fldCharType="begin"/>
          </w:r>
          <w:r w:rsidR="003A2F67">
            <w:instrText xml:space="preserve"> CITATION PGI251 \l 1033 </w:instrText>
          </w:r>
          <w:r w:rsidR="003A2F67">
            <w:fldChar w:fldCharType="separate"/>
          </w:r>
          <w:r w:rsidR="003A2F67" w:rsidRPr="003A2F67">
            <w:rPr>
              <w:noProof/>
            </w:rPr>
            <w:t>(PGIM Private Capital, 2025)</w:t>
          </w:r>
          <w:r w:rsidR="003A2F67">
            <w:fldChar w:fldCharType="end"/>
          </w:r>
        </w:sdtContent>
      </w:sdt>
      <w:sdt>
        <w:sdtPr>
          <w:id w:val="952593309"/>
          <w:citation/>
        </w:sdtPr>
        <w:sdtContent>
          <w:r w:rsidR="003A2F67">
            <w:fldChar w:fldCharType="begin"/>
          </w:r>
          <w:r w:rsidR="003A2F67">
            <w:instrText xml:space="preserve"> CITATION PGI252 \l 1033 </w:instrText>
          </w:r>
          <w:r w:rsidR="003A2F67">
            <w:fldChar w:fldCharType="separate"/>
          </w:r>
          <w:r w:rsidR="003A2F67">
            <w:rPr>
              <w:noProof/>
            </w:rPr>
            <w:t xml:space="preserve"> </w:t>
          </w:r>
          <w:r w:rsidR="003A2F67" w:rsidRPr="003A2F67">
            <w:rPr>
              <w:noProof/>
            </w:rPr>
            <w:t>(PGIM Private Capital, 2025)</w:t>
          </w:r>
          <w:r w:rsidR="003A2F67">
            <w:fldChar w:fldCharType="end"/>
          </w:r>
        </w:sdtContent>
      </w:sdt>
      <w:sdt>
        <w:sdtPr>
          <w:id w:val="711159665"/>
          <w:citation/>
        </w:sdtPr>
        <w:sdtContent>
          <w:r w:rsidR="003A2F67">
            <w:fldChar w:fldCharType="begin"/>
          </w:r>
          <w:r w:rsidR="003A2F67">
            <w:instrText xml:space="preserve"> CITATION PGI253 \l 1033 </w:instrText>
          </w:r>
          <w:r w:rsidR="003A2F67">
            <w:fldChar w:fldCharType="separate"/>
          </w:r>
          <w:r w:rsidR="003A2F67">
            <w:rPr>
              <w:noProof/>
            </w:rPr>
            <w:t xml:space="preserve"> </w:t>
          </w:r>
          <w:r w:rsidR="003A2F67" w:rsidRPr="003A2F67">
            <w:rPr>
              <w:noProof/>
            </w:rPr>
            <w:t>(PGIM Private Capital, 2025)</w:t>
          </w:r>
          <w:r w:rsidR="003A2F67">
            <w:fldChar w:fldCharType="end"/>
          </w:r>
        </w:sdtContent>
      </w:sdt>
      <w:r>
        <w:t xml:space="preserve">. Considering the company's current financial ratios, a balanced approach </w:t>
      </w:r>
      <w:r w:rsidR="00D364D6">
        <w:t xml:space="preserve">that combines both short-term and long-term financing could </w:t>
      </w:r>
      <w:r w:rsidR="002221C4">
        <w:t>optimize</w:t>
      </w:r>
      <w:r w:rsidR="00D364D6">
        <w:t xml:space="preserve"> the</w:t>
      </w:r>
      <w:r>
        <w:t xml:space="preserve"> capital structure. This strategy would address immediate liquidity challenges while supporting long-term growth objectives. Additionally, improving asset utilization and operational efficiency, as indicated by the Total Asset Turnover and Inventory Turnover ratios, could reduce the need for external financing </w:t>
      </w:r>
      <w:sdt>
        <w:sdtPr>
          <w:id w:val="-1562312588"/>
          <w:citation/>
        </w:sdtPr>
        <w:sdtContent>
          <w:r w:rsidR="000B175A">
            <w:fldChar w:fldCharType="begin"/>
          </w:r>
          <w:r w:rsidR="000B175A">
            <w:instrText xml:space="preserve"> CITATION Eug14 \l 1033 </w:instrText>
          </w:r>
          <w:r w:rsidR="000B175A">
            <w:fldChar w:fldCharType="separate"/>
          </w:r>
          <w:r w:rsidR="000B175A" w:rsidRPr="000B175A">
            <w:rPr>
              <w:noProof/>
            </w:rPr>
            <w:t>(Brigham &amp; Ehrhardt, 2014)</w:t>
          </w:r>
          <w:r w:rsidR="000B175A">
            <w:fldChar w:fldCharType="end"/>
          </w:r>
        </w:sdtContent>
      </w:sdt>
      <w:r>
        <w:t>.</w:t>
      </w:r>
    </w:p>
    <w:p w14:paraId="2ABD444E" w14:textId="77777777" w:rsidR="00755752" w:rsidRDefault="00755752" w:rsidP="00755752"/>
    <w:p w14:paraId="7355AA31" w14:textId="77777777" w:rsidR="00755752" w:rsidRDefault="00755752" w:rsidP="00755752">
      <w:r>
        <w:t>In short, while both financing options have their merits, aligning the choice with the company's financial health and strategic goals is crucial. By carefully balancing short-term and long-term debt, General Electronics can enhance liquidity, support growth, and maintain financial stability.</w:t>
      </w:r>
    </w:p>
    <w:p w14:paraId="185F7475" w14:textId="77777777" w:rsidR="00755752" w:rsidRDefault="00755752" w:rsidP="00755752"/>
    <w:p w14:paraId="3D2E0E75" w14:textId="77777777" w:rsidR="00A9143C" w:rsidRDefault="00A9143C" w:rsidP="00A9143C">
      <w:pPr>
        <w:pStyle w:val="Heading1"/>
      </w:pPr>
      <w:bookmarkStart w:id="19" w:name="_Toc210563916"/>
      <w:r>
        <w:rPr>
          <w:rFonts w:hint="eastAsia"/>
        </w:rPr>
        <w:t>4. Strategic Financial Restructuring Plan (≈1,200 words)</w:t>
      </w:r>
      <w:bookmarkEnd w:id="19"/>
    </w:p>
    <w:p w14:paraId="2AED6144" w14:textId="77777777" w:rsidR="00A9143C" w:rsidRDefault="00A9143C" w:rsidP="00A9143C">
      <w:pPr>
        <w:pStyle w:val="Heading2"/>
      </w:pPr>
      <w:bookmarkStart w:id="20" w:name="_Toc210563917"/>
      <w:r>
        <w:t>4.1. Recommended Financial Restructuring Options</w:t>
      </w:r>
      <w:bookmarkEnd w:id="20"/>
    </w:p>
    <w:p w14:paraId="53D086D0" w14:textId="77777777" w:rsidR="00A9143C" w:rsidRDefault="00A9143C" w:rsidP="00A9143C">
      <w:r>
        <w:t>To address General Electronics’ financial distress and enhance its long-term viability, three strategic financial restructuring options are recommended: divestiture, merger, and equity injection. Each approach offers distinct advantages tailored to the company's current challenges.</w:t>
      </w:r>
    </w:p>
    <w:p w14:paraId="01D0CC95" w14:textId="77777777" w:rsidR="00A9143C" w:rsidRDefault="00A9143C" w:rsidP="00A9143C"/>
    <w:p w14:paraId="42451CA3" w14:textId="68A34EC6" w:rsidR="00A9143C" w:rsidRDefault="00A9143C" w:rsidP="00A9143C">
      <w:r>
        <w:t xml:space="preserve">Divestiture involves selling non-core or underperforming business units to streamline operations and raise capital. This strategy allows the company to focus on its core competencies, reduce debt, and improve operational efficiency. Divesting non-essential assets can enhance shareholder value by reallocating resources to more profitable areas </w:t>
      </w:r>
      <w:sdt>
        <w:sdtPr>
          <w:id w:val="-402906382"/>
          <w:citation/>
        </w:sdtPr>
        <w:sdtContent>
          <w:r w:rsidR="00EC18AC">
            <w:fldChar w:fldCharType="begin"/>
          </w:r>
          <w:r w:rsidR="00EC18AC">
            <w:instrText xml:space="preserve"> CITATION Del24 \l 1033 </w:instrText>
          </w:r>
          <w:r w:rsidR="00EC18AC">
            <w:fldChar w:fldCharType="separate"/>
          </w:r>
          <w:r w:rsidR="00EC18AC" w:rsidRPr="00EC18AC">
            <w:rPr>
              <w:noProof/>
            </w:rPr>
            <w:t>(Deloitte, 2024)</w:t>
          </w:r>
          <w:r w:rsidR="00EC18AC">
            <w:fldChar w:fldCharType="end"/>
          </w:r>
        </w:sdtContent>
      </w:sdt>
      <w:sdt>
        <w:sdtPr>
          <w:id w:val="-1141262685"/>
          <w:citation/>
        </w:sdtPr>
        <w:sdtContent>
          <w:r w:rsidR="00D40592">
            <w:fldChar w:fldCharType="begin"/>
          </w:r>
          <w:r w:rsidR="00D40592">
            <w:instrText xml:space="preserve"> CITATION Mau22 \l 1033 </w:instrText>
          </w:r>
          <w:r w:rsidR="00D40592">
            <w:fldChar w:fldCharType="separate"/>
          </w:r>
          <w:r w:rsidR="00D40592">
            <w:rPr>
              <w:noProof/>
            </w:rPr>
            <w:t xml:space="preserve"> </w:t>
          </w:r>
          <w:r w:rsidR="00D40592" w:rsidRPr="00D40592">
            <w:rPr>
              <w:noProof/>
            </w:rPr>
            <w:t>(Mauboussin &amp; Callahan, 2022)</w:t>
          </w:r>
          <w:r w:rsidR="00D40592">
            <w:fldChar w:fldCharType="end"/>
          </w:r>
        </w:sdtContent>
      </w:sdt>
      <w:r>
        <w:t xml:space="preserve">. Companies like General Electric have successfully employed divestiture to concentrate on high-growth sectors and improve financial health </w:t>
      </w:r>
      <w:sdt>
        <w:sdtPr>
          <w:id w:val="1855228216"/>
          <w:citation/>
        </w:sdtPr>
        <w:sdtContent>
          <w:r w:rsidR="00D40592">
            <w:fldChar w:fldCharType="begin"/>
          </w:r>
          <w:r w:rsidR="00D40592">
            <w:instrText xml:space="preserve"> CITATION MAC24 \l 1033 </w:instrText>
          </w:r>
          <w:r w:rsidR="00D40592">
            <w:fldChar w:fldCharType="separate"/>
          </w:r>
          <w:r w:rsidR="00D40592" w:rsidRPr="00D40592">
            <w:rPr>
              <w:noProof/>
            </w:rPr>
            <w:t>(M&amp;A Community, 2024)</w:t>
          </w:r>
          <w:r w:rsidR="00D40592">
            <w:fldChar w:fldCharType="end"/>
          </w:r>
        </w:sdtContent>
      </w:sdt>
      <w:r>
        <w:t>.</w:t>
      </w:r>
    </w:p>
    <w:p w14:paraId="70686F02" w14:textId="77777777" w:rsidR="00A9143C" w:rsidRDefault="00A9143C" w:rsidP="00A9143C"/>
    <w:p w14:paraId="71778FBE" w14:textId="17BAD398" w:rsidR="00A9143C" w:rsidRDefault="00A9143C" w:rsidP="00A9143C">
      <w:r>
        <w:t xml:space="preserve">Merger entails combining with another company to achieve synergies, expand market share, and enhance competitive positioning. A well-executed merger can lead to cost reductions through economies of scale, access to new markets, and shared expertise. However, mergers require careful integration planning to realize these benefits and avoid potential pitfalls such as cultural clashes or operational disruptions </w:t>
      </w:r>
      <w:sdt>
        <w:sdtPr>
          <w:id w:val="126980916"/>
          <w:citation/>
        </w:sdtPr>
        <w:sdtContent>
          <w:r w:rsidR="00C64D7F">
            <w:fldChar w:fldCharType="begin"/>
          </w:r>
          <w:r w:rsidR="00C64D7F">
            <w:instrText xml:space="preserve"> CITATION Sab24 \l 1033 </w:instrText>
          </w:r>
          <w:r w:rsidR="00C64D7F">
            <w:fldChar w:fldCharType="separate"/>
          </w:r>
          <w:r w:rsidR="00C64D7F" w:rsidRPr="00C64D7F">
            <w:rPr>
              <w:noProof/>
            </w:rPr>
            <w:t>(Donnelly, 2024)</w:t>
          </w:r>
          <w:r w:rsidR="00C64D7F">
            <w:fldChar w:fldCharType="end"/>
          </w:r>
        </w:sdtContent>
      </w:sdt>
      <w:r>
        <w:t>.</w:t>
      </w:r>
    </w:p>
    <w:p w14:paraId="12D25B25" w14:textId="77777777" w:rsidR="00A9143C" w:rsidRDefault="00A9143C" w:rsidP="00A9143C"/>
    <w:p w14:paraId="2AFF5C4E" w14:textId="202135F5" w:rsidR="00A9143C" w:rsidRDefault="00A9143C" w:rsidP="00A9143C">
      <w:r>
        <w:t xml:space="preserve">Equity Injection involves raising capital by issuing new shares to investors, thereby strengthening the balance sheet and providing funds for operational improvements or debt reduction. This approach can be </w:t>
      </w:r>
      <w:r w:rsidR="00D364D6">
        <w:t>efficient</w:t>
      </w:r>
      <w:r>
        <w:t xml:space="preserve"> in revitalizing a company's financial position without incurring additional debt. Private equity firms often inject capital into distressed companies to facilitate restructuring and support long-term growth </w:t>
      </w:r>
      <w:sdt>
        <w:sdtPr>
          <w:id w:val="-1196151669"/>
          <w:citation/>
        </w:sdtPr>
        <w:sdtContent>
          <w:r w:rsidR="003E78ED">
            <w:fldChar w:fldCharType="begin"/>
          </w:r>
          <w:r w:rsidR="003E78ED">
            <w:instrText xml:space="preserve"> CITATION Ped25 \l 1033 </w:instrText>
          </w:r>
          <w:r w:rsidR="003E78ED">
            <w:fldChar w:fldCharType="separate"/>
          </w:r>
          <w:r w:rsidR="003E78ED" w:rsidRPr="003E78ED">
            <w:rPr>
              <w:noProof/>
            </w:rPr>
            <w:t>(Pedone, et al., 2025)</w:t>
          </w:r>
          <w:r w:rsidR="003E78ED">
            <w:fldChar w:fldCharType="end"/>
          </w:r>
        </w:sdtContent>
      </w:sdt>
      <w:r>
        <w:t>.</w:t>
      </w:r>
    </w:p>
    <w:p w14:paraId="2184E937" w14:textId="77777777" w:rsidR="00A9143C" w:rsidRDefault="00A9143C" w:rsidP="00A9143C"/>
    <w:p w14:paraId="269DFF68" w14:textId="77777777" w:rsidR="00A9143C" w:rsidRDefault="00A9143C" w:rsidP="00A9143C">
      <w:r>
        <w:lastRenderedPageBreak/>
        <w:t>Implementing a combination of these strategies can provide General Electronics with the necessary resources and structural adjustments to overcome its financial challenges and position itself for sustainable growth.</w:t>
      </w:r>
    </w:p>
    <w:p w14:paraId="602A2A25" w14:textId="77777777" w:rsidR="00A9143C" w:rsidRDefault="00A9143C" w:rsidP="00A9143C"/>
    <w:p w14:paraId="75A8BD31" w14:textId="77777777" w:rsidR="00A9143C" w:rsidRDefault="00A9143C" w:rsidP="00A9143C">
      <w:pPr>
        <w:pStyle w:val="Heading2"/>
      </w:pPr>
      <w:bookmarkStart w:id="21" w:name="_Toc210563918"/>
      <w:r w:rsidRPr="00A9143C">
        <w:t>4.2. Evaluation of the Impact on Shareholder Value</w:t>
      </w:r>
      <w:bookmarkEnd w:id="21"/>
    </w:p>
    <w:p w14:paraId="1737DE31" w14:textId="77777777" w:rsidR="00A9143C" w:rsidRDefault="00A9143C" w:rsidP="00A9143C">
      <w:r>
        <w:t>Implementing a strategic financial restructuring plan can significantly influence shareholder value, both positively and negatively, depending on the chosen approach and its execution.</w:t>
      </w:r>
    </w:p>
    <w:p w14:paraId="5553C1FC" w14:textId="77777777" w:rsidR="00A9143C" w:rsidRDefault="00A9143C" w:rsidP="00A9143C"/>
    <w:p w14:paraId="0945C5A1" w14:textId="62F417E7" w:rsidR="00A9143C" w:rsidRDefault="00A9143C" w:rsidP="00A9143C">
      <w:r>
        <w:t xml:space="preserve">Divestiture involves selling non-core or underperforming assets to streamline operations and raise capital. This strategy can enhance shareholder value by focusing on profitable segments and reducing debt. For instance, companies that have divested non-essential units often experience improved profitability and return on equity (ROE) due to better resource allocation and reduced operational complexities </w:t>
      </w:r>
      <w:sdt>
        <w:sdtPr>
          <w:id w:val="1949662231"/>
          <w:citation/>
        </w:sdtPr>
        <w:sdtContent>
          <w:r w:rsidR="00836D52">
            <w:fldChar w:fldCharType="begin"/>
          </w:r>
          <w:r w:rsidR="00836D52">
            <w:instrText xml:space="preserve"> CITATION Odi24 \l 1033 </w:instrText>
          </w:r>
          <w:r w:rsidR="00836D52">
            <w:fldChar w:fldCharType="separate"/>
          </w:r>
          <w:r w:rsidR="00836D52" w:rsidRPr="00836D52">
            <w:rPr>
              <w:noProof/>
            </w:rPr>
            <w:t>(Odi &amp; Oji, 2024)</w:t>
          </w:r>
          <w:r w:rsidR="00836D52">
            <w:fldChar w:fldCharType="end"/>
          </w:r>
        </w:sdtContent>
      </w:sdt>
      <w:r>
        <w:t>.</w:t>
      </w:r>
    </w:p>
    <w:p w14:paraId="54BB663D" w14:textId="77777777" w:rsidR="00A9143C" w:rsidRDefault="00A9143C" w:rsidP="00A9143C"/>
    <w:p w14:paraId="344E0734" w14:textId="7357818F" w:rsidR="00A9143C" w:rsidRDefault="00A9143C" w:rsidP="00A9143C">
      <w:r>
        <w:t xml:space="preserve">Merger entails combining with another company to achieve synergies, expand market share, and enhance competitive positioning. A well-executed merger can lead to cost reductions through economies of scale, access to new markets, and shared expertise. However, mergers require careful integration planning to realize these benefits and avoid potential pitfalls such as cultural clashes or operational disruptions </w:t>
      </w:r>
      <w:sdt>
        <w:sdtPr>
          <w:id w:val="421616345"/>
          <w:citation/>
        </w:sdtPr>
        <w:sdtContent>
          <w:r w:rsidR="00836D52">
            <w:fldChar w:fldCharType="begin"/>
          </w:r>
          <w:r w:rsidR="00836D52">
            <w:instrText xml:space="preserve"> CITATION Sab24 \l 1033 </w:instrText>
          </w:r>
          <w:r w:rsidR="00836D52">
            <w:fldChar w:fldCharType="separate"/>
          </w:r>
          <w:r w:rsidR="00836D52" w:rsidRPr="00836D52">
            <w:rPr>
              <w:noProof/>
            </w:rPr>
            <w:t>(Donnelly, 2024)</w:t>
          </w:r>
          <w:r w:rsidR="00836D52">
            <w:fldChar w:fldCharType="end"/>
          </w:r>
        </w:sdtContent>
      </w:sdt>
      <w:r>
        <w:t>.</w:t>
      </w:r>
    </w:p>
    <w:p w14:paraId="307735F3" w14:textId="77777777" w:rsidR="00A9143C" w:rsidRDefault="00A9143C" w:rsidP="00A9143C"/>
    <w:p w14:paraId="685D7FDF" w14:textId="3D0C5E86" w:rsidR="00A9143C" w:rsidRDefault="00A9143C" w:rsidP="00A9143C">
      <w:r>
        <w:t xml:space="preserve">Equity Injection involves raising capital by issuing new shares to investors, thereby strengthening the balance sheet and providing funds for operational improvements or debt reduction. This approach can be particularly effective in revitalizing a company's financial position without incurring additional debt. For example, private equity firms often inject capital into distressed companies to facilitate restructuring and support long-term growth </w:t>
      </w:r>
      <w:sdt>
        <w:sdtPr>
          <w:id w:val="1991598036"/>
          <w:citation/>
        </w:sdtPr>
        <w:sdtContent>
          <w:r w:rsidR="00836D52">
            <w:fldChar w:fldCharType="begin"/>
          </w:r>
          <w:r w:rsidR="00836D52">
            <w:instrText xml:space="preserve"> CITATION Ped25 \l 1033 </w:instrText>
          </w:r>
          <w:r w:rsidR="00836D52">
            <w:fldChar w:fldCharType="separate"/>
          </w:r>
          <w:r w:rsidR="00836D52" w:rsidRPr="00836D52">
            <w:rPr>
              <w:noProof/>
            </w:rPr>
            <w:t>(Pedone, et al., 2025)</w:t>
          </w:r>
          <w:r w:rsidR="00836D52">
            <w:fldChar w:fldCharType="end"/>
          </w:r>
        </w:sdtContent>
      </w:sdt>
      <w:r>
        <w:t>.</w:t>
      </w:r>
    </w:p>
    <w:p w14:paraId="65FF6A9F" w14:textId="77777777" w:rsidR="00A9143C" w:rsidRDefault="00A9143C" w:rsidP="00A9143C"/>
    <w:p w14:paraId="28022A5D" w14:textId="77777777" w:rsidR="00A9143C" w:rsidRDefault="00A9143C" w:rsidP="00A9143C">
      <w:r>
        <w:t>Each of these strategies has the potential to enhance shareholder value, but their success depends on careful implementation and alignment with the company's long-term objectives. A combination of these approaches, tailored to General Electronics' specific circumstances, could provide a comprehensive solution to its financial challenges.</w:t>
      </w:r>
    </w:p>
    <w:p w14:paraId="25000E2D" w14:textId="77777777" w:rsidR="00A9143C" w:rsidRDefault="00A9143C" w:rsidP="00A9143C">
      <w:pPr>
        <w:pStyle w:val="Heading2"/>
      </w:pPr>
      <w:bookmarkStart w:id="22" w:name="_Toc210563919"/>
      <w:r w:rsidRPr="00A9143C">
        <w:lastRenderedPageBreak/>
        <w:t>4.3. Evaluation of the Impact on Debt Structure</w:t>
      </w:r>
      <w:bookmarkEnd w:id="22"/>
    </w:p>
    <w:p w14:paraId="0C350435" w14:textId="7CED122F" w:rsidR="00A9143C" w:rsidRDefault="00A9143C" w:rsidP="00A9143C">
      <w:r>
        <w:t xml:space="preserve">A comprehensive financial restructuring plan can significantly alter General Electronics' debt structure, influencing its ability to meet both short-term and long-term financial obligations. Divestiture, for instance, involves selling non-core assets, which can help reduce leverage by generating funds to pay down existing debt. This </w:t>
      </w:r>
      <w:r w:rsidR="00D364D6">
        <w:t>debt reduction</w:t>
      </w:r>
      <w:r>
        <w:t xml:space="preserve"> improves the company's debt-to-equity ratio and interest coverage, </w:t>
      </w:r>
      <w:r w:rsidR="00D364D6">
        <w:t>thereby enhancing its</w:t>
      </w:r>
      <w:r>
        <w:t xml:space="preserve"> financial stability. Research indicates that divesting non-strategic business units has a positive </w:t>
      </w:r>
      <w:r w:rsidR="00D364D6">
        <w:t>impact on firms’ debt ratios, as it enables</w:t>
      </w:r>
      <w:r>
        <w:t xml:space="preserve"> a more focused and manageable capital structure </w:t>
      </w:r>
      <w:sdt>
        <w:sdtPr>
          <w:id w:val="-2086602470"/>
          <w:citation/>
        </w:sdtPr>
        <w:sdtContent>
          <w:r w:rsidR="00C31454">
            <w:fldChar w:fldCharType="begin"/>
          </w:r>
          <w:r w:rsidR="00C31454">
            <w:instrText xml:space="preserve"> CITATION Ber20 \l 1033 </w:instrText>
          </w:r>
          <w:r w:rsidR="00C31454">
            <w:fldChar w:fldCharType="separate"/>
          </w:r>
          <w:r w:rsidR="00C31454" w:rsidRPr="00C31454">
            <w:rPr>
              <w:noProof/>
            </w:rPr>
            <w:t>(Berk &amp; DeMarzo, 2020)</w:t>
          </w:r>
          <w:r w:rsidR="00C31454">
            <w:fldChar w:fldCharType="end"/>
          </w:r>
        </w:sdtContent>
      </w:sdt>
      <w:r>
        <w:t>.</w:t>
      </w:r>
    </w:p>
    <w:p w14:paraId="68EF132F" w14:textId="77777777" w:rsidR="00A9143C" w:rsidRDefault="00A9143C" w:rsidP="00A9143C"/>
    <w:p w14:paraId="36BFD92D" w14:textId="71CEF95D" w:rsidR="00A9143C" w:rsidRDefault="00A9143C" w:rsidP="00A9143C">
      <w:r>
        <w:t xml:space="preserve">Mergers typically result in changes to a company’s debt structure, particularly when financing is involved. A well-executed merger can enhance access to capital and improve borrowing capacity due to the combined entity’s larger asset base. However, mergers may also increase the debt load if the transaction is financed with additional borrowing. A strategic approach to managing post-merger debt is critical, as failure to integrate efficiently can lead to increased financial risk </w:t>
      </w:r>
      <w:sdt>
        <w:sdtPr>
          <w:id w:val="1014574979"/>
          <w:citation/>
        </w:sdtPr>
        <w:sdtContent>
          <w:r w:rsidR="00C31454">
            <w:fldChar w:fldCharType="begin"/>
          </w:r>
          <w:r w:rsidR="00C31454">
            <w:instrText xml:space="preserve"> CITATION Mar09 \l 1033 </w:instrText>
          </w:r>
          <w:r w:rsidR="00C31454">
            <w:fldChar w:fldCharType="separate"/>
          </w:r>
          <w:r w:rsidR="00C31454" w:rsidRPr="00C31454">
            <w:rPr>
              <w:noProof/>
            </w:rPr>
            <w:t>(Martynova &amp; Renneboog, 2009)</w:t>
          </w:r>
          <w:r w:rsidR="00C31454">
            <w:fldChar w:fldCharType="end"/>
          </w:r>
        </w:sdtContent>
      </w:sdt>
      <w:r>
        <w:t>.</w:t>
      </w:r>
    </w:p>
    <w:p w14:paraId="78FB6AC9" w14:textId="77777777" w:rsidR="00A9143C" w:rsidRDefault="00A9143C" w:rsidP="00A9143C"/>
    <w:p w14:paraId="603CA03F" w14:textId="331EB5DD" w:rsidR="00A9143C" w:rsidRDefault="00A9143C" w:rsidP="00A9143C">
      <w:r>
        <w:t xml:space="preserve">An equity injection, such as issuing new shares, can strengthen the balance sheet by reducing the reliance on debt financing. This lowers the overall debt burden and interest obligations, improving the company's financial flexibility. However, issuing equity may lead to shareholder dilution, which could affect control over the company and potentially reduce shareholder value in the short term </w:t>
      </w:r>
      <w:sdt>
        <w:sdtPr>
          <w:id w:val="-278646377"/>
          <w:citation/>
        </w:sdtPr>
        <w:sdtContent>
          <w:r w:rsidR="00B71A72">
            <w:fldChar w:fldCharType="begin"/>
          </w:r>
          <w:r w:rsidR="00B71A72">
            <w:instrText xml:space="preserve"> CITATION Bre25 \l 1033 </w:instrText>
          </w:r>
          <w:r w:rsidR="00B71A72">
            <w:fldChar w:fldCharType="separate"/>
          </w:r>
          <w:r w:rsidR="00B71A72" w:rsidRPr="00B71A72">
            <w:rPr>
              <w:noProof/>
            </w:rPr>
            <w:t>(Brealey, et al., 2025)</w:t>
          </w:r>
          <w:r w:rsidR="00B71A72">
            <w:fldChar w:fldCharType="end"/>
          </w:r>
        </w:sdtContent>
      </w:sdt>
      <w:r>
        <w:t>.</w:t>
      </w:r>
    </w:p>
    <w:p w14:paraId="10DC7B37" w14:textId="77777777" w:rsidR="00A9143C" w:rsidRDefault="00A9143C" w:rsidP="00A9143C"/>
    <w:p w14:paraId="4D55F58F" w14:textId="77777777" w:rsidR="00A9143C" w:rsidRDefault="00A9143C" w:rsidP="00A9143C">
      <w:r>
        <w:t>Overall, a combination of these strategies can help General Electronics achieve a more balanced and sustainable debt structure, positioning the company for future growth while mitigating financial risk.</w:t>
      </w:r>
    </w:p>
    <w:p w14:paraId="06C95C15" w14:textId="77777777" w:rsidR="00A9143C" w:rsidRDefault="00A9143C" w:rsidP="00A9143C"/>
    <w:p w14:paraId="7EEF85C0" w14:textId="77777777" w:rsidR="00A9143C" w:rsidRDefault="00A9143C" w:rsidP="00A9143C">
      <w:pPr>
        <w:pStyle w:val="Heading2"/>
      </w:pPr>
      <w:bookmarkStart w:id="23" w:name="_Toc210563920"/>
      <w:r w:rsidRPr="00A9143C">
        <w:t>4.4. Operational Flexibility Considerations</w:t>
      </w:r>
      <w:bookmarkEnd w:id="23"/>
    </w:p>
    <w:p w14:paraId="4B54AF1F" w14:textId="2511FB28" w:rsidR="00511B7E" w:rsidRDefault="00511B7E" w:rsidP="00511B7E">
      <w:r>
        <w:t xml:space="preserve">Enhancing operational flexibility is pivotal for General Electronics to navigate market uncertainties and improve performance. Operational flexibility enables firms to swiftly adapt to changes in demand, technology, and market conditions, thereby enhancing competitiveness and </w:t>
      </w:r>
      <w:r>
        <w:lastRenderedPageBreak/>
        <w:t xml:space="preserve">resilience. Research indicates that firms with higher operational flexibility exhibit better stock performance, particularly during periods of economic disruption </w:t>
      </w:r>
      <w:sdt>
        <w:sdtPr>
          <w:id w:val="-455415333"/>
          <w:citation/>
        </w:sdtPr>
        <w:sdtContent>
          <w:r w:rsidR="001822B2">
            <w:fldChar w:fldCharType="begin"/>
          </w:r>
          <w:r w:rsidR="001822B2">
            <w:instrText xml:space="preserve"> CITATION Hao21 \l 1033 </w:instrText>
          </w:r>
          <w:r w:rsidR="001822B2">
            <w:fldChar w:fldCharType="separate"/>
          </w:r>
          <w:r w:rsidR="001822B2" w:rsidRPr="001822B2">
            <w:rPr>
              <w:noProof/>
            </w:rPr>
            <w:t>(Liu, et al., 2021)</w:t>
          </w:r>
          <w:r w:rsidR="001822B2">
            <w:fldChar w:fldCharType="end"/>
          </w:r>
        </w:sdtContent>
      </w:sdt>
      <w:r>
        <w:t>.</w:t>
      </w:r>
    </w:p>
    <w:p w14:paraId="0ACF10AE" w14:textId="77777777" w:rsidR="00511B7E" w:rsidRDefault="00511B7E" w:rsidP="00511B7E"/>
    <w:p w14:paraId="44BFA393" w14:textId="7472E4B2" w:rsidR="00511B7E" w:rsidRDefault="00511B7E" w:rsidP="00511B7E">
      <w:r>
        <w:t xml:space="preserve">Implementing operational flexibility involves adopting strategies such as flexible staffing, modular production systems, and agile supply chains. For instance, flexible staffing allows companies to adjust labor resources in response to fluctuating demand, thereby optimizing labor costs and maintaining productivity </w:t>
      </w:r>
      <w:sdt>
        <w:sdtPr>
          <w:id w:val="-842781095"/>
          <w:citation/>
        </w:sdtPr>
        <w:sdtContent>
          <w:r w:rsidR="004053B9">
            <w:fldChar w:fldCharType="begin"/>
          </w:r>
          <w:r w:rsidR="004053B9">
            <w:instrText xml:space="preserve"> CITATION Spe24 \l 1033 </w:instrText>
          </w:r>
          <w:r w:rsidR="004053B9">
            <w:fldChar w:fldCharType="separate"/>
          </w:r>
          <w:r w:rsidR="004053B9" w:rsidRPr="004053B9">
            <w:rPr>
              <w:noProof/>
            </w:rPr>
            <w:t>(Spencer, 2024)</w:t>
          </w:r>
          <w:r w:rsidR="004053B9">
            <w:fldChar w:fldCharType="end"/>
          </w:r>
        </w:sdtContent>
      </w:sdt>
      <w:r>
        <w:t xml:space="preserve">. Moreover, modular production systems enable firms to </w:t>
      </w:r>
      <w:r w:rsidR="00D364D6">
        <w:t>quickly reconfigure their manufacturing processes, facilitating the introduction of new products and customization</w:t>
      </w:r>
      <w:r>
        <w:t xml:space="preserve"> to meet diverse customer needs.</w:t>
      </w:r>
    </w:p>
    <w:p w14:paraId="06F3195E" w14:textId="77777777" w:rsidR="00511B7E" w:rsidRDefault="00511B7E" w:rsidP="00511B7E"/>
    <w:p w14:paraId="3720F242" w14:textId="36FC49BE" w:rsidR="00511B7E" w:rsidRDefault="00511B7E" w:rsidP="00511B7E">
      <w:r>
        <w:t xml:space="preserve">Additionally, integrating digital technologies can significantly enhance operational flexibility. Digital tools </w:t>
      </w:r>
      <w:r w:rsidR="00D364D6">
        <w:t>offer real-time data analytics, enabling more informed</w:t>
      </w:r>
      <w:r>
        <w:t xml:space="preserve"> decision-making and more responsive operations. Companies that leverage digital transformation to improve operational flexibility often experience increased efficiency and reduced lead times, leading to improved customer satisfaction and financial performance </w:t>
      </w:r>
      <w:sdt>
        <w:sdtPr>
          <w:id w:val="1443953698"/>
          <w:citation/>
        </w:sdtPr>
        <w:sdtContent>
          <w:r w:rsidR="008B65F1">
            <w:fldChar w:fldCharType="begin"/>
          </w:r>
          <w:r w:rsidR="008B65F1">
            <w:instrText xml:space="preserve"> CITATION Nic25 \l 1033 </w:instrText>
          </w:r>
          <w:r w:rsidR="008B65F1">
            <w:fldChar w:fldCharType="separate"/>
          </w:r>
          <w:r w:rsidR="008B65F1" w:rsidRPr="008B65F1">
            <w:rPr>
              <w:noProof/>
            </w:rPr>
            <w:t>(Nichols, et al., 2025)</w:t>
          </w:r>
          <w:r w:rsidR="008B65F1">
            <w:fldChar w:fldCharType="end"/>
          </w:r>
        </w:sdtContent>
      </w:sdt>
      <w:r>
        <w:t>.</w:t>
      </w:r>
    </w:p>
    <w:p w14:paraId="05FA8FEB" w14:textId="77777777" w:rsidR="00511B7E" w:rsidRDefault="00511B7E" w:rsidP="00511B7E"/>
    <w:p w14:paraId="4858DA26" w14:textId="7CA8355F" w:rsidR="00511B7E" w:rsidRDefault="00511B7E" w:rsidP="00511B7E">
      <w:r>
        <w:t xml:space="preserve">In conclusion, fostering operational flexibility through strategic initiatives and technological integration is </w:t>
      </w:r>
      <w:r w:rsidR="00D364D6">
        <w:t>crucial for General Electronics to enhance performance and adapt to changing</w:t>
      </w:r>
      <w:r>
        <w:t xml:space="preserve"> market dynamics.</w:t>
      </w:r>
    </w:p>
    <w:p w14:paraId="3FD721FE" w14:textId="77777777" w:rsidR="00511B7E" w:rsidRDefault="00511B7E" w:rsidP="00511B7E"/>
    <w:p w14:paraId="076E3FF4" w14:textId="77777777" w:rsidR="00511B7E" w:rsidRDefault="00511B7E" w:rsidP="00511B7E">
      <w:pPr>
        <w:pStyle w:val="Heading2"/>
      </w:pPr>
      <w:bookmarkStart w:id="24" w:name="_Toc210563921"/>
      <w:r w:rsidRPr="00511B7E">
        <w:t>4.5. International and Ethical Considerations</w:t>
      </w:r>
      <w:bookmarkEnd w:id="24"/>
    </w:p>
    <w:p w14:paraId="6C659F10" w14:textId="77777777" w:rsidR="00511B7E" w:rsidRPr="00511B7E" w:rsidRDefault="00511B7E" w:rsidP="00511B7E">
      <w:pPr>
        <w:rPr>
          <w:i/>
          <w:iCs/>
        </w:rPr>
      </w:pPr>
      <w:r w:rsidRPr="00511B7E">
        <w:rPr>
          <w:i/>
          <w:iCs/>
        </w:rPr>
        <w:t>Taxation and Currency Risk</w:t>
      </w:r>
    </w:p>
    <w:p w14:paraId="1194263F" w14:textId="1A6F587D" w:rsidR="00511B7E" w:rsidRDefault="00511B7E" w:rsidP="00511B7E">
      <w:r>
        <w:t xml:space="preserve">General Electronics’ international operations expose it to significant taxation and currency risks. Cross-border restructuring can lead to hidden tax exposures, such as exit charges and transfer pricing adjustments, requiring careful planning to mitigate adverse tax implications. Studies show that global tax rules, such as those surrounding transfer pricing, can significantly impact a firm’s profitability during restructuring </w:t>
      </w:r>
      <w:sdt>
        <w:sdtPr>
          <w:id w:val="649102281"/>
          <w:citation/>
        </w:sdtPr>
        <w:sdtContent>
          <w:r w:rsidR="001C4849">
            <w:fldChar w:fldCharType="begin"/>
          </w:r>
          <w:r w:rsidR="001C4849">
            <w:instrText xml:space="preserve"> CITATION Sch21 \l 1033 </w:instrText>
          </w:r>
          <w:r w:rsidR="001C4849">
            <w:fldChar w:fldCharType="separate"/>
          </w:r>
          <w:r w:rsidR="001C4849" w:rsidRPr="001C4849">
            <w:rPr>
              <w:noProof/>
            </w:rPr>
            <w:t>(Schön, 2021)</w:t>
          </w:r>
          <w:r w:rsidR="001C4849">
            <w:fldChar w:fldCharType="end"/>
          </w:r>
        </w:sdtContent>
      </w:sdt>
      <w:r>
        <w:t xml:space="preserve">. Moreover, currency fluctuations can affect the company’s profitability, </w:t>
      </w:r>
      <w:r w:rsidR="00D364D6">
        <w:t>primarily</w:t>
      </w:r>
      <w:r>
        <w:t xml:space="preserve"> when costs are incurred in foreign currencies. Effective currency risk management strategies, including hedging and operational adjustments, are crucial to safeguarding against these risks </w:t>
      </w:r>
      <w:sdt>
        <w:sdtPr>
          <w:id w:val="1302734673"/>
          <w:citation/>
        </w:sdtPr>
        <w:sdtContent>
          <w:r w:rsidR="001C4849">
            <w:fldChar w:fldCharType="begin"/>
          </w:r>
          <w:r w:rsidR="001C4849">
            <w:instrText xml:space="preserve"> CITATION Anb25 \l 1033 </w:instrText>
          </w:r>
          <w:r w:rsidR="001C4849">
            <w:fldChar w:fldCharType="separate"/>
          </w:r>
          <w:r w:rsidR="001C4849" w:rsidRPr="001C4849">
            <w:rPr>
              <w:noProof/>
            </w:rPr>
            <w:t>(Anbar, et al., 2025)</w:t>
          </w:r>
          <w:r w:rsidR="001C4849">
            <w:fldChar w:fldCharType="end"/>
          </w:r>
        </w:sdtContent>
      </w:sdt>
      <w:sdt>
        <w:sdtPr>
          <w:id w:val="-692763989"/>
          <w:citation/>
        </w:sdtPr>
        <w:sdtContent>
          <w:r w:rsidR="00ED12DA">
            <w:fldChar w:fldCharType="begin"/>
          </w:r>
          <w:r w:rsidR="00ED12DA">
            <w:instrText xml:space="preserve"> CITATION Pel23 \l 1033 </w:instrText>
          </w:r>
          <w:r w:rsidR="00ED12DA">
            <w:fldChar w:fldCharType="separate"/>
          </w:r>
          <w:r w:rsidR="00ED12DA">
            <w:rPr>
              <w:noProof/>
            </w:rPr>
            <w:t xml:space="preserve"> </w:t>
          </w:r>
          <w:r w:rsidR="00ED12DA" w:rsidRPr="00ED12DA">
            <w:rPr>
              <w:noProof/>
            </w:rPr>
            <w:t>(Pellegrino, et al., 2023)</w:t>
          </w:r>
          <w:r w:rsidR="00ED12DA">
            <w:fldChar w:fldCharType="end"/>
          </w:r>
        </w:sdtContent>
      </w:sdt>
      <w:r>
        <w:t>.</w:t>
      </w:r>
    </w:p>
    <w:p w14:paraId="7B8BF50E" w14:textId="77777777" w:rsidR="00511B7E" w:rsidRDefault="00511B7E" w:rsidP="00511B7E"/>
    <w:p w14:paraId="434526CD" w14:textId="77777777" w:rsidR="00511B7E" w:rsidRPr="00511B7E" w:rsidRDefault="00511B7E" w:rsidP="00511B7E">
      <w:pPr>
        <w:rPr>
          <w:i/>
          <w:iCs/>
        </w:rPr>
      </w:pPr>
      <w:r w:rsidRPr="00511B7E">
        <w:rPr>
          <w:i/>
          <w:iCs/>
        </w:rPr>
        <w:t>Inflation and CSR Considerations</w:t>
      </w:r>
    </w:p>
    <w:p w14:paraId="4EEE651B" w14:textId="3CE1C92E" w:rsidR="00511B7E" w:rsidRDefault="00511B7E" w:rsidP="00511B7E">
      <w:r>
        <w:t xml:space="preserve">The recent period of inflation has intensified pressure on companies to manage costs effectively. However, firms that invest in strong Corporate Social Responsibility (CSR) programs tend to perform better </w:t>
      </w:r>
      <w:r w:rsidR="00D364D6">
        <w:t>during economic hardship, as consumers and investors increasingly prioritise</w:t>
      </w:r>
      <w:r>
        <w:t xml:space="preserve"> ethical business practices. Research indicates that firms with robust CSR strategies are perceived more positively by stakeholders, which can, in turn, improve their financial performance and market reputation </w:t>
      </w:r>
      <w:sdt>
        <w:sdtPr>
          <w:id w:val="-2046905579"/>
          <w:citation/>
        </w:sdtPr>
        <w:sdtContent>
          <w:r w:rsidR="0028067B">
            <w:fldChar w:fldCharType="begin"/>
          </w:r>
          <w:r w:rsidR="0028067B">
            <w:instrText xml:space="preserve"> CITATION Alh25 \l 1033 </w:instrText>
          </w:r>
          <w:r w:rsidR="0028067B">
            <w:fldChar w:fldCharType="separate"/>
          </w:r>
          <w:r w:rsidR="0028067B" w:rsidRPr="0028067B">
            <w:rPr>
              <w:noProof/>
            </w:rPr>
            <w:t>(Alhajjeah, et al., 2025)</w:t>
          </w:r>
          <w:r w:rsidR="0028067B">
            <w:fldChar w:fldCharType="end"/>
          </w:r>
        </w:sdtContent>
      </w:sdt>
      <w:sdt>
        <w:sdtPr>
          <w:id w:val="-889957234"/>
          <w:citation/>
        </w:sdtPr>
        <w:sdtContent>
          <w:r w:rsidR="0028067B">
            <w:fldChar w:fldCharType="begin"/>
          </w:r>
          <w:r w:rsidR="0028067B">
            <w:instrText xml:space="preserve"> CITATION Ngu22 \l 1033 </w:instrText>
          </w:r>
          <w:r w:rsidR="0028067B">
            <w:fldChar w:fldCharType="separate"/>
          </w:r>
          <w:r w:rsidR="0028067B">
            <w:rPr>
              <w:noProof/>
            </w:rPr>
            <w:t xml:space="preserve"> </w:t>
          </w:r>
          <w:r w:rsidR="0028067B" w:rsidRPr="0028067B">
            <w:rPr>
              <w:noProof/>
            </w:rPr>
            <w:t>(Nguyen, et al., 2022)</w:t>
          </w:r>
          <w:r w:rsidR="0028067B">
            <w:fldChar w:fldCharType="end"/>
          </w:r>
        </w:sdtContent>
      </w:sdt>
      <w:r>
        <w:t>. For General Electronics, aligning its restructuring efforts with CSR initiatives can protect the firm from reputational risks while addressing inflation-induced challenges.</w:t>
      </w:r>
    </w:p>
    <w:p w14:paraId="2AA9A676" w14:textId="77777777" w:rsidR="00511B7E" w:rsidRDefault="00511B7E" w:rsidP="00511B7E"/>
    <w:p w14:paraId="5EB69914" w14:textId="6F9ACEEB" w:rsidR="00511B7E" w:rsidRDefault="00511B7E" w:rsidP="00511B7E">
      <w:r>
        <w:t xml:space="preserve">Navigating international taxation, currency risks, and integrating CSR practices are essential components of General Electronics' restructuring strategy. By addressing these considerations, the company can enhance its global competitiveness while maintaining ethical business practices, thus securing long-term financial sustainability </w:t>
      </w:r>
      <w:sdt>
        <w:sdtPr>
          <w:id w:val="-184681699"/>
          <w:citation/>
        </w:sdtPr>
        <w:sdtContent>
          <w:r w:rsidR="00ED12DA">
            <w:fldChar w:fldCharType="begin"/>
          </w:r>
          <w:r w:rsidR="00ED12DA">
            <w:instrText xml:space="preserve"> CITATION Sch21 \l 1033 </w:instrText>
          </w:r>
          <w:r w:rsidR="00ED12DA">
            <w:fldChar w:fldCharType="separate"/>
          </w:r>
          <w:r w:rsidR="00ED12DA" w:rsidRPr="00ED12DA">
            <w:rPr>
              <w:noProof/>
            </w:rPr>
            <w:t>(Schön, 2021)</w:t>
          </w:r>
          <w:r w:rsidR="00ED12DA">
            <w:fldChar w:fldCharType="end"/>
          </w:r>
        </w:sdtContent>
      </w:sdt>
      <w:r>
        <w:t>.</w:t>
      </w:r>
    </w:p>
    <w:p w14:paraId="1F21FF0D" w14:textId="77777777" w:rsidR="00511B7E" w:rsidRDefault="00511B7E" w:rsidP="00511B7E"/>
    <w:p w14:paraId="7436F0DB" w14:textId="77777777" w:rsidR="00671E2B" w:rsidRDefault="00671E2B" w:rsidP="00671E2B">
      <w:pPr>
        <w:pStyle w:val="Heading1"/>
      </w:pPr>
      <w:bookmarkStart w:id="25" w:name="_Toc210563922"/>
      <w:r>
        <w:rPr>
          <w:rFonts w:hint="eastAsia"/>
        </w:rPr>
        <w:t>5. Investment Appraisal and Capital Budgeting (≈1,500 words)</w:t>
      </w:r>
      <w:bookmarkEnd w:id="25"/>
    </w:p>
    <w:p w14:paraId="707F6740" w14:textId="77777777" w:rsidR="00671E2B" w:rsidRDefault="00671E2B" w:rsidP="00671E2B">
      <w:pPr>
        <w:pStyle w:val="Heading2"/>
      </w:pPr>
      <w:bookmarkStart w:id="26" w:name="_Toc210563923"/>
      <w:r>
        <w:t>5.1. Investment Appraisal Framework</w:t>
      </w:r>
      <w:bookmarkEnd w:id="26"/>
    </w:p>
    <w:p w14:paraId="0915EB8D" w14:textId="77777777" w:rsidR="004F1189" w:rsidRDefault="004F1189" w:rsidP="004F1189">
      <w:r>
        <w:t>In evaluating investment options, the Payback Period (PBP), Average Rate of Return (ARR), Net Present Value (NPV), Profitability Index (PI), and Internal Rate of Return (IRR) are essential tools for assessing profitability and project risk. These metrics collectively help understand the viability of each project, balancing financial returns with the time value of money.</w:t>
      </w:r>
    </w:p>
    <w:p w14:paraId="28FA325A" w14:textId="77777777" w:rsidR="004F1189" w:rsidRDefault="004F1189" w:rsidP="004F1189"/>
    <w:p w14:paraId="609F7272" w14:textId="56335E20" w:rsidR="004F1189" w:rsidRDefault="004F1189" w:rsidP="004F1189">
      <w:r>
        <w:t xml:space="preserve">The </w:t>
      </w:r>
      <w:r w:rsidR="00D364D6">
        <w:t>payback period indicates</w:t>
      </w:r>
      <w:r>
        <w:t xml:space="preserve"> the time required to recover the initial investment. Project A, with a payback period of 3.4 years, indicates a relatively quick recovery, implying moderate risk. Project B takes 5 years to recover its initial investment, raising concerns about liquidity and cash flow, particularly in a capital-rationed environment. Project C, with a payback period of 3.6 years, presents a recovery time slightly longer than Project A but still more attractive than Project B. The Average Rate of Return (ARR) measures the annual profitability relative to the initial investment. Project C has the highest ARR at 30%, followed by Project A at 27%, indicating relatively strong </w:t>
      </w:r>
      <w:r>
        <w:lastRenderedPageBreak/>
        <w:t>returns. Project B, with an ARR of 20%, offers the lowest return, suggesting it may not be the best investment choice.</w:t>
      </w:r>
    </w:p>
    <w:p w14:paraId="5FF66431" w14:textId="77777777" w:rsidR="004F1189" w:rsidRDefault="004F1189" w:rsidP="004F1189"/>
    <w:p w14:paraId="29D07F7A" w14:textId="4CF9B7CE" w:rsidR="004F1189" w:rsidRDefault="004F1189" w:rsidP="004F1189">
      <w:r>
        <w:t xml:space="preserve">When considering the Net Present Value (NPV), which accounts for the time value of money, Project C leads with an NPV of £4.23 million, reflecting its strong potential for generating returns above its cost of capital. Project A </w:t>
      </w:r>
      <w:r w:rsidR="00D364D6">
        <w:t>yields a positive NPV of £1.33 million, whereas</w:t>
      </w:r>
      <w:r>
        <w:t xml:space="preserve"> Project B, with a negative NPV of -£7.25 million, is unprofitable and should be avoided. The Profitability Index (PI) indicates the value generated per unit of investment. Project C has the highest PI of 1.085, showing it delivers the most value per pound invested. Project A has a PI of 1.033, which is also positive but less attractive than Project C. Project B has a PI of 0.758, indicating it does not generate sufficient returns.</w:t>
      </w:r>
    </w:p>
    <w:p w14:paraId="3EB727A3" w14:textId="77777777" w:rsidR="004F1189" w:rsidRDefault="004F1189" w:rsidP="004F1189"/>
    <w:p w14:paraId="360A8853" w14:textId="610632F9" w:rsidR="004F1189" w:rsidRDefault="004F1189" w:rsidP="004F1189">
      <w:r>
        <w:t xml:space="preserve">Finally, the Internal Rate of Return (IRR) </w:t>
      </w:r>
      <w:r w:rsidR="00D364D6">
        <w:t>indicates the discount rate that results in the NPV being</w:t>
      </w:r>
      <w:r>
        <w:t xml:space="preserve"> zero. Project C has the highest IRR at 12.72%, followed by Project A with 11.33%. Project B, with an IRR </w:t>
      </w:r>
      <w:r w:rsidR="00D364D6">
        <w:t>of nearly 0%, yields a</w:t>
      </w:r>
      <w:r>
        <w:t xml:space="preserve"> minimal return and should be disregarded. In short, Project C offers the best combination of profitability and liquidity, making it the optimal choice. Project A is also a viable option, while Project B should be avoided due to its negative NPV and low profitability.</w:t>
      </w:r>
    </w:p>
    <w:p w14:paraId="5FDB4AF2" w14:textId="77777777" w:rsidR="004F1189" w:rsidRDefault="004F1189" w:rsidP="004F1189"/>
    <w:p w14:paraId="2B524691" w14:textId="77777777" w:rsidR="004F1189" w:rsidRDefault="004F1189" w:rsidP="004F1189">
      <w:pPr>
        <w:pStyle w:val="Heading2"/>
      </w:pPr>
      <w:bookmarkStart w:id="27" w:name="_Toc210563924"/>
      <w:r>
        <w:t>5.2. Evaluation of Investment Projects</w:t>
      </w:r>
      <w:bookmarkEnd w:id="27"/>
    </w:p>
    <w:p w14:paraId="529CC1B4" w14:textId="77777777" w:rsidR="004F1189" w:rsidRDefault="004F1189" w:rsidP="004F1189">
      <w:r>
        <w:t>Project A is a promising investment option with a Payback Period (PBP) of 3.4 years, indicating a relatively quick return on the initial investment. The Average Rate of Return (ARR) for Project A is 27%, suggesting that it generates a solid return on capital, well above typical market returns. Additionally, the Net Present Value (NPV) of £1.33 million and the Profitability Index (PI) of 1.033 confirm that the project will generate more value than it costs, making it a viable investment. The Internal Rate of Return (IRR) of 11.33% further reinforces this view, as it is above the company’s discount rate of 10%, indicating a positive return on investment. However, Project A’s cash inflows decrease over time, which suggests a decline in profitability in later years. Despite this, its moderate recovery time and positive financial indicators make it a solid, albeit less profitable, option compared to Project C.</w:t>
      </w:r>
    </w:p>
    <w:p w14:paraId="62BFEDAE" w14:textId="77777777" w:rsidR="004F1189" w:rsidRDefault="004F1189" w:rsidP="004F1189"/>
    <w:p w14:paraId="780E1D80" w14:textId="003D37CA" w:rsidR="004F1189" w:rsidRDefault="004F1189" w:rsidP="004F1189">
      <w:r>
        <w:lastRenderedPageBreak/>
        <w:t xml:space="preserve">Project B, on the other hand, presents significant concerns. Despite a Payback Period of 5 years, which signals a longer time to recover the initial investment, the ARR of 20% is the lowest among the three projects, indicating relatively weak returns. The NPV of -£7.25 million and PI of 0.758 both suggest that the project will fail to generate enough returns to cover its initial cost, making it a poor investment. Additionally, the IRR of </w:t>
      </w:r>
      <w:r w:rsidR="00D364D6">
        <w:t>nearly 0% indicates that the project barely breaks even and does not provide</w:t>
      </w:r>
      <w:r>
        <w:t xml:space="preserve"> a sufficient return on investment. Given its negative financial indicators, Project B should be avoided under capital rationing constraints, as it does not align with the company's objective of maximizing shareholder value.</w:t>
      </w:r>
    </w:p>
    <w:p w14:paraId="508EA9EA" w14:textId="77777777" w:rsidR="004F1189" w:rsidRDefault="004F1189" w:rsidP="004F1189"/>
    <w:p w14:paraId="514436B2" w14:textId="4639659A" w:rsidR="004F1189" w:rsidRDefault="004F1189" w:rsidP="004F1189">
      <w:r>
        <w:t xml:space="preserve">Project C stands out as the most financially attractive option. It offers the highest ARR (30%), the highest NPV (£4.23 million), and the best PI (1.085), suggesting it provides the most significant return on investment and value for money. The IRR of 12.72% also outperforms the discount rate of 10%, indicating strong profitability. Despite its slightly </w:t>
      </w:r>
      <w:r w:rsidR="00D364D6">
        <w:t>more extended</w:t>
      </w:r>
      <w:r>
        <w:t xml:space="preserve"> Payback Period of 3.6 years compared to Project A, the high profitability and financial viability of Project C make it the most attractive investment option. It promises the best balance between long-term value creation and risk, making it the optimal choice for General Electronics.</w:t>
      </w:r>
    </w:p>
    <w:p w14:paraId="4DDCF73B" w14:textId="77777777" w:rsidR="004F1189" w:rsidRDefault="004F1189" w:rsidP="004F1189"/>
    <w:p w14:paraId="5B88C481" w14:textId="77777777" w:rsidR="004F1189" w:rsidRDefault="004F1189" w:rsidP="004F1189">
      <w:pPr>
        <w:pStyle w:val="Heading2"/>
      </w:pPr>
      <w:bookmarkStart w:id="28" w:name="_Toc210563925"/>
      <w:r w:rsidRPr="004F1189">
        <w:t>5.3. Final Investment Recommendation</w:t>
      </w:r>
      <w:bookmarkEnd w:id="28"/>
    </w:p>
    <w:p w14:paraId="013947E8" w14:textId="77777777" w:rsidR="004F1189" w:rsidRDefault="004F1189" w:rsidP="004F1189">
      <w:r w:rsidRPr="004F1189">
        <w:t>Based on the evaluation of Payback Period (PBP), Average Rate of Return (ARR), Net Present Value (NPV), Profitability Index (PI), and Internal Rate of Return (IRR), Project C is the clear winner. It offers the highest return and value, with an NPV of £4.23 million and an IRR of 12.72%, making it the most financially viable and strategically beneficial option. Project A is also a strong contender, but Project B, with its negative NPV and low IRR, should be rejected. General Electronics should prioritize Project C for investment.</w:t>
      </w:r>
    </w:p>
    <w:p w14:paraId="3FF45876" w14:textId="77777777" w:rsidR="004F1189" w:rsidRDefault="004F1189" w:rsidP="004F1189"/>
    <w:p w14:paraId="738818E0" w14:textId="2610AB1B" w:rsidR="004F1189" w:rsidRDefault="004F1189" w:rsidP="004F1189">
      <w:r w:rsidRPr="004F1189">
        <w:t xml:space="preserve">Project C stands out as the optimal investment choice for General Electronics due to its superior financial performance, as indicated by its Net Present Value (NPV), Internal Rate of Return (IRR), and Profitability Index (PI). With an NPV of £4.23 million, IRR of 12.72%, and PI of 1.085, Project C provides the highest return on investment and generates significant value for every pound invested, making it the most profitable option </w:t>
      </w:r>
      <w:sdt>
        <w:sdtPr>
          <w:id w:val="-1498106349"/>
          <w:citation/>
        </w:sdtPr>
        <w:sdtContent>
          <w:r w:rsidR="001138AC">
            <w:fldChar w:fldCharType="begin"/>
          </w:r>
          <w:r w:rsidR="001138AC">
            <w:instrText xml:space="preserve"> CITATION Bre25 \l 1033 </w:instrText>
          </w:r>
          <w:r w:rsidR="001138AC">
            <w:fldChar w:fldCharType="separate"/>
          </w:r>
          <w:r w:rsidR="001138AC" w:rsidRPr="001138AC">
            <w:rPr>
              <w:noProof/>
            </w:rPr>
            <w:t>(Brealey, et al., 2025)</w:t>
          </w:r>
          <w:r w:rsidR="001138AC">
            <w:fldChar w:fldCharType="end"/>
          </w:r>
        </w:sdtContent>
      </w:sdt>
      <w:r w:rsidRPr="004F1189">
        <w:t xml:space="preserve">. According to financial theory, </w:t>
      </w:r>
      <w:r w:rsidRPr="004F1189">
        <w:lastRenderedPageBreak/>
        <w:t xml:space="preserve">projects with positive NPVs and high IRRs </w:t>
      </w:r>
      <w:r w:rsidR="00D364D6">
        <w:t>are expected to</w:t>
      </w:r>
      <w:r w:rsidRPr="004F1189">
        <w:t xml:space="preserve"> increase shareholder wealth </w:t>
      </w:r>
      <w:sdt>
        <w:sdtPr>
          <w:id w:val="-1064864990"/>
          <w:citation/>
        </w:sdtPr>
        <w:sdtContent>
          <w:r w:rsidR="001138AC">
            <w:fldChar w:fldCharType="begin"/>
          </w:r>
          <w:r w:rsidR="001138AC">
            <w:instrText xml:space="preserve"> CITATION Ber20 \l 1033 </w:instrText>
          </w:r>
          <w:r w:rsidR="001138AC">
            <w:fldChar w:fldCharType="separate"/>
          </w:r>
          <w:r w:rsidR="001138AC" w:rsidRPr="001138AC">
            <w:rPr>
              <w:noProof/>
            </w:rPr>
            <w:t>(Berk &amp; DeMarzo, 2020)</w:t>
          </w:r>
          <w:r w:rsidR="001138AC">
            <w:fldChar w:fldCharType="end"/>
          </w:r>
        </w:sdtContent>
      </w:sdt>
      <w:r w:rsidRPr="004F1189">
        <w:t xml:space="preserve">. Moreover, the ARR of 30% demonstrates a strong accounting return relative to the initial investment, reinforcing its financial viability. Additionally, the project's Payback Period of 3.6 years is still relatively short, especially considering the substantial returns it offers over time, which aligns with the company's need to balance profitability with liquidity </w:t>
      </w:r>
      <w:sdt>
        <w:sdtPr>
          <w:id w:val="-135347779"/>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rsidRPr="004F1189">
        <w:t xml:space="preserve">. Compared to Project A, which has a lower NPV and IRR, and Project B, which has </w:t>
      </w:r>
      <w:r w:rsidR="00D364D6">
        <w:t>a negative NPV and a low IRR, Project C provides a much more favorable</w:t>
      </w:r>
      <w:r w:rsidRPr="004F1189">
        <w:t xml:space="preserve"> financial outlook for General Electronics, making it the most strategic choice.</w:t>
      </w:r>
    </w:p>
    <w:p w14:paraId="783B51B8" w14:textId="77777777" w:rsidR="004F1189" w:rsidRDefault="004F1189" w:rsidP="004F1189"/>
    <w:p w14:paraId="0AFBAB50" w14:textId="6880EBFE" w:rsidR="00EF59EA" w:rsidRDefault="00EF59EA" w:rsidP="004F1189">
      <w:r w:rsidRPr="00EF59EA">
        <w:t xml:space="preserve">Project C not only offers the highest financial returns but also presents a balanced risk profile. Its NPV and IRR indicate strong profitability with moderate risk, making it well-suited for General Electronics' capital rationing constraints </w:t>
      </w:r>
      <w:sdt>
        <w:sdtPr>
          <w:id w:val="2042928969"/>
          <w:citation/>
        </w:sdtPr>
        <w:sdtContent>
          <w:r w:rsidR="006854B3">
            <w:fldChar w:fldCharType="begin"/>
          </w:r>
          <w:r w:rsidR="006854B3">
            <w:instrText xml:space="preserve"> CITATION Asw12 \l 1033 </w:instrText>
          </w:r>
          <w:r w:rsidR="006854B3">
            <w:fldChar w:fldCharType="separate"/>
          </w:r>
          <w:r w:rsidR="006854B3" w:rsidRPr="006854B3">
            <w:rPr>
              <w:noProof/>
            </w:rPr>
            <w:t>(Damodaran, 2012)</w:t>
          </w:r>
          <w:r w:rsidR="006854B3">
            <w:fldChar w:fldCharType="end"/>
          </w:r>
        </w:sdtContent>
      </w:sdt>
      <w:r w:rsidRPr="00EF59EA">
        <w:t>. Project A is also a feasible option</w:t>
      </w:r>
      <w:r w:rsidR="00D364D6">
        <w:t>,</w:t>
      </w:r>
      <w:r w:rsidRPr="00EF59EA">
        <w:t xml:space="preserve"> but with a higher risk due to its decreasing cash inflows. Project B should be rejected due to its negative NPV and high risk </w:t>
      </w:r>
      <w:sdt>
        <w:sdtPr>
          <w:id w:val="-606819129"/>
          <w:citation/>
        </w:sdtPr>
        <w:sdtContent>
          <w:r w:rsidR="001138AC">
            <w:fldChar w:fldCharType="begin"/>
          </w:r>
          <w:r w:rsidR="001138AC">
            <w:instrText xml:space="preserve"> CITATION Bre25 \l 1033 </w:instrText>
          </w:r>
          <w:r w:rsidR="001138AC">
            <w:fldChar w:fldCharType="separate"/>
          </w:r>
          <w:r w:rsidR="001138AC" w:rsidRPr="001138AC">
            <w:rPr>
              <w:noProof/>
            </w:rPr>
            <w:t>(Brealey, et al., 2025)</w:t>
          </w:r>
          <w:r w:rsidR="001138AC">
            <w:fldChar w:fldCharType="end"/>
          </w:r>
        </w:sdtContent>
      </w:sdt>
      <w:r w:rsidRPr="00EF59EA">
        <w:t>.</w:t>
      </w:r>
    </w:p>
    <w:p w14:paraId="1348FDBC" w14:textId="72F62724" w:rsidR="003306D2" w:rsidRDefault="003306D2" w:rsidP="004F1189">
      <w:r>
        <w:rPr>
          <w:noProof/>
        </w:rPr>
        <w:drawing>
          <wp:inline distT="0" distB="0" distL="0" distR="0" wp14:anchorId="684886FD" wp14:editId="5B1CAD28">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1D894F" w14:textId="2168CE41" w:rsidR="00EF59EA" w:rsidRDefault="003306D2" w:rsidP="003306D2">
      <w:pPr>
        <w:pStyle w:val="Caption"/>
      </w:pPr>
      <w:bookmarkStart w:id="29" w:name="_Toc212661119"/>
      <w:r>
        <w:t xml:space="preserve">Figure </w:t>
      </w:r>
      <w:r>
        <w:fldChar w:fldCharType="begin"/>
      </w:r>
      <w:r>
        <w:instrText xml:space="preserve"> SEQ Figure \* ARABIC </w:instrText>
      </w:r>
      <w:r>
        <w:fldChar w:fldCharType="separate"/>
      </w:r>
      <w:r>
        <w:rPr>
          <w:noProof/>
        </w:rPr>
        <w:t>4</w:t>
      </w:r>
      <w:r>
        <w:fldChar w:fldCharType="end"/>
      </w:r>
      <w:r>
        <w:t xml:space="preserve">: </w:t>
      </w:r>
      <w:r w:rsidRPr="003306D2">
        <w:t>Investment Appraisal and Capital Budgeting</w:t>
      </w:r>
      <w:bookmarkEnd w:id="29"/>
    </w:p>
    <w:p w14:paraId="163A3990" w14:textId="77777777" w:rsidR="003306D2" w:rsidRPr="003306D2" w:rsidRDefault="003306D2" w:rsidP="003306D2"/>
    <w:p w14:paraId="0F9F7EF9" w14:textId="77777777" w:rsidR="00EF59EA" w:rsidRDefault="00EF59EA" w:rsidP="00EF59EA">
      <w:pPr>
        <w:pStyle w:val="Heading1"/>
      </w:pPr>
      <w:bookmarkStart w:id="30" w:name="_Toc210563926"/>
      <w:r w:rsidRPr="00EF59EA">
        <w:lastRenderedPageBreak/>
        <w:t>6. Conclusion</w:t>
      </w:r>
      <w:bookmarkEnd w:id="30"/>
    </w:p>
    <w:p w14:paraId="6FC25991" w14:textId="77777777" w:rsidR="00D31924" w:rsidRDefault="00D31924" w:rsidP="00D31924">
      <w:r>
        <w:t>The analysis of General Electronics’ financial health reveals significant challenges, including declining profitability, rising debt, and inefficiencies in working capital management. The company’s declining gross and net profit margins, combined with negative return on equity (ROE) and return on assets (ROA), indicate underlying operational and financial difficulties. However, the analysis also highlights areas where improvements can be made, particularly in liquidity management and cost control.</w:t>
      </w:r>
    </w:p>
    <w:p w14:paraId="0DF2FA61" w14:textId="77777777" w:rsidR="00D31924" w:rsidRDefault="00D31924" w:rsidP="00D31924"/>
    <w:p w14:paraId="703968CC" w14:textId="20EBAB2F" w:rsidR="00D31924" w:rsidRDefault="00D31924" w:rsidP="00D31924">
      <w:r>
        <w:t xml:space="preserve">To reverse the declining trend, it is recommended that General Electronics focus on operational restructuring, including improving cash flow management, reducing operational costs, and divesting non-core assets. A strategic merger or equity injection could provide the necessary capital for investment in high-growth areas. The company should also consider </w:t>
      </w:r>
      <w:r w:rsidR="00D364D6">
        <w:t>strengthening its corporate social responsibility (CSR) to enhance brand value and customer loyalty, particularly</w:t>
      </w:r>
      <w:r>
        <w:t xml:space="preserve"> in the face of inflation and market uncertainties. Additionally, more effective use of technology could improve operational efficiency and flexibility.</w:t>
      </w:r>
    </w:p>
    <w:p w14:paraId="3D60F8F4" w14:textId="77777777" w:rsidR="00D31924" w:rsidRDefault="00D31924" w:rsidP="00D31924"/>
    <w:p w14:paraId="6AC8378C" w14:textId="233AD9D3" w:rsidR="00AA32DA" w:rsidRDefault="00D31924" w:rsidP="00D31924">
      <w:r>
        <w:t>General Electronics faces significant risks</w:t>
      </w:r>
      <w:r w:rsidR="00D364D6">
        <w:t xml:space="preserve">; however, with a robust financial restructuring plan that includes strategic divestitures, potential mergers, and a focus on profitability, the company can </w:t>
      </w:r>
      <w:r w:rsidR="00E16F04">
        <w:t>stabilize</w:t>
      </w:r>
      <w:r>
        <w:t xml:space="preserve"> its position. A careful balance of short-term liquidity improvements and long-term growth strategies will be essential for its survival. The recommended investment in Project C aligns well with the company’s financial goals, offering the best return while mitigating risk. With these measures, General Electronics can regain its competitive edge and financial health.</w:t>
      </w:r>
      <w:r w:rsidR="00AA32DA">
        <w:br w:type="page"/>
      </w:r>
    </w:p>
    <w:bookmarkStart w:id="31" w:name="_Toc210563927" w:displacedByCustomXml="next"/>
    <w:sdt>
      <w:sdtPr>
        <w:rPr>
          <w:rFonts w:eastAsiaTheme="minorEastAsia" w:cstheme="minorBidi"/>
          <w:b w:val="0"/>
          <w:color w:val="auto"/>
          <w:sz w:val="24"/>
          <w:szCs w:val="24"/>
        </w:rPr>
        <w:id w:val="-386566073"/>
        <w:docPartObj>
          <w:docPartGallery w:val="Bibliographies"/>
          <w:docPartUnique/>
        </w:docPartObj>
      </w:sdtPr>
      <w:sdtContent>
        <w:p w14:paraId="7C83721E" w14:textId="4B6ECB55" w:rsidR="0044766C" w:rsidRDefault="0044766C" w:rsidP="00C75B7B">
          <w:pPr>
            <w:pStyle w:val="Heading1"/>
            <w:spacing w:before="240" w:line="276" w:lineRule="auto"/>
            <w:jc w:val="left"/>
          </w:pPr>
          <w:r>
            <w:t>References</w:t>
          </w:r>
          <w:bookmarkEnd w:id="31"/>
        </w:p>
        <w:sdt>
          <w:sdtPr>
            <w:id w:val="-573587230"/>
            <w:bibliography/>
          </w:sdtPr>
          <w:sdtContent>
            <w:p w14:paraId="63A2217A" w14:textId="77777777" w:rsidR="0044766C" w:rsidRDefault="0044766C" w:rsidP="005206D7">
              <w:pPr>
                <w:pStyle w:val="Bibliography"/>
                <w:spacing w:before="240" w:after="80" w:line="276" w:lineRule="auto"/>
                <w:jc w:val="left"/>
                <w:rPr>
                  <w:noProof/>
                  <w:kern w:val="0"/>
                  <w14:ligatures w14:val="none"/>
                </w:rPr>
              </w:pPr>
              <w:r>
                <w:fldChar w:fldCharType="begin"/>
              </w:r>
              <w:r>
                <w:instrText xml:space="preserve"> BIBLIOGRAPHY </w:instrText>
              </w:r>
              <w:r>
                <w:fldChar w:fldCharType="separate"/>
              </w:r>
              <w:r>
                <w:rPr>
                  <w:noProof/>
                </w:rPr>
                <w:t xml:space="preserve">Alhajjeah, D., Besim, M. &amp; Al-Hajieh, H., 2025. Mitigating Crisis Impact: The Influence of Corporate Social Responsibility on Non-Financial Firms’ Financial Performance. </w:t>
              </w:r>
              <w:r>
                <w:rPr>
                  <w:i/>
                  <w:iCs/>
                  <w:noProof/>
                </w:rPr>
                <w:t xml:space="preserve">International Review of Economics &amp; Finance, </w:t>
              </w:r>
              <w:r>
                <w:rPr>
                  <w:noProof/>
                </w:rPr>
                <w:t>101(2), p. 104180.</w:t>
              </w:r>
            </w:p>
            <w:p w14:paraId="5DEB3436" w14:textId="77777777" w:rsidR="0044766C" w:rsidRDefault="0044766C" w:rsidP="005206D7">
              <w:pPr>
                <w:pStyle w:val="Bibliography"/>
                <w:spacing w:before="240" w:after="80" w:line="276" w:lineRule="auto"/>
                <w:jc w:val="left"/>
                <w:rPr>
                  <w:noProof/>
                </w:rPr>
              </w:pPr>
              <w:r>
                <w:rPr>
                  <w:noProof/>
                </w:rPr>
                <w:t xml:space="preserve">Allianz Trade, 2025. </w:t>
              </w:r>
              <w:r>
                <w:rPr>
                  <w:i/>
                  <w:iCs/>
                  <w:noProof/>
                </w:rPr>
                <w:t xml:space="preserve">Early Payment Discounts: Definition, Types, &amp; Examples. </w:t>
              </w:r>
              <w:r>
                <w:rPr>
                  <w:noProof/>
                </w:rPr>
                <w:t xml:space="preserve">[Online] </w:t>
              </w:r>
              <w:r>
                <w:rPr>
                  <w:noProof/>
                </w:rPr>
                <w:br/>
                <w:t>[Accessed 2025].</w:t>
              </w:r>
            </w:p>
            <w:p w14:paraId="233EF53A" w14:textId="77777777" w:rsidR="0044766C" w:rsidRDefault="0044766C" w:rsidP="005206D7">
              <w:pPr>
                <w:pStyle w:val="Bibliography"/>
                <w:spacing w:before="240" w:after="80" w:line="276" w:lineRule="auto"/>
                <w:jc w:val="left"/>
                <w:rPr>
                  <w:noProof/>
                </w:rPr>
              </w:pPr>
              <w:r>
                <w:rPr>
                  <w:noProof/>
                </w:rPr>
                <w:t xml:space="preserve">Anbar, Y. et al., 2025. Transaction Exposure and its Hedging Strategies. </w:t>
              </w:r>
              <w:r>
                <w:rPr>
                  <w:i/>
                  <w:iCs/>
                  <w:noProof/>
                </w:rPr>
                <w:t xml:space="preserve">Social Science Research Network, </w:t>
              </w:r>
              <w:r>
                <w:rPr>
                  <w:noProof/>
                </w:rPr>
                <w:t>pp. 1-20.</w:t>
              </w:r>
            </w:p>
            <w:p w14:paraId="41528458" w14:textId="77777777" w:rsidR="0044766C" w:rsidRDefault="0044766C" w:rsidP="005206D7">
              <w:pPr>
                <w:pStyle w:val="Bibliography"/>
                <w:spacing w:before="240" w:after="80" w:line="276" w:lineRule="auto"/>
                <w:jc w:val="left"/>
                <w:rPr>
                  <w:noProof/>
                </w:rPr>
              </w:pPr>
              <w:r>
                <w:rPr>
                  <w:noProof/>
                </w:rPr>
                <w:t xml:space="preserve">Atrill, P. &amp; McLaney, E., 2019. </w:t>
              </w:r>
              <w:r>
                <w:rPr>
                  <w:i/>
                  <w:iCs/>
                  <w:noProof/>
                </w:rPr>
                <w:t xml:space="preserve">Financial Accounting for Decision Makers. </w:t>
              </w:r>
              <w:r>
                <w:rPr>
                  <w:noProof/>
                </w:rPr>
                <w:t>9th ed. London: Pearson Education.</w:t>
              </w:r>
            </w:p>
            <w:p w14:paraId="15ABE862" w14:textId="77777777" w:rsidR="0044766C" w:rsidRDefault="0044766C" w:rsidP="005206D7">
              <w:pPr>
                <w:pStyle w:val="Bibliography"/>
                <w:spacing w:before="240" w:after="80" w:line="276" w:lineRule="auto"/>
                <w:jc w:val="left"/>
                <w:rPr>
                  <w:noProof/>
                </w:rPr>
              </w:pPr>
              <w:r>
                <w:rPr>
                  <w:noProof/>
                </w:rPr>
                <w:t xml:space="preserve">Atrill, P. &amp; McLaney, E., 2019. </w:t>
              </w:r>
              <w:r>
                <w:rPr>
                  <w:i/>
                  <w:iCs/>
                  <w:noProof/>
                </w:rPr>
                <w:t xml:space="preserve">Financial Management for Decision Makers. </w:t>
              </w:r>
              <w:r>
                <w:rPr>
                  <w:noProof/>
                </w:rPr>
                <w:t>9th ed. London: Pearson Education.</w:t>
              </w:r>
            </w:p>
            <w:p w14:paraId="7EFEA4DB" w14:textId="77777777" w:rsidR="0044766C" w:rsidRDefault="0044766C" w:rsidP="005206D7">
              <w:pPr>
                <w:pStyle w:val="Bibliography"/>
                <w:spacing w:before="240" w:after="80" w:line="276" w:lineRule="auto"/>
                <w:jc w:val="left"/>
                <w:rPr>
                  <w:noProof/>
                </w:rPr>
              </w:pPr>
              <w:r>
                <w:rPr>
                  <w:noProof/>
                </w:rPr>
                <w:t xml:space="preserve">Bentson, M. et al., 2024. </w:t>
              </w:r>
              <w:r>
                <w:rPr>
                  <w:i/>
                  <w:iCs/>
                  <w:noProof/>
                </w:rPr>
                <w:t xml:space="preserve">Avoid the Hidden Costs of Extending Supplier Payment Terms. </w:t>
              </w:r>
              <w:r>
                <w:rPr>
                  <w:noProof/>
                </w:rPr>
                <w:t>[Online].</w:t>
              </w:r>
            </w:p>
            <w:p w14:paraId="0A075AAD" w14:textId="77777777" w:rsidR="0044766C" w:rsidRDefault="0044766C" w:rsidP="005206D7">
              <w:pPr>
                <w:pStyle w:val="Bibliography"/>
                <w:spacing w:before="240" w:after="80" w:line="276" w:lineRule="auto"/>
                <w:jc w:val="left"/>
                <w:rPr>
                  <w:noProof/>
                </w:rPr>
              </w:pPr>
              <w:r>
                <w:rPr>
                  <w:noProof/>
                </w:rPr>
                <w:t xml:space="preserve">Berk, J. &amp; DeMarzo, P., 2020. </w:t>
              </w:r>
              <w:r>
                <w:rPr>
                  <w:i/>
                  <w:iCs/>
                  <w:noProof/>
                </w:rPr>
                <w:t xml:space="preserve">Corporate finance. </w:t>
              </w:r>
              <w:r>
                <w:rPr>
                  <w:noProof/>
                </w:rPr>
                <w:t>5th Global ed. London: Pearson.</w:t>
              </w:r>
            </w:p>
            <w:p w14:paraId="572E4EBA" w14:textId="77777777" w:rsidR="0044766C" w:rsidRDefault="0044766C" w:rsidP="005206D7">
              <w:pPr>
                <w:pStyle w:val="Bibliography"/>
                <w:spacing w:before="240" w:after="80" w:line="276" w:lineRule="auto"/>
                <w:jc w:val="left"/>
                <w:rPr>
                  <w:noProof/>
                </w:rPr>
              </w:pPr>
              <w:r>
                <w:rPr>
                  <w:noProof/>
                </w:rPr>
                <w:t xml:space="preserve">Braunsberger, C. &amp; Aschauer, E., 2025. Corporate Failure Prediction: A Literature Review of Altman Z-Score and Machine Learning Models Within a Technology Adoption Framework. </w:t>
              </w:r>
              <w:r>
                <w:rPr>
                  <w:i/>
                  <w:iCs/>
                  <w:noProof/>
                </w:rPr>
                <w:t xml:space="preserve">Journal of Risk and Financial Management, </w:t>
              </w:r>
              <w:r>
                <w:rPr>
                  <w:noProof/>
                </w:rPr>
                <w:t>18(8), p. 465.</w:t>
              </w:r>
            </w:p>
            <w:p w14:paraId="268F1209" w14:textId="77777777" w:rsidR="0044766C" w:rsidRDefault="0044766C" w:rsidP="005206D7">
              <w:pPr>
                <w:pStyle w:val="Bibliography"/>
                <w:spacing w:before="240" w:after="80" w:line="276" w:lineRule="auto"/>
                <w:jc w:val="left"/>
                <w:rPr>
                  <w:noProof/>
                </w:rPr>
              </w:pPr>
              <w:r>
                <w:rPr>
                  <w:noProof/>
                </w:rPr>
                <w:t xml:space="preserve">Brealey, R., Myers, S., Allen, F. &amp; Edmans, A., 2025. </w:t>
              </w:r>
              <w:r>
                <w:rPr>
                  <w:i/>
                  <w:iCs/>
                  <w:noProof/>
                </w:rPr>
                <w:t xml:space="preserve">Principles of Corporate Finance. </w:t>
              </w:r>
              <w:r>
                <w:rPr>
                  <w:noProof/>
                </w:rPr>
                <w:t>2025 Release ed. s.l.:McGraw-Hill Education.</w:t>
              </w:r>
            </w:p>
            <w:p w14:paraId="59B39C4A" w14:textId="77777777" w:rsidR="0044766C" w:rsidRDefault="0044766C" w:rsidP="005206D7">
              <w:pPr>
                <w:pStyle w:val="Bibliography"/>
                <w:spacing w:before="240" w:after="80" w:line="276" w:lineRule="auto"/>
                <w:jc w:val="left"/>
                <w:rPr>
                  <w:noProof/>
                </w:rPr>
              </w:pPr>
              <w:r>
                <w:rPr>
                  <w:noProof/>
                </w:rPr>
                <w:t xml:space="preserve">Brigham, E. F. &amp; Ehrhardt, M. C., 2014. </w:t>
              </w:r>
              <w:r>
                <w:rPr>
                  <w:i/>
                  <w:iCs/>
                  <w:noProof/>
                </w:rPr>
                <w:t xml:space="preserve">Financial Management: Theory &amp; Practice. </w:t>
              </w:r>
              <w:r>
                <w:rPr>
                  <w:noProof/>
                </w:rPr>
                <w:t>14th ed. Boston, MA: Cengage Learning.</w:t>
              </w:r>
            </w:p>
            <w:p w14:paraId="5A7FA57D" w14:textId="77777777" w:rsidR="0044766C" w:rsidRDefault="0044766C" w:rsidP="005206D7">
              <w:pPr>
                <w:pStyle w:val="Bibliography"/>
                <w:spacing w:before="240" w:after="80" w:line="276" w:lineRule="auto"/>
                <w:jc w:val="left"/>
                <w:rPr>
                  <w:noProof/>
                </w:rPr>
              </w:pPr>
              <w:r>
                <w:rPr>
                  <w:noProof/>
                </w:rPr>
                <w:t xml:space="preserve">Damodaran, A., 2012. </w:t>
              </w:r>
              <w:r>
                <w:rPr>
                  <w:i/>
                  <w:iCs/>
                  <w:noProof/>
                </w:rPr>
                <w:t xml:space="preserve">Investment Valuation: Tools and Techniques for Determining the Value of Any Asset. </w:t>
              </w:r>
              <w:r>
                <w:rPr>
                  <w:noProof/>
                </w:rPr>
                <w:t>3rd ed. Hoboken, NJ: Wiley.</w:t>
              </w:r>
            </w:p>
            <w:p w14:paraId="6DFC87BF" w14:textId="2B02673B" w:rsidR="0044766C" w:rsidRDefault="0044766C" w:rsidP="005206D7">
              <w:pPr>
                <w:pStyle w:val="Bibliography"/>
                <w:spacing w:before="240" w:after="80" w:line="276" w:lineRule="auto"/>
                <w:jc w:val="left"/>
                <w:rPr>
                  <w:noProof/>
                </w:rPr>
              </w:pPr>
              <w:r>
                <w:rPr>
                  <w:noProof/>
                </w:rPr>
                <w:t xml:space="preserve">Deloitte, 2024. </w:t>
              </w:r>
              <w:r>
                <w:rPr>
                  <w:i/>
                  <w:iCs/>
                  <w:noProof/>
                </w:rPr>
                <w:t xml:space="preserve">2024 Global Corporate Divestiture Survey. </w:t>
              </w:r>
              <w:r>
                <w:rPr>
                  <w:noProof/>
                </w:rPr>
                <w:t>[Online] [Accessed 2025].</w:t>
              </w:r>
            </w:p>
            <w:p w14:paraId="0BF09457" w14:textId="77777777" w:rsidR="0044766C" w:rsidRDefault="0044766C" w:rsidP="005206D7">
              <w:pPr>
                <w:pStyle w:val="Bibliography"/>
                <w:spacing w:before="240" w:after="80" w:line="276" w:lineRule="auto"/>
                <w:jc w:val="left"/>
                <w:rPr>
                  <w:noProof/>
                </w:rPr>
              </w:pPr>
              <w:r>
                <w:rPr>
                  <w:noProof/>
                </w:rPr>
                <w:t xml:space="preserve">Donnelly, S., 2024. </w:t>
              </w:r>
              <w:r>
                <w:rPr>
                  <w:i/>
                  <w:iCs/>
                  <w:noProof/>
                </w:rPr>
                <w:t xml:space="preserve">10 potential risks of mergers and acquisitions, </w:t>
              </w:r>
              <w:r>
                <w:rPr>
                  <w:noProof/>
                </w:rPr>
                <w:t>s.l.: Finance Alliance.</w:t>
              </w:r>
            </w:p>
            <w:p w14:paraId="27777B17" w14:textId="77777777" w:rsidR="0044766C" w:rsidRDefault="0044766C" w:rsidP="005206D7">
              <w:pPr>
                <w:pStyle w:val="Bibliography"/>
                <w:spacing w:before="240" w:after="80" w:line="276" w:lineRule="auto"/>
                <w:jc w:val="left"/>
                <w:rPr>
                  <w:noProof/>
                </w:rPr>
              </w:pPr>
              <w:r>
                <w:rPr>
                  <w:noProof/>
                </w:rPr>
                <w:t xml:space="preserve">Hempel, S., Li, Y. &amp; Tibay, S., 2024. Firms' financing choice between short-term and long-term debts: Are they substitutes?. </w:t>
              </w:r>
              <w:r>
                <w:rPr>
                  <w:i/>
                  <w:iCs/>
                  <w:noProof/>
                </w:rPr>
                <w:t>FEDS Notes.</w:t>
              </w:r>
            </w:p>
            <w:p w14:paraId="2DB9DEA6" w14:textId="77777777" w:rsidR="0044766C" w:rsidRDefault="0044766C" w:rsidP="005206D7">
              <w:pPr>
                <w:pStyle w:val="Bibliography"/>
                <w:spacing w:before="240" w:after="80" w:line="276" w:lineRule="auto"/>
                <w:jc w:val="left"/>
                <w:rPr>
                  <w:noProof/>
                </w:rPr>
              </w:pPr>
              <w:r>
                <w:rPr>
                  <w:noProof/>
                </w:rPr>
                <w:lastRenderedPageBreak/>
                <w:t xml:space="preserve">Higgins, R., Koski, J. &amp; Mitton, T., 2023. </w:t>
              </w:r>
              <w:r>
                <w:rPr>
                  <w:i/>
                  <w:iCs/>
                  <w:noProof/>
                </w:rPr>
                <w:t xml:space="preserve">Analysis for Financial Management. </w:t>
              </w:r>
              <w:r>
                <w:rPr>
                  <w:noProof/>
                </w:rPr>
                <w:t>13th ed. New York: McGraw-Hill Education.</w:t>
              </w:r>
            </w:p>
            <w:p w14:paraId="4E9F501C" w14:textId="163F18FB" w:rsidR="0044766C" w:rsidRDefault="0044766C" w:rsidP="005206D7">
              <w:pPr>
                <w:pStyle w:val="Bibliography"/>
                <w:spacing w:before="240" w:after="80" w:line="276" w:lineRule="auto"/>
                <w:jc w:val="left"/>
                <w:rPr>
                  <w:noProof/>
                </w:rPr>
              </w:pPr>
              <w:r>
                <w:rPr>
                  <w:noProof/>
                </w:rPr>
                <w:t xml:space="preserve">Kyriba, 2025. </w:t>
              </w:r>
              <w:r>
                <w:rPr>
                  <w:i/>
                  <w:iCs/>
                  <w:noProof/>
                </w:rPr>
                <w:t xml:space="preserve">Supply Chain Finance for Mid-Sized Businesses. </w:t>
              </w:r>
              <w:r>
                <w:rPr>
                  <w:noProof/>
                </w:rPr>
                <w:t>[Online] [Accessed 2025].</w:t>
              </w:r>
            </w:p>
            <w:p w14:paraId="50D118CA" w14:textId="77777777" w:rsidR="0044766C" w:rsidRDefault="0044766C" w:rsidP="005206D7">
              <w:pPr>
                <w:pStyle w:val="Bibliography"/>
                <w:spacing w:before="240" w:after="80" w:line="276" w:lineRule="auto"/>
                <w:jc w:val="left"/>
                <w:rPr>
                  <w:noProof/>
                </w:rPr>
              </w:pPr>
              <w:r>
                <w:rPr>
                  <w:noProof/>
                </w:rPr>
                <w:t xml:space="preserve">Liu, H., Yi, X. &amp; Yin, L., 2021. The impact of operating flexibility on firms’ performance during the COVID-19 outbreak: Evidence from China. </w:t>
              </w:r>
              <w:r>
                <w:rPr>
                  <w:i/>
                  <w:iCs/>
                  <w:noProof/>
                </w:rPr>
                <w:t xml:space="preserve">Journal of Finance, </w:t>
              </w:r>
              <w:r>
                <w:rPr>
                  <w:noProof/>
                </w:rPr>
                <w:t>Volume 38, pp. 1-6.</w:t>
              </w:r>
            </w:p>
            <w:p w14:paraId="00B0D654" w14:textId="67613AA5" w:rsidR="0044766C" w:rsidRDefault="0044766C" w:rsidP="005206D7">
              <w:pPr>
                <w:pStyle w:val="Bibliography"/>
                <w:spacing w:before="240" w:after="80" w:line="276" w:lineRule="auto"/>
                <w:jc w:val="left"/>
                <w:rPr>
                  <w:noProof/>
                </w:rPr>
              </w:pPr>
              <w:r>
                <w:rPr>
                  <w:noProof/>
                </w:rPr>
                <w:t xml:space="preserve">M&amp;A Community, 2024. </w:t>
              </w:r>
              <w:r>
                <w:rPr>
                  <w:i/>
                  <w:iCs/>
                  <w:noProof/>
                </w:rPr>
                <w:t xml:space="preserve">Full guide to divestiture: Its types, process, pros, and cons. </w:t>
              </w:r>
              <w:r>
                <w:rPr>
                  <w:noProof/>
                </w:rPr>
                <w:t xml:space="preserve">[Online] </w:t>
              </w:r>
              <w:r>
                <w:rPr>
                  <w:noProof/>
                </w:rPr>
                <w:br/>
                <w:t xml:space="preserve">Available at: </w:t>
              </w:r>
              <w:r>
                <w:rPr>
                  <w:noProof/>
                  <w:u w:val="single"/>
                </w:rPr>
                <w:t>https://mnacommunity.com/insights/divestiture/?</w:t>
              </w:r>
              <w:r w:rsidR="005206D7">
                <w:rPr>
                  <w:noProof/>
                </w:rPr>
                <w:t xml:space="preserve"> </w:t>
              </w:r>
              <w:r>
                <w:rPr>
                  <w:noProof/>
                </w:rPr>
                <w:t>[Accessed 2025].</w:t>
              </w:r>
            </w:p>
            <w:p w14:paraId="1B1AF8EF" w14:textId="77777777" w:rsidR="0044766C" w:rsidRDefault="0044766C" w:rsidP="005206D7">
              <w:pPr>
                <w:pStyle w:val="Bibliography"/>
                <w:spacing w:before="240" w:after="80" w:line="276" w:lineRule="auto"/>
                <w:jc w:val="left"/>
                <w:rPr>
                  <w:noProof/>
                </w:rPr>
              </w:pPr>
              <w:r>
                <w:rPr>
                  <w:noProof/>
                </w:rPr>
                <w:t xml:space="preserve">Malik, Y., 2025. </w:t>
              </w:r>
              <w:r>
                <w:rPr>
                  <w:i/>
                  <w:iCs/>
                  <w:noProof/>
                </w:rPr>
                <w:t xml:space="preserve">How to Negotiate Payment Terms with Your Suppliers. </w:t>
              </w:r>
              <w:r>
                <w:rPr>
                  <w:noProof/>
                </w:rPr>
                <w:t>[Online].</w:t>
              </w:r>
            </w:p>
            <w:p w14:paraId="74CCA6F0" w14:textId="77777777" w:rsidR="0044766C" w:rsidRDefault="0044766C" w:rsidP="005206D7">
              <w:pPr>
                <w:pStyle w:val="Bibliography"/>
                <w:spacing w:before="240" w:after="80" w:line="276" w:lineRule="auto"/>
                <w:jc w:val="left"/>
                <w:rPr>
                  <w:noProof/>
                </w:rPr>
              </w:pPr>
              <w:r>
                <w:rPr>
                  <w:noProof/>
                </w:rPr>
                <w:t xml:space="preserve">Martynova, M. &amp; Renneboog, L., 2009. What determines the financing decision in corporate takeovers: Cost of capital, agency problems, or the means of payment?. </w:t>
              </w:r>
              <w:r>
                <w:rPr>
                  <w:i/>
                  <w:iCs/>
                  <w:noProof/>
                </w:rPr>
                <w:t xml:space="preserve">Journal of Corporate Finance, </w:t>
              </w:r>
              <w:r>
                <w:rPr>
                  <w:noProof/>
                </w:rPr>
                <w:t>15(3), pp. 290-315.</w:t>
              </w:r>
            </w:p>
            <w:p w14:paraId="6A2D40C8" w14:textId="1813B00C" w:rsidR="0044766C" w:rsidRDefault="0044766C" w:rsidP="005206D7">
              <w:pPr>
                <w:pStyle w:val="Bibliography"/>
                <w:spacing w:before="240" w:after="80" w:line="276" w:lineRule="auto"/>
                <w:jc w:val="left"/>
                <w:rPr>
                  <w:noProof/>
                </w:rPr>
              </w:pPr>
              <w:r>
                <w:rPr>
                  <w:noProof/>
                </w:rPr>
                <w:t xml:space="preserve">Mauboussin, M. J. &amp; Callahan, D., 2022. </w:t>
              </w:r>
              <w:r>
                <w:rPr>
                  <w:i/>
                  <w:iCs/>
                  <w:noProof/>
                </w:rPr>
                <w:t xml:space="preserve">Capital Allocation: Results, Analysis, and Assessment. </w:t>
              </w:r>
              <w:r>
                <w:rPr>
                  <w:noProof/>
                </w:rPr>
                <w:t>[Online] [Accessed 2025].</w:t>
              </w:r>
            </w:p>
            <w:p w14:paraId="651B16FD" w14:textId="77777777" w:rsidR="0044766C" w:rsidRDefault="0044766C" w:rsidP="005206D7">
              <w:pPr>
                <w:pStyle w:val="Bibliography"/>
                <w:spacing w:before="240" w:after="80" w:line="276" w:lineRule="auto"/>
                <w:jc w:val="left"/>
                <w:rPr>
                  <w:noProof/>
                </w:rPr>
              </w:pPr>
              <w:r>
                <w:rPr>
                  <w:noProof/>
                </w:rPr>
                <w:t xml:space="preserve">Mehlkopf, T., 2024. </w:t>
              </w:r>
              <w:r>
                <w:rPr>
                  <w:i/>
                  <w:iCs/>
                  <w:noProof/>
                </w:rPr>
                <w:t xml:space="preserve">How are companies rethinking their liquidity management strategies in response to the recent degradation across major working capital metrics?. </w:t>
              </w:r>
              <w:r>
                <w:rPr>
                  <w:noProof/>
                </w:rPr>
                <w:t xml:space="preserve">[Online] </w:t>
              </w:r>
              <w:r>
                <w:rPr>
                  <w:noProof/>
                </w:rPr>
                <w:br/>
                <w:t>[Accessed 2025].</w:t>
              </w:r>
            </w:p>
            <w:p w14:paraId="5B4DDC0C" w14:textId="77777777" w:rsidR="0044766C" w:rsidRDefault="0044766C" w:rsidP="005206D7">
              <w:pPr>
                <w:pStyle w:val="Bibliography"/>
                <w:spacing w:before="240" w:after="80" w:line="276" w:lineRule="auto"/>
                <w:jc w:val="left"/>
                <w:rPr>
                  <w:noProof/>
                </w:rPr>
              </w:pPr>
              <w:r>
                <w:rPr>
                  <w:noProof/>
                </w:rPr>
                <w:t xml:space="preserve">Nguyen, C. T., Nguyen, L. T., Nguyen, N. Q. &amp; McMillan, D., 2022. Corporate social responsibility and financial performance: The case in Vietnam. </w:t>
              </w:r>
              <w:r>
                <w:rPr>
                  <w:i/>
                  <w:iCs/>
                  <w:noProof/>
                </w:rPr>
                <w:t xml:space="preserve">Cogent Economics &amp; Finance, </w:t>
              </w:r>
              <w:r>
                <w:rPr>
                  <w:noProof/>
                </w:rPr>
                <w:t>10(1), pp. 2075600-207.</w:t>
              </w:r>
            </w:p>
            <w:p w14:paraId="54FFA707" w14:textId="77777777" w:rsidR="0044766C" w:rsidRDefault="0044766C" w:rsidP="005206D7">
              <w:pPr>
                <w:pStyle w:val="Bibliography"/>
                <w:spacing w:before="240" w:after="80" w:line="276" w:lineRule="auto"/>
                <w:jc w:val="left"/>
                <w:rPr>
                  <w:noProof/>
                </w:rPr>
              </w:pPr>
              <w:r>
                <w:rPr>
                  <w:noProof/>
                </w:rPr>
                <w:t xml:space="preserve">Nichols, C., Schelonka, S. &amp; Ferrara, N., 2025. </w:t>
              </w:r>
              <w:r>
                <w:rPr>
                  <w:i/>
                  <w:iCs/>
                  <w:noProof/>
                </w:rPr>
                <w:t xml:space="preserve">Digital transformation: Optimize operations, spur innovation. </w:t>
              </w:r>
              <w:r>
                <w:rPr>
                  <w:noProof/>
                </w:rPr>
                <w:t>[Online].</w:t>
              </w:r>
            </w:p>
            <w:p w14:paraId="6EB79C3E" w14:textId="77777777" w:rsidR="0044766C" w:rsidRDefault="0044766C" w:rsidP="005206D7">
              <w:pPr>
                <w:pStyle w:val="Bibliography"/>
                <w:spacing w:before="240" w:after="80" w:line="276" w:lineRule="auto"/>
                <w:jc w:val="left"/>
                <w:rPr>
                  <w:noProof/>
                </w:rPr>
              </w:pPr>
              <w:r>
                <w:rPr>
                  <w:noProof/>
                </w:rPr>
                <w:t xml:space="preserve">Odi, E. R. &amp; Oji, G. U., 2024. Corporate restructuring and the shareholders wealth of selected firms in Nigeria. </w:t>
              </w:r>
              <w:r>
                <w:rPr>
                  <w:i/>
                  <w:iCs/>
                  <w:noProof/>
                </w:rPr>
                <w:t xml:space="preserve">International Journal of Banking and Finance Research, </w:t>
              </w:r>
              <w:r>
                <w:rPr>
                  <w:noProof/>
                </w:rPr>
                <w:t>10(9), p. 106–124.</w:t>
              </w:r>
            </w:p>
            <w:p w14:paraId="14F1FB86" w14:textId="4655899C" w:rsidR="0044766C" w:rsidRDefault="0044766C" w:rsidP="005206D7">
              <w:pPr>
                <w:pStyle w:val="Bibliography"/>
                <w:spacing w:before="240" w:after="80" w:line="276" w:lineRule="auto"/>
                <w:jc w:val="left"/>
                <w:rPr>
                  <w:noProof/>
                </w:rPr>
              </w:pPr>
              <w:r>
                <w:rPr>
                  <w:noProof/>
                </w:rPr>
                <w:t xml:space="preserve">Pedone, E. H., Gara, A. &amp; Levingston, I., 2025. </w:t>
              </w:r>
              <w:r>
                <w:rPr>
                  <w:i/>
                  <w:iCs/>
                  <w:noProof/>
                </w:rPr>
                <w:t xml:space="preserve">Private equity fundraising slides as sector’s downturn deepens. </w:t>
              </w:r>
              <w:r>
                <w:rPr>
                  <w:noProof/>
                </w:rPr>
                <w:t>[Online] [Accessed 2025].</w:t>
              </w:r>
            </w:p>
            <w:p w14:paraId="224B070B" w14:textId="77777777" w:rsidR="0044766C" w:rsidRDefault="0044766C" w:rsidP="005206D7">
              <w:pPr>
                <w:pStyle w:val="Bibliography"/>
                <w:spacing w:before="240" w:after="80" w:line="276" w:lineRule="auto"/>
                <w:jc w:val="left"/>
                <w:rPr>
                  <w:noProof/>
                </w:rPr>
              </w:pPr>
              <w:r>
                <w:rPr>
                  <w:noProof/>
                </w:rPr>
                <w:t>Pellegrino, R., Gaudenzi, B. &amp; Zsidisin, G. A., 2023. Mitigating foreign exchange risk exposure with supply chain flexibility: A real option analysis. 45(1), p. e12338.</w:t>
              </w:r>
            </w:p>
            <w:p w14:paraId="3359EFC9" w14:textId="77777777" w:rsidR="0044766C" w:rsidRDefault="0044766C" w:rsidP="005206D7">
              <w:pPr>
                <w:pStyle w:val="Bibliography"/>
                <w:spacing w:before="240" w:after="80" w:line="276" w:lineRule="auto"/>
                <w:jc w:val="left"/>
                <w:rPr>
                  <w:noProof/>
                </w:rPr>
              </w:pPr>
              <w:r>
                <w:rPr>
                  <w:noProof/>
                </w:rPr>
                <w:t xml:space="preserve">PGIM Private Capital, 2025. </w:t>
              </w:r>
              <w:r>
                <w:rPr>
                  <w:i/>
                  <w:iCs/>
                  <w:noProof/>
                </w:rPr>
                <w:t xml:space="preserve">Capital Comparison and Structure Strategy. </w:t>
              </w:r>
              <w:r>
                <w:rPr>
                  <w:noProof/>
                </w:rPr>
                <w:t xml:space="preserve">[Online] </w:t>
              </w:r>
              <w:r>
                <w:rPr>
                  <w:noProof/>
                </w:rPr>
                <w:br/>
                <w:t>[Accessed 2025].</w:t>
              </w:r>
            </w:p>
            <w:p w14:paraId="1C50D41A" w14:textId="77777777" w:rsidR="0044766C" w:rsidRDefault="0044766C" w:rsidP="005206D7">
              <w:pPr>
                <w:pStyle w:val="Bibliography"/>
                <w:spacing w:before="240" w:after="80" w:line="276" w:lineRule="auto"/>
                <w:jc w:val="left"/>
                <w:rPr>
                  <w:noProof/>
                </w:rPr>
              </w:pPr>
              <w:r>
                <w:rPr>
                  <w:noProof/>
                </w:rPr>
                <w:t xml:space="preserve">PGIM Private Capital, 2025. </w:t>
              </w:r>
              <w:r>
                <w:rPr>
                  <w:i/>
                  <w:iCs/>
                  <w:noProof/>
                </w:rPr>
                <w:t xml:space="preserve">The Benefits of Long-Term vs. Short-Term Financing. </w:t>
              </w:r>
              <w:r>
                <w:rPr>
                  <w:noProof/>
                </w:rPr>
                <w:t>[Online].</w:t>
              </w:r>
            </w:p>
            <w:p w14:paraId="7F2B8894" w14:textId="5A8D09ED" w:rsidR="0044766C" w:rsidRDefault="0044766C" w:rsidP="005206D7">
              <w:pPr>
                <w:pStyle w:val="Bibliography"/>
                <w:spacing w:before="240" w:after="80" w:line="276" w:lineRule="auto"/>
                <w:jc w:val="left"/>
                <w:rPr>
                  <w:noProof/>
                </w:rPr>
              </w:pPr>
              <w:r>
                <w:rPr>
                  <w:noProof/>
                </w:rPr>
                <w:lastRenderedPageBreak/>
                <w:t xml:space="preserve">PGIM Private Capital, 2025. </w:t>
              </w:r>
              <w:r>
                <w:rPr>
                  <w:i/>
                  <w:iCs/>
                  <w:noProof/>
                </w:rPr>
                <w:t xml:space="preserve">The Value of Long-Term Financing. </w:t>
              </w:r>
              <w:r>
                <w:rPr>
                  <w:noProof/>
                </w:rPr>
                <w:t>[Online] [Accessed 2025].</w:t>
              </w:r>
            </w:p>
            <w:p w14:paraId="44238D34" w14:textId="77777777" w:rsidR="0044766C" w:rsidRDefault="0044766C" w:rsidP="005206D7">
              <w:pPr>
                <w:pStyle w:val="Bibliography"/>
                <w:spacing w:before="240" w:after="80" w:line="276" w:lineRule="auto"/>
                <w:jc w:val="left"/>
                <w:rPr>
                  <w:noProof/>
                </w:rPr>
              </w:pPr>
              <w:r>
                <w:rPr>
                  <w:noProof/>
                </w:rPr>
                <w:t xml:space="preserve">Porter, M. E., 1980. </w:t>
              </w:r>
              <w:r>
                <w:rPr>
                  <w:i/>
                  <w:iCs/>
                  <w:noProof/>
                </w:rPr>
                <w:t xml:space="preserve">Competitive strategy : techniques for analyzing industries and competitors. </w:t>
              </w:r>
              <w:r>
                <w:rPr>
                  <w:noProof/>
                </w:rPr>
                <w:t>New York : Free Press.</w:t>
              </w:r>
            </w:p>
            <w:p w14:paraId="22ECCC0C" w14:textId="6FC2A448" w:rsidR="0044766C" w:rsidRDefault="0044766C" w:rsidP="005206D7">
              <w:pPr>
                <w:pStyle w:val="Bibliography"/>
                <w:spacing w:before="240" w:after="80" w:line="276" w:lineRule="auto"/>
                <w:jc w:val="left"/>
                <w:rPr>
                  <w:noProof/>
                </w:rPr>
              </w:pPr>
              <w:r>
                <w:rPr>
                  <w:noProof/>
                </w:rPr>
                <w:t xml:space="preserve">Schön, W., 2021. </w:t>
              </w:r>
              <w:r>
                <w:rPr>
                  <w:i/>
                  <w:iCs/>
                  <w:noProof/>
                </w:rPr>
                <w:t xml:space="preserve">Is there Finally an International Tax System?. </w:t>
              </w:r>
              <w:r>
                <w:rPr>
                  <w:noProof/>
                </w:rPr>
                <w:t>[Online] [Accessed 2025].</w:t>
              </w:r>
            </w:p>
            <w:p w14:paraId="715CBF20" w14:textId="77777777" w:rsidR="0044766C" w:rsidRDefault="0044766C" w:rsidP="005206D7">
              <w:pPr>
                <w:pStyle w:val="Bibliography"/>
                <w:spacing w:before="240" w:after="80" w:line="276" w:lineRule="auto"/>
                <w:jc w:val="left"/>
                <w:rPr>
                  <w:noProof/>
                </w:rPr>
              </w:pPr>
              <w:r>
                <w:rPr>
                  <w:noProof/>
                </w:rPr>
                <w:t xml:space="preserve">Siddiqui, A., 2022. The Importance of Just in Time (JIT) Methodology and its Advantages in Health Care Quality Management Business – A Scoping Review. </w:t>
              </w:r>
              <w:r>
                <w:rPr>
                  <w:i/>
                  <w:iCs/>
                  <w:noProof/>
                </w:rPr>
                <w:t xml:space="preserve">Biomedical Journal of Scientific &amp; Technical Research, </w:t>
              </w:r>
              <w:r>
                <w:rPr>
                  <w:noProof/>
                </w:rPr>
                <w:t>42(1), pp. 33317-33325.</w:t>
              </w:r>
            </w:p>
            <w:p w14:paraId="0E1D1581" w14:textId="77777777" w:rsidR="0044766C" w:rsidRDefault="0044766C" w:rsidP="005206D7">
              <w:pPr>
                <w:pStyle w:val="Bibliography"/>
                <w:spacing w:before="240" w:after="80" w:line="276" w:lineRule="auto"/>
                <w:jc w:val="left"/>
                <w:rPr>
                  <w:noProof/>
                </w:rPr>
              </w:pPr>
              <w:r>
                <w:rPr>
                  <w:noProof/>
                </w:rPr>
                <w:t xml:space="preserve">Spencer, B., 2024. </w:t>
              </w:r>
              <w:r>
                <w:rPr>
                  <w:i/>
                  <w:iCs/>
                  <w:noProof/>
                </w:rPr>
                <w:t xml:space="preserve">Agile supply chain strategies for modern organizations. </w:t>
              </w:r>
              <w:r>
                <w:rPr>
                  <w:noProof/>
                </w:rPr>
                <w:t>[Online].</w:t>
              </w:r>
            </w:p>
            <w:p w14:paraId="59BDD325" w14:textId="05954B1A" w:rsidR="0044766C" w:rsidRDefault="0044766C" w:rsidP="00C75B7B">
              <w:pPr>
                <w:spacing w:before="240" w:after="80" w:line="276" w:lineRule="auto"/>
                <w:jc w:val="left"/>
              </w:pPr>
              <w:r>
                <w:rPr>
                  <w:b/>
                  <w:bCs/>
                  <w:noProof/>
                </w:rPr>
                <w:fldChar w:fldCharType="end"/>
              </w:r>
            </w:p>
          </w:sdtContent>
        </w:sdt>
      </w:sdtContent>
    </w:sdt>
    <w:p w14:paraId="021CE6E6" w14:textId="62612069" w:rsidR="007E6185" w:rsidRDefault="007E6185"/>
    <w:p w14:paraId="43253A8E" w14:textId="77777777" w:rsidR="007E6185" w:rsidRDefault="007E6185">
      <w:pPr>
        <w:spacing w:after="160" w:line="278" w:lineRule="auto"/>
        <w:jc w:val="left"/>
      </w:pPr>
      <w:r>
        <w:br w:type="page"/>
      </w:r>
    </w:p>
    <w:p w14:paraId="3ABF926D" w14:textId="0721B521" w:rsidR="00AA32DA" w:rsidRDefault="007E6185" w:rsidP="007E6185">
      <w:pPr>
        <w:pStyle w:val="Heading1"/>
      </w:pPr>
      <w:bookmarkStart w:id="32" w:name="_Toc210563928"/>
      <w:r>
        <w:lastRenderedPageBreak/>
        <w:t>Appendices</w:t>
      </w:r>
      <w:bookmarkEnd w:id="32"/>
    </w:p>
    <w:p w14:paraId="188A98F8" w14:textId="1DF9F663" w:rsidR="007E6185" w:rsidRPr="00D0141D" w:rsidRDefault="00D0141D">
      <w:pPr>
        <w:rPr>
          <w:b/>
          <w:bCs/>
          <w:sz w:val="28"/>
          <w:szCs w:val="28"/>
        </w:rPr>
      </w:pPr>
      <w:r w:rsidRPr="00D0141D">
        <w:rPr>
          <w:b/>
          <w:bCs/>
          <w:sz w:val="28"/>
          <w:szCs w:val="28"/>
        </w:rPr>
        <w:t>A: Financial Ratios and Models</w:t>
      </w:r>
    </w:p>
    <w:p w14:paraId="517648BF" w14:textId="77777777" w:rsidR="00DD650A" w:rsidRDefault="00DD650A">
      <w:r>
        <w:t>1. Gross Profit Margin</w:t>
      </w:r>
    </w:p>
    <w:p w14:paraId="41D1B4C8" w14:textId="77777777" w:rsidR="00DD650A" w:rsidRPr="00272167" w:rsidRDefault="00DD650A">
      <m:oMathPara>
        <m:oMath>
          <m:r>
            <w:rPr>
              <w:rFonts w:ascii="Cambria Math" w:hAnsi="Cambria Math"/>
            </w:rPr>
            <m:t>Gross Profit Margin=</m:t>
          </m:r>
          <m:d>
            <m:dPr>
              <m:ctrlPr>
                <w:rPr>
                  <w:rFonts w:ascii="Cambria Math" w:hAnsi="Cambria Math"/>
                  <w:i/>
                </w:rPr>
              </m:ctrlPr>
            </m:dPr>
            <m:e>
              <m:f>
                <m:fPr>
                  <m:ctrlPr>
                    <w:rPr>
                      <w:rFonts w:ascii="Cambria Math" w:hAnsi="Cambria Math"/>
                      <w:i/>
                    </w:rPr>
                  </m:ctrlPr>
                </m:fPr>
                <m:num>
                  <m:r>
                    <w:rPr>
                      <w:rFonts w:ascii="Cambria Math" w:hAnsi="Cambria Math"/>
                    </w:rPr>
                    <m:t>Gross Profit</m:t>
                  </m:r>
                </m:num>
                <m:den>
                  <m:r>
                    <w:rPr>
                      <w:rFonts w:ascii="Cambria Math" w:hAnsi="Cambria Math"/>
                    </w:rPr>
                    <m:t>Net Sales</m:t>
                  </m:r>
                </m:den>
              </m:f>
            </m:e>
          </m:d>
          <m:r>
            <w:rPr>
              <w:rFonts w:ascii="Cambria Math" w:hAnsi="Cambria Math"/>
            </w:rPr>
            <m:t>×100</m:t>
          </m:r>
        </m:oMath>
      </m:oMathPara>
    </w:p>
    <w:p w14:paraId="25113DFD" w14:textId="77777777" w:rsidR="00DD650A" w:rsidRDefault="00DD650A">
      <w:r>
        <w:t xml:space="preserve">2024: </w:t>
      </w:r>
      <m:oMath>
        <m:r>
          <w:rPr>
            <w:rFonts w:ascii="Cambria Math" w:hAnsi="Cambria Math"/>
          </w:rPr>
          <m:t>Gross Profit=</m:t>
        </m:r>
        <m:d>
          <m:dPr>
            <m:ctrlPr>
              <w:rPr>
                <w:rFonts w:ascii="Cambria Math" w:hAnsi="Cambria Math"/>
                <w:i/>
              </w:rPr>
            </m:ctrlPr>
          </m:dPr>
          <m:e>
            <m:f>
              <m:fPr>
                <m:ctrlPr>
                  <w:rPr>
                    <w:rFonts w:ascii="Cambria Math" w:hAnsi="Cambria Math"/>
                    <w:i/>
                  </w:rPr>
                </m:ctrlPr>
              </m:fPr>
              <m:num>
                <m:r>
                  <w:rPr>
                    <w:rFonts w:ascii="Cambria Math" w:hAnsi="Cambria Math"/>
                  </w:rPr>
                  <m:t>113.994</m:t>
                </m:r>
              </m:num>
              <m:den>
                <m:r>
                  <w:rPr>
                    <w:rFonts w:ascii="Cambria Math" w:hAnsi="Cambria Math"/>
                  </w:rPr>
                  <m:t>394.879</m:t>
                </m:r>
              </m:den>
            </m:f>
          </m:e>
        </m:d>
        <m:r>
          <w:rPr>
            <w:rFonts w:ascii="Cambria Math" w:hAnsi="Cambria Math"/>
          </w:rPr>
          <m:t>×100</m:t>
        </m:r>
      </m:oMath>
      <w:r>
        <w:t>=28.87%</w:t>
      </w:r>
    </w:p>
    <w:p w14:paraId="2183EAE1" w14:textId="77777777" w:rsidR="00DD650A" w:rsidRDefault="00DD650A">
      <w:r>
        <w:t xml:space="preserve">2023: </w:t>
      </w:r>
      <m:oMath>
        <m:r>
          <w:rPr>
            <w:rFonts w:ascii="Cambria Math" w:hAnsi="Cambria Math"/>
          </w:rPr>
          <m:t>Gross Profit=</m:t>
        </m:r>
        <m:d>
          <m:dPr>
            <m:ctrlPr>
              <w:rPr>
                <w:rFonts w:ascii="Cambria Math" w:hAnsi="Cambria Math"/>
                <w:i/>
              </w:rPr>
            </m:ctrlPr>
          </m:dPr>
          <m:e>
            <m:f>
              <m:fPr>
                <m:ctrlPr>
                  <w:rPr>
                    <w:rFonts w:ascii="Cambria Math" w:hAnsi="Cambria Math"/>
                    <w:i/>
                  </w:rPr>
                </m:ctrlPr>
              </m:fPr>
              <m:num>
                <m:r>
                  <w:rPr>
                    <w:rFonts w:ascii="Cambria Math" w:hAnsi="Cambria Math"/>
                  </w:rPr>
                  <m:t>97.560</m:t>
                </m:r>
              </m:num>
              <m:den>
                <m:r>
                  <w:rPr>
                    <w:rFonts w:ascii="Cambria Math" w:hAnsi="Cambria Math"/>
                  </w:rPr>
                  <m:t>420.751</m:t>
                </m:r>
              </m:den>
            </m:f>
          </m:e>
        </m:d>
        <m:r>
          <w:rPr>
            <w:rFonts w:ascii="Cambria Math" w:hAnsi="Cambria Math"/>
          </w:rPr>
          <m:t>×100=</m:t>
        </m:r>
      </m:oMath>
      <w:r>
        <w:t>23.20%</w:t>
      </w:r>
    </w:p>
    <w:p w14:paraId="5CD676A7" w14:textId="77777777" w:rsidR="00DD650A" w:rsidRPr="00272167" w:rsidRDefault="00DD650A">
      <w:r>
        <w:t>2022:</w:t>
      </w:r>
      <m:oMath>
        <m:r>
          <w:rPr>
            <w:rFonts w:ascii="Cambria Math" w:hAnsi="Cambria Math"/>
          </w:rPr>
          <m:t>Gross Profit=</m:t>
        </m:r>
        <m:d>
          <m:dPr>
            <m:ctrlPr>
              <w:rPr>
                <w:rFonts w:ascii="Cambria Math" w:hAnsi="Cambria Math"/>
                <w:i/>
              </w:rPr>
            </m:ctrlPr>
          </m:dPr>
          <m:e>
            <m:f>
              <m:fPr>
                <m:ctrlPr>
                  <w:rPr>
                    <w:rFonts w:ascii="Cambria Math" w:hAnsi="Cambria Math"/>
                    <w:i/>
                  </w:rPr>
                </m:ctrlPr>
              </m:fPr>
              <m:num>
                <m:r>
                  <w:rPr>
                    <w:rFonts w:ascii="Cambria Math" w:hAnsi="Cambria Math"/>
                  </w:rPr>
                  <m:t>152.292</m:t>
                </m:r>
              </m:num>
              <m:den>
                <m:r>
                  <w:rPr>
                    <w:rFonts w:ascii="Cambria Math" w:hAnsi="Cambria Math"/>
                  </w:rPr>
                  <m:t>542.751</m:t>
                </m:r>
              </m:den>
            </m:f>
          </m:e>
        </m:d>
        <m:r>
          <w:rPr>
            <w:rFonts w:ascii="Cambria Math" w:hAnsi="Cambria Math"/>
          </w:rPr>
          <m:t>×100=28.06%</m:t>
        </m:r>
      </m:oMath>
    </w:p>
    <w:p w14:paraId="2A92D85C" w14:textId="77777777" w:rsidR="00DD650A" w:rsidRPr="00272167" w:rsidRDefault="00DD650A">
      <w:r>
        <w:t xml:space="preserve">2021: </w:t>
      </w:r>
      <m:oMath>
        <m:r>
          <w:rPr>
            <w:rFonts w:ascii="Cambria Math" w:hAnsi="Cambria Math"/>
          </w:rPr>
          <m:t>Gross Profit=</m:t>
        </m:r>
        <m:d>
          <m:dPr>
            <m:ctrlPr>
              <w:rPr>
                <w:rFonts w:ascii="Cambria Math" w:hAnsi="Cambria Math"/>
                <w:i/>
              </w:rPr>
            </m:ctrlPr>
          </m:dPr>
          <m:e>
            <m:f>
              <m:fPr>
                <m:ctrlPr>
                  <w:rPr>
                    <w:rFonts w:ascii="Cambria Math" w:hAnsi="Cambria Math"/>
                    <w:i/>
                  </w:rPr>
                </m:ctrlPr>
              </m:fPr>
              <m:num>
                <m:r>
                  <w:rPr>
                    <w:rFonts w:ascii="Cambria Math" w:hAnsi="Cambria Math"/>
                  </w:rPr>
                  <m:t>173.016</m:t>
                </m:r>
              </m:num>
              <m:den>
                <m:r>
                  <w:rPr>
                    <w:rFonts w:ascii="Cambria Math" w:hAnsi="Cambria Math"/>
                  </w:rPr>
                  <m:t>601.602</m:t>
                </m:r>
              </m:den>
            </m:f>
          </m:e>
        </m:d>
        <m:r>
          <w:rPr>
            <w:rFonts w:ascii="Cambria Math" w:hAnsi="Cambria Math"/>
          </w:rPr>
          <m:t>×100=28.76%</m:t>
        </m:r>
      </m:oMath>
    </w:p>
    <w:p w14:paraId="5E830648" w14:textId="77777777" w:rsidR="00DD650A" w:rsidRPr="00045791" w:rsidRDefault="00DD650A">
      <w:r>
        <w:t xml:space="preserve">2020: </w:t>
      </w:r>
      <m:oMath>
        <m:r>
          <w:rPr>
            <w:rFonts w:ascii="Cambria Math" w:hAnsi="Cambria Math"/>
          </w:rPr>
          <m:t>Gross Profit=</m:t>
        </m:r>
        <m:d>
          <m:dPr>
            <m:ctrlPr>
              <w:rPr>
                <w:rFonts w:ascii="Cambria Math" w:hAnsi="Cambria Math"/>
                <w:i/>
              </w:rPr>
            </m:ctrlPr>
          </m:dPr>
          <m:e>
            <m:f>
              <m:fPr>
                <m:ctrlPr>
                  <w:rPr>
                    <w:rFonts w:ascii="Cambria Math" w:hAnsi="Cambria Math"/>
                    <w:i/>
                  </w:rPr>
                </m:ctrlPr>
              </m:fPr>
              <m:num>
                <m:r>
                  <w:rPr>
                    <w:rFonts w:ascii="Cambria Math" w:hAnsi="Cambria Math"/>
                  </w:rPr>
                  <m:t>176.256</m:t>
                </m:r>
              </m:num>
              <m:den>
                <m:r>
                  <w:rPr>
                    <w:rFonts w:ascii="Cambria Math" w:hAnsi="Cambria Math"/>
                  </w:rPr>
                  <m:t>614.680</m:t>
                </m:r>
              </m:den>
            </m:f>
          </m:e>
        </m:d>
        <m:r>
          <w:rPr>
            <w:rFonts w:ascii="Cambria Math" w:hAnsi="Cambria Math"/>
          </w:rPr>
          <m:t>×100=28.67%</m:t>
        </m:r>
      </m:oMath>
    </w:p>
    <w:p w14:paraId="6394CF39" w14:textId="77777777" w:rsidR="00DD650A" w:rsidRDefault="00DD650A"/>
    <w:p w14:paraId="5EDE9A18" w14:textId="77777777" w:rsidR="00DD650A" w:rsidRPr="00E86F30" w:rsidRDefault="00DD650A">
      <w:pPr>
        <w:rPr>
          <w:b/>
          <w:bCs/>
        </w:rPr>
      </w:pPr>
      <w:r w:rsidRPr="00E86F30">
        <w:rPr>
          <w:b/>
          <w:bCs/>
        </w:rPr>
        <w:t xml:space="preserve">2. </w:t>
      </w:r>
      <w:r w:rsidRPr="00E86F30">
        <w:rPr>
          <w:rFonts w:hint="eastAsia"/>
          <w:b/>
          <w:bCs/>
        </w:rPr>
        <w:t>Net Profit Margin</w:t>
      </w:r>
      <w:r w:rsidRPr="00E86F30">
        <w:rPr>
          <w:rFonts w:hint="eastAsia"/>
          <w:b/>
          <w:bCs/>
        </w:rPr>
        <w:t>（</w:t>
      </w:r>
      <w:r w:rsidRPr="00E86F30">
        <w:rPr>
          <w:rFonts w:hint="eastAsia"/>
          <w:b/>
          <w:bCs/>
        </w:rPr>
        <w:t>Sales Profit Margin</w:t>
      </w:r>
      <w:r w:rsidRPr="00E86F30">
        <w:rPr>
          <w:rFonts w:hint="eastAsia"/>
          <w:b/>
          <w:bCs/>
        </w:rPr>
        <w:t>）</w:t>
      </w:r>
    </w:p>
    <w:p w14:paraId="1CCA6323" w14:textId="77777777" w:rsidR="00DD650A" w:rsidRPr="00045791" w:rsidRDefault="00DD650A">
      <m:oMathPara>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Net Profit</m:t>
                  </m:r>
                </m:num>
                <m:den>
                  <m:r>
                    <w:rPr>
                      <w:rFonts w:ascii="Cambria Math" w:hAnsi="Cambria Math"/>
                    </w:rPr>
                    <m:t>Sales Revenue</m:t>
                  </m:r>
                </m:den>
              </m:f>
            </m:e>
          </m:d>
          <m:r>
            <w:rPr>
              <w:rFonts w:ascii="Cambria Math" w:hAnsi="Cambria Math"/>
            </w:rPr>
            <m:t>×100</m:t>
          </m:r>
        </m:oMath>
      </m:oMathPara>
    </w:p>
    <w:p w14:paraId="1B49F615" w14:textId="77777777" w:rsidR="00DD650A" w:rsidRPr="00045791" w:rsidRDefault="00DD650A">
      <w:r>
        <w:t xml:space="preserve">2024: </w:t>
      </w: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24.029</m:t>
                </m:r>
              </m:num>
              <m:den>
                <m:r>
                  <w:rPr>
                    <w:rFonts w:ascii="Cambria Math" w:hAnsi="Cambria Math"/>
                  </w:rPr>
                  <m:t>394.879</m:t>
                </m:r>
              </m:den>
            </m:f>
          </m:e>
        </m:d>
        <m:r>
          <w:rPr>
            <w:rFonts w:ascii="Cambria Math" w:hAnsi="Cambria Math"/>
          </w:rPr>
          <m:t xml:space="preserve">×100=-6.09% </m:t>
        </m:r>
      </m:oMath>
    </w:p>
    <w:p w14:paraId="7F72383A" w14:textId="77777777" w:rsidR="00DD650A" w:rsidRPr="00045791" w:rsidRDefault="00DD650A">
      <w:r>
        <w:t xml:space="preserve">2023: </w:t>
      </w: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98.238</m:t>
                </m:r>
              </m:num>
              <m:den>
                <m:r>
                  <w:rPr>
                    <w:rFonts w:ascii="Cambria Math" w:hAnsi="Cambria Math"/>
                  </w:rPr>
                  <m:t>420.457</m:t>
                </m:r>
              </m:den>
            </m:f>
          </m:e>
        </m:d>
        <m:r>
          <w:rPr>
            <w:rFonts w:ascii="Cambria Math" w:hAnsi="Cambria Math"/>
          </w:rPr>
          <m:t>×100=-23.36%</m:t>
        </m:r>
      </m:oMath>
    </w:p>
    <w:p w14:paraId="5BE3F68A" w14:textId="77777777" w:rsidR="00DD650A" w:rsidRPr="00045791" w:rsidRDefault="00DD650A">
      <w:r>
        <w:t xml:space="preserve">2022: </w:t>
      </w: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407</m:t>
                </m:r>
              </m:num>
              <m:den>
                <m:r>
                  <w:rPr>
                    <w:rFonts w:ascii="Cambria Math" w:hAnsi="Cambria Math"/>
                  </w:rPr>
                  <m:t>542.751</m:t>
                </m:r>
              </m:den>
            </m:f>
          </m:e>
        </m:d>
        <m:r>
          <w:rPr>
            <w:rFonts w:ascii="Cambria Math" w:hAnsi="Cambria Math"/>
          </w:rPr>
          <m:t>×100=0.07%</m:t>
        </m:r>
      </m:oMath>
    </w:p>
    <w:p w14:paraId="5375F482" w14:textId="77777777" w:rsidR="00DD650A" w:rsidRPr="00E86F30" w:rsidRDefault="00DD650A">
      <w:r>
        <w:t xml:space="preserve">2021: </w:t>
      </w: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5.301</m:t>
                </m:r>
              </m:num>
              <m:den>
                <m:r>
                  <w:rPr>
                    <w:rFonts w:ascii="Cambria Math" w:hAnsi="Cambria Math"/>
                  </w:rPr>
                  <m:t>601.602</m:t>
                </m:r>
              </m:den>
            </m:f>
          </m:e>
        </m:d>
        <m:r>
          <w:rPr>
            <w:rFonts w:ascii="Cambria Math" w:hAnsi="Cambria Math"/>
          </w:rPr>
          <m:t>×100=0.88%</m:t>
        </m:r>
      </m:oMath>
    </w:p>
    <w:p w14:paraId="6F31FA09" w14:textId="77777777" w:rsidR="00DD650A" w:rsidRPr="00E86F30" w:rsidRDefault="00DD650A">
      <w:r>
        <w:t xml:space="preserve">2020: </w:t>
      </w: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38.572</m:t>
                </m:r>
              </m:num>
              <m:den>
                <m:r>
                  <w:rPr>
                    <w:rFonts w:ascii="Cambria Math" w:hAnsi="Cambria Math"/>
                  </w:rPr>
                  <m:t>614.680</m:t>
                </m:r>
              </m:den>
            </m:f>
          </m:e>
        </m:d>
        <m:r>
          <w:rPr>
            <w:rFonts w:ascii="Cambria Math" w:hAnsi="Cambria Math"/>
          </w:rPr>
          <m:t>×100=6.28%</m:t>
        </m:r>
      </m:oMath>
    </w:p>
    <w:p w14:paraId="6B52312A" w14:textId="77777777" w:rsidR="00DD650A" w:rsidRDefault="00DD650A"/>
    <w:p w14:paraId="4B3508E0" w14:textId="77777777" w:rsidR="00DD650A" w:rsidRPr="00E86F30" w:rsidRDefault="00DD650A">
      <w:pPr>
        <w:rPr>
          <w:b/>
          <w:bCs/>
        </w:rPr>
      </w:pPr>
      <w:r w:rsidRPr="00E86F30">
        <w:rPr>
          <w:b/>
          <w:bCs/>
        </w:rPr>
        <w:t xml:space="preserve">3. </w:t>
      </w:r>
      <w:r w:rsidRPr="00E86F30">
        <w:rPr>
          <w:rFonts w:hint="eastAsia"/>
          <w:b/>
          <w:bCs/>
        </w:rPr>
        <w:t>Return on Assets (ROA</w:t>
      </w:r>
      <w:r w:rsidRPr="00E86F30">
        <w:rPr>
          <w:b/>
          <w:bCs/>
        </w:rPr>
        <w:t>)</w:t>
      </w:r>
      <w:r w:rsidRPr="00E86F30">
        <w:rPr>
          <w:rFonts w:hint="eastAsia"/>
          <w:b/>
          <w:bCs/>
        </w:rPr>
        <w:t xml:space="preserve"> </w:t>
      </w:r>
    </w:p>
    <w:p w14:paraId="4CA25383" w14:textId="77777777" w:rsidR="00DD650A" w:rsidRPr="00E86F30" w:rsidRDefault="00DD650A">
      <m:oMathPara>
        <m:oMath>
          <m:r>
            <m:rPr>
              <m:sty m:val="p"/>
            </m:rPr>
            <w:rPr>
              <w:rFonts w:ascii="Cambria Math" w:hAnsi="Cambria Math"/>
            </w:rPr>
            <m:t xml:space="preserve">ROA= </m:t>
          </m:r>
          <m:d>
            <m:dPr>
              <m:ctrlPr>
                <w:rPr>
                  <w:rFonts w:ascii="Cambria Math" w:hAnsi="Cambria Math"/>
                </w:rPr>
              </m:ctrlPr>
            </m:dPr>
            <m:e>
              <m:f>
                <m:fPr>
                  <m:ctrlPr>
                    <w:rPr>
                      <w:rFonts w:ascii="Cambria Math" w:hAnsi="Cambria Math"/>
                      <w:i/>
                    </w:rPr>
                  </m:ctrlPr>
                </m:fPr>
                <m:num>
                  <m:r>
                    <m:rPr>
                      <m:sty m:val="p"/>
                    </m:rPr>
                    <w:rPr>
                      <w:rFonts w:ascii="Cambria Math" w:hAnsi="Cambria Math"/>
                    </w:rPr>
                    <m:t>Net profit</m:t>
                  </m:r>
                </m:num>
                <m:den>
                  <m:r>
                    <m:rPr>
                      <m:sty m:val="p"/>
                    </m:rPr>
                    <w:rPr>
                      <w:rFonts w:ascii="Cambria Math" w:hAnsi="Cambria Math"/>
                    </w:rPr>
                    <m:t>Average Total assets</m:t>
                  </m:r>
                </m:den>
              </m:f>
            </m:e>
          </m:d>
          <m:r>
            <w:rPr>
              <w:rFonts w:ascii="Cambria Math" w:hAnsi="Cambria Math"/>
            </w:rPr>
            <m:t>×100</m:t>
          </m:r>
        </m:oMath>
      </m:oMathPara>
    </w:p>
    <w:p w14:paraId="0A6AB623" w14:textId="77777777" w:rsidR="00DD650A" w:rsidRPr="00F10BCE" w:rsidRDefault="00DD650A">
      <w:r>
        <w:t xml:space="preserve">2024: </w:t>
      </w:r>
      <m:oMath>
        <m:r>
          <m:rPr>
            <m:sty m:val="p"/>
          </m:rPr>
          <w:rPr>
            <w:rFonts w:ascii="Cambria Math" w:hAnsi="Cambria Math"/>
          </w:rPr>
          <m:t>ROA=</m:t>
        </m:r>
        <m:d>
          <m:dPr>
            <m:ctrlPr>
              <w:rPr>
                <w:rFonts w:ascii="Cambria Math" w:hAnsi="Cambria Math"/>
              </w:rPr>
            </m:ctrlPr>
          </m:dPr>
          <m:e>
            <m:f>
              <m:fPr>
                <m:ctrlPr>
                  <w:rPr>
                    <w:rFonts w:ascii="Cambria Math" w:hAnsi="Cambria Math"/>
                    <w:i/>
                  </w:rPr>
                </m:ctrlPr>
              </m:fPr>
              <m:num>
                <m:r>
                  <w:rPr>
                    <w:rFonts w:ascii="Cambria Math" w:hAnsi="Cambria Math"/>
                  </w:rPr>
                  <m:t>-24.029</m:t>
                </m:r>
              </m:num>
              <m:den>
                <m:r>
                  <w:rPr>
                    <w:rFonts w:ascii="Cambria Math" w:hAnsi="Cambria Math"/>
                  </w:rPr>
                  <m:t>339.613</m:t>
                </m:r>
              </m:den>
            </m:f>
          </m:e>
        </m:d>
        <m:r>
          <w:rPr>
            <w:rFonts w:ascii="Cambria Math" w:hAnsi="Cambria Math"/>
          </w:rPr>
          <m:t>×100=-7.08%</m:t>
        </m:r>
      </m:oMath>
    </w:p>
    <w:p w14:paraId="3ADA259F" w14:textId="77777777" w:rsidR="00DD650A" w:rsidRPr="00F10BCE" w:rsidRDefault="00DD650A">
      <w:r>
        <w:t xml:space="preserve">2023: </w:t>
      </w:r>
      <m:oMath>
        <m:r>
          <m:rPr>
            <m:sty m:val="p"/>
          </m:rPr>
          <w:rPr>
            <w:rFonts w:ascii="Cambria Math" w:hAnsi="Cambria Math"/>
          </w:rPr>
          <m:t>ROA=</m:t>
        </m:r>
        <m:d>
          <m:dPr>
            <m:ctrlPr>
              <w:rPr>
                <w:rFonts w:ascii="Cambria Math" w:hAnsi="Cambria Math"/>
              </w:rPr>
            </m:ctrlPr>
          </m:dPr>
          <m:e>
            <m:f>
              <m:fPr>
                <m:ctrlPr>
                  <w:rPr>
                    <w:rFonts w:ascii="Cambria Math" w:hAnsi="Cambria Math"/>
                    <w:i/>
                  </w:rPr>
                </m:ctrlPr>
              </m:fPr>
              <m:num>
                <m:r>
                  <w:rPr>
                    <w:rFonts w:ascii="Cambria Math" w:hAnsi="Cambria Math"/>
                  </w:rPr>
                  <m:t>-98.238</m:t>
                </m:r>
              </m:num>
              <m:den>
                <m:r>
                  <w:rPr>
                    <w:rFonts w:ascii="Cambria Math" w:hAnsi="Cambria Math"/>
                  </w:rPr>
                  <m:t>430.018</m:t>
                </m:r>
              </m:den>
            </m:f>
          </m:e>
        </m:d>
        <m:r>
          <w:rPr>
            <w:rFonts w:ascii="Cambria Math" w:hAnsi="Cambria Math"/>
          </w:rPr>
          <m:t>×100=-22.85%</m:t>
        </m:r>
      </m:oMath>
    </w:p>
    <w:p w14:paraId="5DE2147C" w14:textId="77777777" w:rsidR="00DD650A" w:rsidRPr="00F10BCE" w:rsidRDefault="00DD650A">
      <w:r>
        <w:t xml:space="preserve">2022: </w:t>
      </w:r>
      <m:oMath>
        <m:r>
          <m:rPr>
            <m:sty m:val="p"/>
          </m:rPr>
          <w:rPr>
            <w:rFonts w:ascii="Cambria Math" w:hAnsi="Cambria Math"/>
          </w:rPr>
          <m:t>ROA=</m:t>
        </m:r>
        <m:d>
          <m:dPr>
            <m:ctrlPr>
              <w:rPr>
                <w:rFonts w:ascii="Cambria Math" w:hAnsi="Cambria Math"/>
              </w:rPr>
            </m:ctrlPr>
          </m:dPr>
          <m:e>
            <m:f>
              <m:fPr>
                <m:ctrlPr>
                  <w:rPr>
                    <w:rFonts w:ascii="Cambria Math" w:hAnsi="Cambria Math"/>
                    <w:i/>
                  </w:rPr>
                </m:ctrlPr>
              </m:fPr>
              <m:num>
                <m:r>
                  <w:rPr>
                    <w:rFonts w:ascii="Cambria Math" w:hAnsi="Cambria Math"/>
                  </w:rPr>
                  <m:t>407</m:t>
                </m:r>
              </m:num>
              <m:den>
                <m:r>
                  <w:rPr>
                    <w:rFonts w:ascii="Cambria Math" w:hAnsi="Cambria Math"/>
                  </w:rPr>
                  <m:t>507.256</m:t>
                </m:r>
              </m:den>
            </m:f>
          </m:e>
        </m:d>
        <m:r>
          <w:rPr>
            <w:rFonts w:ascii="Cambria Math" w:hAnsi="Cambria Math"/>
          </w:rPr>
          <m:t>×100=0.08%</m:t>
        </m:r>
      </m:oMath>
    </w:p>
    <w:p w14:paraId="4538BD13" w14:textId="77777777" w:rsidR="00DD650A" w:rsidRPr="00F10BCE" w:rsidRDefault="00DD650A">
      <w:r>
        <w:lastRenderedPageBreak/>
        <w:t xml:space="preserve">2021: </w:t>
      </w:r>
      <m:oMath>
        <m:r>
          <m:rPr>
            <m:sty m:val="p"/>
          </m:rPr>
          <w:rPr>
            <w:rFonts w:ascii="Cambria Math" w:hAnsi="Cambria Math"/>
          </w:rPr>
          <m:t>ROA=</m:t>
        </m:r>
        <m:d>
          <m:dPr>
            <m:ctrlPr>
              <w:rPr>
                <w:rFonts w:ascii="Cambria Math" w:hAnsi="Cambria Math"/>
              </w:rPr>
            </m:ctrlPr>
          </m:dPr>
          <m:e>
            <m:f>
              <m:fPr>
                <m:ctrlPr>
                  <w:rPr>
                    <w:rFonts w:ascii="Cambria Math" w:hAnsi="Cambria Math"/>
                    <w:i/>
                  </w:rPr>
                </m:ctrlPr>
              </m:fPr>
              <m:num>
                <m:r>
                  <w:rPr>
                    <w:rFonts w:ascii="Cambria Math" w:hAnsi="Cambria Math"/>
                  </w:rPr>
                  <m:t>5.301</m:t>
                </m:r>
              </m:num>
              <m:den>
                <m:r>
                  <w:rPr>
                    <w:rFonts w:ascii="Cambria Math" w:hAnsi="Cambria Math"/>
                  </w:rPr>
                  <m:t>510.319</m:t>
                </m:r>
              </m:den>
            </m:f>
          </m:e>
        </m:d>
        <m:r>
          <w:rPr>
            <w:rFonts w:ascii="Cambria Math" w:hAnsi="Cambria Math"/>
          </w:rPr>
          <m:t>×100=1.04%</m:t>
        </m:r>
      </m:oMath>
    </w:p>
    <w:p w14:paraId="2CBA6E8D" w14:textId="77777777" w:rsidR="00DD650A" w:rsidRPr="00F10BCE" w:rsidRDefault="00DD650A">
      <w:r>
        <w:t xml:space="preserve">2020: </w:t>
      </w:r>
      <m:oMath>
        <m:r>
          <m:rPr>
            <m:sty m:val="p"/>
          </m:rPr>
          <w:rPr>
            <w:rFonts w:ascii="Cambria Math" w:hAnsi="Cambria Math"/>
          </w:rPr>
          <m:t>ROA=</m:t>
        </m:r>
        <m:d>
          <m:dPr>
            <m:ctrlPr>
              <w:rPr>
                <w:rFonts w:ascii="Cambria Math" w:hAnsi="Cambria Math"/>
              </w:rPr>
            </m:ctrlPr>
          </m:dPr>
          <m:e>
            <m:f>
              <m:fPr>
                <m:ctrlPr>
                  <w:rPr>
                    <w:rFonts w:ascii="Cambria Math" w:hAnsi="Cambria Math"/>
                    <w:i/>
                  </w:rPr>
                </m:ctrlPr>
              </m:fPr>
              <m:num>
                <m:r>
                  <w:rPr>
                    <w:rFonts w:ascii="Cambria Math" w:hAnsi="Cambria Math"/>
                  </w:rPr>
                  <m:t>38.572</m:t>
                </m:r>
              </m:num>
              <m:den>
                <m:r>
                  <w:rPr>
                    <w:rFonts w:ascii="Cambria Math" w:hAnsi="Cambria Math"/>
                  </w:rPr>
                  <m:t>510.319</m:t>
                </m:r>
              </m:den>
            </m:f>
          </m:e>
        </m:d>
        <m:r>
          <w:rPr>
            <w:rFonts w:ascii="Cambria Math" w:hAnsi="Cambria Math"/>
          </w:rPr>
          <m:t>×100=7.56%</m:t>
        </m:r>
      </m:oMath>
    </w:p>
    <w:p w14:paraId="072FD93D" w14:textId="77777777" w:rsidR="00DD650A" w:rsidRDefault="00DD650A"/>
    <w:p w14:paraId="51ADAD9C" w14:textId="67A29496" w:rsidR="00DD650A" w:rsidRPr="00F10BCE" w:rsidRDefault="00DD650A" w:rsidP="00F10BCE">
      <w:pPr>
        <w:rPr>
          <w:b/>
          <w:bCs/>
        </w:rPr>
      </w:pPr>
      <w:r w:rsidRPr="00F10BCE">
        <w:rPr>
          <w:b/>
          <w:bCs/>
        </w:rPr>
        <w:t xml:space="preserve">4. </w:t>
      </w:r>
      <w:r w:rsidRPr="00F10BCE">
        <w:rPr>
          <w:rFonts w:hint="eastAsia"/>
          <w:b/>
          <w:bCs/>
        </w:rPr>
        <w:t>Return on Equity</w:t>
      </w:r>
      <w:r w:rsidRPr="00F10BCE">
        <w:rPr>
          <w:rFonts w:hint="eastAsia"/>
          <w:b/>
          <w:bCs/>
        </w:rPr>
        <w:t>（</w:t>
      </w:r>
      <w:r w:rsidRPr="00F10BCE">
        <w:rPr>
          <w:rFonts w:hint="eastAsia"/>
          <w:b/>
          <w:bCs/>
        </w:rPr>
        <w:t>ROE</w:t>
      </w:r>
      <w:r w:rsidRPr="00F10BCE">
        <w:rPr>
          <w:rFonts w:hint="eastAsia"/>
          <w:b/>
          <w:bCs/>
        </w:rPr>
        <w:t>）</w:t>
      </w:r>
    </w:p>
    <w:p w14:paraId="0EEA1935" w14:textId="77777777" w:rsidR="00DD650A" w:rsidRPr="00F10BCE" w:rsidRDefault="00DD650A">
      <m:oMathPara>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m:rPr>
                      <m:sty m:val="p"/>
                    </m:rPr>
                    <w:rPr>
                      <w:rFonts w:ascii="Cambria Math" w:hAnsi="Cambria Math" w:hint="eastAsia"/>
                    </w:rPr>
                    <m:t>Net Profit</m:t>
                  </m:r>
                </m:num>
                <m:den>
                  <m:r>
                    <m:rPr>
                      <m:sty m:val="p"/>
                    </m:rPr>
                    <w:rPr>
                      <w:rFonts w:ascii="Cambria Math" w:hAnsi="Cambria Math" w:hint="eastAsia"/>
                    </w:rPr>
                    <m:t xml:space="preserve">Average </m:t>
                  </m:r>
                  <m:sSup>
                    <m:sSupPr>
                      <m:ctrlPr>
                        <w:rPr>
                          <w:rFonts w:ascii="Cambria Math" w:hAnsi="Cambria Math"/>
                        </w:rPr>
                      </m:ctrlPr>
                    </m:sSupPr>
                    <m:e>
                      <m:r>
                        <m:rPr>
                          <m:sty m:val="p"/>
                        </m:rPr>
                        <w:rPr>
                          <w:rFonts w:ascii="Cambria Math" w:hAnsi="Cambria Math" w:hint="eastAsia"/>
                        </w:rPr>
                        <m:t>Shareholders</m:t>
                      </m:r>
                    </m:e>
                    <m:sup>
                      <m:r>
                        <m:rPr>
                          <m:sty m:val="p"/>
                        </m:rPr>
                        <w:rPr>
                          <w:rFonts w:ascii="Cambria Math" w:hAnsi="Cambria Math"/>
                        </w:rPr>
                        <m:t>'</m:t>
                      </m:r>
                    </m:sup>
                  </m:sSup>
                  <m:r>
                    <m:rPr>
                      <m:sty m:val="p"/>
                    </m:rPr>
                    <w:rPr>
                      <w:rFonts w:ascii="Cambria Math" w:hAnsi="Cambria Math" w:hint="eastAsia"/>
                    </w:rPr>
                    <m:t>Equity</m:t>
                  </m:r>
                </m:den>
              </m:f>
            </m:e>
          </m:d>
          <m:r>
            <w:rPr>
              <w:rFonts w:ascii="Cambria Math" w:hAnsi="Cambria Math"/>
            </w:rPr>
            <m:t>×100</m:t>
          </m:r>
        </m:oMath>
      </m:oMathPara>
    </w:p>
    <w:p w14:paraId="45D5D06F" w14:textId="77777777" w:rsidR="00DD650A" w:rsidRPr="00F10BCE" w:rsidRDefault="00DD650A">
      <w:r>
        <w:t xml:space="preserve">2024: </w:t>
      </w:r>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w:rPr>
                    <w:rFonts w:ascii="Cambria Math" w:hAnsi="Cambria Math"/>
                  </w:rPr>
                  <m:t>-24.029</m:t>
                </m:r>
              </m:num>
              <m:den>
                <m:r>
                  <w:rPr>
                    <w:rFonts w:ascii="Cambria Math" w:hAnsi="Cambria Math"/>
                  </w:rPr>
                  <m:t>166,012.5</m:t>
                </m:r>
              </m:den>
            </m:f>
          </m:e>
        </m:d>
        <m:r>
          <w:rPr>
            <w:rFonts w:ascii="Cambria Math" w:hAnsi="Cambria Math"/>
          </w:rPr>
          <m:t>×100=-14.47%</m:t>
        </m:r>
      </m:oMath>
    </w:p>
    <w:p w14:paraId="36AA056C" w14:textId="77777777" w:rsidR="00DD650A" w:rsidRPr="00A74805" w:rsidRDefault="00DD650A">
      <w:r>
        <w:t xml:space="preserve">2023: </w:t>
      </w:r>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w:rPr>
                    <w:rFonts w:ascii="Cambria Math" w:hAnsi="Cambria Math"/>
                  </w:rPr>
                  <m:t>-98.238</m:t>
                </m:r>
              </m:num>
              <m:den>
                <m:r>
                  <w:rPr>
                    <w:rFonts w:ascii="Cambria Math" w:hAnsi="Cambria Math"/>
                  </w:rPr>
                  <m:t>233.663</m:t>
                </m:r>
              </m:den>
            </m:f>
          </m:e>
        </m:d>
        <m:r>
          <w:rPr>
            <w:rFonts w:ascii="Cambria Math" w:hAnsi="Cambria Math"/>
          </w:rPr>
          <m:t>×100=-43.92%</m:t>
        </m:r>
      </m:oMath>
    </w:p>
    <w:p w14:paraId="339EC492" w14:textId="77777777" w:rsidR="00DD650A" w:rsidRPr="00A74805" w:rsidRDefault="00DD650A">
      <w:r>
        <w:t xml:space="preserve">2022: </w:t>
      </w:r>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w:rPr>
                    <w:rFonts w:ascii="Cambria Math" w:hAnsi="Cambria Math"/>
                  </w:rPr>
                  <m:t>407</m:t>
                </m:r>
              </m:num>
              <m:den>
                <m:r>
                  <w:rPr>
                    <w:rFonts w:ascii="Cambria Math" w:hAnsi="Cambria Math"/>
                  </w:rPr>
                  <m:t>272,177.5</m:t>
                </m:r>
              </m:den>
            </m:f>
          </m:e>
        </m:d>
        <m:r>
          <w:rPr>
            <w:rFonts w:ascii="Cambria Math" w:hAnsi="Cambria Math"/>
          </w:rPr>
          <m:t>×100=0.15%</m:t>
        </m:r>
      </m:oMath>
    </w:p>
    <w:p w14:paraId="6CE7E1B0" w14:textId="77777777" w:rsidR="00DD650A" w:rsidRPr="00A74805" w:rsidRDefault="00DD650A">
      <w:r>
        <w:t xml:space="preserve">2021: </w:t>
      </w:r>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w:rPr>
                    <w:rFonts w:ascii="Cambria Math" w:hAnsi="Cambria Math"/>
                  </w:rPr>
                  <m:t>5.301</m:t>
                </m:r>
              </m:num>
              <m:den>
                <m:r>
                  <w:rPr>
                    <w:rFonts w:ascii="Cambria Math" w:hAnsi="Cambria Math"/>
                  </w:rPr>
                  <m:t>294.625</m:t>
                </m:r>
              </m:den>
            </m:f>
          </m:e>
        </m:d>
        <m:r>
          <w:rPr>
            <w:rFonts w:ascii="Cambria Math" w:hAnsi="Cambria Math"/>
          </w:rPr>
          <m:t>×100=1.80%</m:t>
        </m:r>
      </m:oMath>
    </w:p>
    <w:p w14:paraId="16CA162D" w14:textId="77777777" w:rsidR="00DD650A" w:rsidRPr="00A74805" w:rsidRDefault="00DD650A">
      <w:r>
        <w:t xml:space="preserve">2020: </w:t>
      </w:r>
      <m:oMath>
        <m:r>
          <m:rPr>
            <m:sty m:val="p"/>
          </m:rPr>
          <w:rPr>
            <w:rFonts w:ascii="Cambria Math" w:hAnsi="Cambria Math" w:hint="eastAsia"/>
          </w:rPr>
          <m:t>Return on Equity=</m:t>
        </m:r>
        <m:d>
          <m:dPr>
            <m:ctrlPr>
              <w:rPr>
                <w:rFonts w:ascii="Cambria Math" w:hAnsi="Cambria Math"/>
              </w:rPr>
            </m:ctrlPr>
          </m:dPr>
          <m:e>
            <m:f>
              <m:fPr>
                <m:ctrlPr>
                  <w:rPr>
                    <w:rFonts w:ascii="Cambria Math" w:hAnsi="Cambria Math"/>
                    <w:i/>
                  </w:rPr>
                </m:ctrlPr>
              </m:fPr>
              <m:num>
                <m:r>
                  <w:rPr>
                    <w:rFonts w:ascii="Cambria Math" w:hAnsi="Cambria Math"/>
                  </w:rPr>
                  <m:t>38.572</m:t>
                </m:r>
              </m:num>
              <m:den>
                <m:r>
                  <w:rPr>
                    <w:rFonts w:ascii="Cambria Math" w:hAnsi="Cambria Math"/>
                  </w:rPr>
                  <m:t>294.625</m:t>
                </m:r>
              </m:den>
            </m:f>
          </m:e>
        </m:d>
        <m:r>
          <w:rPr>
            <w:rFonts w:ascii="Cambria Math" w:hAnsi="Cambria Math"/>
          </w:rPr>
          <m:t>×100=13.09%</m:t>
        </m:r>
      </m:oMath>
    </w:p>
    <w:p w14:paraId="61C16BED" w14:textId="77777777" w:rsidR="00DD650A" w:rsidRDefault="00DD650A"/>
    <w:p w14:paraId="54564A0C" w14:textId="77777777" w:rsidR="00DD650A" w:rsidRPr="00A74805" w:rsidRDefault="00DD650A">
      <w:pPr>
        <w:rPr>
          <w:b/>
          <w:bCs/>
        </w:rPr>
      </w:pPr>
      <w:r w:rsidRPr="00A74805">
        <w:rPr>
          <w:b/>
          <w:bCs/>
        </w:rPr>
        <w:t>5. DuPont Analysis</w:t>
      </w:r>
    </w:p>
    <w:p w14:paraId="0D639E3B" w14:textId="77777777" w:rsidR="00DD650A" w:rsidRPr="00A74805" w:rsidRDefault="00DD650A">
      <m:oMathPara>
        <m:oMath>
          <m:r>
            <w:rPr>
              <w:rFonts w:ascii="Cambria Math" w:hAnsi="Cambria Math"/>
            </w:rPr>
            <m:t>ROE=Net Profit Margin×Total Asset Turnover×Equity Multiplier</m:t>
          </m:r>
        </m:oMath>
      </m:oMathPara>
    </w:p>
    <w:p w14:paraId="41B9F82D" w14:textId="77777777" w:rsidR="00DD650A" w:rsidRDefault="00DD650A">
      <w:r>
        <w:t>Where:</w:t>
      </w:r>
    </w:p>
    <w:p w14:paraId="1672BFC6" w14:textId="77777777" w:rsidR="00DD650A" w:rsidRPr="00A74805" w:rsidRDefault="00DD650A">
      <m:oMathPara>
        <m:oMathParaPr>
          <m:jc m:val="left"/>
        </m:oMathParaPr>
        <m:oMath>
          <m:r>
            <m:rPr>
              <m:sty m:val="p"/>
            </m:rPr>
            <w:rPr>
              <w:rFonts w:ascii="Cambria Math" w:hAnsi="Cambria Math"/>
            </w:rPr>
            <m:t xml:space="preserve">Net Profit Margin= </m:t>
          </m:r>
          <m:d>
            <m:dPr>
              <m:ctrlPr>
                <w:rPr>
                  <w:rFonts w:ascii="Cambria Math" w:hAnsi="Cambria Math"/>
                </w:rPr>
              </m:ctrlPr>
            </m:dPr>
            <m:e>
              <m:f>
                <m:fPr>
                  <m:ctrlPr>
                    <w:rPr>
                      <w:rFonts w:ascii="Cambria Math" w:hAnsi="Cambria Math"/>
                      <w:i/>
                    </w:rPr>
                  </m:ctrlPr>
                </m:fPr>
                <m:num>
                  <m:r>
                    <w:rPr>
                      <w:rFonts w:ascii="Cambria Math" w:hAnsi="Cambria Math"/>
                    </w:rPr>
                    <m:t>Net Profit</m:t>
                  </m:r>
                </m:num>
                <m:den>
                  <m:r>
                    <w:rPr>
                      <w:rFonts w:ascii="Cambria Math" w:hAnsi="Cambria Math"/>
                    </w:rPr>
                    <m:t>Sales Revenue</m:t>
                  </m:r>
                </m:den>
              </m:f>
            </m:e>
          </m:d>
        </m:oMath>
      </m:oMathPara>
    </w:p>
    <w:p w14:paraId="4B33D836" w14:textId="77777777" w:rsidR="00DD650A" w:rsidRPr="00A74805" w:rsidRDefault="00DD650A">
      <m:oMathPara>
        <m:oMathParaPr>
          <m:jc m:val="left"/>
        </m:oMathParaPr>
        <m:oMath>
          <m:r>
            <w:rPr>
              <w:rFonts w:ascii="Cambria Math" w:hAnsi="Cambria Math"/>
            </w:rPr>
            <m:t>Total Asset Turnover =</m:t>
          </m:r>
          <m:d>
            <m:dPr>
              <m:ctrlPr>
                <w:rPr>
                  <w:rFonts w:ascii="Cambria Math" w:hAnsi="Cambria Math"/>
                  <w:i/>
                </w:rPr>
              </m:ctrlPr>
            </m:dPr>
            <m:e>
              <m:f>
                <m:fPr>
                  <m:ctrlPr>
                    <w:rPr>
                      <w:rFonts w:ascii="Cambria Math" w:hAnsi="Cambria Math"/>
                      <w:i/>
                    </w:rPr>
                  </m:ctrlPr>
                </m:fPr>
                <m:num>
                  <m:r>
                    <w:rPr>
                      <w:rFonts w:ascii="Cambria Math" w:hAnsi="Cambria Math"/>
                    </w:rPr>
                    <m:t>Sales Revenue</m:t>
                  </m:r>
                </m:num>
                <m:den>
                  <m:r>
                    <w:rPr>
                      <w:rFonts w:ascii="Cambria Math" w:hAnsi="Cambria Math"/>
                    </w:rPr>
                    <m:t>Total Assets</m:t>
                  </m:r>
                </m:den>
              </m:f>
            </m:e>
          </m:d>
        </m:oMath>
      </m:oMathPara>
    </w:p>
    <w:p w14:paraId="1EFA5BD2" w14:textId="77777777" w:rsidR="00DD650A" w:rsidRPr="008E0EF1" w:rsidRDefault="00DD650A" w:rsidP="00A74805">
      <m:oMathPara>
        <m:oMathParaPr>
          <m:jc m:val="left"/>
        </m:oMathParaPr>
        <m:oMath>
          <m:r>
            <w:rPr>
              <w:rFonts w:ascii="Cambria Math" w:hAnsi="Cambria Math"/>
            </w:rPr>
            <m:t>Equity Multiplier =</m:t>
          </m:r>
          <m:d>
            <m:dPr>
              <m:ctrlPr>
                <w:rPr>
                  <w:rFonts w:ascii="Cambria Math" w:hAnsi="Cambria Math"/>
                  <w:i/>
                </w:rPr>
              </m:ctrlPr>
            </m:dPr>
            <m:e>
              <m:f>
                <m:fPr>
                  <m:ctrlPr>
                    <w:rPr>
                      <w:rFonts w:ascii="Cambria Math" w:hAnsi="Cambria Math"/>
                      <w:i/>
                    </w:rPr>
                  </m:ctrlPr>
                </m:fPr>
                <m:num>
                  <m:r>
                    <w:rPr>
                      <w:rFonts w:ascii="Cambria Math" w:hAnsi="Cambria Math"/>
                    </w:rPr>
                    <m:t>Total Assets</m:t>
                  </m:r>
                </m:num>
                <m:den>
                  <m:r>
                    <w:rPr>
                      <w:rFonts w:ascii="Cambria Math" w:hAnsi="Cambria Math"/>
                    </w:rPr>
                    <m:t>Total Equity</m:t>
                  </m:r>
                </m:den>
              </m:f>
            </m:e>
          </m:d>
        </m:oMath>
      </m:oMathPara>
    </w:p>
    <w:p w14:paraId="05A156B8" w14:textId="77777777" w:rsidR="00DD650A" w:rsidRPr="008E0EF1" w:rsidRDefault="00DD650A" w:rsidP="00A74805">
      <m:oMathPara>
        <m:oMathParaPr>
          <m:jc m:val="center"/>
        </m:oMathParaPr>
        <m:oMath>
          <m:r>
            <w:rPr>
              <w:rFonts w:ascii="Cambria Math" w:hAnsi="Cambria Math"/>
            </w:rPr>
            <m:t>ROE=</m:t>
          </m:r>
          <m:d>
            <m:dPr>
              <m:ctrlPr>
                <w:rPr>
                  <w:rFonts w:ascii="Cambria Math" w:hAnsi="Cambria Math"/>
                  <w:i/>
                </w:rPr>
              </m:ctrlPr>
            </m:dPr>
            <m:e>
              <m:f>
                <m:fPr>
                  <m:ctrlPr>
                    <w:rPr>
                      <w:rFonts w:ascii="Cambria Math" w:hAnsi="Cambria Math"/>
                      <w:i/>
                    </w:rPr>
                  </m:ctrlPr>
                </m:fPr>
                <m:num>
                  <m:r>
                    <w:rPr>
                      <w:rFonts w:ascii="Cambria Math" w:hAnsi="Cambria Math"/>
                    </w:rPr>
                    <m:t>Net Profit</m:t>
                  </m:r>
                </m:num>
                <m:den>
                  <m:r>
                    <w:rPr>
                      <w:rFonts w:ascii="Cambria Math" w:hAnsi="Cambria Math"/>
                    </w:rPr>
                    <m:t>Sales Revenue</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Sales Revenue</m:t>
                  </m:r>
                </m:num>
                <m:den>
                  <m:r>
                    <w:rPr>
                      <w:rFonts w:ascii="Cambria Math" w:hAnsi="Cambria Math"/>
                    </w:rPr>
                    <m:t>Total Assets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Total Assets</m:t>
                  </m:r>
                </m:num>
                <m:den>
                  <m:r>
                    <w:rPr>
                      <w:rFonts w:ascii="Cambria Math" w:hAnsi="Cambria Math"/>
                    </w:rPr>
                    <m:t>Total Equity</m:t>
                  </m:r>
                </m:den>
              </m:f>
            </m:e>
          </m:d>
        </m:oMath>
      </m:oMathPara>
    </w:p>
    <w:p w14:paraId="198872A4" w14:textId="77777777" w:rsidR="00DD650A" w:rsidRPr="008E0EF1" w:rsidRDefault="00DD650A" w:rsidP="00A74805"/>
    <w:p w14:paraId="22A2ADFC" w14:textId="77777777" w:rsidR="00DD650A" w:rsidRPr="008E0EF1" w:rsidRDefault="00DD650A">
      <w:r>
        <w:t xml:space="preserve">2024: </w:t>
      </w:r>
      <m:oMath>
        <m:r>
          <w:rPr>
            <w:rFonts w:ascii="Cambria Math" w:hAnsi="Cambria Math"/>
          </w:rPr>
          <m:t>DuPont ROE=-6.09%×1.22%×2.11%=-15.69%</m:t>
        </m:r>
      </m:oMath>
    </w:p>
    <w:p w14:paraId="55F95D0F" w14:textId="77777777" w:rsidR="00DD650A" w:rsidRPr="008E0EF1" w:rsidRDefault="00DD650A">
      <w:r>
        <w:t xml:space="preserve">2023: </w:t>
      </w:r>
      <m:oMath>
        <m:r>
          <w:rPr>
            <w:rFonts w:ascii="Cambria Math" w:hAnsi="Cambria Math"/>
          </w:rPr>
          <m:t>DuPont ROE=-23.36%×1.18%×1.99%=-54.91%</m:t>
        </m:r>
      </m:oMath>
    </w:p>
    <w:p w14:paraId="5A73F159" w14:textId="77777777" w:rsidR="00DD650A" w:rsidRPr="008E0EF1" w:rsidRDefault="00DD650A">
      <w:r>
        <w:t xml:space="preserve">2022: </w:t>
      </w:r>
      <m:oMath>
        <m:r>
          <w:rPr>
            <w:rFonts w:ascii="Cambria Math" w:hAnsi="Cambria Math"/>
          </w:rPr>
          <m:t>DuPont ROE=0.07%×1.08%×1.88%=0.15%</m:t>
        </m:r>
      </m:oMath>
    </w:p>
    <w:p w14:paraId="2CFEC890" w14:textId="77777777" w:rsidR="00DD650A" w:rsidRPr="008E0EF1" w:rsidRDefault="00DD650A">
      <w:r>
        <w:t xml:space="preserve">2021: </w:t>
      </w:r>
      <m:oMath>
        <m:r>
          <w:rPr>
            <w:rFonts w:ascii="Cambria Math" w:hAnsi="Cambria Math"/>
          </w:rPr>
          <m:t>DuPont ROE=0.88%×1.18%×1.85%=1.92%</m:t>
        </m:r>
      </m:oMath>
    </w:p>
    <w:p w14:paraId="4560FF00" w14:textId="77777777" w:rsidR="00DD650A" w:rsidRPr="008E0EF1" w:rsidRDefault="00DD650A">
      <w:r>
        <w:t xml:space="preserve">2020: </w:t>
      </w:r>
      <m:oMath>
        <m:r>
          <w:rPr>
            <w:rFonts w:ascii="Cambria Math" w:hAnsi="Cambria Math"/>
          </w:rPr>
          <m:t>DuPont ROE=6.28%×1.21%×1.63%=12.31%</m:t>
        </m:r>
      </m:oMath>
    </w:p>
    <w:p w14:paraId="256953B5" w14:textId="77777777" w:rsidR="00DD650A" w:rsidRPr="006E2B19" w:rsidRDefault="00DD650A">
      <w:pPr>
        <w:rPr>
          <w:b/>
          <w:bCs/>
          <w:sz w:val="28"/>
          <w:szCs w:val="28"/>
        </w:rPr>
      </w:pPr>
      <w:r w:rsidRPr="006E2B19">
        <w:rPr>
          <w:b/>
          <w:bCs/>
          <w:sz w:val="28"/>
          <w:szCs w:val="28"/>
        </w:rPr>
        <w:lastRenderedPageBreak/>
        <w:t>Short-term Solvency/Liquidity Ratios”</w:t>
      </w:r>
    </w:p>
    <w:p w14:paraId="54BD2084" w14:textId="77777777" w:rsidR="00DD650A" w:rsidRPr="006E2B19" w:rsidRDefault="00DD650A" w:rsidP="006E2B19">
      <w:pPr>
        <w:rPr>
          <w:b/>
          <w:bCs/>
        </w:rPr>
      </w:pPr>
      <w:r w:rsidRPr="006E2B19">
        <w:rPr>
          <w:b/>
          <w:bCs/>
        </w:rPr>
        <w:t xml:space="preserve">1. </w:t>
      </w:r>
      <w:r w:rsidRPr="006E2B19">
        <w:rPr>
          <w:rFonts w:hint="eastAsia"/>
          <w:b/>
          <w:bCs/>
        </w:rPr>
        <w:t>Current</w:t>
      </w:r>
      <w:r w:rsidRPr="006E2B19">
        <w:rPr>
          <w:b/>
          <w:bCs/>
        </w:rPr>
        <w:t xml:space="preserve"> </w:t>
      </w:r>
      <w:r w:rsidRPr="006E2B19">
        <w:rPr>
          <w:rFonts w:hint="eastAsia"/>
          <w:b/>
          <w:bCs/>
        </w:rPr>
        <w:t>Rati</w:t>
      </w:r>
      <w:r w:rsidRPr="006E2B19">
        <w:rPr>
          <w:b/>
          <w:bCs/>
        </w:rPr>
        <w:t>o</w:t>
      </w:r>
    </w:p>
    <w:p w14:paraId="76955904" w14:textId="77777777" w:rsidR="00DD650A" w:rsidRDefault="00DD650A" w:rsidP="006E2B19">
      <w:r>
        <w:rPr>
          <w:rFonts w:hint="eastAsia"/>
        </w:rPr>
        <w:t>The</w:t>
      </w:r>
      <w:r>
        <w:t xml:space="preserve"> </w:t>
      </w:r>
      <w:r>
        <w:rPr>
          <w:rFonts w:hint="eastAsia"/>
        </w:rPr>
        <w:t>formula</w:t>
      </w:r>
      <w:r>
        <w:rPr>
          <w:rFonts w:hint="eastAsia"/>
        </w:rPr>
        <w:t>：</w:t>
      </w:r>
      <w:r>
        <w:t xml:space="preserve"> </w:t>
      </w:r>
      <w:r>
        <w:rPr>
          <w:rFonts w:hint="eastAsia"/>
        </w:rPr>
        <w:t>Current</w:t>
      </w:r>
      <w:r>
        <w:t xml:space="preserve"> </w:t>
      </w:r>
      <w:r>
        <w:rPr>
          <w:rFonts w:hint="eastAsia"/>
        </w:rPr>
        <w:t>Ratio=Current</w:t>
      </w:r>
      <w:r>
        <w:t xml:space="preserve"> </w:t>
      </w:r>
      <w:r>
        <w:rPr>
          <w:rFonts w:hint="eastAsia"/>
        </w:rPr>
        <w:t>Assets/Current</w:t>
      </w:r>
      <w:r>
        <w:t xml:space="preserve"> </w:t>
      </w:r>
      <w:r>
        <w:rPr>
          <w:rFonts w:hint="eastAsia"/>
        </w:rPr>
        <w:t>Liabilitie</w:t>
      </w:r>
      <w:r>
        <w:t>s</w:t>
      </w:r>
    </w:p>
    <w:p w14:paraId="5A84F253" w14:textId="77777777" w:rsidR="00DD650A" w:rsidRPr="006E2B19" w:rsidRDefault="00DD650A" w:rsidP="006E2B19">
      <m:oMathPara>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Current Assets</m:t>
              </m:r>
            </m:num>
            <m:den>
              <m:r>
                <w:rPr>
                  <w:rFonts w:ascii="Cambria Math" w:hAnsi="Cambria Math"/>
                </w:rPr>
                <m:t>Current Liabilities</m:t>
              </m:r>
            </m:den>
          </m:f>
        </m:oMath>
      </m:oMathPara>
    </w:p>
    <w:p w14:paraId="39514E5E" w14:textId="77777777" w:rsidR="00DD650A" w:rsidRPr="006E2B19" w:rsidRDefault="00DD650A" w:rsidP="006E2B19">
      <w:r>
        <w:t xml:space="preserve">2024: </w:t>
      </w:r>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242.494</m:t>
            </m:r>
          </m:num>
          <m:den>
            <m:r>
              <w:rPr>
                <w:rFonts w:ascii="Cambria Math" w:hAnsi="Cambria Math"/>
              </w:rPr>
              <m:t>158.291</m:t>
            </m:r>
          </m:den>
        </m:f>
        <m:r>
          <w:rPr>
            <w:rFonts w:ascii="Cambria Math" w:hAnsi="Cambria Math"/>
          </w:rPr>
          <m:t>=1.53</m:t>
        </m:r>
      </m:oMath>
    </w:p>
    <w:p w14:paraId="7F383B6B" w14:textId="77777777" w:rsidR="00DD650A" w:rsidRDefault="00DD650A" w:rsidP="006E2B19">
      <w:r>
        <w:t xml:space="preserve">2023: </w:t>
      </w:r>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258.851</m:t>
            </m:r>
          </m:num>
          <m:den>
            <m:r>
              <w:rPr>
                <w:rFonts w:ascii="Cambria Math" w:hAnsi="Cambria Math"/>
              </w:rPr>
              <m:t>161.148</m:t>
            </m:r>
          </m:den>
        </m:f>
        <m:r>
          <w:rPr>
            <w:rFonts w:ascii="Cambria Math" w:hAnsi="Cambria Math"/>
          </w:rPr>
          <m:t>=1.61</m:t>
        </m:r>
      </m:oMath>
    </w:p>
    <w:p w14:paraId="2B4C7ED2" w14:textId="77777777" w:rsidR="00DD650A" w:rsidRPr="006E2B19" w:rsidRDefault="00DD650A" w:rsidP="006E2B19">
      <w:r>
        <w:t xml:space="preserve">2022: </w:t>
      </w:r>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338.040</m:t>
            </m:r>
          </m:num>
          <m:den>
            <m:r>
              <w:rPr>
                <w:rFonts w:ascii="Cambria Math" w:hAnsi="Cambria Math"/>
              </w:rPr>
              <m:t>216.473</m:t>
            </m:r>
          </m:den>
        </m:f>
        <m:r>
          <w:rPr>
            <w:rFonts w:ascii="Cambria Math" w:hAnsi="Cambria Math"/>
          </w:rPr>
          <m:t>=1.56</m:t>
        </m:r>
      </m:oMath>
    </w:p>
    <w:p w14:paraId="30A9F703" w14:textId="77777777" w:rsidR="00DD650A" w:rsidRPr="006E2B19" w:rsidRDefault="00DD650A" w:rsidP="006E2B19">
      <w:r>
        <w:t xml:space="preserve">2021: </w:t>
      </w:r>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337.146</m:t>
            </m:r>
          </m:num>
          <m:den>
            <m:r>
              <w:rPr>
                <w:rFonts w:ascii="Cambria Math" w:hAnsi="Cambria Math"/>
              </w:rPr>
              <m:t>216.787</m:t>
            </m:r>
          </m:den>
        </m:f>
        <m:r>
          <w:rPr>
            <w:rFonts w:ascii="Cambria Math" w:hAnsi="Cambria Math"/>
          </w:rPr>
          <m:t>=1.56</m:t>
        </m:r>
      </m:oMath>
    </w:p>
    <w:p w14:paraId="0375F4D4" w14:textId="77777777" w:rsidR="00DD650A" w:rsidRPr="006E2B19" w:rsidRDefault="00DD650A" w:rsidP="006E2B19">
      <w:r>
        <w:t xml:space="preserve">2020: </w:t>
      </w:r>
      <m:oMath>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326.843</m:t>
            </m:r>
          </m:num>
          <m:den>
            <m:r>
              <w:rPr>
                <w:rFonts w:ascii="Cambria Math" w:hAnsi="Cambria Math"/>
              </w:rPr>
              <m:t>179.510</m:t>
            </m:r>
          </m:den>
        </m:f>
        <m:r>
          <w:rPr>
            <w:rFonts w:ascii="Cambria Math" w:hAnsi="Cambria Math"/>
          </w:rPr>
          <m:t>=1.82</m:t>
        </m:r>
      </m:oMath>
    </w:p>
    <w:p w14:paraId="5F3E081C" w14:textId="77777777" w:rsidR="00DD650A" w:rsidRDefault="00DD650A" w:rsidP="006E2B19"/>
    <w:p w14:paraId="69CA029F" w14:textId="77777777" w:rsidR="00DD650A" w:rsidRPr="007B104A" w:rsidRDefault="00DD650A" w:rsidP="006E2B19">
      <w:pPr>
        <w:rPr>
          <w:b/>
          <w:bCs/>
        </w:rPr>
      </w:pPr>
      <w:r w:rsidRPr="007B104A">
        <w:rPr>
          <w:b/>
          <w:bCs/>
        </w:rPr>
        <w:t xml:space="preserve">2. </w:t>
      </w:r>
      <w:r w:rsidRPr="007B104A">
        <w:rPr>
          <w:rFonts w:hint="eastAsia"/>
          <w:b/>
          <w:bCs/>
        </w:rPr>
        <w:t>Quick</w:t>
      </w:r>
      <w:r w:rsidRPr="007B104A">
        <w:rPr>
          <w:b/>
          <w:bCs/>
        </w:rPr>
        <w:t xml:space="preserve"> </w:t>
      </w:r>
      <w:r w:rsidRPr="007B104A">
        <w:rPr>
          <w:rFonts w:hint="eastAsia"/>
          <w:b/>
          <w:bCs/>
        </w:rPr>
        <w:t>Ratio</w:t>
      </w:r>
      <w:r w:rsidRPr="007B104A">
        <w:rPr>
          <w:rFonts w:hint="eastAsia"/>
          <w:b/>
          <w:bCs/>
        </w:rPr>
        <w:t>（</w:t>
      </w:r>
      <w:r w:rsidRPr="007B104A">
        <w:rPr>
          <w:rFonts w:hint="eastAsia"/>
          <w:b/>
          <w:bCs/>
        </w:rPr>
        <w:t>Acid-Test</w:t>
      </w:r>
      <w:r w:rsidRPr="007B104A">
        <w:rPr>
          <w:b/>
          <w:bCs/>
        </w:rPr>
        <w:t xml:space="preserve"> </w:t>
      </w:r>
      <w:r w:rsidRPr="007B104A">
        <w:rPr>
          <w:rFonts w:hint="eastAsia"/>
          <w:b/>
          <w:bCs/>
        </w:rPr>
        <w:t>Ratio</w:t>
      </w:r>
      <w:r w:rsidRPr="007B104A">
        <w:rPr>
          <w:rFonts w:hint="eastAsia"/>
          <w:b/>
          <w:bCs/>
        </w:rPr>
        <w:t>）</w:t>
      </w:r>
    </w:p>
    <w:p w14:paraId="05D36F8C" w14:textId="77777777" w:rsidR="00DD650A" w:rsidRPr="006E2B19" w:rsidRDefault="00DD650A" w:rsidP="006E2B19">
      <m:oMathPara>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Assets</m:t>
              </m:r>
            </m:num>
            <m:den>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Liabilities</m:t>
              </m:r>
            </m:den>
          </m:f>
        </m:oMath>
      </m:oMathPara>
    </w:p>
    <w:p w14:paraId="1B6B02E9" w14:textId="77777777" w:rsidR="00DD650A" w:rsidRDefault="00DD650A" w:rsidP="006E2B19">
      <w:r>
        <w:t>Where:</w:t>
      </w:r>
    </w:p>
    <w:p w14:paraId="735B6F32" w14:textId="77777777" w:rsidR="00DD650A" w:rsidRDefault="00DD650A" w:rsidP="006E2B19">
      <w:r w:rsidRPr="007B104A">
        <w:t xml:space="preserve">Quick Assets = Current Assets </w:t>
      </w:r>
      <w:r>
        <w:t>–</w:t>
      </w:r>
      <w:r w:rsidRPr="007B104A">
        <w:t xml:space="preserve"> Inventories</w:t>
      </w:r>
    </w:p>
    <w:p w14:paraId="15C5C71B" w14:textId="77777777" w:rsidR="00DD650A" w:rsidRDefault="00DD650A" w:rsidP="006E2B19">
      <w:r w:rsidRPr="007B104A">
        <w:t>Current Liabilities = As provided in the financial statements</w:t>
      </w:r>
    </w:p>
    <w:p w14:paraId="5F7406B0" w14:textId="77777777" w:rsidR="00DD650A" w:rsidRPr="007B104A" w:rsidRDefault="00DD650A" w:rsidP="006E2B19">
      <w:r>
        <w:t xml:space="preserve">2024: </w:t>
      </w:r>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w:rPr>
                <w:rFonts w:ascii="Cambria Math" w:hAnsi="Cambria Math"/>
              </w:rPr>
              <m:t>163.139</m:t>
            </m:r>
          </m:num>
          <m:den>
            <m:r>
              <w:rPr>
                <w:rFonts w:ascii="Cambria Math" w:hAnsi="Cambria Math"/>
              </w:rPr>
              <m:t>158.291</m:t>
            </m:r>
          </m:den>
        </m:f>
        <m:r>
          <w:rPr>
            <w:rFonts w:ascii="Cambria Math" w:hAnsi="Cambria Math"/>
          </w:rPr>
          <m:t>=1.03</m:t>
        </m:r>
      </m:oMath>
    </w:p>
    <w:p w14:paraId="01316A67" w14:textId="77777777" w:rsidR="00DD650A" w:rsidRPr="007B104A" w:rsidRDefault="00DD650A" w:rsidP="006E2B19">
      <w:r>
        <w:t xml:space="preserve">2023: </w:t>
      </w:r>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w:rPr>
                <w:rFonts w:ascii="Cambria Math" w:hAnsi="Cambria Math"/>
              </w:rPr>
              <m:t>170.578</m:t>
            </m:r>
          </m:num>
          <m:den>
            <m:r>
              <w:rPr>
                <w:rFonts w:ascii="Cambria Math" w:hAnsi="Cambria Math"/>
              </w:rPr>
              <m:t>161.148</m:t>
            </m:r>
          </m:den>
        </m:f>
        <m:r>
          <w:rPr>
            <w:rFonts w:ascii="Cambria Math" w:hAnsi="Cambria Math"/>
          </w:rPr>
          <m:t>=1.06</m:t>
        </m:r>
      </m:oMath>
    </w:p>
    <w:p w14:paraId="5FCBAA70" w14:textId="77777777" w:rsidR="00DD650A" w:rsidRPr="007B104A" w:rsidRDefault="00DD650A" w:rsidP="006E2B19">
      <w:r>
        <w:t xml:space="preserve">2022: </w:t>
      </w:r>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w:rPr>
                <w:rFonts w:ascii="Cambria Math" w:hAnsi="Cambria Math"/>
              </w:rPr>
              <m:t>197.859</m:t>
            </m:r>
          </m:num>
          <m:den>
            <m:r>
              <w:rPr>
                <w:rFonts w:ascii="Cambria Math" w:hAnsi="Cambria Math"/>
              </w:rPr>
              <m:t>216.473</m:t>
            </m:r>
          </m:den>
        </m:f>
        <m:r>
          <w:rPr>
            <w:rFonts w:ascii="Cambria Math" w:hAnsi="Cambria Math"/>
          </w:rPr>
          <m:t>=0.91</m:t>
        </m:r>
      </m:oMath>
    </w:p>
    <w:p w14:paraId="23566D4C" w14:textId="77777777" w:rsidR="00DD650A" w:rsidRPr="007B104A" w:rsidRDefault="00DD650A" w:rsidP="006E2B19">
      <w:r>
        <w:t xml:space="preserve">2021: </w:t>
      </w:r>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w:rPr>
                <w:rFonts w:ascii="Cambria Math" w:hAnsi="Cambria Math"/>
              </w:rPr>
              <m:t>202.677</m:t>
            </m:r>
          </m:num>
          <m:den>
            <m:r>
              <w:rPr>
                <w:rFonts w:ascii="Cambria Math" w:hAnsi="Cambria Math"/>
              </w:rPr>
              <m:t>216.787</m:t>
            </m:r>
          </m:den>
        </m:f>
        <m:r>
          <w:rPr>
            <w:rFonts w:ascii="Cambria Math" w:hAnsi="Cambria Math"/>
          </w:rPr>
          <m:t>=0.93</m:t>
        </m:r>
      </m:oMath>
    </w:p>
    <w:p w14:paraId="45ABBD0C" w14:textId="77777777" w:rsidR="00DD650A" w:rsidRPr="007B104A" w:rsidRDefault="00DD650A" w:rsidP="006E2B19">
      <w:r>
        <w:t xml:space="preserve">2020: </w:t>
      </w:r>
      <m:oMath>
        <m:r>
          <m:rPr>
            <m:sty m:val="p"/>
          </m:rPr>
          <w:rPr>
            <w:rFonts w:ascii="Cambria Math" w:hAnsi="Cambria Math" w:hint="eastAsia"/>
          </w:rPr>
          <m:t>Quick</m:t>
        </m:r>
        <m:r>
          <m:rPr>
            <m:sty m:val="p"/>
          </m:rPr>
          <w:rPr>
            <w:rFonts w:ascii="Cambria Math" w:hAnsi="Cambria Math"/>
          </w:rPr>
          <m:t xml:space="preserve"> </m:t>
        </m:r>
        <m:r>
          <m:rPr>
            <m:sty m:val="p"/>
          </m:rPr>
          <w:rPr>
            <w:rFonts w:ascii="Cambria Math" w:hAnsi="Cambria Math" w:hint="eastAsia"/>
          </w:rPr>
          <m:t>Ratio=</m:t>
        </m:r>
        <m:r>
          <m:rPr>
            <m:sty m:val="p"/>
          </m:rPr>
          <w:rPr>
            <w:rFonts w:ascii="Cambria Math" w:hAnsi="Cambria Math"/>
          </w:rPr>
          <m:t xml:space="preserve"> </m:t>
        </m:r>
        <m:f>
          <m:fPr>
            <m:ctrlPr>
              <w:rPr>
                <w:rFonts w:ascii="Cambria Math" w:hAnsi="Cambria Math"/>
              </w:rPr>
            </m:ctrlPr>
          </m:fPr>
          <m:num>
            <m:r>
              <w:rPr>
                <w:rFonts w:ascii="Cambria Math" w:hAnsi="Cambria Math"/>
              </w:rPr>
              <m:t>206.413</m:t>
            </m:r>
          </m:num>
          <m:den>
            <m:r>
              <w:rPr>
                <w:rFonts w:ascii="Cambria Math" w:hAnsi="Cambria Math"/>
              </w:rPr>
              <m:t>179.510</m:t>
            </m:r>
          </m:den>
        </m:f>
        <m:r>
          <w:rPr>
            <w:rFonts w:ascii="Cambria Math" w:hAnsi="Cambria Math"/>
          </w:rPr>
          <m:t>=1.15</m:t>
        </m:r>
      </m:oMath>
    </w:p>
    <w:p w14:paraId="6880574A" w14:textId="77777777" w:rsidR="00DD650A" w:rsidRDefault="00DD650A" w:rsidP="006E2B19"/>
    <w:p w14:paraId="1EA19B3C" w14:textId="77777777" w:rsidR="00DD650A" w:rsidRDefault="00DD650A" w:rsidP="007B104A">
      <w:pPr>
        <w:rPr>
          <w:b/>
          <w:bCs/>
        </w:rPr>
      </w:pPr>
      <w:r w:rsidRPr="007B104A">
        <w:rPr>
          <w:b/>
          <w:bCs/>
        </w:rPr>
        <w:t xml:space="preserve">3. </w:t>
      </w:r>
      <w:r w:rsidRPr="007B104A">
        <w:rPr>
          <w:rFonts w:hint="eastAsia"/>
          <w:b/>
          <w:bCs/>
        </w:rPr>
        <w:t>Working</w:t>
      </w:r>
      <w:r w:rsidRPr="007B104A">
        <w:rPr>
          <w:b/>
          <w:bCs/>
        </w:rPr>
        <w:t xml:space="preserve"> </w:t>
      </w:r>
      <w:r w:rsidRPr="007B104A">
        <w:rPr>
          <w:rFonts w:hint="eastAsia"/>
          <w:b/>
          <w:bCs/>
        </w:rPr>
        <w:t>Capital</w:t>
      </w:r>
    </w:p>
    <w:p w14:paraId="38CD0F1C" w14:textId="77777777" w:rsidR="00DD650A" w:rsidRPr="007B104A" w:rsidRDefault="00DD650A" w:rsidP="007B104A">
      <m:oMathPara>
        <m:oMath>
          <m:r>
            <w:rPr>
              <w:rFonts w:ascii="Cambria Math" w:hAnsi="Cambria Math"/>
            </w:rPr>
            <m:t>Working Capital=Current Assets-Current Liabilities</m:t>
          </m:r>
        </m:oMath>
      </m:oMathPara>
    </w:p>
    <w:p w14:paraId="2DC9757F" w14:textId="77777777" w:rsidR="00DD650A" w:rsidRPr="00AC147B" w:rsidRDefault="00DD650A" w:rsidP="007B104A">
      <w:r>
        <w:t xml:space="preserve">2024: </w:t>
      </w:r>
      <m:oMath>
        <m:r>
          <w:rPr>
            <w:rFonts w:ascii="Cambria Math" w:hAnsi="Cambria Math"/>
          </w:rPr>
          <m:t>Working Capital=242.494-158.291=84.203m</m:t>
        </m:r>
      </m:oMath>
    </w:p>
    <w:p w14:paraId="24AD5830" w14:textId="77777777" w:rsidR="00DD650A" w:rsidRPr="00AC147B" w:rsidRDefault="00DD650A" w:rsidP="007B104A">
      <w:r>
        <w:t xml:space="preserve">2023: </w:t>
      </w:r>
      <m:oMath>
        <m:r>
          <w:rPr>
            <w:rFonts w:ascii="Cambria Math" w:hAnsi="Cambria Math"/>
          </w:rPr>
          <m:t>Working Capital=258.851-161.148=97.703m</m:t>
        </m:r>
      </m:oMath>
    </w:p>
    <w:p w14:paraId="291CF51E" w14:textId="77777777" w:rsidR="00DD650A" w:rsidRPr="00AC147B" w:rsidRDefault="00DD650A" w:rsidP="007B104A">
      <w:r>
        <w:t xml:space="preserve">2022: </w:t>
      </w:r>
      <m:oMath>
        <m:r>
          <w:rPr>
            <w:rFonts w:ascii="Cambria Math" w:hAnsi="Cambria Math"/>
          </w:rPr>
          <m:t>Working Capital=338.040-216.787=121.567m</m:t>
        </m:r>
      </m:oMath>
    </w:p>
    <w:p w14:paraId="56F444E8" w14:textId="77777777" w:rsidR="00DD650A" w:rsidRPr="00AC147B" w:rsidRDefault="00DD650A" w:rsidP="007B104A">
      <w:r>
        <w:lastRenderedPageBreak/>
        <w:t xml:space="preserve">2021: </w:t>
      </w:r>
      <m:oMath>
        <m:r>
          <w:rPr>
            <w:rFonts w:ascii="Cambria Math" w:hAnsi="Cambria Math"/>
          </w:rPr>
          <m:t>Working Capital=337.146-216.787=120.359m</m:t>
        </m:r>
      </m:oMath>
    </w:p>
    <w:p w14:paraId="74045D48" w14:textId="77777777" w:rsidR="00DD650A" w:rsidRPr="00AC147B" w:rsidRDefault="00DD650A" w:rsidP="007B104A">
      <w:r>
        <w:t xml:space="preserve">2020: </w:t>
      </w:r>
      <m:oMath>
        <m:r>
          <w:rPr>
            <w:rFonts w:ascii="Cambria Math" w:hAnsi="Cambria Math"/>
          </w:rPr>
          <m:t>Working Capital=326.843-179.510=147.333m</m:t>
        </m:r>
      </m:oMath>
    </w:p>
    <w:p w14:paraId="667B8DA9" w14:textId="77777777" w:rsidR="00DD650A" w:rsidRDefault="00DD650A" w:rsidP="007B104A"/>
    <w:p w14:paraId="2CF68C00" w14:textId="77777777" w:rsidR="00DD650A" w:rsidRPr="00DB3837" w:rsidRDefault="00DD650A" w:rsidP="00AC147B">
      <w:pPr>
        <w:rPr>
          <w:b/>
          <w:bCs/>
        </w:rPr>
      </w:pPr>
      <w:r w:rsidRPr="00DB3837">
        <w:rPr>
          <w:b/>
          <w:bCs/>
        </w:rPr>
        <w:t xml:space="preserve">4. </w:t>
      </w:r>
      <w:r w:rsidRPr="00DB3837">
        <w:rPr>
          <w:rFonts w:hint="eastAsia"/>
          <w:b/>
          <w:bCs/>
        </w:rPr>
        <w:t>Cash</w:t>
      </w:r>
      <w:r w:rsidRPr="00DB3837">
        <w:rPr>
          <w:b/>
          <w:bCs/>
        </w:rPr>
        <w:t xml:space="preserve"> </w:t>
      </w:r>
      <w:r w:rsidRPr="00DB3837">
        <w:rPr>
          <w:rFonts w:hint="eastAsia"/>
          <w:b/>
          <w:bCs/>
        </w:rPr>
        <w:t>Ratio</w:t>
      </w:r>
    </w:p>
    <w:p w14:paraId="09659C4B" w14:textId="77777777" w:rsidR="00DD650A" w:rsidRPr="00AC147B" w:rsidRDefault="00DD650A" w:rsidP="00AC147B">
      <m:oMathPara>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i/>
                </w:rPr>
              </m:ctrlPr>
            </m:fPr>
            <m:num>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and</m:t>
              </m:r>
              <m:r>
                <m:rPr>
                  <m:sty m:val="p"/>
                </m:rPr>
                <w:rPr>
                  <w:rFonts w:ascii="Cambria Math" w:hAnsi="Cambria Math"/>
                </w:rPr>
                <m:t xml:space="preserve"> </m:t>
              </m:r>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Equivalents</m:t>
              </m:r>
            </m:num>
            <m:den>
              <m:r>
                <m:rPr>
                  <m:sty m:val="p"/>
                </m:rPr>
                <w:rPr>
                  <w:rFonts w:ascii="Cambria Math" w:hAnsi="Cambria Math" w:hint="eastAsia"/>
                </w:rPr>
                <m:t>Current</m:t>
              </m:r>
              <m:r>
                <m:rPr>
                  <m:sty m:val="p"/>
                </m:rPr>
                <w:rPr>
                  <w:rFonts w:ascii="Cambria Math" w:hAnsi="Cambria Math"/>
                </w:rPr>
                <m:t xml:space="preserve"> </m:t>
              </m:r>
              <m:r>
                <m:rPr>
                  <m:sty m:val="p"/>
                </m:rPr>
                <w:rPr>
                  <w:rFonts w:ascii="Cambria Math" w:hAnsi="Cambria Math" w:hint="eastAsia"/>
                </w:rPr>
                <m:t>Liabilitie</m:t>
              </m:r>
              <m:r>
                <m:rPr>
                  <m:sty m:val="p"/>
                </m:rPr>
                <w:rPr>
                  <w:rFonts w:ascii="Cambria Math" w:hAnsi="Cambria Math"/>
                </w:rPr>
                <m:t>s</m:t>
              </m:r>
            </m:den>
          </m:f>
        </m:oMath>
      </m:oMathPara>
    </w:p>
    <w:p w14:paraId="1A2996E1" w14:textId="77777777" w:rsidR="00DD650A" w:rsidRPr="00DB3837" w:rsidRDefault="00DD650A" w:rsidP="00AC147B">
      <w:r>
        <w:t xml:space="preserve">2024: </w:t>
      </w:r>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26.783</m:t>
            </m:r>
          </m:num>
          <m:den>
            <m:r>
              <w:rPr>
                <w:rFonts w:ascii="Cambria Math" w:hAnsi="Cambria Math"/>
              </w:rPr>
              <m:t>158.261</m:t>
            </m:r>
          </m:den>
        </m:f>
        <m:r>
          <w:rPr>
            <w:rFonts w:ascii="Cambria Math" w:hAnsi="Cambria Math"/>
          </w:rPr>
          <m:t>=0.17</m:t>
        </m:r>
      </m:oMath>
    </w:p>
    <w:p w14:paraId="488E00F7" w14:textId="77777777" w:rsidR="00DD650A" w:rsidRPr="00DB3837" w:rsidRDefault="00DD650A" w:rsidP="00AC147B">
      <w:r>
        <w:t xml:space="preserve">2023: </w:t>
      </w:r>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42.751</m:t>
            </m:r>
          </m:num>
          <m:den>
            <m:r>
              <w:rPr>
                <w:rFonts w:ascii="Cambria Math" w:hAnsi="Cambria Math"/>
              </w:rPr>
              <m:t>161.148</m:t>
            </m:r>
          </m:den>
        </m:f>
        <m:r>
          <w:rPr>
            <w:rFonts w:ascii="Cambria Math" w:hAnsi="Cambria Math"/>
          </w:rPr>
          <m:t>=0.27</m:t>
        </m:r>
      </m:oMath>
    </w:p>
    <w:p w14:paraId="0AC7EBA9" w14:textId="77777777" w:rsidR="00DD650A" w:rsidRPr="00DB3837" w:rsidRDefault="00DD650A" w:rsidP="00AC147B">
      <w:r>
        <w:t xml:space="preserve">2022: </w:t>
      </w:r>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66.740</m:t>
            </m:r>
          </m:num>
          <m:den>
            <m:r>
              <w:rPr>
                <w:rFonts w:ascii="Cambria Math" w:hAnsi="Cambria Math"/>
              </w:rPr>
              <m:t>216.473</m:t>
            </m:r>
          </m:den>
        </m:f>
        <m:r>
          <w:rPr>
            <w:rFonts w:ascii="Cambria Math" w:hAnsi="Cambria Math"/>
          </w:rPr>
          <m:t>=0.31</m:t>
        </m:r>
      </m:oMath>
    </w:p>
    <w:p w14:paraId="32A86366" w14:textId="77777777" w:rsidR="00DD650A" w:rsidRPr="00DB3837" w:rsidRDefault="00DD650A" w:rsidP="00AC147B">
      <w:r>
        <w:t xml:space="preserve">2021: </w:t>
      </w:r>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60.813</m:t>
            </m:r>
          </m:num>
          <m:den>
            <m:r>
              <w:rPr>
                <w:rFonts w:ascii="Cambria Math" w:hAnsi="Cambria Math"/>
              </w:rPr>
              <m:t>216.787</m:t>
            </m:r>
          </m:den>
        </m:f>
        <m:r>
          <w:rPr>
            <w:rFonts w:ascii="Cambria Math" w:hAnsi="Cambria Math"/>
          </w:rPr>
          <m:t>=0.28</m:t>
        </m:r>
      </m:oMath>
    </w:p>
    <w:p w14:paraId="00FA11F5" w14:textId="77777777" w:rsidR="00DD650A" w:rsidRDefault="00DD650A" w:rsidP="00AC147B">
      <w:r>
        <w:t xml:space="preserve">2020: </w:t>
      </w:r>
      <m:oMath>
        <m:r>
          <m:rPr>
            <m:sty m:val="p"/>
          </m:rPr>
          <w:rPr>
            <w:rFonts w:ascii="Cambria Math" w:hAnsi="Cambria Math" w:hint="eastAsia"/>
          </w:rPr>
          <m:t>Cash</m:t>
        </m:r>
        <m:r>
          <m:rPr>
            <m:sty m:val="p"/>
          </m:rPr>
          <w:rPr>
            <w:rFonts w:ascii="Cambria Math" w:hAnsi="Cambria Math"/>
          </w:rPr>
          <m:t xml:space="preserve"> </m:t>
        </m:r>
        <m:r>
          <m:rPr>
            <m:sty m:val="p"/>
          </m:rPr>
          <w:rPr>
            <w:rFonts w:ascii="Cambria Math" w:hAnsi="Cambria Math" w:hint="eastAsia"/>
          </w:rPr>
          <m:t>Ratio=</m:t>
        </m:r>
        <m:f>
          <m:fPr>
            <m:ctrlPr>
              <w:rPr>
                <w:rFonts w:ascii="Cambria Math" w:hAnsi="Cambria Math"/>
              </w:rPr>
            </m:ctrlPr>
          </m:fPr>
          <m:num>
            <m:r>
              <w:rPr>
                <w:rFonts w:ascii="Cambria Math" w:hAnsi="Cambria Math"/>
              </w:rPr>
              <m:t>57.153</m:t>
            </m:r>
          </m:num>
          <m:den>
            <m:r>
              <w:rPr>
                <w:rFonts w:ascii="Cambria Math" w:hAnsi="Cambria Math"/>
              </w:rPr>
              <m:t>179.510</m:t>
            </m:r>
          </m:den>
        </m:f>
        <m:r>
          <w:rPr>
            <w:rFonts w:ascii="Cambria Math" w:hAnsi="Cambria Math"/>
          </w:rPr>
          <m:t>=0.32</m:t>
        </m:r>
      </m:oMath>
    </w:p>
    <w:p w14:paraId="148F8593" w14:textId="77777777" w:rsidR="00DD650A" w:rsidRDefault="00DD650A" w:rsidP="00AC147B"/>
    <w:p w14:paraId="61041A44" w14:textId="77777777" w:rsidR="00DD650A" w:rsidRPr="00DB3837" w:rsidRDefault="00DD650A" w:rsidP="00DB3837">
      <w:pPr>
        <w:rPr>
          <w:b/>
          <w:bCs/>
        </w:rPr>
      </w:pPr>
      <w:r w:rsidRPr="00DB3837">
        <w:rPr>
          <w:b/>
          <w:bCs/>
        </w:rPr>
        <w:t xml:space="preserve">3. </w:t>
      </w:r>
      <w:r w:rsidRPr="00DB3837">
        <w:rPr>
          <w:rFonts w:hint="eastAsia"/>
          <w:b/>
          <w:bCs/>
        </w:rPr>
        <w:t>Long-term Solvency</w:t>
      </w:r>
    </w:p>
    <w:p w14:paraId="75707B14" w14:textId="77777777" w:rsidR="00DD650A" w:rsidRPr="00CF26F2" w:rsidRDefault="00DD650A" w:rsidP="00DB3837">
      <w:pPr>
        <w:rPr>
          <w:b/>
          <w:bCs/>
        </w:rPr>
      </w:pPr>
      <w:r w:rsidRPr="00CF26F2">
        <w:rPr>
          <w:b/>
          <w:bCs/>
        </w:rPr>
        <w:t xml:space="preserve">1. </w:t>
      </w:r>
      <w:r w:rsidRPr="00CF26F2">
        <w:rPr>
          <w:rFonts w:hint="eastAsia"/>
          <w:b/>
          <w:bCs/>
        </w:rPr>
        <w:t>Total Debt Ratio</w:t>
      </w:r>
      <w:r w:rsidRPr="00CF26F2">
        <w:rPr>
          <w:rFonts w:hint="eastAsia"/>
          <w:b/>
          <w:bCs/>
        </w:rPr>
        <w:t>（</w:t>
      </w:r>
      <w:r w:rsidRPr="00CF26F2">
        <w:rPr>
          <w:rFonts w:hint="eastAsia"/>
          <w:b/>
          <w:bCs/>
        </w:rPr>
        <w:t>Debt-to-Asset Ratio</w:t>
      </w:r>
      <w:r w:rsidRPr="00CF26F2">
        <w:rPr>
          <w:rFonts w:hint="eastAsia"/>
          <w:b/>
          <w:bCs/>
        </w:rPr>
        <w:t>）</w:t>
      </w:r>
    </w:p>
    <w:p w14:paraId="772EA4A6" w14:textId="77777777" w:rsidR="00DD650A" w:rsidRDefault="00DD650A" w:rsidP="00DB3837">
      <m:oMathPara>
        <m:oMath>
          <m:r>
            <m:rPr>
              <m:sty m:val="p"/>
            </m:rPr>
            <w:rPr>
              <w:rFonts w:ascii="Cambria Math" w:hAnsi="Cambria Math" w:hint="eastAsia"/>
            </w:rPr>
            <m:t xml:space="preserve">Total Debt Ratio = </m:t>
          </m:r>
          <m:d>
            <m:dPr>
              <m:ctrlPr>
                <w:rPr>
                  <w:rFonts w:ascii="Cambria Math" w:hAnsi="Cambria Math"/>
                </w:rPr>
              </m:ctrlPr>
            </m:dPr>
            <m:e>
              <m:f>
                <m:fPr>
                  <m:ctrlPr>
                    <w:rPr>
                      <w:rFonts w:ascii="Cambria Math" w:hAnsi="Cambria Math"/>
                      <w:i/>
                    </w:rPr>
                  </m:ctrlPr>
                </m:fPr>
                <m:num>
                  <m:r>
                    <m:rPr>
                      <m:sty m:val="p"/>
                    </m:rPr>
                    <w:rPr>
                      <w:rFonts w:ascii="Cambria Math" w:hAnsi="Cambria Math" w:hint="eastAsia"/>
                    </w:rPr>
                    <m:t>Total Liabilities</m:t>
                  </m:r>
                </m:num>
                <m:den>
                  <m:r>
                    <m:rPr>
                      <m:sty m:val="p"/>
                    </m:rPr>
                    <w:rPr>
                      <w:rFonts w:ascii="Cambria Math" w:hAnsi="Cambria Math" w:hint="eastAsia"/>
                    </w:rPr>
                    <m:t>Total Assets</m:t>
                  </m:r>
                </m:den>
              </m:f>
            </m:e>
          </m:d>
          <m:r>
            <w:rPr>
              <w:rFonts w:ascii="Cambria Math" w:hAnsi="Cambria Math"/>
            </w:rPr>
            <m:t>×100</m:t>
          </m:r>
        </m:oMath>
      </m:oMathPara>
    </w:p>
    <w:p w14:paraId="536F7435" w14:textId="77777777" w:rsidR="00DD650A" w:rsidRPr="00CF26F2" w:rsidRDefault="00DD650A" w:rsidP="00DB3837">
      <w:r>
        <w:t xml:space="preserve">2024: </w:t>
      </w:r>
      <m:oMath>
        <m:r>
          <m:rPr>
            <m:sty m:val="p"/>
          </m:rPr>
          <w:rPr>
            <w:rFonts w:ascii="Cambria Math" w:hAnsi="Cambria Math" w:hint="eastAsia"/>
          </w:rPr>
          <m:t>Total Debt Ratio =</m:t>
        </m:r>
        <m:d>
          <m:dPr>
            <m:ctrlPr>
              <w:rPr>
                <w:rFonts w:ascii="Cambria Math" w:hAnsi="Cambria Math"/>
              </w:rPr>
            </m:ctrlPr>
          </m:dPr>
          <m:e>
            <m:f>
              <m:fPr>
                <m:ctrlPr>
                  <w:rPr>
                    <w:rFonts w:ascii="Cambria Math" w:hAnsi="Cambria Math"/>
                    <w:i/>
                  </w:rPr>
                </m:ctrlPr>
              </m:fPr>
              <m:num>
                <m:r>
                  <w:rPr>
                    <w:rFonts w:ascii="Cambria Math" w:hAnsi="Cambria Math"/>
                  </w:rPr>
                  <m:t>170.249</m:t>
                </m:r>
              </m:num>
              <m:den>
                <m:r>
                  <w:rPr>
                    <w:rFonts w:ascii="Cambria Math" w:hAnsi="Cambria Math"/>
                  </w:rPr>
                  <m:t>323.354</m:t>
                </m:r>
              </m:den>
            </m:f>
          </m:e>
        </m:d>
        <m:r>
          <w:rPr>
            <w:rFonts w:ascii="Cambria Math" w:hAnsi="Cambria Math"/>
          </w:rPr>
          <m:t>×100=52.65%</m:t>
        </m:r>
      </m:oMath>
    </w:p>
    <w:p w14:paraId="75C9F17D" w14:textId="77777777" w:rsidR="00DD650A" w:rsidRPr="00CF26F2" w:rsidRDefault="00DD650A" w:rsidP="00DB3837">
      <w:r>
        <w:t xml:space="preserve">2023: </w:t>
      </w:r>
      <m:oMath>
        <m:r>
          <m:rPr>
            <m:sty m:val="p"/>
          </m:rPr>
          <w:rPr>
            <w:rFonts w:ascii="Cambria Math" w:hAnsi="Cambria Math" w:hint="eastAsia"/>
          </w:rPr>
          <m:t>Total Debt Ratio =</m:t>
        </m:r>
        <m:d>
          <m:dPr>
            <m:ctrlPr>
              <w:rPr>
                <w:rFonts w:ascii="Cambria Math" w:hAnsi="Cambria Math"/>
              </w:rPr>
            </m:ctrlPr>
          </m:dPr>
          <m:e>
            <m:f>
              <m:fPr>
                <m:ctrlPr>
                  <w:rPr>
                    <w:rFonts w:ascii="Cambria Math" w:hAnsi="Cambria Math"/>
                    <w:i/>
                  </w:rPr>
                </m:ctrlPr>
              </m:fPr>
              <m:num>
                <m:r>
                  <w:rPr>
                    <w:rFonts w:ascii="Cambria Math" w:hAnsi="Cambria Math"/>
                  </w:rPr>
                  <m:t>176.952</m:t>
                </m:r>
              </m:num>
              <m:den>
                <m:r>
                  <w:rPr>
                    <w:rFonts w:ascii="Cambria Math" w:hAnsi="Cambria Math"/>
                  </w:rPr>
                  <m:t>355.872</m:t>
                </m:r>
              </m:den>
            </m:f>
          </m:e>
        </m:d>
        <m:r>
          <w:rPr>
            <w:rFonts w:ascii="Cambria Math" w:hAnsi="Cambria Math"/>
          </w:rPr>
          <m:t>×100=49.72%</m:t>
        </m:r>
      </m:oMath>
    </w:p>
    <w:p w14:paraId="5F423940" w14:textId="77777777" w:rsidR="00DD650A" w:rsidRDefault="00DD650A" w:rsidP="00DB3837">
      <w:r>
        <w:t xml:space="preserve">2022: </w:t>
      </w:r>
      <m:oMath>
        <m:r>
          <m:rPr>
            <m:sty m:val="p"/>
          </m:rPr>
          <w:rPr>
            <w:rFonts w:ascii="Cambria Math" w:hAnsi="Cambria Math" w:hint="eastAsia"/>
          </w:rPr>
          <m:t>Total Debt Ratio =</m:t>
        </m:r>
        <m:d>
          <m:dPr>
            <m:ctrlPr>
              <w:rPr>
                <w:rFonts w:ascii="Cambria Math" w:hAnsi="Cambria Math"/>
              </w:rPr>
            </m:ctrlPr>
          </m:dPr>
          <m:e>
            <m:f>
              <m:fPr>
                <m:ctrlPr>
                  <w:rPr>
                    <w:rFonts w:ascii="Cambria Math" w:hAnsi="Cambria Math"/>
                    <w:i/>
                  </w:rPr>
                </m:ctrlPr>
              </m:fPr>
              <m:num>
                <m:r>
                  <w:rPr>
                    <w:rFonts w:ascii="Cambria Math" w:hAnsi="Cambria Math"/>
                  </w:rPr>
                  <m:t>235.757</m:t>
                </m:r>
              </m:num>
              <m:den>
                <m:r>
                  <w:rPr>
                    <w:rFonts w:ascii="Cambria Math" w:hAnsi="Cambria Math"/>
                  </w:rPr>
                  <m:t>504.163</m:t>
                </m:r>
              </m:den>
            </m:f>
          </m:e>
        </m:d>
        <m:r>
          <w:rPr>
            <w:rFonts w:ascii="Cambria Math" w:hAnsi="Cambria Math"/>
          </w:rPr>
          <m:t>×100=46.76%</m:t>
        </m:r>
      </m:oMath>
    </w:p>
    <w:p w14:paraId="0A9B3B5F" w14:textId="77777777" w:rsidR="00DD650A" w:rsidRPr="00CF26F2" w:rsidRDefault="00DD650A" w:rsidP="00DB3837">
      <w:r>
        <w:t xml:space="preserve">2021: </w:t>
      </w:r>
      <m:oMath>
        <m:r>
          <m:rPr>
            <m:sty m:val="p"/>
          </m:rPr>
          <w:rPr>
            <w:rFonts w:ascii="Cambria Math" w:hAnsi="Cambria Math" w:hint="eastAsia"/>
          </w:rPr>
          <m:t>Total Debt Ratio =</m:t>
        </m:r>
        <m:d>
          <m:dPr>
            <m:ctrlPr>
              <w:rPr>
                <w:rFonts w:ascii="Cambria Math" w:hAnsi="Cambria Math"/>
              </w:rPr>
            </m:ctrlPr>
          </m:dPr>
          <m:e>
            <m:f>
              <m:fPr>
                <m:ctrlPr>
                  <w:rPr>
                    <w:rFonts w:ascii="Cambria Math" w:hAnsi="Cambria Math"/>
                    <w:i/>
                  </w:rPr>
                </m:ctrlPr>
              </m:fPr>
              <m:num>
                <m:r>
                  <w:rPr>
                    <w:rFonts w:ascii="Cambria Math" w:hAnsi="Cambria Math"/>
                  </w:rPr>
                  <m:t>234.399</m:t>
                </m:r>
              </m:num>
              <m:den>
                <m:r>
                  <w:rPr>
                    <w:rFonts w:ascii="Cambria Math" w:hAnsi="Cambria Math"/>
                  </w:rPr>
                  <m:t>510.348</m:t>
                </m:r>
              </m:den>
            </m:f>
          </m:e>
        </m:d>
        <m:r>
          <w:rPr>
            <w:rFonts w:ascii="Cambria Math" w:hAnsi="Cambria Math"/>
          </w:rPr>
          <m:t>×100=45.93%</m:t>
        </m:r>
      </m:oMath>
    </w:p>
    <w:p w14:paraId="00416D4E" w14:textId="77777777" w:rsidR="00DD650A" w:rsidRPr="00CF26F2" w:rsidRDefault="00DD650A" w:rsidP="00DB3837">
      <w:r>
        <w:t xml:space="preserve">2020: </w:t>
      </w:r>
      <m:oMath>
        <m:r>
          <m:rPr>
            <m:sty m:val="p"/>
          </m:rPr>
          <w:rPr>
            <w:rFonts w:ascii="Cambria Math" w:hAnsi="Cambria Math" w:hint="eastAsia"/>
          </w:rPr>
          <m:t>Total Debt Ratio =</m:t>
        </m:r>
        <m:d>
          <m:dPr>
            <m:ctrlPr>
              <w:rPr>
                <w:rFonts w:ascii="Cambria Math" w:hAnsi="Cambria Math"/>
              </w:rPr>
            </m:ctrlPr>
          </m:dPr>
          <m:e>
            <m:f>
              <m:fPr>
                <m:ctrlPr>
                  <w:rPr>
                    <w:rFonts w:ascii="Cambria Math" w:hAnsi="Cambria Math"/>
                    <w:i/>
                  </w:rPr>
                </m:ctrlPr>
              </m:fPr>
              <m:num>
                <m:r>
                  <w:rPr>
                    <w:rFonts w:ascii="Cambria Math" w:hAnsi="Cambria Math"/>
                  </w:rPr>
                  <m:t>196.989</m:t>
                </m:r>
              </m:num>
              <m:den>
                <m:r>
                  <w:rPr>
                    <w:rFonts w:ascii="Cambria Math" w:hAnsi="Cambria Math"/>
                  </w:rPr>
                  <m:t>510.290</m:t>
                </m:r>
              </m:den>
            </m:f>
          </m:e>
        </m:d>
        <m:r>
          <w:rPr>
            <w:rFonts w:ascii="Cambria Math" w:hAnsi="Cambria Math"/>
          </w:rPr>
          <m:t>×100=38.60%</m:t>
        </m:r>
      </m:oMath>
    </w:p>
    <w:p w14:paraId="690AE8E1" w14:textId="77777777" w:rsidR="00DD650A" w:rsidRDefault="00DD650A" w:rsidP="00DB3837"/>
    <w:p w14:paraId="6294EBA2" w14:textId="77777777" w:rsidR="00DD650A" w:rsidRPr="00CF26F2" w:rsidRDefault="00DD650A" w:rsidP="00DB3837">
      <w:pPr>
        <w:rPr>
          <w:b/>
          <w:bCs/>
        </w:rPr>
      </w:pPr>
      <w:r>
        <w:rPr>
          <w:b/>
          <w:bCs/>
        </w:rPr>
        <w:t xml:space="preserve">2. </w:t>
      </w:r>
      <w:r w:rsidRPr="00CF26F2">
        <w:rPr>
          <w:b/>
          <w:bCs/>
        </w:rPr>
        <w:t xml:space="preserve">Interest Coverage Ratio </w:t>
      </w:r>
    </w:p>
    <w:p w14:paraId="0620A3A9" w14:textId="77777777" w:rsidR="00DD650A" w:rsidRPr="00CF26F2" w:rsidRDefault="00DD650A" w:rsidP="00DB3837">
      <m:oMathPara>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m:rPr>
                  <m:sty m:val="p"/>
                </m:rPr>
                <w:rPr>
                  <w:rFonts w:ascii="Cambria Math" w:hAnsi="Cambria Math"/>
                </w:rPr>
                <m:t>EBIT</m:t>
              </m:r>
            </m:num>
            <m:den>
              <m:r>
                <m:rPr>
                  <m:sty m:val="p"/>
                </m:rPr>
                <w:rPr>
                  <w:rFonts w:ascii="Cambria Math" w:hAnsi="Cambria Math"/>
                </w:rPr>
                <m:t>Interest Expense</m:t>
              </m:r>
            </m:den>
          </m:f>
        </m:oMath>
      </m:oMathPara>
    </w:p>
    <w:p w14:paraId="2D333CE6" w14:textId="77777777" w:rsidR="00DD650A" w:rsidRPr="00B9662C" w:rsidRDefault="00DD650A" w:rsidP="00DB3837">
      <w:r>
        <w:t xml:space="preserve">2024: </w:t>
      </w:r>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w:rPr>
                <w:rFonts w:ascii="Cambria Math"/>
              </w:rPr>
              <m:t>-</m:t>
            </m:r>
            <m:r>
              <w:rPr>
                <w:rFonts w:ascii="Cambria Math"/>
              </w:rPr>
              <m:t>15.297</m:t>
            </m:r>
          </m:num>
          <m:den>
            <m:r>
              <w:rPr>
                <w:rFonts w:ascii="Cambria Math"/>
              </w:rPr>
              <m:t>3.361</m:t>
            </m:r>
          </m:den>
        </m:f>
        <m:r>
          <w:rPr>
            <w:rFonts w:ascii="Cambria Math" w:hAnsi="Cambria Math"/>
          </w:rPr>
          <m:t>=</m:t>
        </m:r>
        <m:r>
          <w:rPr>
            <w:rFonts w:ascii="Cambria Math"/>
          </w:rPr>
          <m:t>-</m:t>
        </m:r>
        <m:r>
          <w:rPr>
            <w:rFonts w:ascii="Cambria Math"/>
          </w:rPr>
          <m:t>4.55</m:t>
        </m:r>
      </m:oMath>
    </w:p>
    <w:p w14:paraId="21B4075E" w14:textId="77777777" w:rsidR="00DD650A" w:rsidRPr="00B9662C" w:rsidRDefault="00DD650A" w:rsidP="00DB3837">
      <w:r>
        <w:t xml:space="preserve">2023: </w:t>
      </w:r>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w:rPr>
                <w:rFonts w:ascii="Cambria Math"/>
              </w:rPr>
              <m:t>-</m:t>
            </m:r>
            <m:r>
              <w:rPr>
                <w:rFonts w:ascii="Cambria Math"/>
              </w:rPr>
              <m:t>85.301</m:t>
            </m:r>
          </m:num>
          <m:den>
            <m:r>
              <w:rPr>
                <w:rFonts w:ascii="Cambria Math"/>
              </w:rPr>
              <m:t>4.332</m:t>
            </m:r>
          </m:den>
        </m:f>
        <m:r>
          <w:rPr>
            <w:rFonts w:ascii="Cambria Math" w:hAnsi="Cambria Math"/>
          </w:rPr>
          <m:t>=</m:t>
        </m:r>
        <m:r>
          <w:rPr>
            <w:rFonts w:ascii="Cambria Math"/>
          </w:rPr>
          <m:t>-</m:t>
        </m:r>
        <m:r>
          <w:rPr>
            <w:rFonts w:ascii="Cambria Math"/>
          </w:rPr>
          <m:t>19.69</m:t>
        </m:r>
      </m:oMath>
    </w:p>
    <w:p w14:paraId="128B6363" w14:textId="77777777" w:rsidR="00DD650A" w:rsidRPr="00B9662C" w:rsidRDefault="00DD650A" w:rsidP="00DB3837">
      <w:r>
        <w:lastRenderedPageBreak/>
        <w:t xml:space="preserve">2022: </w:t>
      </w:r>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w:rPr>
                <w:rFonts w:ascii="Cambria Math"/>
              </w:rPr>
              <m:t>14.548</m:t>
            </m:r>
          </m:num>
          <m:den>
            <m:r>
              <w:rPr>
                <w:rFonts w:ascii="Cambria Math"/>
              </w:rPr>
              <m:t>2.200</m:t>
            </m:r>
          </m:den>
        </m:f>
        <m:r>
          <w:rPr>
            <w:rFonts w:ascii="Cambria Math" w:hAnsi="Cambria Math"/>
          </w:rPr>
          <m:t>=</m:t>
        </m:r>
        <m:r>
          <w:rPr>
            <w:rFonts w:ascii="Cambria Math"/>
          </w:rPr>
          <m:t>6.61</m:t>
        </m:r>
      </m:oMath>
    </w:p>
    <w:p w14:paraId="08709653" w14:textId="77777777" w:rsidR="00DD650A" w:rsidRPr="00B9662C" w:rsidRDefault="00DD650A" w:rsidP="00DB3837">
      <w:r>
        <w:t xml:space="preserve">2021: </w:t>
      </w:r>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w:rPr>
                <w:rFonts w:ascii="Cambria Math"/>
              </w:rPr>
              <m:t>23.253</m:t>
            </m:r>
          </m:num>
          <m:den>
            <m:r>
              <w:rPr>
                <w:rFonts w:ascii="Cambria Math"/>
              </w:rPr>
              <m:t>566</m:t>
            </m:r>
          </m:den>
        </m:f>
        <m:r>
          <w:rPr>
            <w:rFonts w:ascii="Cambria Math" w:hAnsi="Cambria Math"/>
          </w:rPr>
          <m:t>=</m:t>
        </m:r>
        <m:r>
          <w:rPr>
            <w:rFonts w:ascii="Cambria Math"/>
          </w:rPr>
          <m:t>41.08</m:t>
        </m:r>
      </m:oMath>
    </w:p>
    <w:p w14:paraId="62439AF5" w14:textId="77777777" w:rsidR="00DD650A" w:rsidRPr="00B9662C" w:rsidRDefault="00DD650A" w:rsidP="00DB3837">
      <w:r>
        <w:t xml:space="preserve">2020: </w:t>
      </w:r>
      <m:oMath>
        <m:r>
          <m:rPr>
            <m:sty m:val="p"/>
          </m:rPr>
          <w:rPr>
            <w:rFonts w:ascii="Cambria Math" w:hAnsi="Cambria Math"/>
          </w:rPr>
          <m:t>Interest Coverage Ratio</m:t>
        </m:r>
        <m:r>
          <m:rPr>
            <m:sty m:val="p"/>
          </m:rPr>
          <w:rPr>
            <w:rFonts w:ascii="Cambria Math"/>
          </w:rPr>
          <m:t>=</m:t>
        </m:r>
        <m:f>
          <m:fPr>
            <m:ctrlPr>
              <w:rPr>
                <w:rFonts w:ascii="Cambria Math" w:hAnsi="Cambria Math"/>
              </w:rPr>
            </m:ctrlPr>
          </m:fPr>
          <m:num>
            <m:r>
              <w:rPr>
                <w:rFonts w:ascii="Cambria Math"/>
              </w:rPr>
              <m:t>37.267</m:t>
            </m:r>
          </m:num>
          <m:den>
            <m:r>
              <w:rPr>
                <w:rFonts w:ascii="Cambria Math"/>
              </w:rPr>
              <m:t>1.422</m:t>
            </m:r>
          </m:den>
        </m:f>
        <m:r>
          <w:rPr>
            <w:rFonts w:ascii="Cambria Math" w:hAnsi="Cambria Math"/>
          </w:rPr>
          <m:t>=</m:t>
        </m:r>
        <m:r>
          <w:rPr>
            <w:rFonts w:ascii="Cambria Math"/>
          </w:rPr>
          <m:t>26.21</m:t>
        </m:r>
      </m:oMath>
    </w:p>
    <w:p w14:paraId="569C9AAB" w14:textId="77777777" w:rsidR="00DD650A" w:rsidRDefault="00DD650A" w:rsidP="00DB3837"/>
    <w:p w14:paraId="50E68104" w14:textId="77777777" w:rsidR="00DD650A" w:rsidRDefault="00DD650A" w:rsidP="00B9662C">
      <w:pPr>
        <w:rPr>
          <w:b/>
          <w:bCs/>
        </w:rPr>
      </w:pPr>
      <w:r w:rsidRPr="00B9662C">
        <w:rPr>
          <w:b/>
          <w:bCs/>
        </w:rPr>
        <w:t>3. Efficiency Ratios</w:t>
      </w:r>
    </w:p>
    <w:p w14:paraId="35F049B3" w14:textId="77777777" w:rsidR="00DD650A" w:rsidRPr="00B9662C" w:rsidRDefault="00DD650A" w:rsidP="00B9662C">
      <w:pPr>
        <w:rPr>
          <w:b/>
          <w:bCs/>
        </w:rPr>
      </w:pPr>
      <w:r>
        <w:rPr>
          <w:b/>
          <w:bCs/>
        </w:rPr>
        <w:t xml:space="preserve">1. </w:t>
      </w:r>
      <w:r w:rsidRPr="00EB19E7">
        <w:rPr>
          <w:b/>
          <w:bCs/>
        </w:rPr>
        <w:t xml:space="preserve">Accounts Receivable Turnover Ratio </w:t>
      </w:r>
    </w:p>
    <w:p w14:paraId="5E482A4C" w14:textId="77777777" w:rsidR="00DD650A" w:rsidRPr="00B9662C" w:rsidRDefault="00DD650A" w:rsidP="00B9662C">
      <m:oMathPara>
        <m:oMath>
          <m:r>
            <m:rPr>
              <m:sty m:val="p"/>
            </m:rPr>
            <w:rPr>
              <w:rFonts w:ascii="Cambria Math" w:hAnsi="Cambria Math"/>
            </w:rPr>
            <m:t xml:space="preserve">Accounts Receivable Turnover Ratio = </m:t>
          </m:r>
          <m:f>
            <m:fPr>
              <m:ctrlPr>
                <w:rPr>
                  <w:rFonts w:ascii="Cambria Math" w:hAnsi="Cambria Math"/>
                </w:rPr>
              </m:ctrlPr>
            </m:fPr>
            <m:num>
              <m:r>
                <m:rPr>
                  <m:sty m:val="p"/>
                </m:rPr>
                <w:rPr>
                  <w:rFonts w:ascii="Cambria Math" w:hAnsi="Cambria Math"/>
                </w:rPr>
                <m:t xml:space="preserve">Net Credit Sales Revenue </m:t>
              </m:r>
            </m:num>
            <m:den>
              <m:r>
                <m:rPr>
                  <m:sty m:val="p"/>
                </m:rPr>
                <w:rPr>
                  <w:rFonts w:ascii="Cambria Math" w:hAnsi="Cambria Math"/>
                </w:rPr>
                <m:t>Average Accounts Receivable</m:t>
              </m:r>
            </m:den>
          </m:f>
        </m:oMath>
      </m:oMathPara>
    </w:p>
    <w:p w14:paraId="118B9063" w14:textId="77777777" w:rsidR="00DD650A" w:rsidRDefault="00DD650A" w:rsidP="00B9662C">
      <w:r>
        <w:t>Where:</w:t>
      </w:r>
    </w:p>
    <w:p w14:paraId="322ED339" w14:textId="77777777" w:rsidR="00DD650A" w:rsidRPr="00B9662C" w:rsidRDefault="00DD650A" w:rsidP="00B9662C">
      <w:pPr>
        <w:rPr>
          <w:sz w:val="18"/>
          <w:szCs w:val="18"/>
        </w:rPr>
      </w:pPr>
      <m:oMathPara>
        <m:oMath>
          <m:r>
            <w:rPr>
              <w:rFonts w:ascii="Cambria Math" w:hAnsi="Cambria Math"/>
              <w:sz w:val="18"/>
              <w:szCs w:val="18"/>
            </w:rPr>
            <m:t>Average Accounts Receivable=</m:t>
          </m:r>
          <m:f>
            <m:fPr>
              <m:ctrlPr>
                <w:rPr>
                  <w:rFonts w:ascii="Cambria Math" w:hAnsi="Cambria Math"/>
                  <w:i/>
                  <w:sz w:val="18"/>
                  <w:szCs w:val="18"/>
                </w:rPr>
              </m:ctrlPr>
            </m:fPr>
            <m:num>
              <m:r>
                <w:rPr>
                  <w:rFonts w:ascii="Cambria Math" w:hAnsi="Cambria Math"/>
                  <w:sz w:val="18"/>
                  <w:szCs w:val="18"/>
                </w:rPr>
                <m:t>Accounts Receivable for Current Year+Accounts Receivable for Previous Year</m:t>
              </m:r>
              <m:r>
                <m:rPr>
                  <m:sty m:val="bi"/>
                </m:rPr>
                <w:rPr>
                  <w:rFonts w:ascii="Cambria Math" w:hAnsi="Cambria Math"/>
                  <w:sz w:val="18"/>
                  <w:szCs w:val="18"/>
                </w:rPr>
                <m:t>​</m:t>
              </m:r>
            </m:num>
            <m:den>
              <m:r>
                <w:rPr>
                  <w:rFonts w:ascii="Cambria Math" w:hAnsi="Cambria Math"/>
                  <w:sz w:val="18"/>
                  <w:szCs w:val="18"/>
                </w:rPr>
                <m:t>2</m:t>
              </m:r>
            </m:den>
          </m:f>
        </m:oMath>
      </m:oMathPara>
    </w:p>
    <w:p w14:paraId="496A0075" w14:textId="77777777" w:rsidR="00DD650A" w:rsidRPr="00EB19E7" w:rsidRDefault="00DD650A" w:rsidP="00B9662C">
      <w:pPr>
        <w:rPr>
          <w:sz w:val="28"/>
          <w:szCs w:val="28"/>
        </w:rPr>
      </w:pPr>
      <w:r w:rsidRPr="00EB19E7">
        <w:rPr>
          <w:sz w:val="28"/>
          <w:szCs w:val="28"/>
        </w:rPr>
        <w:t xml:space="preserve">2024: </w:t>
      </w:r>
      <m:oMath>
        <m:r>
          <w:rPr>
            <w:rFonts w:ascii="Cambria Math" w:hAnsi="Cambria Math"/>
            <w:sz w:val="28"/>
            <w:szCs w:val="28"/>
          </w:rPr>
          <m:t>ARTR=</m:t>
        </m:r>
        <m:f>
          <m:fPr>
            <m:ctrlPr>
              <w:rPr>
                <w:rFonts w:ascii="Cambria Math" w:hAnsi="Cambria Math"/>
                <w:i/>
                <w:sz w:val="28"/>
                <w:szCs w:val="28"/>
              </w:rPr>
            </m:ctrlPr>
          </m:fPr>
          <m:num>
            <m:r>
              <w:rPr>
                <w:rFonts w:ascii="Cambria Math" w:hAnsi="Cambria Math"/>
                <w:sz w:val="28"/>
                <w:szCs w:val="28"/>
              </w:rPr>
              <m:t>394.879</m:t>
            </m:r>
          </m:num>
          <m:den>
            <m:f>
              <m:fPr>
                <m:ctrlPr>
                  <w:rPr>
                    <w:rFonts w:ascii="Cambria Math" w:hAnsi="Cambria Math"/>
                    <w:i/>
                    <w:sz w:val="28"/>
                    <w:szCs w:val="28"/>
                  </w:rPr>
                </m:ctrlPr>
              </m:fPr>
              <m:num>
                <m:r>
                  <w:rPr>
                    <w:rFonts w:ascii="Cambria Math" w:hAnsi="Cambria Math"/>
                    <w:sz w:val="28"/>
                    <w:szCs w:val="28"/>
                  </w:rPr>
                  <m:t>114.182+112.596</m:t>
                </m:r>
              </m:num>
              <m:den>
                <m:r>
                  <w:rPr>
                    <w:rFonts w:ascii="Cambria Math" w:hAnsi="Cambria Math"/>
                    <w:sz w:val="28"/>
                    <w:szCs w:val="28"/>
                  </w:rPr>
                  <m:t>2</m:t>
                </m:r>
              </m:den>
            </m:f>
          </m:den>
        </m:f>
        <m:r>
          <w:rPr>
            <w:rFonts w:ascii="Cambria Math" w:hAnsi="Cambria Math"/>
            <w:sz w:val="28"/>
            <w:szCs w:val="28"/>
          </w:rPr>
          <m:t>=3.48</m:t>
        </m:r>
      </m:oMath>
    </w:p>
    <w:p w14:paraId="02A05EAD" w14:textId="77777777" w:rsidR="00DD650A" w:rsidRPr="00EB19E7" w:rsidRDefault="00DD650A" w:rsidP="00B9662C">
      <w:pPr>
        <w:rPr>
          <w:sz w:val="28"/>
          <w:szCs w:val="28"/>
        </w:rPr>
      </w:pPr>
      <w:r w:rsidRPr="00EB19E7">
        <w:rPr>
          <w:sz w:val="28"/>
          <w:szCs w:val="28"/>
        </w:rPr>
        <w:t xml:space="preserve">2023: </w:t>
      </w:r>
      <m:oMath>
        <m:r>
          <w:rPr>
            <w:rFonts w:ascii="Cambria Math" w:hAnsi="Cambria Math"/>
            <w:sz w:val="28"/>
            <w:szCs w:val="28"/>
          </w:rPr>
          <m:t>ARTR=</m:t>
        </m:r>
        <m:f>
          <m:fPr>
            <m:ctrlPr>
              <w:rPr>
                <w:rFonts w:ascii="Cambria Math" w:hAnsi="Cambria Math"/>
                <w:i/>
                <w:sz w:val="28"/>
                <w:szCs w:val="28"/>
              </w:rPr>
            </m:ctrlPr>
          </m:fPr>
          <m:num>
            <m:r>
              <w:rPr>
                <w:rFonts w:ascii="Cambria Math" w:hAnsi="Cambria Math"/>
                <w:sz w:val="28"/>
                <w:szCs w:val="28"/>
              </w:rPr>
              <m:t>420457</m:t>
            </m:r>
          </m:num>
          <m:den>
            <m:f>
              <m:fPr>
                <m:ctrlPr>
                  <w:rPr>
                    <w:rFonts w:ascii="Cambria Math" w:hAnsi="Cambria Math"/>
                    <w:i/>
                    <w:sz w:val="28"/>
                    <w:szCs w:val="28"/>
                  </w:rPr>
                </m:ctrlPr>
              </m:fPr>
              <m:num>
                <m:r>
                  <w:rPr>
                    <w:rFonts w:ascii="Cambria Math" w:hAnsi="Cambria Math"/>
                    <w:sz w:val="28"/>
                    <w:szCs w:val="28"/>
                  </w:rPr>
                  <m:t>112.596+112.346</m:t>
                </m:r>
              </m:num>
              <m:den>
                <m:r>
                  <w:rPr>
                    <w:rFonts w:ascii="Cambria Math" w:hAnsi="Cambria Math"/>
                    <w:sz w:val="28"/>
                    <w:szCs w:val="28"/>
                  </w:rPr>
                  <m:t>2</m:t>
                </m:r>
              </m:den>
            </m:f>
          </m:den>
        </m:f>
        <m:r>
          <w:rPr>
            <w:rFonts w:ascii="Cambria Math" w:hAnsi="Cambria Math"/>
            <w:sz w:val="28"/>
            <w:szCs w:val="28"/>
          </w:rPr>
          <m:t>=3.74</m:t>
        </m:r>
      </m:oMath>
    </w:p>
    <w:p w14:paraId="5D5CC1FA" w14:textId="77777777" w:rsidR="00DD650A" w:rsidRPr="00EB19E7" w:rsidRDefault="00DD650A" w:rsidP="00B9662C">
      <w:pPr>
        <w:rPr>
          <w:sz w:val="28"/>
          <w:szCs w:val="28"/>
        </w:rPr>
      </w:pPr>
      <w:r w:rsidRPr="00EB19E7">
        <w:rPr>
          <w:sz w:val="28"/>
          <w:szCs w:val="28"/>
        </w:rPr>
        <w:t xml:space="preserve">2022: </w:t>
      </w:r>
      <m:oMath>
        <m:r>
          <w:rPr>
            <w:rFonts w:ascii="Cambria Math" w:hAnsi="Cambria Math"/>
            <w:sz w:val="28"/>
            <w:szCs w:val="28"/>
          </w:rPr>
          <m:t>ARTR=</m:t>
        </m:r>
        <m:f>
          <m:fPr>
            <m:ctrlPr>
              <w:rPr>
                <w:rFonts w:ascii="Cambria Math" w:hAnsi="Cambria Math"/>
                <w:i/>
                <w:sz w:val="28"/>
                <w:szCs w:val="28"/>
              </w:rPr>
            </m:ctrlPr>
          </m:fPr>
          <m:num>
            <m:r>
              <w:rPr>
                <w:rFonts w:ascii="Cambria Math" w:hAnsi="Cambria Math"/>
                <w:sz w:val="28"/>
                <w:szCs w:val="28"/>
              </w:rPr>
              <m:t>542.751</m:t>
            </m:r>
          </m:num>
          <m:den>
            <m:f>
              <m:fPr>
                <m:ctrlPr>
                  <w:rPr>
                    <w:rFonts w:ascii="Cambria Math" w:hAnsi="Cambria Math"/>
                    <w:i/>
                    <w:sz w:val="28"/>
                    <w:szCs w:val="28"/>
                  </w:rPr>
                </m:ctrlPr>
              </m:fPr>
              <m:num>
                <m:r>
                  <w:rPr>
                    <w:rFonts w:ascii="Cambria Math" w:hAnsi="Cambria Math"/>
                    <w:sz w:val="28"/>
                    <w:szCs w:val="28"/>
                  </w:rPr>
                  <m:t>112.346+129.215</m:t>
                </m:r>
              </m:num>
              <m:den>
                <m:r>
                  <w:rPr>
                    <w:rFonts w:ascii="Cambria Math" w:hAnsi="Cambria Math"/>
                    <w:sz w:val="28"/>
                    <w:szCs w:val="28"/>
                  </w:rPr>
                  <m:t>2</m:t>
                </m:r>
              </m:den>
            </m:f>
          </m:den>
        </m:f>
        <m:r>
          <w:rPr>
            <w:rFonts w:ascii="Cambria Math" w:hAnsi="Cambria Math"/>
            <w:sz w:val="28"/>
            <w:szCs w:val="28"/>
          </w:rPr>
          <m:t>=4.49</m:t>
        </m:r>
      </m:oMath>
    </w:p>
    <w:p w14:paraId="4A8A7754" w14:textId="77777777" w:rsidR="00DD650A" w:rsidRPr="00EB19E7" w:rsidRDefault="00DD650A" w:rsidP="00B9662C">
      <w:pPr>
        <w:rPr>
          <w:sz w:val="28"/>
          <w:szCs w:val="28"/>
        </w:rPr>
      </w:pPr>
      <w:r w:rsidRPr="00EB19E7">
        <w:rPr>
          <w:sz w:val="28"/>
          <w:szCs w:val="28"/>
        </w:rPr>
        <w:t xml:space="preserve">2021: </w:t>
      </w:r>
      <m:oMath>
        <m:r>
          <w:rPr>
            <w:rFonts w:ascii="Cambria Math" w:hAnsi="Cambria Math"/>
            <w:sz w:val="28"/>
            <w:szCs w:val="28"/>
          </w:rPr>
          <m:t>ARTR=</m:t>
        </m:r>
        <m:f>
          <m:fPr>
            <m:ctrlPr>
              <w:rPr>
                <w:rFonts w:ascii="Cambria Math" w:hAnsi="Cambria Math"/>
                <w:i/>
                <w:sz w:val="28"/>
                <w:szCs w:val="28"/>
              </w:rPr>
            </m:ctrlPr>
          </m:fPr>
          <m:num>
            <m:r>
              <w:rPr>
                <w:rFonts w:ascii="Cambria Math" w:hAnsi="Cambria Math"/>
                <w:sz w:val="28"/>
                <w:szCs w:val="28"/>
              </w:rPr>
              <m:t>601.602</m:t>
            </m:r>
          </m:num>
          <m:den>
            <m:f>
              <m:fPr>
                <m:ctrlPr>
                  <w:rPr>
                    <w:rFonts w:ascii="Cambria Math" w:hAnsi="Cambria Math"/>
                    <w:i/>
                    <w:sz w:val="28"/>
                    <w:szCs w:val="28"/>
                  </w:rPr>
                </m:ctrlPr>
              </m:fPr>
              <m:num>
                <m:r>
                  <w:rPr>
                    <w:rFonts w:ascii="Cambria Math" w:hAnsi="Cambria Math"/>
                    <w:sz w:val="28"/>
                    <w:szCs w:val="28"/>
                  </w:rPr>
                  <m:t>129.215+129.433</m:t>
                </m:r>
              </m:num>
              <m:den>
                <m:r>
                  <w:rPr>
                    <w:rFonts w:ascii="Cambria Math" w:hAnsi="Cambria Math"/>
                    <w:sz w:val="28"/>
                    <w:szCs w:val="28"/>
                  </w:rPr>
                  <m:t>2</m:t>
                </m:r>
              </m:den>
            </m:f>
          </m:den>
        </m:f>
        <m:r>
          <w:rPr>
            <w:rFonts w:ascii="Cambria Math" w:hAnsi="Cambria Math"/>
            <w:sz w:val="28"/>
            <w:szCs w:val="28"/>
          </w:rPr>
          <m:t>=4.65</m:t>
        </m:r>
      </m:oMath>
    </w:p>
    <w:p w14:paraId="3D10A463" w14:textId="77777777" w:rsidR="00DD650A" w:rsidRDefault="00DD650A" w:rsidP="00B9662C">
      <w:pPr>
        <w:rPr>
          <w:sz w:val="28"/>
          <w:szCs w:val="28"/>
        </w:rPr>
      </w:pPr>
      <w:r w:rsidRPr="00EB19E7">
        <w:rPr>
          <w:sz w:val="28"/>
          <w:szCs w:val="28"/>
        </w:rPr>
        <w:t xml:space="preserve">2020: </w:t>
      </w:r>
      <m:oMath>
        <m:r>
          <w:rPr>
            <w:rFonts w:ascii="Cambria Math" w:hAnsi="Cambria Math"/>
            <w:sz w:val="28"/>
            <w:szCs w:val="28"/>
          </w:rPr>
          <m:t>ARTR=</m:t>
        </m:r>
        <m:f>
          <m:fPr>
            <m:ctrlPr>
              <w:rPr>
                <w:rFonts w:ascii="Cambria Math" w:hAnsi="Cambria Math"/>
                <w:i/>
                <w:sz w:val="28"/>
                <w:szCs w:val="28"/>
              </w:rPr>
            </m:ctrlPr>
          </m:fPr>
          <m:num>
            <m:r>
              <w:rPr>
                <w:rFonts w:ascii="Cambria Math" w:hAnsi="Cambria Math"/>
                <w:sz w:val="28"/>
                <w:szCs w:val="28"/>
              </w:rPr>
              <m:t>614.680</m:t>
            </m:r>
          </m:num>
          <m:den>
            <m:f>
              <m:fPr>
                <m:ctrlPr>
                  <w:rPr>
                    <w:rFonts w:ascii="Cambria Math" w:hAnsi="Cambria Math"/>
                    <w:i/>
                    <w:sz w:val="28"/>
                    <w:szCs w:val="28"/>
                  </w:rPr>
                </m:ctrlPr>
              </m:fPr>
              <m:num>
                <m:r>
                  <w:rPr>
                    <w:rFonts w:ascii="Cambria Math" w:hAnsi="Cambria Math"/>
                    <w:sz w:val="28"/>
                    <w:szCs w:val="28"/>
                  </w:rPr>
                  <m:t>129.433+129.215</m:t>
                </m:r>
              </m:num>
              <m:den>
                <m:r>
                  <w:rPr>
                    <w:rFonts w:ascii="Cambria Math" w:hAnsi="Cambria Math"/>
                    <w:sz w:val="28"/>
                    <w:szCs w:val="28"/>
                  </w:rPr>
                  <m:t>2</m:t>
                </m:r>
              </m:den>
            </m:f>
          </m:den>
        </m:f>
        <m:r>
          <w:rPr>
            <w:rFonts w:ascii="Cambria Math" w:hAnsi="Cambria Math"/>
            <w:sz w:val="28"/>
            <w:szCs w:val="28"/>
          </w:rPr>
          <m:t>=4.75</m:t>
        </m:r>
      </m:oMath>
    </w:p>
    <w:p w14:paraId="427F3FC2" w14:textId="77777777" w:rsidR="00DD650A" w:rsidRPr="00EB19E7" w:rsidRDefault="00DD650A" w:rsidP="00EB19E7">
      <w:pPr>
        <w:rPr>
          <w:b/>
          <w:bCs/>
        </w:rPr>
      </w:pPr>
      <w:r w:rsidRPr="00EB19E7">
        <w:rPr>
          <w:b/>
          <w:bCs/>
        </w:rPr>
        <w:t xml:space="preserve">2. Inventory Turnover Ratio </w:t>
      </w:r>
    </w:p>
    <w:p w14:paraId="26BDCE7E" w14:textId="77777777" w:rsidR="00DD650A" w:rsidRPr="008D3FB6" w:rsidRDefault="00DD650A" w:rsidP="00EB19E7">
      <m:oMathPara>
        <m:oMath>
          <m:r>
            <m:rPr>
              <m:sty m:val="p"/>
            </m:rPr>
            <w:rPr>
              <w:rFonts w:ascii="Cambria Math" w:hAnsi="Cambria Math"/>
            </w:rPr>
            <m:t>Inventory Turnover Ratio =</m:t>
          </m:r>
          <m:f>
            <m:fPr>
              <m:ctrlPr>
                <w:rPr>
                  <w:rFonts w:ascii="Cambria Math" w:hAnsi="Cambria Math"/>
                </w:rPr>
              </m:ctrlPr>
            </m:fPr>
            <m:num>
              <m:r>
                <m:rPr>
                  <m:sty m:val="p"/>
                </m:rPr>
                <w:rPr>
                  <w:rFonts w:ascii="Cambria Math" w:hAnsi="Cambria Math"/>
                </w:rPr>
                <m:t xml:space="preserve">Cost of Goods Sold </m:t>
              </m:r>
            </m:num>
            <m:den>
              <m:r>
                <m:rPr>
                  <m:sty m:val="p"/>
                </m:rPr>
                <w:rPr>
                  <w:rFonts w:ascii="Cambria Math" w:hAnsi="Cambria Math"/>
                </w:rPr>
                <m:t>Average Inventory</m:t>
              </m:r>
            </m:den>
          </m:f>
          <m:r>
            <m:rPr>
              <m:sty m:val="p"/>
            </m:rPr>
            <w:rPr>
              <w:rFonts w:ascii="Cambria Math" w:hAnsi="Cambria Math"/>
            </w:rPr>
            <m:t xml:space="preserve"> </m:t>
          </m:r>
        </m:oMath>
      </m:oMathPara>
    </w:p>
    <w:p w14:paraId="5AA78985" w14:textId="77777777" w:rsidR="00DD650A" w:rsidRDefault="00DD650A" w:rsidP="00B9662C">
      <w:r>
        <w:t>Where:</w:t>
      </w:r>
    </w:p>
    <w:p w14:paraId="685393AC" w14:textId="77777777" w:rsidR="00DD650A" w:rsidRDefault="00DD650A" w:rsidP="00B9662C">
      <m:oMathPara>
        <m:oMath>
          <m:r>
            <w:rPr>
              <w:rFonts w:ascii="Cambria Math" w:hAnsi="Cambria Math"/>
            </w:rPr>
            <m:t>Average Inventory=</m:t>
          </m:r>
          <m:f>
            <m:fPr>
              <m:ctrlPr>
                <w:rPr>
                  <w:rFonts w:ascii="Cambria Math" w:hAnsi="Cambria Math"/>
                  <w:i/>
                </w:rPr>
              </m:ctrlPr>
            </m:fPr>
            <m:num>
              <m:r>
                <w:rPr>
                  <w:rFonts w:ascii="Cambria Math" w:hAnsi="Cambria Math"/>
                </w:rPr>
                <m:t>Inventory for Current Year</m:t>
              </m:r>
              <m:r>
                <m:rPr>
                  <m:sty m:val="bi"/>
                </m:rPr>
                <w:rPr>
                  <w:rFonts w:ascii="Cambria Math" w:hAnsi="Cambria Math"/>
                </w:rPr>
                <m:t>+</m:t>
              </m:r>
              <m:r>
                <w:rPr>
                  <w:rFonts w:ascii="Cambria Math" w:hAnsi="Cambria Math"/>
                </w:rPr>
                <m:t>Inventory for Previous Year​</m:t>
              </m:r>
            </m:num>
            <m:den>
              <m:r>
                <w:rPr>
                  <w:rFonts w:ascii="Cambria Math" w:hAnsi="Cambria Math"/>
                </w:rPr>
                <m:t>2</m:t>
              </m:r>
            </m:den>
          </m:f>
        </m:oMath>
      </m:oMathPara>
    </w:p>
    <w:p w14:paraId="69551DF3" w14:textId="77777777" w:rsidR="00DD650A" w:rsidRPr="008D3FB6" w:rsidRDefault="00DD650A" w:rsidP="00B9662C">
      <w:pPr>
        <w:rPr>
          <w:sz w:val="28"/>
          <w:szCs w:val="28"/>
        </w:rPr>
      </w:pPr>
      <w:r>
        <w:t xml:space="preserve">2024: </w:t>
      </w:r>
      <m:oMath>
        <m:r>
          <m:rPr>
            <m:sty m:val="p"/>
          </m:rPr>
          <w:rPr>
            <w:rFonts w:ascii="Cambria Math" w:hAnsi="Cambria Math"/>
            <w:sz w:val="28"/>
            <w:szCs w:val="28"/>
          </w:rPr>
          <m:t>Inventory Turnover Ratio =</m:t>
        </m:r>
        <m:f>
          <m:fPr>
            <m:ctrlPr>
              <w:rPr>
                <w:rFonts w:ascii="Cambria Math" w:hAnsi="Cambria Math"/>
                <w:sz w:val="28"/>
                <w:szCs w:val="28"/>
              </w:rPr>
            </m:ctrlPr>
          </m:fPr>
          <m:num>
            <m:r>
              <w:rPr>
                <w:rFonts w:ascii="Cambria Math" w:hAnsi="Cambria Math"/>
                <w:sz w:val="28"/>
                <w:szCs w:val="28"/>
              </w:rPr>
              <m:t>280.885</m:t>
            </m:r>
          </m:num>
          <m:den>
            <m:f>
              <m:fPr>
                <m:ctrlPr>
                  <w:rPr>
                    <w:rFonts w:ascii="Cambria Math" w:hAnsi="Cambria Math"/>
                    <w:i/>
                    <w:sz w:val="28"/>
                    <w:szCs w:val="28"/>
                  </w:rPr>
                </m:ctrlPr>
              </m:fPr>
              <m:num>
                <m:r>
                  <w:rPr>
                    <w:rFonts w:ascii="Cambria Math" w:hAnsi="Cambria Math"/>
                    <w:sz w:val="28"/>
                    <w:szCs w:val="28"/>
                  </w:rPr>
                  <m:t>79.355+88.273</m:t>
                </m:r>
              </m:num>
              <m:den>
                <m:r>
                  <w:rPr>
                    <w:rFonts w:ascii="Cambria Math" w:hAnsi="Cambria Math"/>
                    <w:sz w:val="28"/>
                    <w:szCs w:val="28"/>
                  </w:rPr>
                  <m:t>2</m:t>
                </m:r>
              </m:den>
            </m:f>
          </m:den>
        </m:f>
        <m:r>
          <w:rPr>
            <w:rFonts w:ascii="Cambria Math" w:hAnsi="Cambria Math"/>
            <w:sz w:val="28"/>
            <w:szCs w:val="28"/>
          </w:rPr>
          <m:t>=3.35</m:t>
        </m:r>
      </m:oMath>
    </w:p>
    <w:p w14:paraId="016AE5C6" w14:textId="77777777" w:rsidR="00DD650A" w:rsidRPr="008D3FB6" w:rsidRDefault="00DD650A" w:rsidP="00B9662C">
      <w:pPr>
        <w:rPr>
          <w:sz w:val="28"/>
          <w:szCs w:val="28"/>
        </w:rPr>
      </w:pPr>
      <w:r>
        <w:t xml:space="preserve">2023: </w:t>
      </w:r>
      <m:oMath>
        <m:r>
          <m:rPr>
            <m:sty m:val="p"/>
          </m:rPr>
          <w:rPr>
            <w:rFonts w:ascii="Cambria Math" w:hAnsi="Cambria Math"/>
            <w:sz w:val="28"/>
            <w:szCs w:val="28"/>
          </w:rPr>
          <m:t>Inventory Turnover Ratio =</m:t>
        </m:r>
        <m:f>
          <m:fPr>
            <m:ctrlPr>
              <w:rPr>
                <w:rFonts w:ascii="Cambria Math" w:hAnsi="Cambria Math"/>
                <w:sz w:val="28"/>
                <w:szCs w:val="28"/>
              </w:rPr>
            </m:ctrlPr>
          </m:fPr>
          <m:num>
            <m:r>
              <w:rPr>
                <w:rFonts w:ascii="Cambria Math" w:hAnsi="Cambria Math"/>
                <w:sz w:val="28"/>
                <w:szCs w:val="28"/>
              </w:rPr>
              <m:t>322.897</m:t>
            </m:r>
          </m:num>
          <m:den>
            <m:f>
              <m:fPr>
                <m:ctrlPr>
                  <w:rPr>
                    <w:rFonts w:ascii="Cambria Math" w:hAnsi="Cambria Math"/>
                    <w:i/>
                    <w:sz w:val="28"/>
                    <w:szCs w:val="28"/>
                  </w:rPr>
                </m:ctrlPr>
              </m:fPr>
              <m:num>
                <m:r>
                  <w:rPr>
                    <w:rFonts w:ascii="Cambria Math" w:hAnsi="Cambria Math"/>
                    <w:sz w:val="28"/>
                    <w:szCs w:val="28"/>
                  </w:rPr>
                  <m:t>88.273=140.181</m:t>
                </m:r>
              </m:num>
              <m:den>
                <m:r>
                  <w:rPr>
                    <w:rFonts w:ascii="Cambria Math" w:hAnsi="Cambria Math"/>
                    <w:sz w:val="28"/>
                    <w:szCs w:val="28"/>
                  </w:rPr>
                  <m:t>2</m:t>
                </m:r>
              </m:den>
            </m:f>
          </m:den>
        </m:f>
        <m:r>
          <w:rPr>
            <w:rFonts w:ascii="Cambria Math" w:hAnsi="Cambria Math"/>
            <w:sz w:val="28"/>
            <w:szCs w:val="28"/>
          </w:rPr>
          <m:t>=2.83</m:t>
        </m:r>
      </m:oMath>
    </w:p>
    <w:p w14:paraId="7CFD7F05" w14:textId="77777777" w:rsidR="00DD650A" w:rsidRPr="008D3FB6" w:rsidRDefault="00DD650A" w:rsidP="00B9662C">
      <w:pPr>
        <w:rPr>
          <w:sz w:val="28"/>
          <w:szCs w:val="28"/>
        </w:rPr>
      </w:pPr>
      <w:r>
        <w:t xml:space="preserve">2022: </w:t>
      </w:r>
      <m:oMath>
        <m:r>
          <m:rPr>
            <m:sty m:val="p"/>
          </m:rPr>
          <w:rPr>
            <w:rFonts w:ascii="Cambria Math" w:hAnsi="Cambria Math"/>
            <w:sz w:val="28"/>
            <w:szCs w:val="28"/>
          </w:rPr>
          <m:t xml:space="preserve">Inventory Turnover Ratio = </m:t>
        </m:r>
        <m:f>
          <m:fPr>
            <m:ctrlPr>
              <w:rPr>
                <w:rFonts w:ascii="Cambria Math" w:hAnsi="Cambria Math"/>
                <w:sz w:val="28"/>
                <w:szCs w:val="28"/>
              </w:rPr>
            </m:ctrlPr>
          </m:fPr>
          <m:num>
            <m:r>
              <w:rPr>
                <w:rFonts w:ascii="Cambria Math" w:hAnsi="Cambria Math"/>
                <w:sz w:val="28"/>
                <w:szCs w:val="28"/>
              </w:rPr>
              <m:t>390.459</m:t>
            </m:r>
          </m:num>
          <m:den>
            <m:f>
              <m:fPr>
                <m:ctrlPr>
                  <w:rPr>
                    <w:rFonts w:ascii="Cambria Math" w:hAnsi="Cambria Math"/>
                    <w:i/>
                    <w:sz w:val="28"/>
                    <w:szCs w:val="28"/>
                  </w:rPr>
                </m:ctrlPr>
              </m:fPr>
              <m:num>
                <m:r>
                  <w:rPr>
                    <w:rFonts w:ascii="Cambria Math" w:hAnsi="Cambria Math"/>
                    <w:sz w:val="28"/>
                    <w:szCs w:val="28"/>
                  </w:rPr>
                  <m:t>140.181+134.</m:t>
                </m:r>
                <m:r>
                  <w:rPr>
                    <w:rFonts w:ascii="Cambria Math" w:hAnsi="Cambria Math"/>
                    <w:sz w:val="32"/>
                    <w:szCs w:val="32"/>
                  </w:rPr>
                  <m:t>469</m:t>
                </m:r>
              </m:num>
              <m:den>
                <m:r>
                  <w:rPr>
                    <w:rFonts w:ascii="Cambria Math" w:hAnsi="Cambria Math"/>
                    <w:sz w:val="28"/>
                    <w:szCs w:val="28"/>
                  </w:rPr>
                  <m:t>2</m:t>
                </m:r>
              </m:den>
            </m:f>
          </m:den>
        </m:f>
        <m:r>
          <w:rPr>
            <w:rFonts w:ascii="Cambria Math" w:hAnsi="Cambria Math"/>
            <w:sz w:val="28"/>
            <w:szCs w:val="28"/>
          </w:rPr>
          <m:t>=2.84</m:t>
        </m:r>
      </m:oMath>
    </w:p>
    <w:p w14:paraId="23FED576" w14:textId="77777777" w:rsidR="00DD650A" w:rsidRPr="008D3FB6" w:rsidRDefault="00DD650A" w:rsidP="00B9662C">
      <w:pPr>
        <w:rPr>
          <w:sz w:val="28"/>
          <w:szCs w:val="28"/>
        </w:rPr>
      </w:pPr>
      <w:r>
        <w:lastRenderedPageBreak/>
        <w:t xml:space="preserve">2021: </w:t>
      </w:r>
      <m:oMath>
        <m:r>
          <m:rPr>
            <m:sty m:val="p"/>
          </m:rPr>
          <w:rPr>
            <w:rFonts w:ascii="Cambria Math" w:hAnsi="Cambria Math"/>
            <w:sz w:val="28"/>
            <w:szCs w:val="28"/>
          </w:rPr>
          <m:t>Inventory Turnover Ratio =</m:t>
        </m:r>
        <m:f>
          <m:fPr>
            <m:ctrlPr>
              <w:rPr>
                <w:rFonts w:ascii="Cambria Math" w:hAnsi="Cambria Math"/>
                <w:sz w:val="28"/>
                <w:szCs w:val="28"/>
              </w:rPr>
            </m:ctrlPr>
          </m:fPr>
          <m:num>
            <m:r>
              <w:rPr>
                <w:rFonts w:ascii="Cambria Math" w:hAnsi="Cambria Math"/>
                <w:sz w:val="28"/>
                <w:szCs w:val="28"/>
              </w:rPr>
              <m:t>428.586</m:t>
            </m:r>
          </m:num>
          <m:den>
            <m:f>
              <m:fPr>
                <m:ctrlPr>
                  <w:rPr>
                    <w:rFonts w:ascii="Cambria Math" w:hAnsi="Cambria Math"/>
                    <w:i/>
                    <w:sz w:val="28"/>
                    <w:szCs w:val="28"/>
                  </w:rPr>
                </m:ctrlPr>
              </m:fPr>
              <m:num>
                <m:r>
                  <w:rPr>
                    <w:rFonts w:ascii="Cambria Math" w:hAnsi="Cambria Math"/>
                    <w:sz w:val="28"/>
                    <w:szCs w:val="28"/>
                  </w:rPr>
                  <m:t>134.469+120.430</m:t>
                </m:r>
              </m:num>
              <m:den>
                <m:r>
                  <w:rPr>
                    <w:rFonts w:ascii="Cambria Math" w:hAnsi="Cambria Math"/>
                    <w:sz w:val="28"/>
                    <w:szCs w:val="28"/>
                  </w:rPr>
                  <m:t>2</m:t>
                </m:r>
              </m:den>
            </m:f>
          </m:den>
        </m:f>
        <m:r>
          <w:rPr>
            <w:rFonts w:ascii="Cambria Math" w:hAnsi="Cambria Math"/>
            <w:sz w:val="28"/>
            <w:szCs w:val="28"/>
          </w:rPr>
          <m:t>=3.36</m:t>
        </m:r>
      </m:oMath>
    </w:p>
    <w:p w14:paraId="024FCB70" w14:textId="77777777" w:rsidR="00DD650A" w:rsidRPr="008D3FB6" w:rsidRDefault="00DD650A" w:rsidP="00B9662C">
      <w:pPr>
        <w:rPr>
          <w:sz w:val="28"/>
          <w:szCs w:val="28"/>
        </w:rPr>
      </w:pPr>
      <w:r>
        <w:t xml:space="preserve">2020: </w:t>
      </w:r>
      <m:oMath>
        <m:r>
          <m:rPr>
            <m:sty m:val="p"/>
          </m:rPr>
          <w:rPr>
            <w:rFonts w:ascii="Cambria Math" w:hAnsi="Cambria Math"/>
            <w:sz w:val="28"/>
            <w:szCs w:val="28"/>
          </w:rPr>
          <m:t>Inventory Turnover Ratio =</m:t>
        </m:r>
        <m:f>
          <m:fPr>
            <m:ctrlPr>
              <w:rPr>
                <w:rFonts w:ascii="Cambria Math" w:hAnsi="Cambria Math"/>
                <w:sz w:val="28"/>
                <w:szCs w:val="28"/>
              </w:rPr>
            </m:ctrlPr>
          </m:fPr>
          <m:num>
            <m:r>
              <w:rPr>
                <w:rFonts w:ascii="Cambria Math" w:hAnsi="Cambria Math"/>
                <w:sz w:val="28"/>
                <w:szCs w:val="28"/>
              </w:rPr>
              <m:t>438.424</m:t>
            </m:r>
          </m:num>
          <m:den>
            <m:f>
              <m:fPr>
                <m:ctrlPr>
                  <w:rPr>
                    <w:rFonts w:ascii="Cambria Math" w:hAnsi="Cambria Math"/>
                    <w:i/>
                    <w:sz w:val="28"/>
                    <w:szCs w:val="28"/>
                  </w:rPr>
                </m:ctrlPr>
              </m:fPr>
              <m:num>
                <m:r>
                  <w:rPr>
                    <w:rFonts w:ascii="Cambria Math" w:hAnsi="Cambria Math"/>
                    <w:sz w:val="28"/>
                    <w:szCs w:val="28"/>
                  </w:rPr>
                  <m:t>120.430+134.469</m:t>
                </m:r>
              </m:num>
              <m:den>
                <m:r>
                  <w:rPr>
                    <w:rFonts w:ascii="Cambria Math" w:hAnsi="Cambria Math"/>
                    <w:sz w:val="28"/>
                    <w:szCs w:val="28"/>
                  </w:rPr>
                  <m:t>2</m:t>
                </m:r>
              </m:den>
            </m:f>
          </m:den>
        </m:f>
        <m:r>
          <w:rPr>
            <w:rFonts w:ascii="Cambria Math" w:hAnsi="Cambria Math"/>
            <w:sz w:val="28"/>
            <w:szCs w:val="28"/>
          </w:rPr>
          <m:t>=3.44</m:t>
        </m:r>
      </m:oMath>
    </w:p>
    <w:p w14:paraId="4A3C4AAC" w14:textId="77777777" w:rsidR="00DD650A" w:rsidRPr="003E7725" w:rsidRDefault="00DD650A" w:rsidP="00B9662C">
      <w:pPr>
        <w:rPr>
          <w:b/>
          <w:bCs/>
        </w:rPr>
      </w:pPr>
      <w:r w:rsidRPr="003E7725">
        <w:rPr>
          <w:b/>
          <w:bCs/>
        </w:rPr>
        <w:t xml:space="preserve">3. Total Asset Turnover Ratio </w:t>
      </w:r>
    </w:p>
    <w:p w14:paraId="0609912A" w14:textId="77777777" w:rsidR="00DD650A" w:rsidRPr="003E7725" w:rsidRDefault="00DD650A" w:rsidP="00B9662C">
      <m:oMathPara>
        <m:oMath>
          <m:r>
            <m:rPr>
              <m:sty m:val="p"/>
            </m:rPr>
            <w:rPr>
              <w:rFonts w:ascii="Cambria Math" w:hAnsi="Cambria Math"/>
            </w:rPr>
            <m:t xml:space="preserve">Total Asset Turnover Ratio = </m:t>
          </m:r>
          <m:f>
            <m:fPr>
              <m:ctrlPr>
                <w:rPr>
                  <w:rFonts w:ascii="Cambria Math" w:hAnsi="Cambria Math"/>
                </w:rPr>
              </m:ctrlPr>
            </m:fPr>
            <m:num>
              <m:r>
                <m:rPr>
                  <m:sty m:val="p"/>
                </m:rPr>
                <w:rPr>
                  <w:rFonts w:ascii="Cambria Math" w:hAnsi="Cambria Math"/>
                </w:rPr>
                <m:t xml:space="preserve">Sales Revenue </m:t>
              </m:r>
            </m:num>
            <m:den>
              <m:r>
                <m:rPr>
                  <m:sty m:val="p"/>
                </m:rPr>
                <w:rPr>
                  <w:rFonts w:ascii="Cambria Math" w:hAnsi="Cambria Math"/>
                </w:rPr>
                <m:t>Average Total Assets</m:t>
              </m:r>
            </m:den>
          </m:f>
        </m:oMath>
      </m:oMathPara>
    </w:p>
    <w:p w14:paraId="3812B939" w14:textId="77777777" w:rsidR="00DD650A" w:rsidRPr="003E7725" w:rsidRDefault="00DD650A" w:rsidP="00B9662C">
      <w:pPr>
        <w:rPr>
          <w:sz w:val="22"/>
          <w:szCs w:val="22"/>
        </w:rPr>
      </w:pPr>
      <m:oMathPara>
        <m:oMath>
          <m:r>
            <w:rPr>
              <w:rFonts w:ascii="Cambria Math" w:hAnsi="Cambria Math"/>
              <w:sz w:val="22"/>
              <w:szCs w:val="22"/>
            </w:rPr>
            <m:t>Average Total Assets=</m:t>
          </m:r>
          <m:f>
            <m:fPr>
              <m:ctrlPr>
                <w:rPr>
                  <w:rFonts w:ascii="Cambria Math" w:hAnsi="Cambria Math"/>
                  <w:i/>
                  <w:sz w:val="22"/>
                  <w:szCs w:val="22"/>
                </w:rPr>
              </m:ctrlPr>
            </m:fPr>
            <m:num>
              <m:r>
                <w:rPr>
                  <w:rFonts w:ascii="Cambria Math" w:hAnsi="Cambria Math"/>
                  <w:sz w:val="22"/>
                  <w:szCs w:val="22"/>
                </w:rPr>
                <m:t>Total Assets for Current Year</m:t>
              </m:r>
              <m:r>
                <m:rPr>
                  <m:sty m:val="bi"/>
                </m:rPr>
                <w:rPr>
                  <w:rFonts w:ascii="Cambria Math" w:hAnsi="Cambria Math"/>
                  <w:sz w:val="22"/>
                  <w:szCs w:val="22"/>
                </w:rPr>
                <m:t>+</m:t>
              </m:r>
              <m:r>
                <w:rPr>
                  <w:rFonts w:ascii="Cambria Math" w:hAnsi="Cambria Math"/>
                  <w:sz w:val="22"/>
                  <w:szCs w:val="22"/>
                </w:rPr>
                <m:t>Total Assets for Previous Year​</m:t>
              </m:r>
            </m:num>
            <m:den>
              <m:r>
                <w:rPr>
                  <w:rFonts w:ascii="Cambria Math" w:hAnsi="Cambria Math"/>
                  <w:sz w:val="22"/>
                  <w:szCs w:val="22"/>
                </w:rPr>
                <m:t>2</m:t>
              </m:r>
            </m:den>
          </m:f>
        </m:oMath>
      </m:oMathPara>
    </w:p>
    <w:p w14:paraId="415885B1" w14:textId="77777777" w:rsidR="00DD650A" w:rsidRPr="003E7725" w:rsidRDefault="00DD650A" w:rsidP="00B9662C">
      <w:pPr>
        <w:rPr>
          <w:sz w:val="28"/>
          <w:szCs w:val="28"/>
        </w:rPr>
      </w:pPr>
      <w:r w:rsidRPr="003E7725">
        <w:t xml:space="preserve"> </w:t>
      </w:r>
      <w:r>
        <w:t xml:space="preserve">2024: </w:t>
      </w:r>
      <m:oMath>
        <m:r>
          <m:rPr>
            <m:sty m:val="p"/>
          </m:rPr>
          <w:rPr>
            <w:rFonts w:ascii="Cambria Math" w:hAnsi="Cambria Math"/>
            <w:sz w:val="28"/>
            <w:szCs w:val="28"/>
          </w:rPr>
          <m:t xml:space="preserve">Total Asset Turnover Ratio = </m:t>
        </m:r>
        <m:f>
          <m:fPr>
            <m:ctrlPr>
              <w:rPr>
                <w:rFonts w:ascii="Cambria Math" w:hAnsi="Cambria Math"/>
                <w:sz w:val="28"/>
                <w:szCs w:val="28"/>
              </w:rPr>
            </m:ctrlPr>
          </m:fPr>
          <m:num>
            <m:r>
              <w:rPr>
                <w:rFonts w:ascii="Cambria Math" w:hAnsi="Cambria Math"/>
                <w:sz w:val="28"/>
                <w:szCs w:val="28"/>
              </w:rPr>
              <m:t>394.879</m:t>
            </m:r>
          </m:num>
          <m:den>
            <m:f>
              <m:fPr>
                <m:ctrlPr>
                  <w:rPr>
                    <w:rFonts w:ascii="Cambria Math" w:hAnsi="Cambria Math"/>
                    <w:i/>
                    <w:sz w:val="28"/>
                    <w:szCs w:val="28"/>
                  </w:rPr>
                </m:ctrlPr>
              </m:fPr>
              <m:num>
                <m:r>
                  <w:rPr>
                    <w:rFonts w:ascii="Cambria Math" w:hAnsi="Cambria Math"/>
                    <w:sz w:val="28"/>
                    <w:szCs w:val="28"/>
                  </w:rPr>
                  <m:t>323.354+355.872</m:t>
                </m:r>
              </m:num>
              <m:den>
                <m:r>
                  <w:rPr>
                    <w:rFonts w:ascii="Cambria Math" w:hAnsi="Cambria Math"/>
                    <w:sz w:val="28"/>
                    <w:szCs w:val="28"/>
                  </w:rPr>
                  <m:t>2</m:t>
                </m:r>
              </m:den>
            </m:f>
          </m:den>
        </m:f>
        <m:r>
          <w:rPr>
            <w:rFonts w:ascii="Cambria Math" w:hAnsi="Cambria Math"/>
            <w:sz w:val="28"/>
            <w:szCs w:val="28"/>
          </w:rPr>
          <m:t>=1.16</m:t>
        </m:r>
      </m:oMath>
    </w:p>
    <w:p w14:paraId="7C0DA3CD" w14:textId="77777777" w:rsidR="00DD650A" w:rsidRPr="003E7725" w:rsidRDefault="00DD650A" w:rsidP="00B9662C">
      <w:pPr>
        <w:rPr>
          <w:sz w:val="28"/>
          <w:szCs w:val="28"/>
        </w:rPr>
      </w:pPr>
      <w:r>
        <w:t xml:space="preserve">2023: </w:t>
      </w:r>
      <m:oMath>
        <m:r>
          <m:rPr>
            <m:sty m:val="p"/>
          </m:rPr>
          <w:rPr>
            <w:rFonts w:ascii="Cambria Math" w:hAnsi="Cambria Math"/>
            <w:sz w:val="28"/>
            <w:szCs w:val="28"/>
          </w:rPr>
          <m:t xml:space="preserve">Total Asset Turnover Ratio = </m:t>
        </m:r>
        <m:f>
          <m:fPr>
            <m:ctrlPr>
              <w:rPr>
                <w:rFonts w:ascii="Cambria Math" w:hAnsi="Cambria Math"/>
                <w:sz w:val="28"/>
                <w:szCs w:val="28"/>
              </w:rPr>
            </m:ctrlPr>
          </m:fPr>
          <m:num>
            <m:r>
              <w:rPr>
                <w:rFonts w:ascii="Cambria Math" w:hAnsi="Cambria Math"/>
                <w:sz w:val="28"/>
                <w:szCs w:val="28"/>
              </w:rPr>
              <m:t>420.457</m:t>
            </m:r>
          </m:num>
          <m:den>
            <m:f>
              <m:fPr>
                <m:ctrlPr>
                  <w:rPr>
                    <w:rFonts w:ascii="Cambria Math" w:hAnsi="Cambria Math"/>
                    <w:i/>
                    <w:sz w:val="28"/>
                    <w:szCs w:val="28"/>
                  </w:rPr>
                </m:ctrlPr>
              </m:fPr>
              <m:num>
                <m:r>
                  <w:rPr>
                    <w:rFonts w:ascii="Cambria Math" w:hAnsi="Cambria Math"/>
                    <w:sz w:val="28"/>
                    <w:szCs w:val="28"/>
                  </w:rPr>
                  <m:t>355.872+504.163</m:t>
                </m:r>
              </m:num>
              <m:den>
                <m:r>
                  <w:rPr>
                    <w:rFonts w:ascii="Cambria Math" w:hAnsi="Cambria Math"/>
                    <w:sz w:val="28"/>
                    <w:szCs w:val="28"/>
                  </w:rPr>
                  <m:t>2</m:t>
                </m:r>
              </m:den>
            </m:f>
          </m:den>
        </m:f>
        <m:r>
          <w:rPr>
            <w:rFonts w:ascii="Cambria Math" w:hAnsi="Cambria Math"/>
            <w:sz w:val="28"/>
            <w:szCs w:val="28"/>
          </w:rPr>
          <m:t>=0.98</m:t>
        </m:r>
      </m:oMath>
    </w:p>
    <w:p w14:paraId="3251DAC5" w14:textId="77777777" w:rsidR="00DD650A" w:rsidRPr="003E7725" w:rsidRDefault="00DD650A" w:rsidP="00B9662C">
      <w:pPr>
        <w:rPr>
          <w:sz w:val="28"/>
          <w:szCs w:val="28"/>
        </w:rPr>
      </w:pPr>
      <w:r w:rsidRPr="003E7725">
        <w:rPr>
          <w:sz w:val="28"/>
          <w:szCs w:val="28"/>
        </w:rPr>
        <w:t xml:space="preserve">2022: </w:t>
      </w:r>
      <m:oMath>
        <m:r>
          <m:rPr>
            <m:sty m:val="p"/>
          </m:rPr>
          <w:rPr>
            <w:rFonts w:ascii="Cambria Math" w:hAnsi="Cambria Math"/>
            <w:sz w:val="28"/>
            <w:szCs w:val="28"/>
          </w:rPr>
          <m:t xml:space="preserve">Total Asset Turnover Ratio = </m:t>
        </m:r>
        <m:f>
          <m:fPr>
            <m:ctrlPr>
              <w:rPr>
                <w:rFonts w:ascii="Cambria Math" w:hAnsi="Cambria Math"/>
                <w:sz w:val="28"/>
                <w:szCs w:val="28"/>
              </w:rPr>
            </m:ctrlPr>
          </m:fPr>
          <m:num>
            <m:r>
              <w:rPr>
                <w:rFonts w:ascii="Cambria Math" w:hAnsi="Cambria Math"/>
                <w:sz w:val="28"/>
                <w:szCs w:val="28"/>
              </w:rPr>
              <m:t>542.751</m:t>
            </m:r>
          </m:num>
          <m:den>
            <m:f>
              <m:fPr>
                <m:ctrlPr>
                  <w:rPr>
                    <w:rFonts w:ascii="Cambria Math" w:hAnsi="Cambria Math"/>
                    <w:i/>
                    <w:sz w:val="28"/>
                    <w:szCs w:val="28"/>
                  </w:rPr>
                </m:ctrlPr>
              </m:fPr>
              <m:num>
                <m:r>
                  <w:rPr>
                    <w:rFonts w:ascii="Cambria Math" w:hAnsi="Cambria Math"/>
                    <w:sz w:val="28"/>
                    <w:szCs w:val="28"/>
                  </w:rPr>
                  <m:t>504.163+510348</m:t>
                </m:r>
              </m:num>
              <m:den>
                <m:r>
                  <w:rPr>
                    <w:rFonts w:ascii="Cambria Math" w:hAnsi="Cambria Math"/>
                    <w:sz w:val="28"/>
                    <w:szCs w:val="28"/>
                  </w:rPr>
                  <m:t>2</m:t>
                </m:r>
              </m:den>
            </m:f>
          </m:den>
        </m:f>
        <m:r>
          <w:rPr>
            <w:rFonts w:ascii="Cambria Math" w:hAnsi="Cambria Math"/>
            <w:sz w:val="28"/>
            <w:szCs w:val="28"/>
          </w:rPr>
          <m:t>=1.07</m:t>
        </m:r>
      </m:oMath>
    </w:p>
    <w:p w14:paraId="0942959B" w14:textId="77777777" w:rsidR="00DD650A" w:rsidRPr="003E7725" w:rsidRDefault="00DD650A" w:rsidP="00B9662C">
      <w:pPr>
        <w:rPr>
          <w:sz w:val="28"/>
          <w:szCs w:val="28"/>
        </w:rPr>
      </w:pPr>
      <w:r w:rsidRPr="003E7725">
        <w:rPr>
          <w:sz w:val="28"/>
          <w:szCs w:val="28"/>
        </w:rPr>
        <w:t xml:space="preserve">2021: </w:t>
      </w:r>
      <m:oMath>
        <m:r>
          <m:rPr>
            <m:sty m:val="p"/>
          </m:rPr>
          <w:rPr>
            <w:rFonts w:ascii="Cambria Math" w:hAnsi="Cambria Math"/>
            <w:sz w:val="28"/>
            <w:szCs w:val="28"/>
          </w:rPr>
          <m:t xml:space="preserve">Total Asset Turnover Ratio = </m:t>
        </m:r>
        <m:f>
          <m:fPr>
            <m:ctrlPr>
              <w:rPr>
                <w:rFonts w:ascii="Cambria Math" w:hAnsi="Cambria Math"/>
                <w:sz w:val="28"/>
                <w:szCs w:val="28"/>
              </w:rPr>
            </m:ctrlPr>
          </m:fPr>
          <m:num>
            <m:r>
              <w:rPr>
                <w:rFonts w:ascii="Cambria Math" w:hAnsi="Cambria Math"/>
                <w:sz w:val="28"/>
                <w:szCs w:val="28"/>
              </w:rPr>
              <m:t>601.602</m:t>
            </m:r>
          </m:num>
          <m:den>
            <m:f>
              <m:fPr>
                <m:ctrlPr>
                  <w:rPr>
                    <w:rFonts w:ascii="Cambria Math" w:hAnsi="Cambria Math"/>
                    <w:i/>
                    <w:sz w:val="28"/>
                    <w:szCs w:val="28"/>
                  </w:rPr>
                </m:ctrlPr>
              </m:fPr>
              <m:num>
                <m:r>
                  <w:rPr>
                    <w:rFonts w:ascii="Cambria Math" w:hAnsi="Cambria Math"/>
                    <w:sz w:val="28"/>
                    <w:szCs w:val="28"/>
                  </w:rPr>
                  <m:t>510.348+510.290</m:t>
                </m:r>
              </m:num>
              <m:den>
                <m:r>
                  <w:rPr>
                    <w:rFonts w:ascii="Cambria Math" w:hAnsi="Cambria Math"/>
                    <w:sz w:val="28"/>
                    <w:szCs w:val="28"/>
                  </w:rPr>
                  <m:t>2</m:t>
                </m:r>
              </m:den>
            </m:f>
          </m:den>
        </m:f>
        <m:r>
          <w:rPr>
            <w:rFonts w:ascii="Cambria Math" w:hAnsi="Cambria Math"/>
            <w:sz w:val="28"/>
            <w:szCs w:val="28"/>
          </w:rPr>
          <m:t>=1.18</m:t>
        </m:r>
      </m:oMath>
    </w:p>
    <w:p w14:paraId="5A720D36" w14:textId="77777777" w:rsidR="00DD650A" w:rsidRPr="001C46E3" w:rsidRDefault="00DD650A" w:rsidP="00B9662C">
      <w:pPr>
        <w:rPr>
          <w:sz w:val="28"/>
          <w:szCs w:val="28"/>
        </w:rPr>
      </w:pPr>
      <w:r w:rsidRPr="001C46E3">
        <w:rPr>
          <w:sz w:val="28"/>
          <w:szCs w:val="28"/>
        </w:rPr>
        <w:t xml:space="preserve">2020: </w:t>
      </w:r>
      <m:oMath>
        <m:r>
          <m:rPr>
            <m:sty m:val="p"/>
          </m:rPr>
          <w:rPr>
            <w:rFonts w:ascii="Cambria Math" w:hAnsi="Cambria Math"/>
            <w:sz w:val="28"/>
            <w:szCs w:val="28"/>
          </w:rPr>
          <m:t xml:space="preserve">Total Asset Turnover Ratio = </m:t>
        </m:r>
        <m:f>
          <m:fPr>
            <m:ctrlPr>
              <w:rPr>
                <w:rFonts w:ascii="Cambria Math" w:hAnsi="Cambria Math"/>
                <w:sz w:val="28"/>
                <w:szCs w:val="28"/>
              </w:rPr>
            </m:ctrlPr>
          </m:fPr>
          <m:num>
            <m:r>
              <w:rPr>
                <w:rFonts w:ascii="Cambria Math" w:hAnsi="Cambria Math"/>
                <w:sz w:val="28"/>
                <w:szCs w:val="28"/>
              </w:rPr>
              <m:t>614.680</m:t>
            </m:r>
          </m:num>
          <m:den>
            <m:f>
              <m:fPr>
                <m:ctrlPr>
                  <w:rPr>
                    <w:rFonts w:ascii="Cambria Math" w:hAnsi="Cambria Math"/>
                    <w:i/>
                    <w:sz w:val="28"/>
                    <w:szCs w:val="28"/>
                  </w:rPr>
                </m:ctrlPr>
              </m:fPr>
              <m:num>
                <m:r>
                  <w:rPr>
                    <w:rFonts w:ascii="Cambria Math" w:hAnsi="Cambria Math"/>
                    <w:sz w:val="28"/>
                    <w:szCs w:val="28"/>
                  </w:rPr>
                  <m:t>510.290+510.348</m:t>
                </m:r>
              </m:num>
              <m:den>
                <m:r>
                  <w:rPr>
                    <w:rFonts w:ascii="Cambria Math" w:hAnsi="Cambria Math"/>
                    <w:sz w:val="28"/>
                    <w:szCs w:val="28"/>
                  </w:rPr>
                  <m:t>2</m:t>
                </m:r>
              </m:den>
            </m:f>
          </m:den>
        </m:f>
        <m:r>
          <w:rPr>
            <w:rFonts w:ascii="Cambria Math" w:hAnsi="Cambria Math"/>
            <w:sz w:val="28"/>
            <w:szCs w:val="28"/>
          </w:rPr>
          <m:t>=1.20</m:t>
        </m:r>
      </m:oMath>
    </w:p>
    <w:p w14:paraId="6471A968" w14:textId="77777777" w:rsidR="00DD650A" w:rsidRDefault="00DD650A" w:rsidP="00B9662C">
      <w:pPr>
        <w:rPr>
          <w:sz w:val="28"/>
          <w:szCs w:val="28"/>
        </w:rPr>
      </w:pPr>
    </w:p>
    <w:p w14:paraId="777CDDFC" w14:textId="77777777" w:rsidR="00DD650A" w:rsidRPr="001C46E3" w:rsidRDefault="00DD650A" w:rsidP="00B9662C">
      <w:pPr>
        <w:rPr>
          <w:b/>
          <w:bCs/>
          <w:sz w:val="28"/>
          <w:szCs w:val="28"/>
        </w:rPr>
      </w:pPr>
      <w:r w:rsidRPr="001C46E3">
        <w:rPr>
          <w:b/>
          <w:bCs/>
          <w:sz w:val="28"/>
          <w:szCs w:val="28"/>
        </w:rPr>
        <w:t xml:space="preserve">4. Receivable Days </w:t>
      </w:r>
    </w:p>
    <w:p w14:paraId="0C5CF945" w14:textId="77777777" w:rsidR="00DD650A" w:rsidRDefault="00DD650A" w:rsidP="00B9662C">
      <w:pPr>
        <w:rPr>
          <w:sz w:val="28"/>
          <w:szCs w:val="28"/>
        </w:rPr>
      </w:pPr>
      <m:oMathPara>
        <m:oMath>
          <m:r>
            <m:rPr>
              <m:sty m:val="p"/>
            </m:rPr>
            <w:rPr>
              <w:rFonts w:ascii="Cambria Math" w:hAnsi="Cambria Math"/>
              <w:sz w:val="28"/>
              <w:szCs w:val="28"/>
            </w:rPr>
            <m:t xml:space="preserve">Receivable Days = </m:t>
          </m:r>
          <m:f>
            <m:fPr>
              <m:ctrlPr>
                <w:rPr>
                  <w:rFonts w:ascii="Cambria Math" w:hAnsi="Cambria Math"/>
                  <w:sz w:val="28"/>
                  <w:szCs w:val="28"/>
                </w:rPr>
              </m:ctrlPr>
            </m:fPr>
            <m:num>
              <m:r>
                <w:rPr>
                  <w:rFonts w:ascii="Cambria Math" w:hAnsi="Cambria Math"/>
                  <w:sz w:val="28"/>
                  <w:szCs w:val="28"/>
                </w:rPr>
                <m:t>365</m:t>
              </m:r>
            </m:num>
            <m:den>
              <m:r>
                <m:rPr>
                  <m:sty m:val="p"/>
                </m:rPr>
                <w:rPr>
                  <w:rFonts w:ascii="Cambria Math" w:hAnsi="Cambria Math"/>
                  <w:sz w:val="28"/>
                  <w:szCs w:val="28"/>
                </w:rPr>
                <m:t>Accounts Receivable Turnover</m:t>
              </m:r>
            </m:den>
          </m:f>
        </m:oMath>
      </m:oMathPara>
    </w:p>
    <w:p w14:paraId="65D3951F" w14:textId="77777777" w:rsidR="00DD650A" w:rsidRPr="001C46E3" w:rsidRDefault="00DD650A" w:rsidP="00B9662C">
      <w:r w:rsidRPr="001C46E3">
        <w:t xml:space="preserve">2024: </w:t>
      </w:r>
      <m:oMath>
        <m:r>
          <m:rPr>
            <m:sty m:val="p"/>
          </m:rPr>
          <w:rPr>
            <w:rFonts w:ascii="Cambria Math" w:hAnsi="Cambria Math"/>
          </w:rPr>
          <m:t>Receivable Days =</m:t>
        </m:r>
        <m:f>
          <m:fPr>
            <m:ctrlPr>
              <w:rPr>
                <w:rFonts w:ascii="Cambria Math" w:hAnsi="Cambria Math"/>
              </w:rPr>
            </m:ctrlPr>
          </m:fPr>
          <m:num>
            <m:r>
              <w:rPr>
                <w:rFonts w:ascii="Cambria Math" w:hAnsi="Cambria Math"/>
              </w:rPr>
              <m:t>365</m:t>
            </m:r>
          </m:num>
          <m:den>
            <m:r>
              <w:rPr>
                <w:rFonts w:ascii="Cambria Math" w:hAnsi="Cambria Math"/>
              </w:rPr>
              <m:t>3.48</m:t>
            </m:r>
          </m:den>
        </m:f>
        <m:r>
          <w:rPr>
            <w:rFonts w:ascii="Cambria Math" w:hAnsi="Cambria Math"/>
          </w:rPr>
          <m:t>=104.89days</m:t>
        </m:r>
      </m:oMath>
    </w:p>
    <w:p w14:paraId="010CA3ED" w14:textId="77777777" w:rsidR="00DD650A" w:rsidRPr="001C46E3" w:rsidRDefault="00DD650A" w:rsidP="00B9662C">
      <w:r w:rsidRPr="001C46E3">
        <w:t xml:space="preserve">2023: </w:t>
      </w:r>
      <m:oMath>
        <m:r>
          <m:rPr>
            <m:sty m:val="p"/>
          </m:rPr>
          <w:rPr>
            <w:rFonts w:ascii="Cambria Math" w:hAnsi="Cambria Math"/>
          </w:rPr>
          <m:t>Receivable Days =</m:t>
        </m:r>
        <m:f>
          <m:fPr>
            <m:ctrlPr>
              <w:rPr>
                <w:rFonts w:ascii="Cambria Math" w:hAnsi="Cambria Math"/>
              </w:rPr>
            </m:ctrlPr>
          </m:fPr>
          <m:num>
            <m:r>
              <w:rPr>
                <w:rFonts w:ascii="Cambria Math" w:hAnsi="Cambria Math"/>
              </w:rPr>
              <m:t>365</m:t>
            </m:r>
          </m:num>
          <m:den>
            <m:r>
              <w:rPr>
                <w:rFonts w:ascii="Cambria Math" w:hAnsi="Cambria Math"/>
              </w:rPr>
              <m:t>3.74</m:t>
            </m:r>
          </m:den>
        </m:f>
        <m:r>
          <w:rPr>
            <w:rFonts w:ascii="Cambria Math" w:hAnsi="Cambria Math"/>
          </w:rPr>
          <m:t>=97.52days</m:t>
        </m:r>
      </m:oMath>
    </w:p>
    <w:p w14:paraId="5CF97085" w14:textId="77777777" w:rsidR="00DD650A" w:rsidRPr="001C46E3" w:rsidRDefault="00DD650A" w:rsidP="00B9662C">
      <w:r w:rsidRPr="001C46E3">
        <w:t xml:space="preserve">2022: </w:t>
      </w:r>
      <m:oMath>
        <m:r>
          <m:rPr>
            <m:sty m:val="p"/>
          </m:rPr>
          <w:rPr>
            <w:rFonts w:ascii="Cambria Math" w:hAnsi="Cambria Math"/>
          </w:rPr>
          <m:t>Receivable Days =</m:t>
        </m:r>
        <m:f>
          <m:fPr>
            <m:ctrlPr>
              <w:rPr>
                <w:rFonts w:ascii="Cambria Math" w:hAnsi="Cambria Math"/>
              </w:rPr>
            </m:ctrlPr>
          </m:fPr>
          <m:num>
            <m:r>
              <w:rPr>
                <w:rFonts w:ascii="Cambria Math" w:hAnsi="Cambria Math"/>
              </w:rPr>
              <m:t>365</m:t>
            </m:r>
          </m:num>
          <m:den>
            <m:r>
              <w:rPr>
                <w:rFonts w:ascii="Cambria Math" w:hAnsi="Cambria Math"/>
              </w:rPr>
              <m:t>4.49</m:t>
            </m:r>
          </m:den>
        </m:f>
        <m:r>
          <w:rPr>
            <w:rFonts w:ascii="Cambria Math" w:hAnsi="Cambria Math"/>
          </w:rPr>
          <m:t>=81.27days</m:t>
        </m:r>
      </m:oMath>
    </w:p>
    <w:p w14:paraId="685E8BB6" w14:textId="77777777" w:rsidR="00DD650A" w:rsidRPr="001C46E3" w:rsidRDefault="00DD650A" w:rsidP="00B9662C">
      <w:r>
        <w:t xml:space="preserve">2021: </w:t>
      </w:r>
      <m:oMath>
        <m:r>
          <m:rPr>
            <m:sty m:val="p"/>
          </m:rPr>
          <w:rPr>
            <w:rFonts w:ascii="Cambria Math" w:hAnsi="Cambria Math"/>
          </w:rPr>
          <m:t>Receivable Days =</m:t>
        </m:r>
        <m:f>
          <m:fPr>
            <m:ctrlPr>
              <w:rPr>
                <w:rFonts w:ascii="Cambria Math" w:hAnsi="Cambria Math"/>
              </w:rPr>
            </m:ctrlPr>
          </m:fPr>
          <m:num>
            <m:r>
              <w:rPr>
                <w:rFonts w:ascii="Cambria Math" w:hAnsi="Cambria Math"/>
              </w:rPr>
              <m:t>365</m:t>
            </m:r>
          </m:num>
          <m:den>
            <m:r>
              <w:rPr>
                <w:rFonts w:ascii="Cambria Math" w:hAnsi="Cambria Math"/>
              </w:rPr>
              <m:t>4.65</m:t>
            </m:r>
          </m:den>
        </m:f>
        <m:r>
          <w:rPr>
            <w:rFonts w:ascii="Cambria Math" w:hAnsi="Cambria Math"/>
          </w:rPr>
          <m:t>=78.51days</m:t>
        </m:r>
      </m:oMath>
    </w:p>
    <w:p w14:paraId="0E22B1EB" w14:textId="77777777" w:rsidR="00DD650A" w:rsidRPr="001C46E3" w:rsidRDefault="00DD650A" w:rsidP="00B9662C">
      <w:r>
        <w:t xml:space="preserve">2020: </w:t>
      </w:r>
      <m:oMath>
        <m:r>
          <m:rPr>
            <m:sty m:val="p"/>
          </m:rPr>
          <w:rPr>
            <w:rFonts w:ascii="Cambria Math" w:hAnsi="Cambria Math"/>
          </w:rPr>
          <m:t>Receivable Days =</m:t>
        </m:r>
        <m:f>
          <m:fPr>
            <m:ctrlPr>
              <w:rPr>
                <w:rFonts w:ascii="Cambria Math" w:hAnsi="Cambria Math"/>
              </w:rPr>
            </m:ctrlPr>
          </m:fPr>
          <m:num>
            <m:r>
              <w:rPr>
                <w:rFonts w:ascii="Cambria Math" w:hAnsi="Cambria Math"/>
              </w:rPr>
              <m:t>365</m:t>
            </m:r>
          </m:num>
          <m:den>
            <m:r>
              <w:rPr>
                <w:rFonts w:ascii="Cambria Math" w:hAnsi="Cambria Math"/>
              </w:rPr>
              <m:t>4.75</m:t>
            </m:r>
          </m:den>
        </m:f>
        <m:r>
          <w:rPr>
            <w:rFonts w:ascii="Cambria Math" w:hAnsi="Cambria Math"/>
          </w:rPr>
          <m:t>=76.84days</m:t>
        </m:r>
      </m:oMath>
    </w:p>
    <w:p w14:paraId="64102DF4" w14:textId="77777777" w:rsidR="00DD650A" w:rsidRPr="001C46E3" w:rsidRDefault="00DD650A" w:rsidP="001C46E3">
      <w:pPr>
        <w:spacing w:before="240"/>
        <w:rPr>
          <w:b/>
          <w:bCs/>
        </w:rPr>
      </w:pPr>
      <w:r>
        <w:rPr>
          <w:b/>
          <w:bCs/>
        </w:rPr>
        <w:t xml:space="preserve">5. </w:t>
      </w:r>
      <w:r w:rsidRPr="001C46E3">
        <w:rPr>
          <w:b/>
          <w:bCs/>
        </w:rPr>
        <w:t xml:space="preserve">Inventory Days </w:t>
      </w:r>
    </w:p>
    <w:p w14:paraId="5BBFE293" w14:textId="77777777" w:rsidR="00DD650A" w:rsidRPr="001C46E3" w:rsidRDefault="00DD650A" w:rsidP="00B9662C">
      <m:oMathPara>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m:rPr>
                  <m:sty m:val="p"/>
                </m:rPr>
                <w:rPr>
                  <w:rFonts w:ascii="Cambria Math" w:hAnsi="Cambria Math"/>
                </w:rPr>
                <m:t>Inventory Turnover</m:t>
              </m:r>
            </m:den>
          </m:f>
        </m:oMath>
      </m:oMathPara>
    </w:p>
    <w:p w14:paraId="6B6401AF" w14:textId="77777777" w:rsidR="00DD650A" w:rsidRPr="001E2A17" w:rsidRDefault="00DD650A" w:rsidP="00B9662C">
      <w:r>
        <w:lastRenderedPageBreak/>
        <w:t xml:space="preserve">2024: </w:t>
      </w:r>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w:rPr>
                <w:rFonts w:ascii="Cambria Math" w:hAnsi="Cambria Math"/>
              </w:rPr>
              <m:t>3.35</m:t>
            </m:r>
          </m:den>
        </m:f>
        <m:r>
          <w:rPr>
            <w:rFonts w:ascii="Cambria Math" w:hAnsi="Cambria Math"/>
          </w:rPr>
          <m:t>=108.96days</m:t>
        </m:r>
      </m:oMath>
    </w:p>
    <w:p w14:paraId="76A18012" w14:textId="77777777" w:rsidR="00DD650A" w:rsidRPr="001E2A17" w:rsidRDefault="00DD650A" w:rsidP="00B9662C">
      <w:r>
        <w:t xml:space="preserve">2023: </w:t>
      </w:r>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w:rPr>
                <w:rFonts w:ascii="Cambria Math" w:hAnsi="Cambria Math"/>
              </w:rPr>
              <m:t>2.83</m:t>
            </m:r>
          </m:den>
        </m:f>
        <m:r>
          <w:rPr>
            <w:rFonts w:ascii="Cambria Math" w:hAnsi="Cambria Math"/>
          </w:rPr>
          <m:t>=128.73days</m:t>
        </m:r>
      </m:oMath>
    </w:p>
    <w:p w14:paraId="2CBB2927" w14:textId="77777777" w:rsidR="00DD650A" w:rsidRPr="001E2A17" w:rsidRDefault="00DD650A" w:rsidP="00B9662C">
      <w:r>
        <w:t xml:space="preserve">2022: </w:t>
      </w:r>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w:rPr>
                <w:rFonts w:ascii="Cambria Math" w:hAnsi="Cambria Math"/>
              </w:rPr>
              <m:t>2.84</m:t>
            </m:r>
          </m:den>
        </m:f>
        <m:r>
          <w:rPr>
            <w:rFonts w:ascii="Cambria Math" w:hAnsi="Cambria Math"/>
          </w:rPr>
          <m:t>=128.16days</m:t>
        </m:r>
      </m:oMath>
    </w:p>
    <w:p w14:paraId="23268553" w14:textId="77777777" w:rsidR="00DD650A" w:rsidRPr="001E2A17" w:rsidRDefault="00DD650A" w:rsidP="00B9662C">
      <w:r>
        <w:t xml:space="preserve">2021: </w:t>
      </w:r>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w:rPr>
                <w:rFonts w:ascii="Cambria Math" w:hAnsi="Cambria Math"/>
              </w:rPr>
              <m:t>3.36</m:t>
            </m:r>
          </m:den>
        </m:f>
        <m:r>
          <w:rPr>
            <w:rFonts w:ascii="Cambria Math" w:hAnsi="Cambria Math"/>
          </w:rPr>
          <m:t>=108.73days</m:t>
        </m:r>
      </m:oMath>
    </w:p>
    <w:p w14:paraId="17D597EC" w14:textId="77777777" w:rsidR="00DD650A" w:rsidRPr="001E2A17" w:rsidRDefault="00DD650A" w:rsidP="00B9662C">
      <w:r>
        <w:t xml:space="preserve">2020: </w:t>
      </w:r>
      <m:oMath>
        <m:r>
          <m:rPr>
            <m:sty m:val="p"/>
          </m:rPr>
          <w:rPr>
            <w:rFonts w:ascii="Cambria Math" w:hAnsi="Cambria Math"/>
          </w:rPr>
          <m:t xml:space="preserve">Inventory Days = </m:t>
        </m:r>
        <m:f>
          <m:fPr>
            <m:ctrlPr>
              <w:rPr>
                <w:rFonts w:ascii="Cambria Math" w:hAnsi="Cambria Math"/>
              </w:rPr>
            </m:ctrlPr>
          </m:fPr>
          <m:num>
            <m:r>
              <w:rPr>
                <w:rFonts w:ascii="Cambria Math" w:hAnsi="Cambria Math"/>
              </w:rPr>
              <m:t>365</m:t>
            </m:r>
          </m:num>
          <m:den>
            <m:r>
              <w:rPr>
                <w:rFonts w:ascii="Cambria Math" w:hAnsi="Cambria Math"/>
              </w:rPr>
              <m:t>3.44</m:t>
            </m:r>
          </m:den>
        </m:f>
        <m:r>
          <w:rPr>
            <w:rFonts w:ascii="Cambria Math" w:hAnsi="Cambria Math"/>
          </w:rPr>
          <m:t>=106.02days</m:t>
        </m:r>
      </m:oMath>
    </w:p>
    <w:p w14:paraId="7831F93F" w14:textId="77777777" w:rsidR="00DD650A" w:rsidRDefault="00DD650A" w:rsidP="00B9662C"/>
    <w:p w14:paraId="3033CECA" w14:textId="77777777" w:rsidR="00DD650A" w:rsidRPr="001E2A17" w:rsidRDefault="00DD650A" w:rsidP="00B9662C">
      <w:pPr>
        <w:rPr>
          <w:b/>
          <w:bCs/>
        </w:rPr>
      </w:pPr>
      <w:r w:rsidRPr="001E2A17">
        <w:rPr>
          <w:b/>
          <w:bCs/>
        </w:rPr>
        <w:t xml:space="preserve">6. Total Asset Days </w:t>
      </w:r>
    </w:p>
    <w:p w14:paraId="4E90DA3F" w14:textId="77777777" w:rsidR="00DD650A" w:rsidRPr="001E2A17" w:rsidRDefault="00DD650A" w:rsidP="00B9662C">
      <m:oMathPara>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m:rPr>
                  <m:sty m:val="p"/>
                </m:rPr>
                <w:rPr>
                  <w:rFonts w:ascii="Cambria Math" w:hAnsi="Cambria Math"/>
                </w:rPr>
                <m:t>Total Asset Turnover</m:t>
              </m:r>
            </m:den>
          </m:f>
        </m:oMath>
      </m:oMathPara>
    </w:p>
    <w:p w14:paraId="26118BF0" w14:textId="77777777" w:rsidR="00DD650A" w:rsidRPr="001E2A17" w:rsidRDefault="00DD650A" w:rsidP="00B9662C">
      <w:r>
        <w:t xml:space="preserve">2024: </w:t>
      </w:r>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w:rPr>
                <w:rFonts w:ascii="Cambria Math" w:hAnsi="Cambria Math"/>
              </w:rPr>
              <m:t>1.16</m:t>
            </m:r>
          </m:den>
        </m:f>
        <m:r>
          <w:rPr>
            <w:rFonts w:ascii="Cambria Math" w:hAnsi="Cambria Math"/>
          </w:rPr>
          <m:t>=314.66days</m:t>
        </m:r>
      </m:oMath>
    </w:p>
    <w:p w14:paraId="0A3242FE" w14:textId="77777777" w:rsidR="00DD650A" w:rsidRPr="001E2A17" w:rsidRDefault="00DD650A" w:rsidP="00B9662C">
      <w:r>
        <w:t xml:space="preserve">2023: </w:t>
      </w:r>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w:rPr>
                <w:rFonts w:ascii="Cambria Math" w:hAnsi="Cambria Math"/>
              </w:rPr>
              <m:t>0.98</m:t>
            </m:r>
          </m:den>
        </m:f>
        <m:r>
          <w:rPr>
            <w:rFonts w:ascii="Cambria Math" w:hAnsi="Cambria Math"/>
          </w:rPr>
          <m:t>=372.45days</m:t>
        </m:r>
      </m:oMath>
    </w:p>
    <w:p w14:paraId="4540C4B8" w14:textId="77777777" w:rsidR="00DD650A" w:rsidRPr="001E2A17" w:rsidRDefault="00DD650A" w:rsidP="00B9662C">
      <w:r>
        <w:t xml:space="preserve">2022: </w:t>
      </w:r>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w:rPr>
                <w:rFonts w:ascii="Cambria Math" w:hAnsi="Cambria Math"/>
              </w:rPr>
              <m:t>1.07</m:t>
            </m:r>
          </m:den>
        </m:f>
        <m:r>
          <w:rPr>
            <w:rFonts w:ascii="Cambria Math" w:hAnsi="Cambria Math"/>
          </w:rPr>
          <m:t>=341.12days</m:t>
        </m:r>
      </m:oMath>
    </w:p>
    <w:p w14:paraId="60C79465" w14:textId="77777777" w:rsidR="00DD650A" w:rsidRPr="001E2A17" w:rsidRDefault="00DD650A" w:rsidP="00B9662C">
      <w:r>
        <w:t xml:space="preserve">2021: </w:t>
      </w:r>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w:rPr>
                <w:rFonts w:ascii="Cambria Math" w:hAnsi="Cambria Math"/>
              </w:rPr>
              <m:t>1.18</m:t>
            </m:r>
          </m:den>
        </m:f>
        <m:r>
          <w:rPr>
            <w:rFonts w:ascii="Cambria Math" w:hAnsi="Cambria Math"/>
          </w:rPr>
          <m:t>=309.32days</m:t>
        </m:r>
      </m:oMath>
    </w:p>
    <w:p w14:paraId="6394C074" w14:textId="77777777" w:rsidR="00DD650A" w:rsidRPr="001E2A17" w:rsidRDefault="00DD650A" w:rsidP="00B9662C">
      <w:r>
        <w:t xml:space="preserve">2020: </w:t>
      </w:r>
      <m:oMath>
        <m:r>
          <m:rPr>
            <m:sty m:val="p"/>
          </m:rPr>
          <w:rPr>
            <w:rFonts w:ascii="Cambria Math" w:hAnsi="Cambria Math"/>
          </w:rPr>
          <m:t xml:space="preserve">Total Asset Days = </m:t>
        </m:r>
        <m:f>
          <m:fPr>
            <m:ctrlPr>
              <w:rPr>
                <w:rFonts w:ascii="Cambria Math" w:hAnsi="Cambria Math"/>
              </w:rPr>
            </m:ctrlPr>
          </m:fPr>
          <m:num>
            <m:r>
              <w:rPr>
                <w:rFonts w:ascii="Cambria Math" w:hAnsi="Cambria Math"/>
              </w:rPr>
              <m:t>365</m:t>
            </m:r>
          </m:num>
          <m:den>
            <m:r>
              <w:rPr>
                <w:rFonts w:ascii="Cambria Math" w:hAnsi="Cambria Math"/>
              </w:rPr>
              <m:t>1.20</m:t>
            </m:r>
          </m:den>
        </m:f>
        <m:r>
          <w:rPr>
            <w:rFonts w:ascii="Cambria Math" w:hAnsi="Cambria Math"/>
          </w:rPr>
          <m:t>=304.17days</m:t>
        </m:r>
      </m:oMath>
    </w:p>
    <w:p w14:paraId="5CA81335" w14:textId="77777777" w:rsidR="00DD650A" w:rsidRDefault="00DD650A" w:rsidP="00B9662C"/>
    <w:p w14:paraId="36F5B5C4" w14:textId="77777777" w:rsidR="00DD650A" w:rsidRPr="0055432B" w:rsidRDefault="00DD650A" w:rsidP="0055432B">
      <w:pPr>
        <w:rPr>
          <w:b/>
          <w:bCs/>
          <w:sz w:val="28"/>
          <w:szCs w:val="28"/>
        </w:rPr>
      </w:pPr>
      <w:r w:rsidRPr="0055432B">
        <w:rPr>
          <w:b/>
          <w:bCs/>
          <w:sz w:val="28"/>
          <w:szCs w:val="28"/>
        </w:rPr>
        <w:t>Cash Flow Ratios:</w:t>
      </w:r>
    </w:p>
    <w:p w14:paraId="0B4AEE0F" w14:textId="77777777" w:rsidR="00DD650A" w:rsidRPr="0055432B" w:rsidRDefault="00DD650A" w:rsidP="0055432B">
      <w:pPr>
        <w:rPr>
          <w:b/>
          <w:bCs/>
        </w:rPr>
      </w:pPr>
      <w:r w:rsidRPr="0055432B">
        <w:rPr>
          <w:b/>
          <w:bCs/>
        </w:rPr>
        <w:t>1. Operating Cash Flow Ratio</w:t>
      </w:r>
    </w:p>
    <w:p w14:paraId="549B5E5C" w14:textId="77777777" w:rsidR="00DD650A" w:rsidRPr="0055432B" w:rsidRDefault="00DD650A" w:rsidP="0055432B">
      <w:pPr>
        <w:jc w:val="center"/>
      </w:pPr>
      <m:oMathPara>
        <m:oMath>
          <m:r>
            <m:rPr>
              <m:sty m:val="p"/>
            </m:rPr>
            <w:rPr>
              <w:rFonts w:ascii="Cambria Math" w:hAnsi="Cambria Math"/>
            </w:rPr>
            <m:t>Operating Cash Flow Ratio =</m:t>
          </m:r>
          <m:f>
            <m:fPr>
              <m:ctrlPr>
                <w:rPr>
                  <w:rFonts w:ascii="Cambria Math" w:hAnsi="Cambria Math"/>
                </w:rPr>
              </m:ctrlPr>
            </m:fPr>
            <m:num>
              <m:r>
                <m:rPr>
                  <m:sty m:val="p"/>
                </m:rPr>
                <w:rPr>
                  <w:rFonts w:ascii="Cambria Math" w:hAnsi="Cambria Math"/>
                </w:rPr>
                <m:t xml:space="preserve">Operating Cash Flow </m:t>
              </m:r>
            </m:num>
            <m:den>
              <m:r>
                <w:rPr>
                  <w:rFonts w:ascii="Cambria Math" w:hAnsi="Cambria Math"/>
                </w:rPr>
                <m:t>Current Liabilities</m:t>
              </m:r>
            </m:den>
          </m:f>
        </m:oMath>
      </m:oMathPara>
    </w:p>
    <w:p w14:paraId="677FD001" w14:textId="77777777" w:rsidR="00DD650A" w:rsidRDefault="00DD650A" w:rsidP="0055432B">
      <m:oMathPara>
        <m:oMath>
          <m:r>
            <m:rPr>
              <m:sty m:val="p"/>
            </m:rPr>
            <w:rPr>
              <w:rFonts w:ascii="Cambria Math" w:hAnsi="Cambria Math"/>
            </w:rPr>
            <m:t xml:space="preserve"> </m:t>
          </m:r>
        </m:oMath>
      </m:oMathPara>
    </w:p>
    <w:p w14:paraId="2D5B9560" w14:textId="77777777" w:rsidR="00DD650A" w:rsidRPr="0055432B" w:rsidRDefault="00DD650A" w:rsidP="0055432B">
      <w:r>
        <w:t xml:space="preserve">2024: </w:t>
      </w:r>
      <m:oMath>
        <m:r>
          <m:rPr>
            <m:sty m:val="p"/>
          </m:rPr>
          <w:rPr>
            <w:rFonts w:ascii="Cambria Math" w:hAnsi="Cambria Math"/>
          </w:rPr>
          <m:t>Operating Cash Flow Ratio =</m:t>
        </m:r>
        <m:f>
          <m:fPr>
            <m:ctrlPr>
              <w:rPr>
                <w:rFonts w:ascii="Cambria Math" w:hAnsi="Cambria Math"/>
              </w:rPr>
            </m:ctrlPr>
          </m:fPr>
          <m:num>
            <m:r>
              <w:rPr>
                <w:rFonts w:ascii="Cambria Math" w:hAnsi="Cambria Math"/>
              </w:rPr>
              <m:t>42.276</m:t>
            </m:r>
          </m:num>
          <m:den>
            <m:r>
              <w:rPr>
                <w:rFonts w:ascii="Cambria Math" w:hAnsi="Cambria Math"/>
              </w:rPr>
              <m:t>185.291</m:t>
            </m:r>
          </m:den>
        </m:f>
        <m:r>
          <w:rPr>
            <w:rFonts w:ascii="Cambria Math" w:hAnsi="Cambria Math"/>
          </w:rPr>
          <m:t>=0.27</m:t>
        </m:r>
      </m:oMath>
    </w:p>
    <w:p w14:paraId="2D7E43A4" w14:textId="77777777" w:rsidR="00DD650A" w:rsidRPr="0055432B" w:rsidRDefault="00DD650A" w:rsidP="0055432B">
      <w:r>
        <w:t xml:space="preserve">2023: </w:t>
      </w:r>
      <m:oMath>
        <m:r>
          <m:rPr>
            <m:sty m:val="p"/>
          </m:rPr>
          <w:rPr>
            <w:rFonts w:ascii="Cambria Math" w:hAnsi="Cambria Math"/>
          </w:rPr>
          <m:t>Operating Cash Flow Ratio =</m:t>
        </m:r>
        <m:f>
          <m:fPr>
            <m:ctrlPr>
              <w:rPr>
                <w:rFonts w:ascii="Cambria Math" w:hAnsi="Cambria Math"/>
              </w:rPr>
            </m:ctrlPr>
          </m:fPr>
          <m:num>
            <m:r>
              <w:rPr>
                <w:rFonts w:ascii="Cambria Math" w:hAnsi="Cambria Math"/>
              </w:rPr>
              <m:t>40.150</m:t>
            </m:r>
          </m:num>
          <m:den>
            <m:r>
              <w:rPr>
                <w:rFonts w:ascii="Cambria Math" w:hAnsi="Cambria Math"/>
              </w:rPr>
              <m:t>161.148</m:t>
            </m:r>
          </m:den>
        </m:f>
        <m:r>
          <w:rPr>
            <w:rFonts w:ascii="Cambria Math" w:hAnsi="Cambria Math"/>
          </w:rPr>
          <m:t>=0.25</m:t>
        </m:r>
      </m:oMath>
    </w:p>
    <w:p w14:paraId="5FF5B428" w14:textId="77777777" w:rsidR="00DD650A" w:rsidRPr="0055432B" w:rsidRDefault="00DD650A" w:rsidP="0055432B">
      <w:r>
        <w:t xml:space="preserve">2022: </w:t>
      </w:r>
      <m:oMath>
        <m:r>
          <m:rPr>
            <m:sty m:val="p"/>
          </m:rPr>
          <w:rPr>
            <w:rFonts w:ascii="Cambria Math" w:hAnsi="Cambria Math"/>
          </w:rPr>
          <m:t>Operating Cash Flow Ratio =</m:t>
        </m:r>
        <m:f>
          <m:fPr>
            <m:ctrlPr>
              <w:rPr>
                <w:rFonts w:ascii="Cambria Math" w:hAnsi="Cambria Math"/>
              </w:rPr>
            </m:ctrlPr>
          </m:fPr>
          <m:num>
            <m:r>
              <w:rPr>
                <w:rFonts w:ascii="Cambria Math" w:hAnsi="Cambria Math"/>
              </w:rPr>
              <m:t>59.441</m:t>
            </m:r>
          </m:num>
          <m:den>
            <m:r>
              <w:rPr>
                <w:rFonts w:ascii="Cambria Math" w:hAnsi="Cambria Math"/>
              </w:rPr>
              <m:t>216.473</m:t>
            </m:r>
          </m:den>
        </m:f>
        <m:r>
          <w:rPr>
            <w:rFonts w:ascii="Cambria Math" w:hAnsi="Cambria Math"/>
          </w:rPr>
          <m:t>=0.27</m:t>
        </m:r>
      </m:oMath>
    </w:p>
    <w:p w14:paraId="700D4A9B" w14:textId="77777777" w:rsidR="00DD650A" w:rsidRPr="0055432B" w:rsidRDefault="00DD650A" w:rsidP="0055432B">
      <w:r>
        <w:t xml:space="preserve">2021: </w:t>
      </w:r>
      <m:oMath>
        <m:r>
          <m:rPr>
            <m:sty m:val="p"/>
          </m:rPr>
          <w:rPr>
            <w:rFonts w:ascii="Cambria Math" w:hAnsi="Cambria Math"/>
          </w:rPr>
          <m:t>Operating Cash Flow Ratio =</m:t>
        </m:r>
        <m:f>
          <m:fPr>
            <m:ctrlPr>
              <w:rPr>
                <w:rFonts w:ascii="Cambria Math" w:hAnsi="Cambria Math"/>
              </w:rPr>
            </m:ctrlPr>
          </m:fPr>
          <m:num>
            <m:r>
              <w:rPr>
                <w:rFonts w:ascii="Cambria Math" w:hAnsi="Cambria Math"/>
              </w:rPr>
              <m:t>64.578</m:t>
            </m:r>
          </m:num>
          <m:den>
            <m:r>
              <w:rPr>
                <w:rFonts w:ascii="Cambria Math" w:hAnsi="Cambria Math"/>
              </w:rPr>
              <m:t>216.787</m:t>
            </m:r>
          </m:den>
        </m:f>
        <m:r>
          <w:rPr>
            <w:rFonts w:ascii="Cambria Math" w:hAnsi="Cambria Math"/>
          </w:rPr>
          <m:t>=0.30</m:t>
        </m:r>
      </m:oMath>
    </w:p>
    <w:p w14:paraId="48F4019D" w14:textId="77777777" w:rsidR="00DD650A" w:rsidRPr="0055432B" w:rsidRDefault="00DD650A" w:rsidP="0055432B">
      <w:r>
        <w:t xml:space="preserve">2020: </w:t>
      </w:r>
      <m:oMath>
        <m:r>
          <m:rPr>
            <m:sty m:val="p"/>
          </m:rPr>
          <w:rPr>
            <w:rFonts w:ascii="Cambria Math" w:hAnsi="Cambria Math"/>
          </w:rPr>
          <m:t>Operating Cash Flow Ratio =</m:t>
        </m:r>
        <m:f>
          <m:fPr>
            <m:ctrlPr>
              <w:rPr>
                <w:rFonts w:ascii="Cambria Math" w:hAnsi="Cambria Math"/>
              </w:rPr>
            </m:ctrlPr>
          </m:fPr>
          <m:num>
            <m:r>
              <w:rPr>
                <w:rFonts w:ascii="Cambria Math" w:hAnsi="Cambria Math"/>
              </w:rPr>
              <m:t>57.998</m:t>
            </m:r>
          </m:num>
          <m:den>
            <m:r>
              <w:rPr>
                <w:rFonts w:ascii="Cambria Math" w:hAnsi="Cambria Math"/>
              </w:rPr>
              <m:t>179.510</m:t>
            </m:r>
          </m:den>
        </m:f>
        <m:r>
          <w:rPr>
            <w:rFonts w:ascii="Cambria Math" w:hAnsi="Cambria Math"/>
          </w:rPr>
          <m:t>=0.32</m:t>
        </m:r>
      </m:oMath>
    </w:p>
    <w:p w14:paraId="53EEADB0" w14:textId="77777777" w:rsidR="00DD650A" w:rsidRDefault="00DD650A" w:rsidP="0055432B"/>
    <w:p w14:paraId="068A27FC" w14:textId="77777777" w:rsidR="00DD650A" w:rsidRPr="008703EB" w:rsidRDefault="00DD650A" w:rsidP="0055432B">
      <w:pPr>
        <w:rPr>
          <w:b/>
          <w:bCs/>
        </w:rPr>
      </w:pPr>
      <w:r w:rsidRPr="008703EB">
        <w:rPr>
          <w:b/>
          <w:bCs/>
        </w:rPr>
        <w:t xml:space="preserve">2. Free Cash Flow </w:t>
      </w:r>
    </w:p>
    <w:p w14:paraId="7D2CA95D" w14:textId="77777777" w:rsidR="00DD650A" w:rsidRPr="008703EB" w:rsidRDefault="00DD650A" w:rsidP="0055432B">
      <m:oMathPara>
        <m:oMath>
          <m:r>
            <m:rPr>
              <m:sty m:val="p"/>
            </m:rPr>
            <w:rPr>
              <w:rFonts w:ascii="Cambria Math" w:hAnsi="Cambria Math"/>
            </w:rPr>
            <w:lastRenderedPageBreak/>
            <m:t>Free Cash Flow = Operating Cash Flow - Capital Expenditures</m:t>
          </m:r>
        </m:oMath>
      </m:oMathPara>
    </w:p>
    <w:p w14:paraId="356A452E" w14:textId="77777777" w:rsidR="00DD650A" w:rsidRPr="004824D8" w:rsidRDefault="00DD650A" w:rsidP="0055432B">
      <w:r w:rsidRPr="004824D8">
        <w:t xml:space="preserve">2024: </w:t>
      </w:r>
      <m:oMath>
        <m:r>
          <m:rPr>
            <m:sty m:val="p"/>
          </m:rPr>
          <w:rPr>
            <w:rFonts w:ascii="Cambria Math" w:hAnsi="Cambria Math"/>
          </w:rPr>
          <m:t>Free Cash Flow = 42,276-27,339</m:t>
        </m:r>
        <m:r>
          <w:rPr>
            <w:rFonts w:ascii="Cambria Math" w:hAnsi="Cambria Math"/>
          </w:rPr>
          <m:t>=</m:t>
        </m:r>
        <m:r>
          <m:rPr>
            <m:sty m:val="p"/>
          </m:rPr>
          <w:rPr>
            <w:rFonts w:ascii="Cambria Math" w:hAnsi="Cambria Math"/>
          </w:rPr>
          <m:t>14,937m</m:t>
        </m:r>
      </m:oMath>
    </w:p>
    <w:p w14:paraId="48ECBADF" w14:textId="77777777" w:rsidR="00DD650A" w:rsidRPr="004824D8" w:rsidRDefault="00DD650A" w:rsidP="0055432B">
      <w:r>
        <w:t xml:space="preserve">2023: </w:t>
      </w:r>
      <m:oMath>
        <m:r>
          <m:rPr>
            <m:sty m:val="p"/>
          </m:rPr>
          <w:rPr>
            <w:rFonts w:ascii="Cambria Math" w:hAnsi="Cambria Math"/>
          </w:rPr>
          <m:t>Free Cash Flow =40,150-25,960=14,190m</m:t>
        </m:r>
      </m:oMath>
    </w:p>
    <w:p w14:paraId="3CC9C997" w14:textId="77777777" w:rsidR="00DD650A" w:rsidRPr="004824D8" w:rsidRDefault="00DD650A" w:rsidP="0055432B">
      <w:r>
        <w:t xml:space="preserve">2022: </w:t>
      </w:r>
      <m:oMath>
        <m:r>
          <m:rPr>
            <m:sty m:val="p"/>
          </m:rPr>
          <w:rPr>
            <w:rFonts w:ascii="Cambria Math" w:hAnsi="Cambria Math"/>
          </w:rPr>
          <m:t>Free Cash Flow =59,441-24,588=34,853m</m:t>
        </m:r>
      </m:oMath>
    </w:p>
    <w:p w14:paraId="244771C3" w14:textId="77777777" w:rsidR="00DD650A" w:rsidRPr="004824D8" w:rsidRDefault="00DD650A" w:rsidP="0055432B">
      <w:r>
        <w:t xml:space="preserve">2021: </w:t>
      </w:r>
      <m:oMath>
        <m:r>
          <m:rPr>
            <m:sty m:val="p"/>
          </m:rPr>
          <w:rPr>
            <w:rFonts w:ascii="Cambria Math" w:hAnsi="Cambria Math"/>
          </w:rPr>
          <m:t>Free Cash Flow =64,578-23,463=41,115m</m:t>
        </m:r>
      </m:oMath>
    </w:p>
    <w:p w14:paraId="63E3F963" w14:textId="77777777" w:rsidR="00DD650A" w:rsidRPr="004824D8" w:rsidRDefault="00DD650A" w:rsidP="0055432B">
      <w:r>
        <w:t xml:space="preserve">2020: </w:t>
      </w:r>
      <m:oMath>
        <m:r>
          <m:rPr>
            <m:sty m:val="p"/>
          </m:rPr>
          <w:rPr>
            <w:rFonts w:ascii="Cambria Math" w:hAnsi="Cambria Math"/>
          </w:rPr>
          <m:t>Free Cash Flow =57,998-22,191=35,807m</m:t>
        </m:r>
      </m:oMath>
    </w:p>
    <w:p w14:paraId="3BE349F8" w14:textId="77777777" w:rsidR="00DD650A" w:rsidRDefault="00DD650A" w:rsidP="0055432B"/>
    <w:p w14:paraId="1999845D" w14:textId="77777777" w:rsidR="00DD650A" w:rsidRDefault="00DD650A" w:rsidP="0055432B">
      <w:pPr>
        <w:rPr>
          <w:b/>
          <w:bCs/>
        </w:rPr>
      </w:pPr>
      <w:r w:rsidRPr="004824D8">
        <w:rPr>
          <w:b/>
          <w:bCs/>
        </w:rPr>
        <w:t>3. Cash Operating Cycle (COC)</w:t>
      </w:r>
    </w:p>
    <w:p w14:paraId="3177B263" w14:textId="77777777" w:rsidR="00DD650A" w:rsidRDefault="00DD650A" w:rsidP="0055432B">
      <w:pPr>
        <w:rPr>
          <w:b/>
          <w:bCs/>
        </w:rPr>
      </w:pPr>
      <m:oMathPara>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=Receivables Days</m:t>
          </m:r>
          <m:r>
            <m:rPr>
              <m:sty m:val="p"/>
            </m:rPr>
            <w:rPr>
              <w:rFonts w:ascii="Cambria Math"/>
            </w:rPr>
            <m:t>+</m:t>
          </m:r>
          <m:r>
            <m:rPr>
              <m:sty m:val="p"/>
            </m:rPr>
            <w:rPr>
              <w:rFonts w:ascii="Cambria Math" w:hAnsi="Cambria Math"/>
            </w:rPr>
            <m:t>Inventory Days - Payables Days</m:t>
          </m:r>
        </m:oMath>
      </m:oMathPara>
    </w:p>
    <w:p w14:paraId="58034832" w14:textId="77777777" w:rsidR="00DD650A" w:rsidRPr="004824D8" w:rsidRDefault="00DD650A" w:rsidP="0055432B">
      <w:r>
        <w:t xml:space="preserve">2024: </w:t>
      </w:r>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=104.89+108.96-70.39=143.46days</m:t>
        </m:r>
      </m:oMath>
    </w:p>
    <w:p w14:paraId="10F583E7" w14:textId="77777777" w:rsidR="00DD650A" w:rsidRPr="004824D8" w:rsidRDefault="00DD650A" w:rsidP="0055432B">
      <w:r>
        <w:t xml:space="preserve">2023: </w:t>
      </w:r>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 97.52+128.73-68.47=157.78days</m:t>
        </m:r>
      </m:oMath>
    </w:p>
    <w:p w14:paraId="35D1F150" w14:textId="77777777" w:rsidR="00DD650A" w:rsidRPr="004824D8" w:rsidRDefault="00DD650A" w:rsidP="0055432B">
      <w:r>
        <w:t xml:space="preserve">2022: </w:t>
      </w:r>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 81.27+128.16-62.37=147.06days</m:t>
        </m:r>
      </m:oMath>
    </w:p>
    <w:p w14:paraId="52234CF9" w14:textId="77777777" w:rsidR="00DD650A" w:rsidRPr="004824D8" w:rsidRDefault="00DD650A" w:rsidP="0055432B">
      <w:r>
        <w:t xml:space="preserve">2021: </w:t>
      </w:r>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 78.51+108.73-61.82=125.42days</m:t>
        </m:r>
      </m:oMath>
    </w:p>
    <w:p w14:paraId="2F4CCE2A" w14:textId="77777777" w:rsidR="00DD650A" w:rsidRPr="004824D8" w:rsidRDefault="00DD650A" w:rsidP="0055432B">
      <w:r>
        <w:t xml:space="preserve">2020: </w:t>
      </w:r>
      <m:oMath>
        <m:r>
          <m:rPr>
            <m:sty m:val="p"/>
          </m:rPr>
          <w:rPr>
            <w:rFonts w:ascii="Cambria Math" w:hAnsi="Cambria Math"/>
          </w:rPr>
          <m:t xml:space="preserve">Cash Operating Cycle </m:t>
        </m:r>
        <m:d>
          <m:dPr>
            <m:ctrlPr>
              <w:rPr>
                <w:rFonts w:ascii="Cambria Math" w:hAnsi="Cambria Math"/>
              </w:rPr>
            </m:ctrlPr>
          </m:dPr>
          <m:e>
            <m:r>
              <m:rPr>
                <m:sty m:val="p"/>
              </m:rPr>
              <w:rPr>
                <w:rFonts w:ascii="Cambria Math" w:hAnsi="Cambria Math"/>
              </w:rPr>
              <m:t>COC</m:t>
            </m:r>
          </m:e>
        </m:d>
        <m:r>
          <m:rPr>
            <m:sty m:val="p"/>
          </m:rPr>
          <w:rPr>
            <w:rFonts w:ascii="Cambria Math" w:hAnsi="Cambria Math"/>
          </w:rPr>
          <m:t>= 76.84+106.02-60.98=121.88days</m:t>
        </m:r>
      </m:oMath>
    </w:p>
    <w:p w14:paraId="308DF5B4" w14:textId="77777777" w:rsidR="00DD650A" w:rsidRDefault="00DD650A" w:rsidP="0055432B"/>
    <w:p w14:paraId="5117C911" w14:textId="77777777" w:rsidR="00DD650A" w:rsidRDefault="00DD650A" w:rsidP="0055432B"/>
    <w:p w14:paraId="18896061" w14:textId="48635C0C" w:rsidR="00DD650A" w:rsidRPr="00DD650A" w:rsidRDefault="00DD650A" w:rsidP="000E1412">
      <w:pPr>
        <w:rPr>
          <w:b/>
          <w:bCs/>
          <w:sz w:val="32"/>
          <w:szCs w:val="32"/>
        </w:rPr>
      </w:pPr>
      <w:r w:rsidRPr="00DD650A">
        <w:rPr>
          <w:b/>
          <w:bCs/>
          <w:sz w:val="32"/>
          <w:szCs w:val="32"/>
        </w:rPr>
        <w:t>B: Corporate Failure Prediction Models: Altman Z-Score</w:t>
      </w:r>
    </w:p>
    <w:p w14:paraId="69431C7D" w14:textId="77777777" w:rsidR="00DD650A" w:rsidRPr="000E1412" w:rsidRDefault="00DD650A" w:rsidP="000E1412">
      <m:oMathPara>
        <m:oMath>
          <m:r>
            <w:rPr>
              <w:rFonts w:ascii="Cambria Math" w:hAnsi="Cambria Math"/>
            </w:rPr>
            <m:t>Z=1.2×X1+1.4×X2+3.3×X3+0.6×X4+1.0×X5</m:t>
          </m:r>
        </m:oMath>
      </m:oMathPara>
    </w:p>
    <w:p w14:paraId="4EA8CA8A" w14:textId="77777777" w:rsidR="00DD650A" w:rsidRDefault="00DD650A" w:rsidP="000E1412">
      <w:r>
        <w:t>Where:</w:t>
      </w:r>
    </w:p>
    <w:p w14:paraId="3C6EF5E3" w14:textId="77777777" w:rsidR="00DD650A" w:rsidRPr="000E1412" w:rsidRDefault="00DD650A" w:rsidP="000E1412">
      <w:r>
        <w:t>X1=</w:t>
      </w:r>
      <m:oMath>
        <m:f>
          <m:fPr>
            <m:ctrlPr>
              <w:rPr>
                <w:rFonts w:ascii="Cambria Math" w:hAnsi="Cambria Math"/>
                <w:i/>
              </w:rPr>
            </m:ctrlPr>
          </m:fPr>
          <m:num>
            <m:r>
              <w:rPr>
                <w:rFonts w:ascii="Cambria Math" w:hAnsi="Cambria Math"/>
              </w:rPr>
              <m:t xml:space="preserve">Working Capital </m:t>
            </m:r>
          </m:num>
          <m:den>
            <m:r>
              <w:rPr>
                <w:rFonts w:ascii="Cambria Math" w:hAnsi="Cambria Math"/>
              </w:rPr>
              <m:t>Total Assets</m:t>
            </m:r>
          </m:den>
        </m:f>
      </m:oMath>
    </w:p>
    <w:p w14:paraId="07DBD292" w14:textId="77777777" w:rsidR="00DD650A" w:rsidRPr="000E1412" w:rsidRDefault="00DD650A" w:rsidP="000E1412">
      <w:r>
        <w:t>X2=</w:t>
      </w:r>
      <m:oMath>
        <m:f>
          <m:fPr>
            <m:ctrlPr>
              <w:rPr>
                <w:rFonts w:ascii="Cambria Math" w:hAnsi="Cambria Math"/>
                <w:i/>
              </w:rPr>
            </m:ctrlPr>
          </m:fPr>
          <m:num>
            <m:r>
              <w:rPr>
                <w:rFonts w:ascii="Cambria Math" w:hAnsi="Cambria Math"/>
              </w:rPr>
              <m:t>Retained Earnings</m:t>
            </m:r>
          </m:num>
          <m:den>
            <m:r>
              <w:rPr>
                <w:rFonts w:ascii="Cambria Math" w:hAnsi="Cambria Math"/>
              </w:rPr>
              <m:t>Total Assets</m:t>
            </m:r>
          </m:den>
        </m:f>
      </m:oMath>
    </w:p>
    <w:p w14:paraId="1729DAFF" w14:textId="77777777" w:rsidR="00DD650A" w:rsidRPr="000E1412" w:rsidRDefault="00DD650A" w:rsidP="000E1412">
      <w:r>
        <w:t>X3=</w:t>
      </w:r>
      <m:oMath>
        <m:f>
          <m:fPr>
            <m:ctrlPr>
              <w:rPr>
                <w:rFonts w:ascii="Cambria Math" w:hAnsi="Cambria Math"/>
                <w:i/>
              </w:rPr>
            </m:ctrlPr>
          </m:fPr>
          <m:num>
            <m:r>
              <w:rPr>
                <w:rFonts w:ascii="Cambria Math" w:hAnsi="Cambria Math"/>
              </w:rPr>
              <m:t>EBIT</m:t>
            </m:r>
          </m:num>
          <m:den>
            <m:r>
              <w:rPr>
                <w:rFonts w:ascii="Cambria Math" w:hAnsi="Cambria Math"/>
              </w:rPr>
              <m:t>Total Assets</m:t>
            </m:r>
          </m:den>
        </m:f>
      </m:oMath>
    </w:p>
    <w:p w14:paraId="3BC325B4" w14:textId="77777777" w:rsidR="00DD650A" w:rsidRPr="000E1412" w:rsidRDefault="00DD650A" w:rsidP="000E1412">
      <w:r>
        <w:t>X4=</w:t>
      </w:r>
      <m:oMath>
        <m:f>
          <m:fPr>
            <m:ctrlPr>
              <w:rPr>
                <w:rFonts w:ascii="Cambria Math" w:hAnsi="Cambria Math"/>
                <w:i/>
              </w:rPr>
            </m:ctrlPr>
          </m:fPr>
          <m:num>
            <m:r>
              <w:rPr>
                <w:rFonts w:ascii="Cambria Math" w:hAnsi="Cambria Math"/>
              </w:rPr>
              <m:t>Market Value of Equity</m:t>
            </m:r>
          </m:num>
          <m:den>
            <m:r>
              <w:rPr>
                <w:rFonts w:ascii="Cambria Math" w:hAnsi="Cambria Math"/>
              </w:rPr>
              <m:t>Total Liabilities</m:t>
            </m:r>
          </m:den>
        </m:f>
      </m:oMath>
    </w:p>
    <w:p w14:paraId="488A45A7" w14:textId="77777777" w:rsidR="00DD650A" w:rsidRPr="000E1412" w:rsidRDefault="00DD650A" w:rsidP="000E1412">
      <w:r>
        <w:t>X5=</w:t>
      </w:r>
      <m:oMath>
        <m:f>
          <m:fPr>
            <m:ctrlPr>
              <w:rPr>
                <w:rFonts w:ascii="Cambria Math" w:hAnsi="Cambria Math"/>
                <w:i/>
              </w:rPr>
            </m:ctrlPr>
          </m:fPr>
          <m:num>
            <m:r>
              <w:rPr>
                <w:rFonts w:ascii="Cambria Math" w:hAnsi="Cambria Math"/>
              </w:rPr>
              <m:t>Sales</m:t>
            </m:r>
          </m:num>
          <m:den>
            <m:r>
              <w:rPr>
                <w:rFonts w:ascii="Cambria Math" w:hAnsi="Cambria Math"/>
              </w:rPr>
              <m:t>Total Assets</m:t>
            </m:r>
          </m:den>
        </m:f>
      </m:oMath>
    </w:p>
    <w:p w14:paraId="7B9EFAA5" w14:textId="77777777" w:rsidR="00DD650A" w:rsidRPr="000E1412" w:rsidRDefault="00DD650A" w:rsidP="000E1412">
      <w:r>
        <w:t xml:space="preserve">2024: </w:t>
      </w:r>
      <m:oMath>
        <m:r>
          <w:rPr>
            <w:rFonts w:ascii="Cambria Math" w:hAnsi="Cambria Math"/>
          </w:rPr>
          <m:t>Z score=1.2×0.26+1.4×0.47+3.3×</m:t>
        </m:r>
        <m:d>
          <m:dPr>
            <m:ctrlPr>
              <w:rPr>
                <w:rFonts w:ascii="Cambria Math" w:hAnsi="Cambria Math"/>
                <w:i/>
              </w:rPr>
            </m:ctrlPr>
          </m:dPr>
          <m:e>
            <m:r>
              <w:rPr>
                <w:rFonts w:ascii="Cambria Math" w:hAnsi="Cambria Math"/>
              </w:rPr>
              <m:t>-0.05</m:t>
            </m:r>
          </m:e>
        </m:d>
        <m:r>
          <w:rPr>
            <w:rFonts w:ascii="Cambria Math" w:hAnsi="Cambria Math"/>
          </w:rPr>
          <m:t>+0.6×0.90+1.0×1.22</m:t>
        </m:r>
      </m:oMath>
    </w:p>
    <w:p w14:paraId="1D028A20" w14:textId="77777777" w:rsidR="00DD650A" w:rsidRPr="0079168D" w:rsidRDefault="00DD650A" w:rsidP="000E1412">
      <w:pPr>
        <w:ind w:left="720"/>
      </w:pPr>
      <m:oMathPara>
        <m:oMathParaPr>
          <m:jc m:val="left"/>
        </m:oMathParaPr>
        <m:oMath>
          <m:r>
            <w:rPr>
              <w:rFonts w:ascii="Cambria Math" w:hAnsi="Cambria Math"/>
            </w:rPr>
            <m:t>Z=0.312+0.658-0.165+0.54+1.22=2.565</m:t>
          </m:r>
        </m:oMath>
      </m:oMathPara>
    </w:p>
    <w:p w14:paraId="714D5C72" w14:textId="77777777" w:rsidR="00DD650A" w:rsidRDefault="00DD650A" w:rsidP="0079168D"/>
    <w:p w14:paraId="05799C9C" w14:textId="26CF1460" w:rsidR="00DD650A" w:rsidRPr="0079168D" w:rsidRDefault="00DD650A" w:rsidP="0079168D">
      <w:r>
        <w:t xml:space="preserve">2023: </w:t>
      </w:r>
      <m:oMath>
        <m:r>
          <w:rPr>
            <w:rFonts w:ascii="Cambria Math" w:hAnsi="Cambria Math"/>
          </w:rPr>
          <m:t>X1=Z=1.2×0.238+1.4×0.503+3.3×</m:t>
        </m:r>
        <m:d>
          <m:dPr>
            <m:ctrlPr>
              <w:rPr>
                <w:rFonts w:ascii="Cambria Math" w:hAnsi="Cambria Math"/>
                <w:i/>
              </w:rPr>
            </m:ctrlPr>
          </m:dPr>
          <m:e>
            <m:r>
              <w:rPr>
                <w:rFonts w:ascii="Cambria Math" w:hAnsi="Cambria Math"/>
              </w:rPr>
              <m:t>-0.24</m:t>
            </m:r>
          </m:e>
        </m:d>
        <m:r>
          <w:rPr>
            <w:rFonts w:ascii="Cambria Math" w:hAnsi="Cambria Math"/>
          </w:rPr>
          <m:t>+0.6×1.01+1.0×1.18</m:t>
        </m:r>
      </m:oMath>
    </w:p>
    <w:p w14:paraId="2579BBE1" w14:textId="77777777" w:rsidR="00DD650A" w:rsidRPr="0079168D" w:rsidRDefault="00DD650A" w:rsidP="0079168D">
      <w:pPr>
        <w:ind w:left="720"/>
      </w:pPr>
      <m:oMathPara>
        <m:oMathParaPr>
          <m:jc m:val="left"/>
        </m:oMathParaPr>
        <m:oMath>
          <m:r>
            <w:rPr>
              <w:rFonts w:ascii="Cambria Math" w:hAnsi="Cambria Math"/>
            </w:rPr>
            <m:t>Z=0.2856+0.7042-0.792+0.606+1.18=2.03</m:t>
          </m:r>
        </m:oMath>
      </m:oMathPara>
    </w:p>
    <w:p w14:paraId="4A296AD9" w14:textId="77777777" w:rsidR="00DD650A" w:rsidRDefault="00DD650A" w:rsidP="000E1412"/>
    <w:p w14:paraId="31F4E4F1" w14:textId="77777777" w:rsidR="00DD650A" w:rsidRPr="0079168D" w:rsidRDefault="00DD650A" w:rsidP="000E1412">
      <w:r>
        <w:t xml:space="preserve">2022: </w:t>
      </w:r>
      <m:oMath>
        <m:r>
          <w:rPr>
            <w:rFonts w:ascii="Cambria Math" w:hAnsi="Cambria Math"/>
          </w:rPr>
          <m:t>Z=1.2×0.241+1.4×0.533+3.3×0.029+0.6×1.14+1.0×1.08</m:t>
        </m:r>
      </m:oMath>
    </w:p>
    <w:p w14:paraId="1AFFD0CA" w14:textId="77777777" w:rsidR="00DD650A" w:rsidRPr="0079168D" w:rsidRDefault="00DD650A" w:rsidP="0079168D">
      <w:pPr>
        <w:ind w:left="720"/>
      </w:pPr>
      <m:oMathPara>
        <m:oMathParaPr>
          <m:jc m:val="left"/>
        </m:oMathParaPr>
        <m:oMath>
          <m:r>
            <w:rPr>
              <w:rFonts w:ascii="Cambria Math" w:hAnsi="Cambria Math"/>
            </w:rPr>
            <m:t>Z=0.2892+0.7442+0.0957+0.684+1.08=2.89</m:t>
          </m:r>
        </m:oMath>
      </m:oMathPara>
    </w:p>
    <w:p w14:paraId="221E84A1" w14:textId="77777777" w:rsidR="00DD650A" w:rsidRDefault="00DD650A" w:rsidP="000E1412"/>
    <w:p w14:paraId="62F983B0" w14:textId="3FE07CBF" w:rsidR="00DD650A" w:rsidRPr="0079168D" w:rsidRDefault="00DD650A" w:rsidP="000E1412">
      <w:r>
        <w:t xml:space="preserve">2021: </w:t>
      </w:r>
      <m:oMath>
        <m:r>
          <w:rPr>
            <w:rFonts w:ascii="Cambria Math" w:hAnsi="Cambria Math"/>
          </w:rPr>
          <m:t>Z=1.2×0.236+1.4×0.541+3.3×0.045+0.6×1.18+1.0×1.18</m:t>
        </m:r>
      </m:oMath>
    </w:p>
    <w:p w14:paraId="193DDA85" w14:textId="77777777" w:rsidR="00DD650A" w:rsidRPr="0079168D" w:rsidRDefault="00DD650A" w:rsidP="0079168D">
      <w:pPr>
        <w:ind w:left="720"/>
      </w:pPr>
      <m:oMathPara>
        <m:oMathParaPr>
          <m:jc m:val="left"/>
        </m:oMathParaPr>
        <m:oMath>
          <m:r>
            <w:rPr>
              <w:rFonts w:ascii="Cambria Math" w:hAnsi="Cambria Math"/>
            </w:rPr>
            <m:t>Z=0.2832+0.7584+0.1485+0.708+1.18=3.08</m:t>
          </m:r>
        </m:oMath>
      </m:oMathPara>
    </w:p>
    <w:p w14:paraId="3E39AA4A" w14:textId="77777777" w:rsidR="00DD650A" w:rsidRDefault="00DD650A" w:rsidP="0079168D"/>
    <w:p w14:paraId="74F4E326" w14:textId="07D2D4C8" w:rsidR="00DD650A" w:rsidRPr="0079168D" w:rsidRDefault="00DD650A" w:rsidP="0079168D">
      <w:r>
        <w:t xml:space="preserve">2020: </w:t>
      </w:r>
      <m:oMath>
        <m:r>
          <w:rPr>
            <w:rFonts w:ascii="Cambria Math" w:hAnsi="Cambria Math"/>
          </w:rPr>
          <m:t>Z=1.2×0.289+1.4×0.614+3.3×0.073+0.6×1.59+1.0×1.21</m:t>
        </m:r>
      </m:oMath>
    </w:p>
    <w:p w14:paraId="71BB29E7" w14:textId="77777777" w:rsidR="00DD650A" w:rsidRPr="0079168D" w:rsidRDefault="00DD650A" w:rsidP="0079168D">
      <w:pPr>
        <w:ind w:left="720"/>
      </w:pPr>
      <m:oMathPara>
        <m:oMathParaPr>
          <m:jc m:val="left"/>
        </m:oMathParaPr>
        <m:oMath>
          <m:r>
            <w:rPr>
              <w:rFonts w:ascii="Cambria Math" w:hAnsi="Cambria Math"/>
            </w:rPr>
            <m:t>Z=0.3468+0.8600+0.2409+0.954+1.21=3.61</m:t>
          </m:r>
        </m:oMath>
      </m:oMathPara>
    </w:p>
    <w:p w14:paraId="344381EC" w14:textId="77777777" w:rsidR="00DD650A" w:rsidRDefault="00DD650A" w:rsidP="0079168D"/>
    <w:p w14:paraId="1CDC1015" w14:textId="5E504C81" w:rsidR="00DD650A" w:rsidRPr="00DD650A" w:rsidRDefault="00DD650A" w:rsidP="0079168D">
      <w:pPr>
        <w:rPr>
          <w:b/>
          <w:bCs/>
          <w:sz w:val="32"/>
          <w:szCs w:val="32"/>
        </w:rPr>
      </w:pPr>
      <w:r w:rsidRPr="00DD650A">
        <w:rPr>
          <w:b/>
          <w:bCs/>
          <w:sz w:val="32"/>
          <w:szCs w:val="32"/>
        </w:rPr>
        <w:t xml:space="preserve">C: Investment Appraisal and Capital Budgeting </w:t>
      </w:r>
    </w:p>
    <w:p w14:paraId="4161A4D5" w14:textId="77777777" w:rsidR="00DD650A" w:rsidRDefault="00DD650A" w:rsidP="0079168D">
      <w:r>
        <w:t>Pay Back Period:</w:t>
      </w:r>
    </w:p>
    <w:p w14:paraId="59FD69DA" w14:textId="77777777" w:rsidR="00DD650A" w:rsidRPr="00522395" w:rsidRDefault="00DD650A" w:rsidP="0079168D">
      <m:oMathPara>
        <m:oMathParaPr>
          <m:jc m:val="center"/>
        </m:oMathParaPr>
        <m:oMath>
          <m:r>
            <w:rPr>
              <w:rFonts w:ascii="Cambria Math" w:hAnsi="Cambria Math"/>
            </w:rPr>
            <m:t>PBP=Year before full recovery+</m:t>
          </m:r>
          <m:f>
            <m:fPr>
              <m:ctrlPr>
                <w:rPr>
                  <w:rFonts w:ascii="Cambria Math" w:hAnsi="Cambria Math"/>
                  <w:i/>
                </w:rPr>
              </m:ctrlPr>
            </m:fPr>
            <m:num>
              <m:r>
                <w:rPr>
                  <w:rFonts w:ascii="Cambria Math" w:hAnsi="Cambria Math"/>
                </w:rPr>
                <m:t>Unrecovered Cost at the Start of the Year​</m:t>
              </m:r>
            </m:num>
            <m:den>
              <m:r>
                <w:rPr>
                  <w:rFonts w:ascii="Cambria Math" w:hAnsi="Cambria Math"/>
                </w:rPr>
                <m:t>Cash inflaw during the year</m:t>
              </m:r>
            </m:den>
          </m:f>
        </m:oMath>
      </m:oMathPara>
    </w:p>
    <w:p w14:paraId="69D2AE4E" w14:textId="77777777" w:rsidR="00DD650A" w:rsidRPr="0062066B" w:rsidRDefault="00DD650A" w:rsidP="0079168D">
      <w:pPr>
        <w:rPr>
          <w:b/>
          <w:bCs/>
        </w:rPr>
      </w:pPr>
      <w:r w:rsidRPr="0062066B">
        <w:rPr>
          <w:b/>
          <w:bCs/>
        </w:rPr>
        <w:t>Project A: Initial Investment = £40m</w:t>
      </w:r>
    </w:p>
    <w:p w14:paraId="5275C592" w14:textId="77777777" w:rsidR="00DD650A" w:rsidRDefault="00DD650A" w:rsidP="00522395">
      <w:pPr>
        <w:ind w:left="720"/>
      </w:pPr>
      <w:r>
        <w:t>Y</w:t>
      </w:r>
      <w:r w:rsidRPr="00522395">
        <w:t>ear 1-5 Net Cash Inflows = £10m, £12m, £14m, £10m, £8m</w:t>
      </w:r>
    </w:p>
    <w:p w14:paraId="0B2946B6" w14:textId="77777777" w:rsidR="00DD650A" w:rsidRDefault="00DD650A" w:rsidP="00522395">
      <w:r w:rsidRPr="00522395">
        <w:t>Cumulative Cash Flow for Project A:</w:t>
      </w:r>
    </w:p>
    <w:p w14:paraId="498A7155" w14:textId="77777777" w:rsidR="00DD650A" w:rsidRDefault="00DD650A" w:rsidP="00522395">
      <w:pPr>
        <w:ind w:left="720"/>
      </w:pPr>
      <w:r>
        <w:t>Year 1: £10m</w:t>
      </w:r>
    </w:p>
    <w:p w14:paraId="5F2AB314" w14:textId="77777777" w:rsidR="00DD650A" w:rsidRDefault="00DD650A" w:rsidP="00522395">
      <w:pPr>
        <w:ind w:left="720"/>
      </w:pPr>
      <w:r>
        <w:t>Year 2: £10m + £12m = £22m</w:t>
      </w:r>
    </w:p>
    <w:p w14:paraId="0424E102" w14:textId="77777777" w:rsidR="00DD650A" w:rsidRDefault="00DD650A" w:rsidP="00522395">
      <w:pPr>
        <w:ind w:left="720"/>
      </w:pPr>
      <w:r>
        <w:t>Year 3: £22m + £14m = £36m</w:t>
      </w:r>
    </w:p>
    <w:p w14:paraId="15D8BBEE" w14:textId="77777777" w:rsidR="00DD650A" w:rsidRDefault="00DD650A" w:rsidP="00522395">
      <w:pPr>
        <w:ind w:left="720"/>
      </w:pPr>
      <w:r>
        <w:t>Year 4: £36m + £10m = £46m</w:t>
      </w:r>
    </w:p>
    <w:p w14:paraId="36AE67C3" w14:textId="77777777" w:rsidR="00DD650A" w:rsidRDefault="00DD650A" w:rsidP="00522395">
      <w:pPr>
        <w:ind w:left="720"/>
      </w:pPr>
      <w:r>
        <w:t>Year 5: £46m + £8m = £54m</w:t>
      </w:r>
    </w:p>
    <w:p w14:paraId="5BCF768F" w14:textId="77777777" w:rsidR="00DD650A" w:rsidRDefault="00DD650A" w:rsidP="00522395">
      <w:pPr>
        <w:ind w:left="720"/>
      </w:pPr>
      <w:r w:rsidRPr="00522395">
        <w:t>Unrecovered cost at the start of Year 4=£40m−£36m=£4m</w:t>
      </w:r>
    </w:p>
    <w:p w14:paraId="41043A2B" w14:textId="77777777" w:rsidR="00DD650A" w:rsidRPr="003114E5" w:rsidRDefault="00DD650A" w:rsidP="003114E5">
      <m:oMathPara>
        <m:oMathParaPr>
          <m:jc m:val="left"/>
        </m:oMathParaPr>
        <m:oMath>
          <m:r>
            <w:rPr>
              <w:rFonts w:ascii="Cambria Math" w:hAnsi="Cambria Math"/>
            </w:rPr>
            <m:t>Project A PBP=3+</m:t>
          </m:r>
          <m:f>
            <m:fPr>
              <m:ctrlPr>
                <w:rPr>
                  <w:rFonts w:ascii="Cambria Math" w:hAnsi="Cambria Math"/>
                  <w:i/>
                </w:rPr>
              </m:ctrlPr>
            </m:fPr>
            <m:num>
              <m:r>
                <w:rPr>
                  <w:rFonts w:ascii="Cambria Math" w:hAnsi="Cambria Math"/>
                </w:rPr>
                <m:t>4m</m:t>
              </m:r>
            </m:num>
            <m:den>
              <m:r>
                <w:rPr>
                  <w:rFonts w:ascii="Cambria Math" w:hAnsi="Cambria Math"/>
                </w:rPr>
                <m:t>10m</m:t>
              </m:r>
            </m:den>
          </m:f>
          <m:r>
            <w:rPr>
              <w:rFonts w:ascii="Cambria Math" w:hAnsi="Cambria Math"/>
            </w:rPr>
            <m:t>=3+0.4=3.4years</m:t>
          </m:r>
        </m:oMath>
      </m:oMathPara>
    </w:p>
    <w:p w14:paraId="5A3864E0" w14:textId="77777777" w:rsidR="00DD650A" w:rsidRDefault="00DD650A" w:rsidP="003114E5"/>
    <w:p w14:paraId="4082DCBC" w14:textId="77777777" w:rsidR="00DD650A" w:rsidRPr="0062066B" w:rsidRDefault="00DD650A" w:rsidP="003114E5">
      <w:pPr>
        <w:rPr>
          <w:b/>
          <w:bCs/>
        </w:rPr>
      </w:pPr>
      <w:r w:rsidRPr="0062066B">
        <w:rPr>
          <w:b/>
          <w:bCs/>
        </w:rPr>
        <w:t>Project B: Initial Investment = £30m</w:t>
      </w:r>
    </w:p>
    <w:p w14:paraId="775AFFB2" w14:textId="77777777" w:rsidR="00DD650A" w:rsidRDefault="00DD650A" w:rsidP="003114E5">
      <w:pPr>
        <w:ind w:left="720"/>
      </w:pPr>
      <w:r>
        <w:t>Year 1-5 Net Cash Inflows = £6m, £6m, £6m, £6m, £6m</w:t>
      </w:r>
    </w:p>
    <w:p w14:paraId="791042FA" w14:textId="77777777" w:rsidR="00DD650A" w:rsidRDefault="00DD650A" w:rsidP="003114E5">
      <w:r>
        <w:t>Cumulative Cash Flow for Project B:</w:t>
      </w:r>
    </w:p>
    <w:p w14:paraId="7FE65FA3" w14:textId="77777777" w:rsidR="00DD650A" w:rsidRDefault="00DD650A" w:rsidP="003114E5">
      <w:pPr>
        <w:ind w:left="720"/>
      </w:pPr>
      <w:r>
        <w:t>Year 1: £6m</w:t>
      </w:r>
    </w:p>
    <w:p w14:paraId="43EFE2EE" w14:textId="77777777" w:rsidR="00DD650A" w:rsidRDefault="00DD650A" w:rsidP="003114E5">
      <w:pPr>
        <w:ind w:left="720"/>
      </w:pPr>
      <w:r>
        <w:t>Year 2: £6m + £6m = £12m</w:t>
      </w:r>
    </w:p>
    <w:p w14:paraId="64E1A1E5" w14:textId="77777777" w:rsidR="00DD650A" w:rsidRDefault="00DD650A" w:rsidP="003114E5">
      <w:pPr>
        <w:ind w:left="720"/>
      </w:pPr>
      <w:r>
        <w:lastRenderedPageBreak/>
        <w:t>Year 3: £12m + £6m = £18m</w:t>
      </w:r>
    </w:p>
    <w:p w14:paraId="3F0CBB70" w14:textId="77777777" w:rsidR="00DD650A" w:rsidRDefault="00DD650A" w:rsidP="003114E5">
      <w:pPr>
        <w:ind w:left="720"/>
      </w:pPr>
      <w:r>
        <w:t>Year 4: £18m + £6m = £24m</w:t>
      </w:r>
    </w:p>
    <w:p w14:paraId="667F8B15" w14:textId="77777777" w:rsidR="00DD650A" w:rsidRPr="003114E5" w:rsidRDefault="00DD650A" w:rsidP="003114E5">
      <w:pPr>
        <w:ind w:left="720"/>
      </w:pPr>
      <w:r>
        <w:t>Year 5: £24m + £6m = £30m</w:t>
      </w:r>
    </w:p>
    <w:p w14:paraId="460784D6" w14:textId="77777777" w:rsidR="00DD650A" w:rsidRDefault="00DD650A" w:rsidP="003114E5">
      <w:r>
        <w:t>Project B PBP=5 years</w:t>
      </w:r>
    </w:p>
    <w:p w14:paraId="297FE846" w14:textId="77777777" w:rsidR="00DD650A" w:rsidRDefault="00DD650A" w:rsidP="003114E5"/>
    <w:p w14:paraId="2AFE99CD" w14:textId="77777777" w:rsidR="00DD650A" w:rsidRPr="0062066B" w:rsidRDefault="00DD650A" w:rsidP="0062066B">
      <w:pPr>
        <w:rPr>
          <w:b/>
          <w:bCs/>
        </w:rPr>
      </w:pPr>
      <w:r w:rsidRPr="0062066B">
        <w:rPr>
          <w:b/>
          <w:bCs/>
        </w:rPr>
        <w:t>Project C: Initial Investment = £50m</w:t>
      </w:r>
    </w:p>
    <w:p w14:paraId="045F152F" w14:textId="77777777" w:rsidR="00DD650A" w:rsidRDefault="00DD650A" w:rsidP="0062066B">
      <w:pPr>
        <w:ind w:left="720"/>
      </w:pPr>
      <w:r>
        <w:t>Year 1-5 Net Cash Inflows = £5m, £10m, £20m, £25m, £15m</w:t>
      </w:r>
    </w:p>
    <w:p w14:paraId="4EBC5908" w14:textId="77777777" w:rsidR="00DD650A" w:rsidRDefault="00DD650A" w:rsidP="0062066B">
      <w:r>
        <w:t>Cumulative Cash Flow for Project C:</w:t>
      </w:r>
    </w:p>
    <w:p w14:paraId="2AB06126" w14:textId="77777777" w:rsidR="00DD650A" w:rsidRDefault="00DD650A" w:rsidP="0062066B">
      <w:pPr>
        <w:ind w:left="720"/>
      </w:pPr>
      <w:r>
        <w:t>Year 1: £5m</w:t>
      </w:r>
    </w:p>
    <w:p w14:paraId="4B8BAF18" w14:textId="77777777" w:rsidR="00DD650A" w:rsidRDefault="00DD650A" w:rsidP="0062066B">
      <w:pPr>
        <w:ind w:left="720"/>
      </w:pPr>
      <w:r>
        <w:t>Year 2: £5m + £10m = £15m</w:t>
      </w:r>
    </w:p>
    <w:p w14:paraId="48C8FFB7" w14:textId="77777777" w:rsidR="00DD650A" w:rsidRDefault="00DD650A" w:rsidP="0062066B">
      <w:pPr>
        <w:ind w:left="720"/>
      </w:pPr>
      <w:r>
        <w:t>Year 3: £15m + £20m = £35m</w:t>
      </w:r>
    </w:p>
    <w:p w14:paraId="6206DAB5" w14:textId="77777777" w:rsidR="00DD650A" w:rsidRDefault="00DD650A" w:rsidP="0062066B">
      <w:pPr>
        <w:ind w:left="720"/>
      </w:pPr>
      <w:r>
        <w:t>Year 4: £35m + £25m = £60m</w:t>
      </w:r>
    </w:p>
    <w:p w14:paraId="3C0139AE" w14:textId="77777777" w:rsidR="00DD650A" w:rsidRDefault="00DD650A" w:rsidP="0062066B">
      <w:pPr>
        <w:ind w:left="720"/>
      </w:pPr>
      <w:r>
        <w:t>Year 5: £60m + £15m = £75m</w:t>
      </w:r>
    </w:p>
    <w:p w14:paraId="160E9F95" w14:textId="77777777" w:rsidR="00DD650A" w:rsidRDefault="00DD650A" w:rsidP="0062066B">
      <w:r w:rsidRPr="0062066B">
        <w:t>Unrecovered cost at the start of Year 4=£50m−£35m=£15m</w:t>
      </w:r>
    </w:p>
    <w:p w14:paraId="4A0CC2A9" w14:textId="77777777" w:rsidR="00DD650A" w:rsidRPr="0062066B" w:rsidRDefault="00DD650A" w:rsidP="0062066B">
      <m:oMathPara>
        <m:oMathParaPr>
          <m:jc m:val="left"/>
        </m:oMathParaPr>
        <m:oMath>
          <m:r>
            <w:rPr>
              <w:rFonts w:ascii="Cambria Math" w:hAnsi="Cambria Math"/>
            </w:rPr>
            <m:t>Project C PBP=3+</m:t>
          </m:r>
          <m:f>
            <m:fPr>
              <m:ctrlPr>
                <w:rPr>
                  <w:rFonts w:ascii="Cambria Math" w:hAnsi="Cambria Math"/>
                  <w:i/>
                </w:rPr>
              </m:ctrlPr>
            </m:fPr>
            <m:num>
              <m:r>
                <w:rPr>
                  <w:rFonts w:ascii="Cambria Math" w:hAnsi="Cambria Math"/>
                </w:rPr>
                <m:t>15m</m:t>
              </m:r>
            </m:num>
            <m:den>
              <m:r>
                <w:rPr>
                  <w:rFonts w:ascii="Cambria Math" w:hAnsi="Cambria Math"/>
                </w:rPr>
                <m:t>25m</m:t>
              </m:r>
            </m:den>
          </m:f>
          <m:r>
            <w:rPr>
              <w:rFonts w:ascii="Cambria Math" w:hAnsi="Cambria Math"/>
            </w:rPr>
            <m:t>=3+0.6=3.6years</m:t>
          </m:r>
        </m:oMath>
      </m:oMathPara>
    </w:p>
    <w:p w14:paraId="6694BBB0" w14:textId="77777777" w:rsidR="00DD650A" w:rsidRDefault="00DD650A" w:rsidP="0062066B"/>
    <w:p w14:paraId="72F13729" w14:textId="77777777" w:rsidR="00DD650A" w:rsidRPr="0062066B" w:rsidRDefault="00DD650A" w:rsidP="0062066B">
      <w:pPr>
        <w:rPr>
          <w:b/>
          <w:bCs/>
          <w:sz w:val="28"/>
          <w:szCs w:val="28"/>
        </w:rPr>
      </w:pPr>
      <w:r w:rsidRPr="0062066B">
        <w:rPr>
          <w:b/>
          <w:bCs/>
          <w:sz w:val="28"/>
          <w:szCs w:val="28"/>
        </w:rPr>
        <w:t>Average Rate of Return (ARR)</w:t>
      </w:r>
    </w:p>
    <w:p w14:paraId="2ADE1323" w14:textId="77777777" w:rsidR="00DD650A" w:rsidRPr="0062066B" w:rsidRDefault="00DD650A" w:rsidP="0062066B">
      <m:oMathPara>
        <m:oMath>
          <m:r>
            <w:rPr>
              <w:rFonts w:ascii="Cambria Math" w:hAnsi="Cambria Math"/>
            </w:rPr>
            <m:t>ARR=</m:t>
          </m:r>
          <m:d>
            <m:dPr>
              <m:ctrlPr>
                <w:rPr>
                  <w:rFonts w:ascii="Cambria Math" w:hAnsi="Cambria Math"/>
                  <w:i/>
                </w:rPr>
              </m:ctrlPr>
            </m:dPr>
            <m:e>
              <m:f>
                <m:fPr>
                  <m:ctrlPr>
                    <w:rPr>
                      <w:rFonts w:ascii="Cambria Math" w:hAnsi="Cambria Math"/>
                      <w:i/>
                    </w:rPr>
                  </m:ctrlPr>
                </m:fPr>
                <m:num>
                  <m:r>
                    <w:rPr>
                      <w:rFonts w:ascii="Cambria Math" w:hAnsi="Cambria Math"/>
                    </w:rPr>
                    <m:t>Average Annual Accounting Profit​</m:t>
                  </m:r>
                </m:num>
                <m:den>
                  <m:r>
                    <w:rPr>
                      <w:rFonts w:ascii="Cambria Math" w:hAnsi="Cambria Math"/>
                    </w:rPr>
                    <m:t>Initial Investment</m:t>
                  </m:r>
                </m:den>
              </m:f>
            </m:e>
          </m:d>
          <m:r>
            <w:rPr>
              <w:rFonts w:ascii="Cambria Math" w:hAnsi="Cambria Math"/>
            </w:rPr>
            <m:t>×100</m:t>
          </m:r>
        </m:oMath>
      </m:oMathPara>
    </w:p>
    <w:p w14:paraId="2490E747" w14:textId="77777777" w:rsidR="00DD650A" w:rsidRPr="0062066B" w:rsidRDefault="00DD650A" w:rsidP="0062066B">
      <w:r>
        <w:t>Where:</w:t>
      </w:r>
      <w:r>
        <w:br/>
      </w:r>
      <m:oMathPara>
        <m:oMathParaPr>
          <m:jc m:val="left"/>
        </m:oMathParaPr>
        <m:oMath>
          <m:r>
            <w:rPr>
              <w:rFonts w:ascii="Cambria Math" w:hAnsi="Cambria Math"/>
            </w:rPr>
            <m:t>Average Annual Accounting Profit=</m:t>
          </m:r>
          <m:f>
            <m:fPr>
              <m:ctrlPr>
                <w:rPr>
                  <w:rFonts w:ascii="Cambria Math" w:hAnsi="Cambria Math"/>
                  <w:i/>
                </w:rPr>
              </m:ctrlPr>
            </m:fPr>
            <m:num>
              <m:r>
                <w:rPr>
                  <w:rFonts w:ascii="Cambria Math" w:hAnsi="Cambria Math"/>
                </w:rPr>
                <m:t>Total Profit over the project life</m:t>
              </m:r>
            </m:num>
            <m:den>
              <m:r>
                <w:rPr>
                  <w:rFonts w:ascii="Cambria Math" w:hAnsi="Cambria Math"/>
                </w:rPr>
                <m:t>Number of years</m:t>
              </m:r>
            </m:den>
          </m:f>
        </m:oMath>
      </m:oMathPara>
    </w:p>
    <w:p w14:paraId="66056628" w14:textId="77777777" w:rsidR="00DD650A" w:rsidRDefault="00DD650A" w:rsidP="0062066B">
      <w:r w:rsidRPr="0062066B">
        <w:t>Initial Investment is the amount of money initially invested</w:t>
      </w:r>
    </w:p>
    <w:p w14:paraId="782D04CA" w14:textId="77777777" w:rsidR="00DD650A" w:rsidRDefault="00DD650A" w:rsidP="0062066B">
      <w:r>
        <w:t>Project A: Initial Investment = £40m</w:t>
      </w:r>
    </w:p>
    <w:p w14:paraId="721DA7AD" w14:textId="77777777" w:rsidR="00DD650A" w:rsidRDefault="00DD650A" w:rsidP="0062066B">
      <w:pPr>
        <w:ind w:left="720"/>
      </w:pPr>
      <w:r>
        <w:t>Net Cash Inflows = £10m, £12m, £14m, £10m, £8m</w:t>
      </w:r>
    </w:p>
    <w:p w14:paraId="76B68012" w14:textId="77777777" w:rsidR="00DD650A" w:rsidRDefault="00DD650A" w:rsidP="0062066B">
      <w:pPr>
        <w:ind w:left="720"/>
      </w:pPr>
      <w:r>
        <w:t>Total Cash Inflows (Profit) over 5 years:</w:t>
      </w:r>
    </w:p>
    <w:p w14:paraId="525C25DA" w14:textId="77777777" w:rsidR="00DD650A" w:rsidRDefault="00DD650A" w:rsidP="0062066B">
      <w:pPr>
        <w:ind w:left="720"/>
      </w:pPr>
      <w:r>
        <w:t>Total Cash Inflows=£10m+£12m+£14m+£10m+£8m=£54m</w:t>
      </w:r>
    </w:p>
    <w:p w14:paraId="34250B04" w14:textId="77777777" w:rsidR="00DD650A" w:rsidRPr="0058164E" w:rsidRDefault="00DD650A" w:rsidP="0062066B">
      <m:oMathPara>
        <m:oMathParaPr>
          <m:jc m:val="left"/>
        </m:oMathParaPr>
        <m:oMath>
          <m:r>
            <w:rPr>
              <w:rFonts w:ascii="Cambria Math" w:hAnsi="Cambria Math"/>
            </w:rPr>
            <m:t>Average Annual Cash Inflows=</m:t>
          </m:r>
          <m:f>
            <m:fPr>
              <m:ctrlPr>
                <w:rPr>
                  <w:rFonts w:ascii="Cambria Math" w:hAnsi="Cambria Math"/>
                  <w:i/>
                </w:rPr>
              </m:ctrlPr>
            </m:fPr>
            <m:num>
              <m:r>
                <w:rPr>
                  <w:rFonts w:ascii="Cambria Math" w:hAnsi="Cambria Math"/>
                </w:rPr>
                <m:t>54</m:t>
              </m:r>
            </m:num>
            <m:den>
              <m:r>
                <w:rPr>
                  <w:rFonts w:ascii="Cambria Math" w:hAnsi="Cambria Math"/>
                </w:rPr>
                <m:t>5</m:t>
              </m:r>
            </m:den>
          </m:f>
          <m:r>
            <w:rPr>
              <w:rFonts w:ascii="Cambria Math" w:hAnsi="Cambria Math"/>
            </w:rPr>
            <m:t>=10.8m</m:t>
          </m:r>
        </m:oMath>
      </m:oMathPara>
    </w:p>
    <w:p w14:paraId="0C2464BC" w14:textId="77777777" w:rsidR="00DD650A" w:rsidRPr="0058164E" w:rsidRDefault="00DD650A" w:rsidP="0062066B">
      <m:oMathPara>
        <m:oMathParaPr>
          <m:jc m:val="left"/>
        </m:oMathParaPr>
        <m:oMath>
          <m:r>
            <w:rPr>
              <w:rFonts w:ascii="Cambria Math" w:hAnsi="Cambria Math"/>
            </w:rPr>
            <m:t>Project A. ARR=</m:t>
          </m:r>
          <m:d>
            <m:dPr>
              <m:ctrlPr>
                <w:rPr>
                  <w:rFonts w:ascii="Cambria Math" w:hAnsi="Cambria Math"/>
                  <w:i/>
                </w:rPr>
              </m:ctrlPr>
            </m:dPr>
            <m:e>
              <m:f>
                <m:fPr>
                  <m:ctrlPr>
                    <w:rPr>
                      <w:rFonts w:ascii="Cambria Math" w:hAnsi="Cambria Math"/>
                      <w:i/>
                    </w:rPr>
                  </m:ctrlPr>
                </m:fPr>
                <m:num>
                  <m:r>
                    <w:rPr>
                      <w:rFonts w:ascii="Cambria Math" w:hAnsi="Cambria Math"/>
                    </w:rPr>
                    <m:t>10.8</m:t>
                  </m:r>
                </m:num>
                <m:den>
                  <m:r>
                    <w:rPr>
                      <w:rFonts w:ascii="Cambria Math" w:hAnsi="Cambria Math"/>
                    </w:rPr>
                    <m:t>40</m:t>
                  </m:r>
                </m:den>
              </m:f>
            </m:e>
          </m:d>
          <m:r>
            <w:rPr>
              <w:rFonts w:ascii="Cambria Math" w:hAnsi="Cambria Math"/>
            </w:rPr>
            <m:t>×100=27%</m:t>
          </m:r>
        </m:oMath>
      </m:oMathPara>
    </w:p>
    <w:p w14:paraId="6B393053" w14:textId="77777777" w:rsidR="00DD650A" w:rsidRDefault="00DD650A" w:rsidP="0062066B"/>
    <w:p w14:paraId="0BFFCA8E" w14:textId="77777777" w:rsidR="00DD650A" w:rsidRDefault="00DD650A" w:rsidP="0058164E">
      <w:r>
        <w:lastRenderedPageBreak/>
        <w:t>Project B: Initial Investment = £30m</w:t>
      </w:r>
    </w:p>
    <w:p w14:paraId="6F0A5A5D" w14:textId="77777777" w:rsidR="00DD650A" w:rsidRDefault="00DD650A" w:rsidP="0058164E">
      <w:pPr>
        <w:ind w:left="720"/>
      </w:pPr>
      <w:r>
        <w:t>Net Cash Inflows = £6m, £6m, £6m, £6m, £6m</w:t>
      </w:r>
    </w:p>
    <w:p w14:paraId="7B398523" w14:textId="77777777" w:rsidR="00DD650A" w:rsidRDefault="00DD650A" w:rsidP="0058164E">
      <w:pPr>
        <w:ind w:left="720"/>
      </w:pPr>
      <w:r>
        <w:t>Total Cash Inflows (Profit) over 5 years:</w:t>
      </w:r>
    </w:p>
    <w:p w14:paraId="68B58A85" w14:textId="77777777" w:rsidR="00DD650A" w:rsidRDefault="00DD650A" w:rsidP="0058164E">
      <w:pPr>
        <w:ind w:left="720"/>
      </w:pPr>
      <w:r>
        <w:t>Total Cash Inflows=£6m+£6m+£6m+£6m+£6m=£30m</w:t>
      </w:r>
    </w:p>
    <w:p w14:paraId="1790056F" w14:textId="77777777" w:rsidR="00DD650A" w:rsidRPr="0058164E" w:rsidRDefault="00DD650A" w:rsidP="0058164E">
      <m:oMathPara>
        <m:oMathParaPr>
          <m:jc m:val="left"/>
        </m:oMathParaPr>
        <m:oMath>
          <m:r>
            <w:rPr>
              <w:rFonts w:ascii="Cambria Math" w:hAnsi="Cambria Math"/>
            </w:rPr>
            <m:t>Average Annual Cash Inflows=</m:t>
          </m:r>
          <m:f>
            <m:fPr>
              <m:ctrlPr>
                <w:rPr>
                  <w:rFonts w:ascii="Cambria Math" w:hAnsi="Cambria Math"/>
                  <w:i/>
                </w:rPr>
              </m:ctrlPr>
            </m:fPr>
            <m:num>
              <m:r>
                <w:rPr>
                  <w:rFonts w:ascii="Cambria Math" w:hAnsi="Cambria Math"/>
                </w:rPr>
                <m:t>30</m:t>
              </m:r>
            </m:num>
            <m:den>
              <m:r>
                <w:rPr>
                  <w:rFonts w:ascii="Cambria Math" w:hAnsi="Cambria Math"/>
                </w:rPr>
                <m:t>5</m:t>
              </m:r>
            </m:den>
          </m:f>
          <m:r>
            <w:rPr>
              <w:rFonts w:ascii="Cambria Math" w:hAnsi="Cambria Math"/>
            </w:rPr>
            <m:t>=6m</m:t>
          </m:r>
        </m:oMath>
      </m:oMathPara>
    </w:p>
    <w:p w14:paraId="0B2D2322" w14:textId="77777777" w:rsidR="00DD650A" w:rsidRPr="0058164E" w:rsidRDefault="00DD650A" w:rsidP="0058164E">
      <m:oMathPara>
        <m:oMathParaPr>
          <m:jc m:val="left"/>
        </m:oMathParaPr>
        <m:oMath>
          <m:r>
            <w:rPr>
              <w:rFonts w:ascii="Cambria Math" w:hAnsi="Cambria Math"/>
            </w:rPr>
            <m:t>Project B. ARR=</m:t>
          </m:r>
          <m:d>
            <m:dPr>
              <m:ctrlPr>
                <w:rPr>
                  <w:rFonts w:ascii="Cambria Math" w:hAnsi="Cambria Math"/>
                  <w:i/>
                </w:rPr>
              </m:ctrlPr>
            </m:dPr>
            <m:e>
              <m:f>
                <m:fPr>
                  <m:ctrlPr>
                    <w:rPr>
                      <w:rFonts w:ascii="Cambria Math" w:hAnsi="Cambria Math"/>
                      <w:i/>
                    </w:rPr>
                  </m:ctrlPr>
                </m:fPr>
                <m:num>
                  <m:r>
                    <w:rPr>
                      <w:rFonts w:ascii="Cambria Math" w:hAnsi="Cambria Math"/>
                    </w:rPr>
                    <m:t>6</m:t>
                  </m:r>
                </m:num>
                <m:den>
                  <m:r>
                    <w:rPr>
                      <w:rFonts w:ascii="Cambria Math" w:hAnsi="Cambria Math"/>
                    </w:rPr>
                    <m:t>30</m:t>
                  </m:r>
                </m:den>
              </m:f>
            </m:e>
          </m:d>
          <m:r>
            <w:rPr>
              <w:rFonts w:ascii="Cambria Math" w:hAnsi="Cambria Math"/>
            </w:rPr>
            <m:t>×100=20%</m:t>
          </m:r>
        </m:oMath>
      </m:oMathPara>
    </w:p>
    <w:p w14:paraId="5DA97E7B" w14:textId="77777777" w:rsidR="00DD650A" w:rsidRDefault="00DD650A" w:rsidP="0058164E"/>
    <w:p w14:paraId="4A661830" w14:textId="77777777" w:rsidR="00DD650A" w:rsidRDefault="00DD650A" w:rsidP="0058164E">
      <w:r>
        <w:t>Project C: Initial Investment = £50m</w:t>
      </w:r>
    </w:p>
    <w:p w14:paraId="49BACBAB" w14:textId="77777777" w:rsidR="00DD650A" w:rsidRDefault="00DD650A" w:rsidP="0058164E">
      <w:pPr>
        <w:ind w:left="720"/>
      </w:pPr>
      <w:r>
        <w:t>Net Cash Inflows = £5m, £10m, £20m, £25m, £15m</w:t>
      </w:r>
    </w:p>
    <w:p w14:paraId="1E243DFC" w14:textId="77777777" w:rsidR="00DD650A" w:rsidRDefault="00DD650A" w:rsidP="0058164E">
      <w:pPr>
        <w:ind w:left="720"/>
      </w:pPr>
      <w:r>
        <w:t>Total Cash Inflows (Profit) over 5 years:</w:t>
      </w:r>
    </w:p>
    <w:p w14:paraId="6F6A9E5F" w14:textId="77777777" w:rsidR="00DD650A" w:rsidRDefault="00DD650A" w:rsidP="0058164E">
      <w:pPr>
        <w:ind w:left="720"/>
      </w:pPr>
      <w:r>
        <w:t>Total Cash Inflows=£5m+£10m+£20m+£25m+£15m=£75m</w:t>
      </w:r>
    </w:p>
    <w:p w14:paraId="684A9AB2" w14:textId="77777777" w:rsidR="00DD650A" w:rsidRPr="0058164E" w:rsidRDefault="00DD650A" w:rsidP="0058164E">
      <w:pPr>
        <w:jc w:val="left"/>
      </w:pPr>
      <m:oMathPara>
        <m:oMathParaPr>
          <m:jc m:val="left"/>
        </m:oMathParaPr>
        <m:oMath>
          <m:r>
            <w:rPr>
              <w:rFonts w:ascii="Cambria Math" w:hAnsi="Cambria Math"/>
            </w:rPr>
            <m:t>Average Annual Cash Inflows=</m:t>
          </m:r>
          <m:f>
            <m:fPr>
              <m:ctrlPr>
                <w:rPr>
                  <w:rFonts w:ascii="Cambria Math" w:hAnsi="Cambria Math"/>
                  <w:i/>
                </w:rPr>
              </m:ctrlPr>
            </m:fPr>
            <m:num>
              <m:r>
                <w:rPr>
                  <w:rFonts w:ascii="Cambria Math" w:hAnsi="Cambria Math"/>
                </w:rPr>
                <m:t>75</m:t>
              </m:r>
            </m:num>
            <m:den>
              <m:r>
                <w:rPr>
                  <w:rFonts w:ascii="Cambria Math" w:hAnsi="Cambria Math"/>
                </w:rPr>
                <m:t>5</m:t>
              </m:r>
            </m:den>
          </m:f>
          <m:r>
            <w:rPr>
              <w:rFonts w:ascii="Cambria Math" w:hAnsi="Cambria Math"/>
            </w:rPr>
            <m:t>=15</m:t>
          </m:r>
        </m:oMath>
      </m:oMathPara>
    </w:p>
    <w:p w14:paraId="111D85FE" w14:textId="77777777" w:rsidR="00DD650A" w:rsidRPr="0058164E" w:rsidRDefault="00DD650A" w:rsidP="0058164E">
      <w:pPr>
        <w:jc w:val="left"/>
      </w:pPr>
      <m:oMathPara>
        <m:oMathParaPr>
          <m:jc m:val="left"/>
        </m:oMathParaPr>
        <m:oMath>
          <m:r>
            <w:rPr>
              <w:rFonts w:ascii="Cambria Math" w:hAnsi="Cambria Math"/>
            </w:rPr>
            <m:t>Project C. ARR=</m:t>
          </m:r>
          <m:d>
            <m:dPr>
              <m:ctrlPr>
                <w:rPr>
                  <w:rFonts w:ascii="Cambria Math" w:hAnsi="Cambria Math"/>
                  <w:i/>
                </w:rPr>
              </m:ctrlPr>
            </m:dPr>
            <m:e>
              <m:f>
                <m:fPr>
                  <m:ctrlPr>
                    <w:rPr>
                      <w:rFonts w:ascii="Cambria Math" w:hAnsi="Cambria Math"/>
                      <w:i/>
                    </w:rPr>
                  </m:ctrlPr>
                </m:fPr>
                <m:num>
                  <m:r>
                    <w:rPr>
                      <w:rFonts w:ascii="Cambria Math" w:hAnsi="Cambria Math"/>
                    </w:rPr>
                    <m:t>15</m:t>
                  </m:r>
                </m:num>
                <m:den>
                  <m:r>
                    <w:rPr>
                      <w:rFonts w:ascii="Cambria Math" w:hAnsi="Cambria Math"/>
                    </w:rPr>
                    <m:t>50</m:t>
                  </m:r>
                </m:den>
              </m:f>
            </m:e>
          </m:d>
          <m:r>
            <w:rPr>
              <w:rFonts w:ascii="Cambria Math" w:hAnsi="Cambria Math"/>
            </w:rPr>
            <m:t>×100=30%</m:t>
          </m:r>
        </m:oMath>
      </m:oMathPara>
    </w:p>
    <w:p w14:paraId="34AA2742" w14:textId="77777777" w:rsidR="00DD650A" w:rsidRDefault="00DD650A" w:rsidP="0058164E">
      <w:pPr>
        <w:jc w:val="left"/>
      </w:pPr>
    </w:p>
    <w:p w14:paraId="7EB0DB7A" w14:textId="77777777" w:rsidR="00DD650A" w:rsidRDefault="00DD650A" w:rsidP="0058164E">
      <w:pPr>
        <w:jc w:val="left"/>
      </w:pPr>
    </w:p>
    <w:p w14:paraId="61E0C29E" w14:textId="77777777" w:rsidR="00DD650A" w:rsidRPr="006868C9" w:rsidRDefault="00DD650A" w:rsidP="0058164E">
      <w:pPr>
        <w:jc w:val="left"/>
        <w:rPr>
          <w:b/>
          <w:bCs/>
          <w:sz w:val="28"/>
          <w:szCs w:val="28"/>
        </w:rPr>
      </w:pPr>
      <w:r w:rsidRPr="006868C9">
        <w:rPr>
          <w:b/>
          <w:bCs/>
          <w:sz w:val="28"/>
          <w:szCs w:val="28"/>
        </w:rPr>
        <w:t>Net Present Value (NPV)</w:t>
      </w:r>
    </w:p>
    <w:p w14:paraId="06970570" w14:textId="77777777" w:rsidR="00DD650A" w:rsidRPr="00040097" w:rsidRDefault="00DD650A" w:rsidP="0058164E">
      <m:oMathPara>
        <m:oMath>
          <m:r>
            <w:rPr>
              <w:rFonts w:ascii="Cambria Math" w:hAnsi="Cambria Math"/>
            </w:rPr>
            <m:t>NPV=</m:t>
          </m:r>
          <m:nary>
            <m:naryPr>
              <m:chr m:val="∑"/>
              <m:limLoc m:val="undOvr"/>
              <m:subHide m:val="1"/>
              <m:supHide m:val="1"/>
              <m:ctrlPr>
                <w:rPr>
                  <w:rFonts w:ascii="Cambria Math" w:hAnsi="Cambria Math"/>
                  <w:i/>
                </w:rPr>
              </m:ctrlPr>
            </m:naryPr>
            <m:sub/>
            <m:sup/>
            <m:e>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t</m:t>
                      </m:r>
                    </m:sup>
                  </m:sSup>
                </m:den>
              </m:f>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0</m:t>
                  </m:r>
                </m:sub>
              </m:sSub>
            </m:e>
          </m:nary>
        </m:oMath>
      </m:oMathPara>
    </w:p>
    <w:p w14:paraId="6AB84B96" w14:textId="77777777" w:rsidR="00DD650A" w:rsidRDefault="00DD650A" w:rsidP="0058164E">
      <w:r>
        <w:t>Where:</w:t>
      </w:r>
    </w:p>
    <w:p w14:paraId="3B38B8A5" w14:textId="77777777" w:rsidR="00DD650A" w:rsidRPr="00040097" w:rsidRDefault="00000000" w:rsidP="00040097">
      <m:oMath>
        <m:sSub>
          <m:sSubPr>
            <m:ctrlPr>
              <w:rPr>
                <w:rFonts w:ascii="Cambria Math" w:hAnsi="Cambria Math"/>
                <w:i/>
              </w:rPr>
            </m:ctrlPr>
          </m:sSubPr>
          <m:e>
            <m:r>
              <w:rPr>
                <w:rFonts w:ascii="Cambria Math" w:hAnsi="Cambria Math"/>
              </w:rPr>
              <m:t>C</m:t>
            </m:r>
          </m:e>
          <m:sub>
            <m:r>
              <w:rPr>
                <w:rFonts w:ascii="Cambria Math" w:hAnsi="Cambria Math"/>
              </w:rPr>
              <m:t>t</m:t>
            </m:r>
          </m:sub>
        </m:sSub>
      </m:oMath>
      <w:r w:rsidR="00DD650A" w:rsidRPr="00040097">
        <w:t>​ = Cash inflows in year t</w:t>
      </w:r>
    </w:p>
    <w:p w14:paraId="0A107526" w14:textId="77777777" w:rsidR="00DD650A" w:rsidRPr="00040097" w:rsidRDefault="00DD650A" w:rsidP="00040097">
      <w:r w:rsidRPr="00040097">
        <w:t>r = Discount rate (given as 10% in this case)</w:t>
      </w:r>
    </w:p>
    <w:p w14:paraId="346AF92A" w14:textId="77777777" w:rsidR="00DD650A" w:rsidRPr="00040097" w:rsidRDefault="00DD650A" w:rsidP="00040097">
      <w:r w:rsidRPr="00040097">
        <w:t xml:space="preserve"> t</w:t>
      </w:r>
      <w:r>
        <w:t xml:space="preserve"> </w:t>
      </w:r>
      <w:r w:rsidRPr="00040097">
        <w:t>= Year (1 to 5)</w:t>
      </w:r>
    </w:p>
    <w:p w14:paraId="06E5893E" w14:textId="77777777" w:rsidR="00DD650A" w:rsidRDefault="00000000" w:rsidP="00040097">
      <m:oMath>
        <m:sSub>
          <m:sSubPr>
            <m:ctrlPr>
              <w:rPr>
                <w:rFonts w:ascii="Cambria Math" w:hAnsi="Cambria Math"/>
                <w:i/>
              </w:rPr>
            </m:ctrlPr>
          </m:sSubPr>
          <m:e>
            <m:r>
              <w:rPr>
                <w:rFonts w:ascii="Cambria Math" w:hAnsi="Cambria Math"/>
              </w:rPr>
              <m:t>I</m:t>
            </m:r>
          </m:e>
          <m:sub>
            <m:r>
              <w:rPr>
                <w:rFonts w:ascii="Cambria Math" w:hAnsi="Cambria Math"/>
              </w:rPr>
              <m:t>0</m:t>
            </m:r>
          </m:sub>
        </m:sSub>
      </m:oMath>
      <w:r w:rsidR="00DD650A" w:rsidRPr="00040097">
        <w:t>​ = Initial investment</w:t>
      </w:r>
    </w:p>
    <w:p w14:paraId="2ECEBFDB" w14:textId="77777777" w:rsidR="00DD650A" w:rsidRDefault="00DD650A" w:rsidP="00040097">
      <w:r>
        <w:t>Project A: Initial Investment = £40m</w:t>
      </w:r>
    </w:p>
    <w:p w14:paraId="4CA2EE1A" w14:textId="77777777" w:rsidR="00DD650A" w:rsidRDefault="00DD650A" w:rsidP="00040097">
      <w:pPr>
        <w:ind w:left="720"/>
      </w:pPr>
      <w:r>
        <w:t>Net Cash Inflows = £10m, £12m, £14m, £10m, £8m</w:t>
      </w:r>
    </w:p>
    <w:p w14:paraId="21954878" w14:textId="77777777" w:rsidR="00DD650A" w:rsidRDefault="00DD650A" w:rsidP="00040097">
      <w:pPr>
        <w:ind w:left="720"/>
      </w:pPr>
      <w:r>
        <w:t>Discount Rate (r) = 10% or 0.10</w:t>
      </w:r>
    </w:p>
    <w:p w14:paraId="7709E215" w14:textId="77777777" w:rsidR="00DD650A" w:rsidRPr="00040097" w:rsidRDefault="00DD650A" w:rsidP="00040097">
      <w:pPr>
        <w:rPr>
          <w:sz w:val="22"/>
          <w:szCs w:val="22"/>
        </w:rPr>
      </w:pPr>
      <m:oMathPara>
        <m:oMath>
          <m:r>
            <w:rPr>
              <w:rFonts w:ascii="Cambria Math" w:hAnsi="Cambria Math"/>
              <w:sz w:val="22"/>
              <w:szCs w:val="22"/>
            </w:rPr>
            <m:t>Project A. NPV=</m:t>
          </m:r>
          <m:f>
            <m:fPr>
              <m:ctrlPr>
                <w:rPr>
                  <w:rFonts w:ascii="Cambria Math" w:hAnsi="Cambria Math"/>
                  <w:i/>
                  <w:sz w:val="22"/>
                  <w:szCs w:val="22"/>
                </w:rPr>
              </m:ctrlPr>
            </m:fPr>
            <m:num>
              <m:r>
                <w:rPr>
                  <w:rFonts w:ascii="Cambria Math" w:hAnsi="Cambria Math"/>
                  <w:sz w:val="22"/>
                  <w:szCs w:val="22"/>
                </w:rPr>
                <m:t>10</m:t>
              </m:r>
            </m:num>
            <m:den>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1+0.10</m:t>
                      </m:r>
                    </m:e>
                  </m:d>
                </m:e>
                <m:sup>
                  <m:r>
                    <w:rPr>
                      <w:rFonts w:ascii="Cambria Math" w:hAnsi="Cambria Math"/>
                      <w:sz w:val="22"/>
                      <w:szCs w:val="22"/>
                    </w:rPr>
                    <m:t>1</m:t>
                  </m:r>
                </m:sup>
              </m:sSup>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12</m:t>
              </m:r>
            </m:num>
            <m:den>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1+0.10</m:t>
                      </m:r>
                    </m:e>
                  </m:d>
                </m:e>
                <m:sup>
                  <m:r>
                    <w:rPr>
                      <w:rFonts w:ascii="Cambria Math" w:hAnsi="Cambria Math"/>
                      <w:sz w:val="22"/>
                      <w:szCs w:val="22"/>
                    </w:rPr>
                    <m:t>2</m:t>
                  </m:r>
                </m:sup>
              </m:sSup>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14</m:t>
              </m:r>
            </m:num>
            <m:den>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1+0.10</m:t>
                      </m:r>
                    </m:e>
                  </m:d>
                </m:e>
                <m:sup>
                  <m:r>
                    <w:rPr>
                      <w:rFonts w:ascii="Cambria Math" w:hAnsi="Cambria Math"/>
                      <w:sz w:val="22"/>
                      <w:szCs w:val="22"/>
                    </w:rPr>
                    <m:t>3</m:t>
                  </m:r>
                </m:sup>
              </m:sSup>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10</m:t>
              </m:r>
            </m:num>
            <m:den>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1+0.10</m:t>
                      </m:r>
                    </m:e>
                  </m:d>
                </m:e>
                <m:sup>
                  <m:r>
                    <w:rPr>
                      <w:rFonts w:ascii="Cambria Math" w:hAnsi="Cambria Math"/>
                      <w:sz w:val="22"/>
                      <w:szCs w:val="22"/>
                    </w:rPr>
                    <m:t>4</m:t>
                  </m:r>
                </m:sup>
              </m:sSup>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8</m:t>
              </m:r>
            </m:num>
            <m:den>
              <m:sSup>
                <m:sSupPr>
                  <m:ctrlPr>
                    <w:rPr>
                      <w:rFonts w:ascii="Cambria Math" w:hAnsi="Cambria Math"/>
                      <w:i/>
                      <w:sz w:val="22"/>
                      <w:szCs w:val="22"/>
                    </w:rPr>
                  </m:ctrlPr>
                </m:sSupPr>
                <m:e>
                  <m:d>
                    <m:dPr>
                      <m:ctrlPr>
                        <w:rPr>
                          <w:rFonts w:ascii="Cambria Math" w:hAnsi="Cambria Math"/>
                          <w:i/>
                          <w:sz w:val="22"/>
                          <w:szCs w:val="22"/>
                        </w:rPr>
                      </m:ctrlPr>
                    </m:dPr>
                    <m:e>
                      <m:r>
                        <w:rPr>
                          <w:rFonts w:ascii="Cambria Math" w:hAnsi="Cambria Math"/>
                          <w:sz w:val="22"/>
                          <w:szCs w:val="22"/>
                        </w:rPr>
                        <m:t>1+0.10</m:t>
                      </m:r>
                    </m:e>
                  </m:d>
                </m:e>
                <m:sup>
                  <m:r>
                    <w:rPr>
                      <w:rFonts w:ascii="Cambria Math" w:hAnsi="Cambria Math"/>
                      <w:sz w:val="22"/>
                      <w:szCs w:val="22"/>
                    </w:rPr>
                    <m:t>5</m:t>
                  </m:r>
                </m:sup>
              </m:sSup>
            </m:den>
          </m:f>
          <m:r>
            <w:rPr>
              <w:rFonts w:ascii="Cambria Math" w:hAnsi="Cambria Math"/>
              <w:sz w:val="22"/>
              <w:szCs w:val="22"/>
            </w:rPr>
            <m:t>-40</m:t>
          </m:r>
        </m:oMath>
      </m:oMathPara>
    </w:p>
    <w:p w14:paraId="51332C33" w14:textId="77777777" w:rsidR="00DD650A" w:rsidRPr="001C3826" w:rsidRDefault="00DD650A" w:rsidP="00040097">
      <m:oMathPara>
        <m:oMath>
          <m:r>
            <w:rPr>
              <w:rFonts w:ascii="Cambria Math" w:hAnsi="Cambria Math"/>
            </w:rPr>
            <w:lastRenderedPageBreak/>
            <m:t>NPV=</m:t>
          </m:r>
          <m:f>
            <m:fPr>
              <m:ctrlPr>
                <w:rPr>
                  <w:rFonts w:ascii="Cambria Math" w:hAnsi="Cambria Math"/>
                  <w:i/>
                </w:rPr>
              </m:ctrlPr>
            </m:fPr>
            <m:num>
              <m:r>
                <w:rPr>
                  <w:rFonts w:ascii="Cambria Math" w:hAnsi="Cambria Math"/>
                </w:rPr>
                <m:t>10</m:t>
              </m:r>
            </m:num>
            <m:den>
              <m:r>
                <w:rPr>
                  <w:rFonts w:ascii="Cambria Math" w:hAnsi="Cambria Math"/>
                </w:rPr>
                <m:t>1.1</m:t>
              </m:r>
            </m:den>
          </m:f>
          <m:r>
            <w:rPr>
              <w:rFonts w:ascii="Cambria Math" w:hAnsi="Cambria Math"/>
            </w:rPr>
            <m:t>+</m:t>
          </m:r>
          <m:f>
            <m:fPr>
              <m:ctrlPr>
                <w:rPr>
                  <w:rFonts w:ascii="Cambria Math" w:hAnsi="Cambria Math"/>
                  <w:i/>
                </w:rPr>
              </m:ctrlPr>
            </m:fPr>
            <m:num>
              <m:r>
                <w:rPr>
                  <w:rFonts w:ascii="Cambria Math" w:hAnsi="Cambria Math"/>
                </w:rPr>
                <m:t>12</m:t>
              </m:r>
            </m:num>
            <m:den>
              <m:r>
                <w:rPr>
                  <w:rFonts w:ascii="Cambria Math" w:hAnsi="Cambria Math"/>
                </w:rPr>
                <m:t>1.21</m:t>
              </m:r>
            </m:den>
          </m:f>
          <m:r>
            <w:rPr>
              <w:rFonts w:ascii="Cambria Math" w:hAnsi="Cambria Math"/>
            </w:rPr>
            <m:t>+</m:t>
          </m:r>
          <m:f>
            <m:fPr>
              <m:ctrlPr>
                <w:rPr>
                  <w:rFonts w:ascii="Cambria Math" w:hAnsi="Cambria Math"/>
                  <w:i/>
                </w:rPr>
              </m:ctrlPr>
            </m:fPr>
            <m:num>
              <m:r>
                <w:rPr>
                  <w:rFonts w:ascii="Cambria Math" w:hAnsi="Cambria Math"/>
                </w:rPr>
                <m:t>14</m:t>
              </m:r>
            </m:num>
            <m:den>
              <m:r>
                <w:rPr>
                  <w:rFonts w:ascii="Cambria Math" w:hAnsi="Cambria Math"/>
                </w:rPr>
                <m:t>1.331</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1.4641</m:t>
              </m:r>
            </m:den>
          </m:f>
          <m:r>
            <w:rPr>
              <w:rFonts w:ascii="Cambria Math" w:hAnsi="Cambria Math"/>
            </w:rPr>
            <m:t>+</m:t>
          </m:r>
          <m:f>
            <m:fPr>
              <m:ctrlPr>
                <w:rPr>
                  <w:rFonts w:ascii="Cambria Math" w:hAnsi="Cambria Math"/>
                  <w:i/>
                </w:rPr>
              </m:ctrlPr>
            </m:fPr>
            <m:num>
              <m:r>
                <w:rPr>
                  <w:rFonts w:ascii="Cambria Math" w:hAnsi="Cambria Math"/>
                </w:rPr>
                <m:t>8</m:t>
              </m:r>
            </m:num>
            <m:den>
              <m:r>
                <w:rPr>
                  <w:rFonts w:ascii="Cambria Math" w:hAnsi="Cambria Math"/>
                </w:rPr>
                <m:t>1.61051</m:t>
              </m:r>
            </m:den>
          </m:f>
          <m:r>
            <w:rPr>
              <w:rFonts w:ascii="Cambria Math" w:hAnsi="Cambria Math"/>
            </w:rPr>
            <m:t>-40=1.33m</m:t>
          </m:r>
        </m:oMath>
      </m:oMathPara>
    </w:p>
    <w:p w14:paraId="33338203" w14:textId="77777777" w:rsidR="00DD650A" w:rsidRDefault="00DD650A" w:rsidP="00040097"/>
    <w:p w14:paraId="5A0F6CA1" w14:textId="77777777" w:rsidR="00DD650A" w:rsidRDefault="00DD650A" w:rsidP="001C3826"/>
    <w:p w14:paraId="1CC73787" w14:textId="77777777" w:rsidR="00DD650A" w:rsidRDefault="00DD650A" w:rsidP="001C3826">
      <w:r>
        <w:t>Project B: Initial Investment = £30m</w:t>
      </w:r>
    </w:p>
    <w:p w14:paraId="21AA041F" w14:textId="77777777" w:rsidR="00DD650A" w:rsidRDefault="00DD650A" w:rsidP="001C3826">
      <w:pPr>
        <w:ind w:left="720"/>
      </w:pPr>
      <w:r>
        <w:t>Net Cash Inflows = £6m, £6m, £6m, £6m, £6m</w:t>
      </w:r>
    </w:p>
    <w:p w14:paraId="126CD715" w14:textId="77777777" w:rsidR="00DD650A" w:rsidRDefault="00DD650A" w:rsidP="001C3826">
      <w:pPr>
        <w:ind w:left="720"/>
      </w:pPr>
      <w:r>
        <w:t>Discount Rate (r) = 10% or 0.10</w:t>
      </w:r>
    </w:p>
    <w:p w14:paraId="7483EE7B" w14:textId="77777777" w:rsidR="00DD650A" w:rsidRPr="00BA05C6" w:rsidRDefault="00DD650A" w:rsidP="0058164E">
      <m:oMathPara>
        <m:oMathParaPr>
          <m:jc m:val="left"/>
        </m:oMathParaPr>
        <m:oMath>
          <m:r>
            <w:rPr>
              <w:rFonts w:ascii="Cambria Math" w:hAnsi="Cambria Math"/>
            </w:rPr>
            <m:t>NPV=</m:t>
          </m:r>
          <m:f>
            <m:fPr>
              <m:ctrlPr>
                <w:rPr>
                  <w:rFonts w:ascii="Cambria Math" w:hAnsi="Cambria Math"/>
                  <w:i/>
                </w:rPr>
              </m:ctrlPr>
            </m:fPr>
            <m:num>
              <m:r>
                <w:rPr>
                  <w:rFonts w:ascii="Cambria Math" w:hAnsi="Cambria Math"/>
                </w:rPr>
                <m:t>6</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1</m:t>
                  </m:r>
                </m:sup>
              </m:sSup>
            </m:den>
          </m:f>
          <m:r>
            <w:rPr>
              <w:rFonts w:ascii="Cambria Math" w:hAnsi="Cambria Math"/>
            </w:rPr>
            <m:t>+</m:t>
          </m:r>
          <m:f>
            <m:fPr>
              <m:ctrlPr>
                <w:rPr>
                  <w:rFonts w:ascii="Cambria Math" w:hAnsi="Cambria Math"/>
                  <w:i/>
                </w:rPr>
              </m:ctrlPr>
            </m:fPr>
            <m:num>
              <m:r>
                <w:rPr>
                  <w:rFonts w:ascii="Cambria Math" w:hAnsi="Cambria Math"/>
                </w:rPr>
                <m:t>6</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6</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3</m:t>
                  </m:r>
                </m:sup>
              </m:sSup>
            </m:den>
          </m:f>
          <m:r>
            <w:rPr>
              <w:rFonts w:ascii="Cambria Math" w:hAnsi="Cambria Math"/>
            </w:rPr>
            <m:t>+</m:t>
          </m:r>
          <m:f>
            <m:fPr>
              <m:ctrlPr>
                <w:rPr>
                  <w:rFonts w:ascii="Cambria Math" w:hAnsi="Cambria Math"/>
                  <w:i/>
                </w:rPr>
              </m:ctrlPr>
            </m:fPr>
            <m:num>
              <m:r>
                <w:rPr>
                  <w:rFonts w:ascii="Cambria Math" w:hAnsi="Cambria Math"/>
                </w:rPr>
                <m:t>6</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4</m:t>
                  </m:r>
                </m:sup>
              </m:sSup>
            </m:den>
          </m:f>
          <m:r>
            <w:rPr>
              <w:rFonts w:ascii="Cambria Math" w:hAnsi="Cambria Math"/>
            </w:rPr>
            <m:t>+</m:t>
          </m:r>
          <m:f>
            <m:fPr>
              <m:ctrlPr>
                <w:rPr>
                  <w:rFonts w:ascii="Cambria Math" w:hAnsi="Cambria Math"/>
                  <w:i/>
                </w:rPr>
              </m:ctrlPr>
            </m:fPr>
            <m:num>
              <m:r>
                <w:rPr>
                  <w:rFonts w:ascii="Cambria Math" w:hAnsi="Cambria Math"/>
                </w:rPr>
                <m:t>6</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5</m:t>
                  </m:r>
                </m:sup>
              </m:sSup>
            </m:den>
          </m:f>
          <m:r>
            <w:rPr>
              <w:rFonts w:ascii="Cambria Math" w:hAnsi="Cambria Math"/>
            </w:rPr>
            <m:t>-30</m:t>
          </m:r>
        </m:oMath>
      </m:oMathPara>
    </w:p>
    <w:p w14:paraId="0460EB2F" w14:textId="77777777" w:rsidR="00DD650A" w:rsidRPr="00BA05C6" w:rsidRDefault="00DD650A" w:rsidP="0058164E">
      <m:oMathPara>
        <m:oMathParaPr>
          <m:jc m:val="left"/>
        </m:oMathParaPr>
        <m:oMath>
          <m:r>
            <w:rPr>
              <w:rFonts w:ascii="Cambria Math" w:hAnsi="Cambria Math"/>
            </w:rPr>
            <m:t>NPV=</m:t>
          </m:r>
          <m:f>
            <m:fPr>
              <m:ctrlPr>
                <w:rPr>
                  <w:rFonts w:ascii="Cambria Math" w:hAnsi="Cambria Math"/>
                  <w:i/>
                </w:rPr>
              </m:ctrlPr>
            </m:fPr>
            <m:num>
              <m:r>
                <w:rPr>
                  <w:rFonts w:ascii="Cambria Math" w:hAnsi="Cambria Math"/>
                </w:rPr>
                <m:t>6</m:t>
              </m:r>
            </m:num>
            <m:den>
              <m:r>
                <w:rPr>
                  <w:rFonts w:ascii="Cambria Math" w:hAnsi="Cambria Math"/>
                </w:rPr>
                <m:t>1.1</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1.21</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1.331</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1.4641</m:t>
              </m:r>
            </m:den>
          </m:f>
          <m:r>
            <w:rPr>
              <w:rFonts w:ascii="Cambria Math" w:hAnsi="Cambria Math"/>
            </w:rPr>
            <m:t>+</m:t>
          </m:r>
          <m:f>
            <m:fPr>
              <m:ctrlPr>
                <w:rPr>
                  <w:rFonts w:ascii="Cambria Math" w:hAnsi="Cambria Math"/>
                  <w:i/>
                </w:rPr>
              </m:ctrlPr>
            </m:fPr>
            <m:num>
              <m:r>
                <w:rPr>
                  <w:rFonts w:ascii="Cambria Math" w:hAnsi="Cambria Math"/>
                </w:rPr>
                <m:t>6</m:t>
              </m:r>
            </m:num>
            <m:den>
              <m:r>
                <w:rPr>
                  <w:rFonts w:ascii="Cambria Math" w:hAnsi="Cambria Math"/>
                </w:rPr>
                <m:t>1.61051</m:t>
              </m:r>
            </m:den>
          </m:f>
          <m:r>
            <w:rPr>
              <w:rFonts w:ascii="Cambria Math" w:hAnsi="Cambria Math"/>
            </w:rPr>
            <m:t>-30=7.25m</m:t>
          </m:r>
        </m:oMath>
      </m:oMathPara>
    </w:p>
    <w:p w14:paraId="152B1F5A" w14:textId="77777777" w:rsidR="00DD650A" w:rsidRDefault="00DD650A" w:rsidP="0058164E"/>
    <w:p w14:paraId="325E78CB" w14:textId="77777777" w:rsidR="00DD650A" w:rsidRDefault="00DD650A" w:rsidP="00BA05C6">
      <w:r>
        <w:t>Project C: Initial Investment = £50m</w:t>
      </w:r>
    </w:p>
    <w:p w14:paraId="6D4CC6F4" w14:textId="77777777" w:rsidR="00DD650A" w:rsidRDefault="00DD650A" w:rsidP="00BA05C6">
      <w:pPr>
        <w:ind w:left="720"/>
      </w:pPr>
      <w:r>
        <w:t>Net Cash Inflows = £5m, £10m, £20m, £25m, £15m</w:t>
      </w:r>
    </w:p>
    <w:p w14:paraId="35797C39" w14:textId="77777777" w:rsidR="00DD650A" w:rsidRDefault="00DD650A" w:rsidP="00BA05C6">
      <w:pPr>
        <w:ind w:left="720"/>
      </w:pPr>
      <w:r>
        <w:t>Discount Rate (r) = 10% or 0.10</w:t>
      </w:r>
    </w:p>
    <w:p w14:paraId="109F5AAC" w14:textId="77777777" w:rsidR="00DD650A" w:rsidRPr="007E2B2A" w:rsidRDefault="00DD650A" w:rsidP="00BA05C6">
      <m:oMathPara>
        <m:oMathParaPr>
          <m:jc m:val="left"/>
        </m:oMathParaPr>
        <m:oMath>
          <m:r>
            <w:rPr>
              <w:rFonts w:ascii="Cambria Math" w:hAnsi="Cambria Math"/>
            </w:rPr>
            <m:t>NPV=</m:t>
          </m:r>
          <m:f>
            <m:fPr>
              <m:ctrlPr>
                <w:rPr>
                  <w:rFonts w:ascii="Cambria Math" w:hAnsi="Cambria Math"/>
                  <w:i/>
                </w:rPr>
              </m:ctrlPr>
            </m:fPr>
            <m:num>
              <m:r>
                <w:rPr>
                  <w:rFonts w:ascii="Cambria Math" w:hAnsi="Cambria Math"/>
                </w:rPr>
                <m:t>5</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1</m:t>
                  </m:r>
                </m:sup>
              </m:sSup>
            </m:den>
          </m:f>
          <m:r>
            <w:rPr>
              <w:rFonts w:ascii="Cambria Math" w:hAnsi="Cambria Math"/>
            </w:rPr>
            <m:t>+</m:t>
          </m:r>
          <m:f>
            <m:fPr>
              <m:ctrlPr>
                <w:rPr>
                  <w:rFonts w:ascii="Cambria Math" w:hAnsi="Cambria Math"/>
                  <w:i/>
                </w:rPr>
              </m:ctrlPr>
            </m:fPr>
            <m:num>
              <m:r>
                <w:rPr>
                  <w:rFonts w:ascii="Cambria Math" w:hAnsi="Cambria Math"/>
                </w:rPr>
                <m:t>10</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20</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3</m:t>
                  </m:r>
                </m:sup>
              </m:sSup>
            </m:den>
          </m:f>
          <m:r>
            <w:rPr>
              <w:rFonts w:ascii="Cambria Math" w:hAnsi="Cambria Math"/>
            </w:rPr>
            <m:t>+</m:t>
          </m:r>
          <m:f>
            <m:fPr>
              <m:ctrlPr>
                <w:rPr>
                  <w:rFonts w:ascii="Cambria Math" w:hAnsi="Cambria Math"/>
                  <w:i/>
                </w:rPr>
              </m:ctrlPr>
            </m:fPr>
            <m:num>
              <m:r>
                <w:rPr>
                  <w:rFonts w:ascii="Cambria Math" w:hAnsi="Cambria Math"/>
                </w:rPr>
                <m:t>25</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4</m:t>
                  </m:r>
                </m:sup>
              </m:sSup>
            </m:den>
          </m:f>
          <m:r>
            <w:rPr>
              <w:rFonts w:ascii="Cambria Math" w:hAnsi="Cambria Math"/>
            </w:rPr>
            <m:t>+</m:t>
          </m:r>
          <m:f>
            <m:fPr>
              <m:ctrlPr>
                <w:rPr>
                  <w:rFonts w:ascii="Cambria Math" w:hAnsi="Cambria Math"/>
                  <w:i/>
                </w:rPr>
              </m:ctrlPr>
            </m:fPr>
            <m:num>
              <m:r>
                <w:rPr>
                  <w:rFonts w:ascii="Cambria Math" w:hAnsi="Cambria Math"/>
                </w:rPr>
                <m:t>15</m:t>
              </m:r>
            </m:num>
            <m:den>
              <m:sSup>
                <m:sSupPr>
                  <m:ctrlPr>
                    <w:rPr>
                      <w:rFonts w:ascii="Cambria Math" w:hAnsi="Cambria Math"/>
                      <w:i/>
                    </w:rPr>
                  </m:ctrlPr>
                </m:sSupPr>
                <m:e>
                  <m:d>
                    <m:dPr>
                      <m:ctrlPr>
                        <w:rPr>
                          <w:rFonts w:ascii="Cambria Math" w:hAnsi="Cambria Math"/>
                          <w:i/>
                        </w:rPr>
                      </m:ctrlPr>
                    </m:dPr>
                    <m:e>
                      <m:r>
                        <w:rPr>
                          <w:rFonts w:ascii="Cambria Math" w:hAnsi="Cambria Math"/>
                        </w:rPr>
                        <m:t>1=1.10</m:t>
                      </m:r>
                    </m:e>
                  </m:d>
                </m:e>
                <m:sup>
                  <m:r>
                    <w:rPr>
                      <w:rFonts w:ascii="Cambria Math" w:hAnsi="Cambria Math"/>
                    </w:rPr>
                    <m:t>5</m:t>
                  </m:r>
                </m:sup>
              </m:sSup>
            </m:den>
          </m:f>
          <m:r>
            <w:rPr>
              <w:rFonts w:ascii="Cambria Math" w:hAnsi="Cambria Math"/>
            </w:rPr>
            <m:t>-50</m:t>
          </m:r>
        </m:oMath>
      </m:oMathPara>
    </w:p>
    <w:p w14:paraId="4C66224B" w14:textId="77777777" w:rsidR="00DD650A" w:rsidRPr="007E2B2A" w:rsidRDefault="00DD650A" w:rsidP="00BA05C6">
      <m:oMathPara>
        <m:oMathParaPr>
          <m:jc m:val="left"/>
        </m:oMathParaPr>
        <m:oMath>
          <m:r>
            <w:rPr>
              <w:rFonts w:ascii="Cambria Math" w:hAnsi="Cambria Math"/>
            </w:rPr>
            <m:t>NPV=</m:t>
          </m:r>
          <m:f>
            <m:fPr>
              <m:ctrlPr>
                <w:rPr>
                  <w:rFonts w:ascii="Cambria Math" w:hAnsi="Cambria Math"/>
                  <w:i/>
                </w:rPr>
              </m:ctrlPr>
            </m:fPr>
            <m:num>
              <m:r>
                <w:rPr>
                  <w:rFonts w:ascii="Cambria Math" w:hAnsi="Cambria Math"/>
                </w:rPr>
                <m:t>5</m:t>
              </m:r>
            </m:num>
            <m:den>
              <m:r>
                <w:rPr>
                  <w:rFonts w:ascii="Cambria Math" w:hAnsi="Cambria Math"/>
                </w:rPr>
                <m:t>1.1</m:t>
              </m:r>
            </m:den>
          </m:f>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1.21</m:t>
              </m:r>
            </m:den>
          </m:f>
          <m:r>
            <w:rPr>
              <w:rFonts w:ascii="Cambria Math" w:hAnsi="Cambria Math"/>
            </w:rPr>
            <m:t>+</m:t>
          </m:r>
          <m:f>
            <m:fPr>
              <m:ctrlPr>
                <w:rPr>
                  <w:rFonts w:ascii="Cambria Math" w:hAnsi="Cambria Math"/>
                  <w:i/>
                </w:rPr>
              </m:ctrlPr>
            </m:fPr>
            <m:num>
              <m:r>
                <w:rPr>
                  <w:rFonts w:ascii="Cambria Math" w:hAnsi="Cambria Math"/>
                </w:rPr>
                <m:t>20</m:t>
              </m:r>
            </m:num>
            <m:den>
              <m:r>
                <w:rPr>
                  <w:rFonts w:ascii="Cambria Math" w:hAnsi="Cambria Math"/>
                </w:rPr>
                <m:t>1.331</m:t>
              </m:r>
            </m:den>
          </m:f>
          <m:r>
            <w:rPr>
              <w:rFonts w:ascii="Cambria Math" w:hAnsi="Cambria Math"/>
            </w:rPr>
            <m:t>+</m:t>
          </m:r>
          <m:f>
            <m:fPr>
              <m:ctrlPr>
                <w:rPr>
                  <w:rFonts w:ascii="Cambria Math" w:hAnsi="Cambria Math"/>
                  <w:i/>
                </w:rPr>
              </m:ctrlPr>
            </m:fPr>
            <m:num>
              <m:r>
                <w:rPr>
                  <w:rFonts w:ascii="Cambria Math" w:hAnsi="Cambria Math"/>
                </w:rPr>
                <m:t>25</m:t>
              </m:r>
            </m:num>
            <m:den>
              <m:r>
                <w:rPr>
                  <w:rFonts w:ascii="Cambria Math" w:hAnsi="Cambria Math"/>
                </w:rPr>
                <m:t>1.4641</m:t>
              </m:r>
            </m:den>
          </m:f>
          <m:r>
            <w:rPr>
              <w:rFonts w:ascii="Cambria Math" w:hAnsi="Cambria Math"/>
            </w:rPr>
            <m:t>+</m:t>
          </m:r>
          <m:f>
            <m:fPr>
              <m:ctrlPr>
                <w:rPr>
                  <w:rFonts w:ascii="Cambria Math" w:hAnsi="Cambria Math"/>
                  <w:i/>
                </w:rPr>
              </m:ctrlPr>
            </m:fPr>
            <m:num>
              <m:r>
                <w:rPr>
                  <w:rFonts w:ascii="Cambria Math" w:hAnsi="Cambria Math"/>
                </w:rPr>
                <m:t>15</m:t>
              </m:r>
            </m:num>
            <m:den>
              <m:r>
                <w:rPr>
                  <w:rFonts w:ascii="Cambria Math" w:hAnsi="Cambria Math"/>
                </w:rPr>
                <m:t>1.61051</m:t>
              </m:r>
            </m:den>
          </m:f>
          <m:r>
            <w:rPr>
              <w:rFonts w:ascii="Cambria Math" w:hAnsi="Cambria Math"/>
            </w:rPr>
            <m:t>-50=4.23m</m:t>
          </m:r>
        </m:oMath>
      </m:oMathPara>
    </w:p>
    <w:p w14:paraId="053E7EBA" w14:textId="77777777" w:rsidR="00DD650A" w:rsidRDefault="00DD650A" w:rsidP="00BA05C6"/>
    <w:p w14:paraId="49905320" w14:textId="77777777" w:rsidR="00DD650A" w:rsidRPr="007E2B2A" w:rsidRDefault="00DD650A" w:rsidP="00BA05C6">
      <w:pPr>
        <w:rPr>
          <w:b/>
          <w:bCs/>
        </w:rPr>
      </w:pPr>
      <w:r w:rsidRPr="007E2B2A">
        <w:rPr>
          <w:b/>
          <w:bCs/>
        </w:rPr>
        <w:t>Profitability Index (PI)</w:t>
      </w:r>
    </w:p>
    <w:p w14:paraId="40D1DD40" w14:textId="77777777" w:rsidR="00DD650A" w:rsidRPr="007E2B2A" w:rsidRDefault="00DD650A" w:rsidP="00BA05C6">
      <m:oMathPara>
        <m:oMath>
          <m:r>
            <w:rPr>
              <w:rFonts w:ascii="Cambria Math" w:hAnsi="Cambria Math"/>
            </w:rPr>
            <m:t>PI=</m:t>
          </m:r>
          <m:f>
            <m:fPr>
              <m:ctrlPr>
                <w:rPr>
                  <w:rFonts w:ascii="Cambria Math" w:hAnsi="Cambria Math"/>
                  <w:i/>
                </w:rPr>
              </m:ctrlPr>
            </m:fPr>
            <m:num>
              <m:r>
                <w:rPr>
                  <w:rFonts w:ascii="Cambria Math" w:hAnsi="Cambria Math"/>
                </w:rPr>
                <m:t>Present Value of Future Cash Inflows</m:t>
              </m:r>
            </m:num>
            <m:den>
              <m:r>
                <w:rPr>
                  <w:rFonts w:ascii="Cambria Math" w:hAnsi="Cambria Math"/>
                </w:rPr>
                <m:t>Initial Investment</m:t>
              </m:r>
            </m:den>
          </m:f>
        </m:oMath>
      </m:oMathPara>
    </w:p>
    <w:p w14:paraId="4E21A5EF" w14:textId="77777777" w:rsidR="00DD650A" w:rsidRDefault="00DD650A" w:rsidP="007E2B2A">
      <w:r>
        <w:t>Where:</w:t>
      </w:r>
    </w:p>
    <w:p w14:paraId="7BE798D0" w14:textId="77777777" w:rsidR="00DD650A" w:rsidRDefault="00DD650A" w:rsidP="00DD650A">
      <w:pPr>
        <w:pStyle w:val="ListParagraph"/>
        <w:numPr>
          <w:ilvl w:val="0"/>
          <w:numId w:val="3"/>
        </w:numPr>
      </w:pPr>
      <w:r>
        <w:t>Present Value of Future Cash Inflows is the sum of the discounted cash inflows over the project's life.</w:t>
      </w:r>
    </w:p>
    <w:p w14:paraId="7EDE5F57" w14:textId="77777777" w:rsidR="00DD650A" w:rsidRDefault="00DD650A" w:rsidP="00DD650A">
      <w:pPr>
        <w:pStyle w:val="ListParagraph"/>
        <w:numPr>
          <w:ilvl w:val="0"/>
          <w:numId w:val="3"/>
        </w:numPr>
      </w:pPr>
      <w:r>
        <w:t>Initial Investment is the upfront cost of the project.</w:t>
      </w:r>
    </w:p>
    <w:p w14:paraId="33FC8F82" w14:textId="77777777" w:rsidR="00DD650A" w:rsidRDefault="00DD650A" w:rsidP="007E2B2A">
      <w:r>
        <w:t>Project A: Initial Investment = £40m</w:t>
      </w:r>
    </w:p>
    <w:p w14:paraId="7B1A2E49" w14:textId="77777777" w:rsidR="00DD650A" w:rsidRDefault="00DD650A" w:rsidP="007E2B2A">
      <w:pPr>
        <w:ind w:left="720"/>
      </w:pPr>
      <w:r>
        <w:t>Net Cash Inflows = £10m, £12m, £14m, £10m, £8m</w:t>
      </w:r>
    </w:p>
    <w:p w14:paraId="366EB256" w14:textId="77777777" w:rsidR="00DD650A" w:rsidRDefault="00DD650A" w:rsidP="007E2B2A">
      <w:pPr>
        <w:ind w:left="720"/>
      </w:pPr>
      <w:r>
        <w:t>Discount Rate (r) = 10%</w:t>
      </w:r>
    </w:p>
    <w:p w14:paraId="4FBC64FC" w14:textId="77777777" w:rsidR="00DD650A" w:rsidRPr="007E2B2A" w:rsidRDefault="00DD650A" w:rsidP="007E2B2A">
      <m:oMathPara>
        <m:oMathParaPr>
          <m:jc m:val="left"/>
        </m:oMathParaPr>
        <m:oMath>
          <m:r>
            <w:rPr>
              <w:rFonts w:ascii="Cambria Math" w:hAnsi="Cambria Math"/>
            </w:rPr>
            <m:t>PI=</m:t>
          </m:r>
          <m:f>
            <m:fPr>
              <m:ctrlPr>
                <w:rPr>
                  <w:rFonts w:ascii="Cambria Math" w:hAnsi="Cambria Math"/>
                  <w:i/>
                </w:rPr>
              </m:ctrlPr>
            </m:fPr>
            <m:num>
              <m:r>
                <w:rPr>
                  <w:rFonts w:ascii="Cambria Math" w:hAnsi="Cambria Math"/>
                </w:rPr>
                <m:t>41.33</m:t>
              </m:r>
            </m:num>
            <m:den>
              <m:r>
                <w:rPr>
                  <w:rFonts w:ascii="Cambria Math" w:hAnsi="Cambria Math"/>
                </w:rPr>
                <m:t>40</m:t>
              </m:r>
            </m:den>
          </m:f>
          <m:r>
            <w:rPr>
              <w:rFonts w:ascii="Cambria Math" w:hAnsi="Cambria Math"/>
            </w:rPr>
            <m:t>=1.033</m:t>
          </m:r>
        </m:oMath>
      </m:oMathPara>
    </w:p>
    <w:p w14:paraId="097AE5ED" w14:textId="77777777" w:rsidR="00DD650A" w:rsidRDefault="00DD650A" w:rsidP="007E2B2A"/>
    <w:p w14:paraId="4AD3686C" w14:textId="77777777" w:rsidR="00DD650A" w:rsidRDefault="00DD650A" w:rsidP="007E2B2A">
      <w:r>
        <w:lastRenderedPageBreak/>
        <w:t>Project B: Initial Investment = £30m</w:t>
      </w:r>
    </w:p>
    <w:p w14:paraId="2B59E156" w14:textId="77777777" w:rsidR="00DD650A" w:rsidRDefault="00DD650A" w:rsidP="007E2B2A">
      <w:pPr>
        <w:ind w:left="720"/>
      </w:pPr>
      <w:r>
        <w:t>Net Cash Inflows = £6m, £6m, £6m, £6m, £6m</w:t>
      </w:r>
    </w:p>
    <w:p w14:paraId="32265B83" w14:textId="77777777" w:rsidR="00DD650A" w:rsidRDefault="00DD650A" w:rsidP="007E2B2A">
      <w:pPr>
        <w:ind w:left="720"/>
      </w:pPr>
      <w:r>
        <w:t>Discount Rate (r) = 10%</w:t>
      </w:r>
    </w:p>
    <w:p w14:paraId="04917E12" w14:textId="77777777" w:rsidR="00DD650A" w:rsidRPr="007E2B2A" w:rsidRDefault="00DD650A" w:rsidP="007E2B2A">
      <m:oMathPara>
        <m:oMathParaPr>
          <m:jc m:val="left"/>
        </m:oMathParaPr>
        <m:oMath>
          <m:r>
            <w:rPr>
              <w:rFonts w:ascii="Cambria Math" w:hAnsi="Cambria Math"/>
            </w:rPr>
            <m:t>PI=</m:t>
          </m:r>
          <m:f>
            <m:fPr>
              <m:ctrlPr>
                <w:rPr>
                  <w:rFonts w:ascii="Cambria Math" w:hAnsi="Cambria Math"/>
                  <w:i/>
                </w:rPr>
              </m:ctrlPr>
            </m:fPr>
            <m:num>
              <m:r>
                <w:rPr>
                  <w:rFonts w:ascii="Cambria Math" w:hAnsi="Cambria Math"/>
                </w:rPr>
                <m:t>22.75</m:t>
              </m:r>
            </m:num>
            <m:den>
              <m:r>
                <w:rPr>
                  <w:rFonts w:ascii="Cambria Math" w:hAnsi="Cambria Math"/>
                </w:rPr>
                <m:t>30</m:t>
              </m:r>
            </m:den>
          </m:f>
          <m:r>
            <w:rPr>
              <w:rFonts w:ascii="Cambria Math" w:hAnsi="Cambria Math"/>
            </w:rPr>
            <m:t>=0.758</m:t>
          </m:r>
        </m:oMath>
      </m:oMathPara>
    </w:p>
    <w:p w14:paraId="5C9E24F8" w14:textId="77777777" w:rsidR="00DD650A" w:rsidRDefault="00DD650A" w:rsidP="007E2B2A"/>
    <w:p w14:paraId="39FD3348" w14:textId="77777777" w:rsidR="00DD650A" w:rsidRDefault="00DD650A" w:rsidP="007E2B2A">
      <w:r>
        <w:t>Project C: Initial Investment = £50m</w:t>
      </w:r>
    </w:p>
    <w:p w14:paraId="41A52E4B" w14:textId="77777777" w:rsidR="00DD650A" w:rsidRDefault="00DD650A" w:rsidP="007E2B2A">
      <w:pPr>
        <w:ind w:left="720"/>
      </w:pPr>
      <w:r>
        <w:t>Net Cash Inflows = £5m, £10m, £20m, £25m, £15m</w:t>
      </w:r>
    </w:p>
    <w:p w14:paraId="78EDC49D" w14:textId="77777777" w:rsidR="00DD650A" w:rsidRDefault="00DD650A" w:rsidP="007E2B2A">
      <w:pPr>
        <w:ind w:left="720"/>
      </w:pPr>
      <w:r>
        <w:t>Discount Rate (r) = 10%</w:t>
      </w:r>
    </w:p>
    <w:p w14:paraId="549CC547" w14:textId="77777777" w:rsidR="00DD650A" w:rsidRPr="007E2B2A" w:rsidRDefault="00DD650A" w:rsidP="007E2B2A">
      <m:oMathPara>
        <m:oMathParaPr>
          <m:jc m:val="left"/>
        </m:oMathParaPr>
        <m:oMath>
          <m:r>
            <w:rPr>
              <w:rFonts w:ascii="Cambria Math" w:hAnsi="Cambria Math"/>
            </w:rPr>
            <m:t>PI=</m:t>
          </m:r>
          <m:f>
            <m:fPr>
              <m:ctrlPr>
                <w:rPr>
                  <w:rFonts w:ascii="Cambria Math" w:hAnsi="Cambria Math"/>
                  <w:i/>
                </w:rPr>
              </m:ctrlPr>
            </m:fPr>
            <m:num>
              <m:r>
                <w:rPr>
                  <w:rFonts w:ascii="Cambria Math" w:hAnsi="Cambria Math"/>
                </w:rPr>
                <m:t>54.23</m:t>
              </m:r>
            </m:num>
            <m:den>
              <m:r>
                <w:rPr>
                  <w:rFonts w:ascii="Cambria Math" w:hAnsi="Cambria Math"/>
                </w:rPr>
                <m:t>50</m:t>
              </m:r>
            </m:den>
          </m:f>
          <m:r>
            <w:rPr>
              <w:rFonts w:ascii="Cambria Math" w:hAnsi="Cambria Math"/>
            </w:rPr>
            <m:t>=1.085</m:t>
          </m:r>
        </m:oMath>
      </m:oMathPara>
    </w:p>
    <w:p w14:paraId="1D491394" w14:textId="77777777" w:rsidR="00DD650A" w:rsidRDefault="00DD650A" w:rsidP="007E2B2A"/>
    <w:p w14:paraId="1780E5FE" w14:textId="77777777" w:rsidR="00DD650A" w:rsidRPr="001F1F4D" w:rsidRDefault="00DD650A" w:rsidP="007E2B2A">
      <w:pPr>
        <w:rPr>
          <w:b/>
          <w:bCs/>
        </w:rPr>
      </w:pPr>
      <w:r w:rsidRPr="001F1F4D">
        <w:rPr>
          <w:b/>
          <w:bCs/>
        </w:rPr>
        <w:t>Internal Rate of Return (IRR)</w:t>
      </w:r>
    </w:p>
    <w:p w14:paraId="4703F0DA" w14:textId="77777777" w:rsidR="00DD650A" w:rsidRPr="001F1F4D" w:rsidRDefault="00DD650A" w:rsidP="007E2B2A">
      <m:oMathPara>
        <m:oMath>
          <m:r>
            <w:rPr>
              <w:rFonts w:ascii="Cambria Math" w:hAnsi="Cambria Math"/>
            </w:rPr>
            <m:t>0=</m:t>
          </m:r>
          <m:nary>
            <m:naryPr>
              <m:chr m:val="∑"/>
              <m:limLoc m:val="undOvr"/>
              <m:subHide m:val="1"/>
              <m:supHide m:val="1"/>
              <m:ctrlPr>
                <w:rPr>
                  <w:rFonts w:ascii="Cambria Math" w:hAnsi="Cambria Math"/>
                  <w:i/>
                </w:rPr>
              </m:ctrlPr>
            </m:naryPr>
            <m:sub/>
            <m:sup/>
            <m:e>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1+IRR</m:t>
                          </m:r>
                        </m:e>
                      </m:d>
                    </m:e>
                    <m:sup>
                      <m:r>
                        <w:rPr>
                          <w:rFonts w:ascii="Cambria Math" w:hAnsi="Cambria Math"/>
                        </w:rPr>
                        <m:t>t</m:t>
                      </m:r>
                    </m:sup>
                  </m:sSup>
                </m:den>
              </m:f>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0</m:t>
                  </m:r>
                </m:sub>
              </m:sSub>
            </m:e>
          </m:nary>
        </m:oMath>
      </m:oMathPara>
    </w:p>
    <w:p w14:paraId="7D3BC225" w14:textId="77777777" w:rsidR="00DD650A" w:rsidRDefault="00DD650A" w:rsidP="007F3852">
      <w:r>
        <w:t>Where:</w:t>
      </w:r>
    </w:p>
    <w:p w14:paraId="7893F54E" w14:textId="77777777" w:rsidR="00DD650A" w:rsidRDefault="00000000" w:rsidP="007F3852">
      <m:oMath>
        <m:sSub>
          <m:sSubPr>
            <m:ctrlPr>
              <w:rPr>
                <w:rFonts w:ascii="Cambria Math" w:hAnsi="Cambria Math"/>
                <w:i/>
              </w:rPr>
            </m:ctrlPr>
          </m:sSubPr>
          <m:e>
            <m:r>
              <w:rPr>
                <w:rFonts w:ascii="Cambria Math" w:hAnsi="Cambria Math"/>
              </w:rPr>
              <m:t>C</m:t>
            </m:r>
          </m:e>
          <m:sub>
            <m:r>
              <w:rPr>
                <w:rFonts w:ascii="Cambria Math" w:hAnsi="Cambria Math"/>
              </w:rPr>
              <m:t>t</m:t>
            </m:r>
          </m:sub>
        </m:sSub>
      </m:oMath>
      <w:r w:rsidR="00DD650A">
        <w:t xml:space="preserve"> = Cash inflows in year </w:t>
      </w:r>
      <w:r w:rsidR="00DD650A">
        <w:rPr>
          <w:rFonts w:ascii="Cambria Math" w:hAnsi="Cambria Math" w:cs="Cambria Math"/>
        </w:rPr>
        <w:t>𝑡</w:t>
      </w:r>
    </w:p>
    <w:p w14:paraId="5F36B8E1" w14:textId="77777777" w:rsidR="00DD650A" w:rsidRDefault="00DD650A" w:rsidP="007F3852">
      <w:r>
        <w:t xml:space="preserve">IRR = Internal Rate of Return </w:t>
      </w:r>
    </w:p>
    <w:p w14:paraId="515F8034" w14:textId="77777777" w:rsidR="00DD650A" w:rsidRDefault="00DD650A" w:rsidP="007F3852">
      <w:r>
        <w:rPr>
          <w:rFonts w:ascii="Cambria Math" w:hAnsi="Cambria Math" w:cs="Cambria Math"/>
        </w:rPr>
        <w:t>𝑡</w:t>
      </w:r>
      <w:r>
        <w:t>= Year (1 to 5)</w:t>
      </w:r>
    </w:p>
    <w:p w14:paraId="57C63D61" w14:textId="77777777" w:rsidR="00DD650A" w:rsidRDefault="00000000" w:rsidP="007F3852">
      <m:oMath>
        <m:sSub>
          <m:sSubPr>
            <m:ctrlPr>
              <w:rPr>
                <w:rFonts w:ascii="Cambria Math" w:hAnsi="Cambria Math"/>
                <w:i/>
              </w:rPr>
            </m:ctrlPr>
          </m:sSubPr>
          <m:e>
            <m:r>
              <w:rPr>
                <w:rFonts w:ascii="Cambria Math" w:hAnsi="Cambria Math"/>
              </w:rPr>
              <m:t>I</m:t>
            </m:r>
          </m:e>
          <m:sub>
            <m:r>
              <w:rPr>
                <w:rFonts w:ascii="Cambria Math" w:hAnsi="Cambria Math"/>
              </w:rPr>
              <m:t>0</m:t>
            </m:r>
          </m:sub>
        </m:sSub>
      </m:oMath>
      <w:r w:rsidR="00DD650A">
        <w:t xml:space="preserve"> = Initial investment</w:t>
      </w:r>
    </w:p>
    <w:tbl>
      <w:tblPr>
        <w:tblStyle w:val="TableGrid"/>
        <w:tblW w:w="11160" w:type="dxa"/>
        <w:tblInd w:w="-815" w:type="dxa"/>
        <w:tblLook w:val="04A0" w:firstRow="1" w:lastRow="0" w:firstColumn="1" w:lastColumn="0" w:noHBand="0" w:noVBand="1"/>
      </w:tblPr>
      <w:tblGrid>
        <w:gridCol w:w="670"/>
        <w:gridCol w:w="1087"/>
        <w:gridCol w:w="878"/>
        <w:gridCol w:w="709"/>
        <w:gridCol w:w="709"/>
        <w:gridCol w:w="826"/>
        <w:gridCol w:w="800"/>
        <w:gridCol w:w="870"/>
        <w:gridCol w:w="975"/>
        <w:gridCol w:w="858"/>
        <w:gridCol w:w="545"/>
        <w:gridCol w:w="712"/>
        <w:gridCol w:w="768"/>
        <w:gridCol w:w="753"/>
      </w:tblGrid>
      <w:tr w:rsidR="00DD650A" w14:paraId="0A48DEEB" w14:textId="77777777" w:rsidTr="00931B79">
        <w:tc>
          <w:tcPr>
            <w:tcW w:w="613" w:type="dxa"/>
          </w:tcPr>
          <w:p w14:paraId="6B2DA10E" w14:textId="77777777" w:rsidR="00DD650A" w:rsidRPr="00931B79" w:rsidRDefault="00DD650A" w:rsidP="005A1EA8">
            <w:pPr>
              <w:jc w:val="center"/>
              <w:rPr>
                <w:sz w:val="16"/>
                <w:szCs w:val="16"/>
              </w:rPr>
            </w:pPr>
            <w:r w:rsidRPr="00931B79">
              <w:rPr>
                <w:sz w:val="16"/>
                <w:szCs w:val="16"/>
              </w:rPr>
              <w:t>Project</w:t>
            </w:r>
          </w:p>
        </w:tc>
        <w:tc>
          <w:tcPr>
            <w:tcW w:w="1097" w:type="dxa"/>
          </w:tcPr>
          <w:p w14:paraId="508888BA" w14:textId="77777777" w:rsidR="00DD650A" w:rsidRPr="00931B79" w:rsidRDefault="00DD650A" w:rsidP="005A1EA8">
            <w:pPr>
              <w:jc w:val="center"/>
              <w:rPr>
                <w:sz w:val="16"/>
                <w:szCs w:val="16"/>
              </w:rPr>
            </w:pPr>
            <w:r w:rsidRPr="00931B79">
              <w:rPr>
                <w:sz w:val="16"/>
                <w:szCs w:val="16"/>
              </w:rPr>
              <w:t>Initial Investment (£m)</w:t>
            </w:r>
          </w:p>
        </w:tc>
        <w:tc>
          <w:tcPr>
            <w:tcW w:w="900" w:type="dxa"/>
          </w:tcPr>
          <w:p w14:paraId="20F21E1D" w14:textId="77777777" w:rsidR="00DD650A" w:rsidRPr="00931B79" w:rsidRDefault="00DD650A" w:rsidP="005A1EA8">
            <w:pPr>
              <w:jc w:val="center"/>
              <w:rPr>
                <w:sz w:val="16"/>
                <w:szCs w:val="16"/>
              </w:rPr>
            </w:pPr>
            <w:r w:rsidRPr="00931B79">
              <w:rPr>
                <w:sz w:val="16"/>
                <w:szCs w:val="16"/>
              </w:rPr>
              <w:t>Year 1 CI (£m)</w:t>
            </w:r>
          </w:p>
        </w:tc>
        <w:tc>
          <w:tcPr>
            <w:tcW w:w="720" w:type="dxa"/>
          </w:tcPr>
          <w:p w14:paraId="037A1083" w14:textId="77777777" w:rsidR="00DD650A" w:rsidRPr="00931B79" w:rsidRDefault="00DD650A" w:rsidP="005A1EA8">
            <w:pPr>
              <w:jc w:val="center"/>
              <w:rPr>
                <w:sz w:val="16"/>
                <w:szCs w:val="16"/>
              </w:rPr>
            </w:pPr>
            <w:r w:rsidRPr="00931B79">
              <w:rPr>
                <w:sz w:val="16"/>
                <w:szCs w:val="16"/>
              </w:rPr>
              <w:t>Year 2 CI (£m)</w:t>
            </w:r>
          </w:p>
        </w:tc>
        <w:tc>
          <w:tcPr>
            <w:tcW w:w="720" w:type="dxa"/>
          </w:tcPr>
          <w:p w14:paraId="7CD81A1F" w14:textId="77777777" w:rsidR="00DD650A" w:rsidRPr="00931B79" w:rsidRDefault="00DD650A" w:rsidP="005A1EA8">
            <w:pPr>
              <w:jc w:val="center"/>
              <w:rPr>
                <w:sz w:val="16"/>
                <w:szCs w:val="16"/>
              </w:rPr>
            </w:pPr>
            <w:r w:rsidRPr="00931B79">
              <w:rPr>
                <w:sz w:val="16"/>
                <w:szCs w:val="16"/>
              </w:rPr>
              <w:t>Year 3 CI (£m)</w:t>
            </w:r>
          </w:p>
        </w:tc>
        <w:tc>
          <w:tcPr>
            <w:tcW w:w="835" w:type="dxa"/>
          </w:tcPr>
          <w:p w14:paraId="096F21BC" w14:textId="77777777" w:rsidR="00DD650A" w:rsidRPr="00931B79" w:rsidRDefault="00DD650A" w:rsidP="005A1EA8">
            <w:pPr>
              <w:jc w:val="center"/>
              <w:rPr>
                <w:sz w:val="16"/>
                <w:szCs w:val="16"/>
              </w:rPr>
            </w:pPr>
            <w:r w:rsidRPr="00931B79">
              <w:rPr>
                <w:sz w:val="16"/>
                <w:szCs w:val="16"/>
              </w:rPr>
              <w:t>Year 4 CI(£m)</w:t>
            </w:r>
          </w:p>
        </w:tc>
        <w:tc>
          <w:tcPr>
            <w:tcW w:w="817" w:type="dxa"/>
          </w:tcPr>
          <w:p w14:paraId="076DD030" w14:textId="77777777" w:rsidR="00DD650A" w:rsidRPr="00931B79" w:rsidRDefault="00DD650A" w:rsidP="005A1EA8">
            <w:pPr>
              <w:jc w:val="center"/>
              <w:rPr>
                <w:sz w:val="16"/>
                <w:szCs w:val="16"/>
              </w:rPr>
            </w:pPr>
            <w:r w:rsidRPr="00931B79">
              <w:rPr>
                <w:sz w:val="16"/>
                <w:szCs w:val="16"/>
              </w:rPr>
              <w:t>Year 5 CI (£m)</w:t>
            </w:r>
          </w:p>
        </w:tc>
        <w:tc>
          <w:tcPr>
            <w:tcW w:w="890" w:type="dxa"/>
          </w:tcPr>
          <w:p w14:paraId="1AD87F55" w14:textId="77777777" w:rsidR="00DD650A" w:rsidRPr="00931B79" w:rsidRDefault="00DD650A" w:rsidP="005A1EA8">
            <w:pPr>
              <w:jc w:val="center"/>
              <w:rPr>
                <w:sz w:val="16"/>
                <w:szCs w:val="16"/>
              </w:rPr>
            </w:pPr>
            <w:r w:rsidRPr="00931B79">
              <w:rPr>
                <w:sz w:val="16"/>
                <w:szCs w:val="16"/>
              </w:rPr>
              <w:t>Total CI (£m)</w:t>
            </w:r>
          </w:p>
        </w:tc>
        <w:tc>
          <w:tcPr>
            <w:tcW w:w="978" w:type="dxa"/>
          </w:tcPr>
          <w:p w14:paraId="7E9994B3" w14:textId="77777777" w:rsidR="00DD650A" w:rsidRPr="00931B79" w:rsidRDefault="00DD650A" w:rsidP="005A1EA8">
            <w:pPr>
              <w:jc w:val="center"/>
              <w:rPr>
                <w:sz w:val="16"/>
                <w:szCs w:val="16"/>
              </w:rPr>
            </w:pPr>
            <w:r w:rsidRPr="00931B79">
              <w:rPr>
                <w:sz w:val="16"/>
                <w:szCs w:val="16"/>
              </w:rPr>
              <w:t>AACI(£m)</w:t>
            </w:r>
          </w:p>
        </w:tc>
        <w:tc>
          <w:tcPr>
            <w:tcW w:w="805" w:type="dxa"/>
          </w:tcPr>
          <w:p w14:paraId="64EA9967" w14:textId="77777777" w:rsidR="00DD650A" w:rsidRPr="00931B79" w:rsidRDefault="00DD650A" w:rsidP="005A1EA8">
            <w:pPr>
              <w:jc w:val="center"/>
              <w:rPr>
                <w:sz w:val="16"/>
                <w:szCs w:val="16"/>
              </w:rPr>
            </w:pPr>
            <w:r w:rsidRPr="00931B79">
              <w:rPr>
                <w:sz w:val="16"/>
                <w:szCs w:val="16"/>
              </w:rPr>
              <w:t>PP(Years)</w:t>
            </w:r>
          </w:p>
        </w:tc>
        <w:tc>
          <w:tcPr>
            <w:tcW w:w="539" w:type="dxa"/>
          </w:tcPr>
          <w:p w14:paraId="170BE05C" w14:textId="77777777" w:rsidR="00DD650A" w:rsidRPr="00931B79" w:rsidRDefault="00DD650A" w:rsidP="005A1EA8">
            <w:pPr>
              <w:jc w:val="center"/>
              <w:rPr>
                <w:sz w:val="16"/>
                <w:szCs w:val="16"/>
              </w:rPr>
            </w:pPr>
            <w:r w:rsidRPr="00931B79">
              <w:rPr>
                <w:sz w:val="16"/>
                <w:szCs w:val="16"/>
              </w:rPr>
              <w:t>ARR (%)</w:t>
            </w:r>
          </w:p>
        </w:tc>
        <w:tc>
          <w:tcPr>
            <w:tcW w:w="719" w:type="dxa"/>
          </w:tcPr>
          <w:p w14:paraId="3DAAD807" w14:textId="77777777" w:rsidR="00DD650A" w:rsidRPr="00931B79" w:rsidRDefault="00DD650A" w:rsidP="005A1EA8">
            <w:pPr>
              <w:jc w:val="center"/>
              <w:rPr>
                <w:sz w:val="16"/>
                <w:szCs w:val="16"/>
              </w:rPr>
            </w:pPr>
            <w:r w:rsidRPr="00931B79">
              <w:rPr>
                <w:sz w:val="16"/>
                <w:szCs w:val="16"/>
              </w:rPr>
              <w:t>NPV (£m)</w:t>
            </w:r>
          </w:p>
        </w:tc>
        <w:tc>
          <w:tcPr>
            <w:tcW w:w="771" w:type="dxa"/>
          </w:tcPr>
          <w:p w14:paraId="5E2E5DA2" w14:textId="77777777" w:rsidR="00DD650A" w:rsidRPr="00931B79" w:rsidRDefault="00DD650A" w:rsidP="005A1EA8">
            <w:pPr>
              <w:jc w:val="center"/>
              <w:rPr>
                <w:sz w:val="16"/>
                <w:szCs w:val="16"/>
              </w:rPr>
            </w:pPr>
            <w:r w:rsidRPr="00931B79">
              <w:rPr>
                <w:sz w:val="16"/>
                <w:szCs w:val="16"/>
              </w:rPr>
              <w:t>PI</w:t>
            </w:r>
          </w:p>
        </w:tc>
        <w:tc>
          <w:tcPr>
            <w:tcW w:w="756" w:type="dxa"/>
          </w:tcPr>
          <w:p w14:paraId="33CAE891" w14:textId="77777777" w:rsidR="00DD650A" w:rsidRPr="00931B79" w:rsidRDefault="00DD650A" w:rsidP="005A1EA8">
            <w:pPr>
              <w:jc w:val="center"/>
              <w:rPr>
                <w:sz w:val="16"/>
                <w:szCs w:val="16"/>
              </w:rPr>
            </w:pPr>
            <w:r w:rsidRPr="00931B79">
              <w:rPr>
                <w:sz w:val="16"/>
                <w:szCs w:val="16"/>
              </w:rPr>
              <w:t>IRR (%)</w:t>
            </w:r>
          </w:p>
        </w:tc>
      </w:tr>
      <w:tr w:rsidR="00DD650A" w14:paraId="1A37F7C7" w14:textId="77777777" w:rsidTr="00931B79">
        <w:tc>
          <w:tcPr>
            <w:tcW w:w="613" w:type="dxa"/>
          </w:tcPr>
          <w:p w14:paraId="289C817D" w14:textId="77777777" w:rsidR="00DD650A" w:rsidRPr="00931B79" w:rsidRDefault="00DD650A" w:rsidP="005A1EA8">
            <w:pPr>
              <w:jc w:val="center"/>
              <w:rPr>
                <w:sz w:val="22"/>
                <w:szCs w:val="22"/>
              </w:rPr>
            </w:pPr>
            <w:r w:rsidRPr="00931B79">
              <w:rPr>
                <w:sz w:val="22"/>
                <w:szCs w:val="22"/>
              </w:rPr>
              <w:t>A</w:t>
            </w:r>
          </w:p>
        </w:tc>
        <w:tc>
          <w:tcPr>
            <w:tcW w:w="1097" w:type="dxa"/>
          </w:tcPr>
          <w:p w14:paraId="17206105" w14:textId="77777777" w:rsidR="00DD650A" w:rsidRPr="00931B79" w:rsidRDefault="00DD650A" w:rsidP="005A1EA8">
            <w:pPr>
              <w:jc w:val="center"/>
              <w:rPr>
                <w:sz w:val="22"/>
                <w:szCs w:val="22"/>
              </w:rPr>
            </w:pPr>
            <w:r w:rsidRPr="00931B79">
              <w:rPr>
                <w:sz w:val="22"/>
                <w:szCs w:val="22"/>
              </w:rPr>
              <w:t>40</w:t>
            </w:r>
          </w:p>
        </w:tc>
        <w:tc>
          <w:tcPr>
            <w:tcW w:w="900" w:type="dxa"/>
          </w:tcPr>
          <w:p w14:paraId="5036B0AB" w14:textId="77777777" w:rsidR="00DD650A" w:rsidRPr="00931B79" w:rsidRDefault="00DD650A" w:rsidP="005A1EA8">
            <w:pPr>
              <w:jc w:val="center"/>
              <w:rPr>
                <w:sz w:val="22"/>
                <w:szCs w:val="22"/>
              </w:rPr>
            </w:pPr>
            <w:r w:rsidRPr="00931B79">
              <w:rPr>
                <w:sz w:val="22"/>
                <w:szCs w:val="22"/>
              </w:rPr>
              <w:t>10</w:t>
            </w:r>
          </w:p>
        </w:tc>
        <w:tc>
          <w:tcPr>
            <w:tcW w:w="720" w:type="dxa"/>
          </w:tcPr>
          <w:p w14:paraId="5D245E45" w14:textId="77777777" w:rsidR="00DD650A" w:rsidRPr="00931B79" w:rsidRDefault="00DD650A" w:rsidP="005A1EA8">
            <w:pPr>
              <w:jc w:val="center"/>
              <w:rPr>
                <w:sz w:val="22"/>
                <w:szCs w:val="22"/>
              </w:rPr>
            </w:pPr>
            <w:r w:rsidRPr="00931B79">
              <w:rPr>
                <w:sz w:val="22"/>
                <w:szCs w:val="22"/>
              </w:rPr>
              <w:t>12</w:t>
            </w:r>
          </w:p>
        </w:tc>
        <w:tc>
          <w:tcPr>
            <w:tcW w:w="720" w:type="dxa"/>
          </w:tcPr>
          <w:p w14:paraId="57416836" w14:textId="77777777" w:rsidR="00DD650A" w:rsidRPr="00931B79" w:rsidRDefault="00DD650A" w:rsidP="005A1EA8">
            <w:pPr>
              <w:jc w:val="center"/>
              <w:rPr>
                <w:sz w:val="22"/>
                <w:szCs w:val="22"/>
              </w:rPr>
            </w:pPr>
            <w:r w:rsidRPr="00931B79">
              <w:rPr>
                <w:sz w:val="22"/>
                <w:szCs w:val="22"/>
              </w:rPr>
              <w:t>14</w:t>
            </w:r>
          </w:p>
        </w:tc>
        <w:tc>
          <w:tcPr>
            <w:tcW w:w="835" w:type="dxa"/>
          </w:tcPr>
          <w:p w14:paraId="0347D615" w14:textId="77777777" w:rsidR="00DD650A" w:rsidRPr="00931B79" w:rsidRDefault="00DD650A" w:rsidP="005A1EA8">
            <w:pPr>
              <w:jc w:val="center"/>
              <w:rPr>
                <w:sz w:val="22"/>
                <w:szCs w:val="22"/>
              </w:rPr>
            </w:pPr>
            <w:r w:rsidRPr="00931B79">
              <w:rPr>
                <w:sz w:val="22"/>
                <w:szCs w:val="22"/>
              </w:rPr>
              <w:t>10</w:t>
            </w:r>
          </w:p>
        </w:tc>
        <w:tc>
          <w:tcPr>
            <w:tcW w:w="817" w:type="dxa"/>
          </w:tcPr>
          <w:p w14:paraId="75EC9DC5" w14:textId="77777777" w:rsidR="00DD650A" w:rsidRPr="00931B79" w:rsidRDefault="00DD650A" w:rsidP="005A1EA8">
            <w:pPr>
              <w:jc w:val="center"/>
              <w:rPr>
                <w:sz w:val="22"/>
                <w:szCs w:val="22"/>
              </w:rPr>
            </w:pPr>
            <w:r w:rsidRPr="00931B79">
              <w:rPr>
                <w:sz w:val="22"/>
                <w:szCs w:val="22"/>
              </w:rPr>
              <w:t>8</w:t>
            </w:r>
          </w:p>
        </w:tc>
        <w:tc>
          <w:tcPr>
            <w:tcW w:w="890" w:type="dxa"/>
          </w:tcPr>
          <w:p w14:paraId="116D8CFA" w14:textId="77777777" w:rsidR="00DD650A" w:rsidRPr="00931B79" w:rsidRDefault="00DD650A" w:rsidP="005A1EA8">
            <w:pPr>
              <w:jc w:val="center"/>
              <w:rPr>
                <w:sz w:val="22"/>
                <w:szCs w:val="22"/>
              </w:rPr>
            </w:pPr>
            <w:r w:rsidRPr="00931B79">
              <w:rPr>
                <w:sz w:val="22"/>
                <w:szCs w:val="22"/>
              </w:rPr>
              <w:t>54</w:t>
            </w:r>
          </w:p>
        </w:tc>
        <w:tc>
          <w:tcPr>
            <w:tcW w:w="978" w:type="dxa"/>
          </w:tcPr>
          <w:p w14:paraId="32C60759" w14:textId="77777777" w:rsidR="00DD650A" w:rsidRPr="00931B79" w:rsidRDefault="00DD650A" w:rsidP="005A1EA8">
            <w:pPr>
              <w:jc w:val="center"/>
              <w:rPr>
                <w:sz w:val="22"/>
                <w:szCs w:val="22"/>
              </w:rPr>
            </w:pPr>
            <w:r w:rsidRPr="00931B79">
              <w:rPr>
                <w:sz w:val="22"/>
                <w:szCs w:val="22"/>
              </w:rPr>
              <w:t>10.8</w:t>
            </w:r>
          </w:p>
        </w:tc>
        <w:tc>
          <w:tcPr>
            <w:tcW w:w="805" w:type="dxa"/>
          </w:tcPr>
          <w:p w14:paraId="7214A178" w14:textId="77777777" w:rsidR="00DD650A" w:rsidRPr="00931B79" w:rsidRDefault="00DD650A" w:rsidP="005A1EA8">
            <w:pPr>
              <w:jc w:val="center"/>
              <w:rPr>
                <w:sz w:val="22"/>
                <w:szCs w:val="22"/>
              </w:rPr>
            </w:pPr>
            <w:r w:rsidRPr="00931B79">
              <w:rPr>
                <w:sz w:val="22"/>
                <w:szCs w:val="22"/>
              </w:rPr>
              <w:t>3.4</w:t>
            </w:r>
          </w:p>
        </w:tc>
        <w:tc>
          <w:tcPr>
            <w:tcW w:w="539" w:type="dxa"/>
          </w:tcPr>
          <w:p w14:paraId="1C836504" w14:textId="77777777" w:rsidR="00DD650A" w:rsidRPr="00931B79" w:rsidRDefault="00DD650A" w:rsidP="005A1EA8">
            <w:pPr>
              <w:jc w:val="center"/>
              <w:rPr>
                <w:sz w:val="22"/>
                <w:szCs w:val="22"/>
              </w:rPr>
            </w:pPr>
            <w:r w:rsidRPr="00931B79">
              <w:rPr>
                <w:sz w:val="22"/>
                <w:szCs w:val="22"/>
              </w:rPr>
              <w:t>27</w:t>
            </w:r>
          </w:p>
        </w:tc>
        <w:tc>
          <w:tcPr>
            <w:tcW w:w="719" w:type="dxa"/>
          </w:tcPr>
          <w:p w14:paraId="77C71DFF" w14:textId="77777777" w:rsidR="00DD650A" w:rsidRPr="00931B79" w:rsidRDefault="00DD650A" w:rsidP="005A1EA8">
            <w:pPr>
              <w:jc w:val="center"/>
              <w:rPr>
                <w:sz w:val="22"/>
                <w:szCs w:val="22"/>
              </w:rPr>
            </w:pPr>
            <w:r w:rsidRPr="00931B79">
              <w:rPr>
                <w:sz w:val="22"/>
                <w:szCs w:val="22"/>
              </w:rPr>
              <w:t>1.33</w:t>
            </w:r>
          </w:p>
        </w:tc>
        <w:tc>
          <w:tcPr>
            <w:tcW w:w="771" w:type="dxa"/>
          </w:tcPr>
          <w:p w14:paraId="2CD6ADC8" w14:textId="77777777" w:rsidR="00DD650A" w:rsidRPr="00931B79" w:rsidRDefault="00DD650A" w:rsidP="005A1EA8">
            <w:pPr>
              <w:jc w:val="center"/>
              <w:rPr>
                <w:sz w:val="22"/>
                <w:szCs w:val="22"/>
              </w:rPr>
            </w:pPr>
            <w:r w:rsidRPr="00931B79">
              <w:rPr>
                <w:sz w:val="22"/>
                <w:szCs w:val="22"/>
              </w:rPr>
              <w:t>1.033</w:t>
            </w:r>
          </w:p>
        </w:tc>
        <w:tc>
          <w:tcPr>
            <w:tcW w:w="756" w:type="dxa"/>
          </w:tcPr>
          <w:p w14:paraId="42D5AC18" w14:textId="77777777" w:rsidR="00DD650A" w:rsidRPr="00931B79" w:rsidRDefault="00DD650A" w:rsidP="005A1EA8">
            <w:pPr>
              <w:jc w:val="center"/>
              <w:rPr>
                <w:sz w:val="22"/>
                <w:szCs w:val="22"/>
              </w:rPr>
            </w:pPr>
            <w:r w:rsidRPr="00931B79">
              <w:rPr>
                <w:sz w:val="22"/>
                <w:szCs w:val="22"/>
              </w:rPr>
              <w:t>11.33</w:t>
            </w:r>
          </w:p>
        </w:tc>
      </w:tr>
      <w:tr w:rsidR="00DD650A" w14:paraId="0B32A5B3" w14:textId="77777777" w:rsidTr="00931B79">
        <w:tc>
          <w:tcPr>
            <w:tcW w:w="613" w:type="dxa"/>
          </w:tcPr>
          <w:p w14:paraId="702945B6" w14:textId="77777777" w:rsidR="00DD650A" w:rsidRPr="00931B79" w:rsidRDefault="00DD650A" w:rsidP="005A1EA8">
            <w:pPr>
              <w:jc w:val="center"/>
              <w:rPr>
                <w:sz w:val="22"/>
                <w:szCs w:val="22"/>
              </w:rPr>
            </w:pPr>
            <w:r w:rsidRPr="00931B79">
              <w:rPr>
                <w:sz w:val="22"/>
                <w:szCs w:val="22"/>
              </w:rPr>
              <w:t>B</w:t>
            </w:r>
          </w:p>
        </w:tc>
        <w:tc>
          <w:tcPr>
            <w:tcW w:w="1097" w:type="dxa"/>
          </w:tcPr>
          <w:p w14:paraId="7A644EB3" w14:textId="77777777" w:rsidR="00DD650A" w:rsidRPr="00931B79" w:rsidRDefault="00DD650A" w:rsidP="005A1EA8">
            <w:pPr>
              <w:jc w:val="center"/>
              <w:rPr>
                <w:sz w:val="22"/>
                <w:szCs w:val="22"/>
              </w:rPr>
            </w:pPr>
            <w:r w:rsidRPr="00931B79">
              <w:rPr>
                <w:sz w:val="22"/>
                <w:szCs w:val="22"/>
              </w:rPr>
              <w:t>30</w:t>
            </w:r>
          </w:p>
        </w:tc>
        <w:tc>
          <w:tcPr>
            <w:tcW w:w="900" w:type="dxa"/>
          </w:tcPr>
          <w:p w14:paraId="752C2555" w14:textId="77777777" w:rsidR="00DD650A" w:rsidRPr="00931B79" w:rsidRDefault="00DD650A" w:rsidP="005A1EA8">
            <w:pPr>
              <w:jc w:val="center"/>
              <w:rPr>
                <w:sz w:val="22"/>
                <w:szCs w:val="22"/>
              </w:rPr>
            </w:pPr>
            <w:r w:rsidRPr="00931B79">
              <w:rPr>
                <w:sz w:val="22"/>
                <w:szCs w:val="22"/>
              </w:rPr>
              <w:t>6</w:t>
            </w:r>
          </w:p>
        </w:tc>
        <w:tc>
          <w:tcPr>
            <w:tcW w:w="720" w:type="dxa"/>
          </w:tcPr>
          <w:p w14:paraId="39A114E8" w14:textId="77777777" w:rsidR="00DD650A" w:rsidRPr="00931B79" w:rsidRDefault="00DD650A" w:rsidP="005A1EA8">
            <w:pPr>
              <w:jc w:val="center"/>
              <w:rPr>
                <w:sz w:val="22"/>
                <w:szCs w:val="22"/>
              </w:rPr>
            </w:pPr>
            <w:r w:rsidRPr="00931B79">
              <w:rPr>
                <w:sz w:val="22"/>
                <w:szCs w:val="22"/>
              </w:rPr>
              <w:t>6</w:t>
            </w:r>
          </w:p>
        </w:tc>
        <w:tc>
          <w:tcPr>
            <w:tcW w:w="720" w:type="dxa"/>
          </w:tcPr>
          <w:p w14:paraId="73ABD8D4" w14:textId="77777777" w:rsidR="00DD650A" w:rsidRPr="00931B79" w:rsidRDefault="00DD650A" w:rsidP="005A1EA8">
            <w:pPr>
              <w:jc w:val="center"/>
              <w:rPr>
                <w:sz w:val="22"/>
                <w:szCs w:val="22"/>
              </w:rPr>
            </w:pPr>
            <w:r w:rsidRPr="00931B79">
              <w:rPr>
                <w:sz w:val="22"/>
                <w:szCs w:val="22"/>
              </w:rPr>
              <w:t>6</w:t>
            </w:r>
          </w:p>
        </w:tc>
        <w:tc>
          <w:tcPr>
            <w:tcW w:w="835" w:type="dxa"/>
          </w:tcPr>
          <w:p w14:paraId="22AA20F9" w14:textId="77777777" w:rsidR="00DD650A" w:rsidRPr="00931B79" w:rsidRDefault="00DD650A" w:rsidP="005A1EA8">
            <w:pPr>
              <w:jc w:val="center"/>
              <w:rPr>
                <w:sz w:val="22"/>
                <w:szCs w:val="22"/>
              </w:rPr>
            </w:pPr>
            <w:r w:rsidRPr="00931B79">
              <w:rPr>
                <w:sz w:val="22"/>
                <w:szCs w:val="22"/>
              </w:rPr>
              <w:t>6</w:t>
            </w:r>
          </w:p>
        </w:tc>
        <w:tc>
          <w:tcPr>
            <w:tcW w:w="817" w:type="dxa"/>
          </w:tcPr>
          <w:p w14:paraId="73BFAFEB" w14:textId="77777777" w:rsidR="00DD650A" w:rsidRPr="00931B79" w:rsidRDefault="00DD650A" w:rsidP="005A1EA8">
            <w:pPr>
              <w:jc w:val="center"/>
              <w:rPr>
                <w:sz w:val="22"/>
                <w:szCs w:val="22"/>
              </w:rPr>
            </w:pPr>
            <w:r w:rsidRPr="00931B79">
              <w:rPr>
                <w:sz w:val="22"/>
                <w:szCs w:val="22"/>
              </w:rPr>
              <w:t>6</w:t>
            </w:r>
          </w:p>
        </w:tc>
        <w:tc>
          <w:tcPr>
            <w:tcW w:w="890" w:type="dxa"/>
          </w:tcPr>
          <w:p w14:paraId="1BCCC4CE" w14:textId="77777777" w:rsidR="00DD650A" w:rsidRPr="00931B79" w:rsidRDefault="00DD650A" w:rsidP="005A1EA8">
            <w:pPr>
              <w:jc w:val="center"/>
              <w:rPr>
                <w:sz w:val="22"/>
                <w:szCs w:val="22"/>
              </w:rPr>
            </w:pPr>
            <w:r w:rsidRPr="00931B79">
              <w:rPr>
                <w:sz w:val="22"/>
                <w:szCs w:val="22"/>
              </w:rPr>
              <w:t>30</w:t>
            </w:r>
          </w:p>
        </w:tc>
        <w:tc>
          <w:tcPr>
            <w:tcW w:w="978" w:type="dxa"/>
          </w:tcPr>
          <w:p w14:paraId="19A6E52F" w14:textId="77777777" w:rsidR="00DD650A" w:rsidRPr="00931B79" w:rsidRDefault="00DD650A" w:rsidP="005A1EA8">
            <w:pPr>
              <w:jc w:val="center"/>
              <w:rPr>
                <w:sz w:val="22"/>
                <w:szCs w:val="22"/>
              </w:rPr>
            </w:pPr>
            <w:r w:rsidRPr="00931B79">
              <w:rPr>
                <w:sz w:val="22"/>
                <w:szCs w:val="22"/>
              </w:rPr>
              <w:t>6</w:t>
            </w:r>
          </w:p>
        </w:tc>
        <w:tc>
          <w:tcPr>
            <w:tcW w:w="805" w:type="dxa"/>
          </w:tcPr>
          <w:p w14:paraId="32B30774" w14:textId="77777777" w:rsidR="00DD650A" w:rsidRPr="00931B79" w:rsidRDefault="00DD650A" w:rsidP="005A1EA8">
            <w:pPr>
              <w:jc w:val="center"/>
              <w:rPr>
                <w:sz w:val="22"/>
                <w:szCs w:val="22"/>
              </w:rPr>
            </w:pPr>
            <w:r w:rsidRPr="00931B79">
              <w:rPr>
                <w:sz w:val="22"/>
                <w:szCs w:val="22"/>
              </w:rPr>
              <w:t>5</w:t>
            </w:r>
          </w:p>
        </w:tc>
        <w:tc>
          <w:tcPr>
            <w:tcW w:w="539" w:type="dxa"/>
          </w:tcPr>
          <w:p w14:paraId="1931BCA4" w14:textId="77777777" w:rsidR="00DD650A" w:rsidRPr="00931B79" w:rsidRDefault="00DD650A" w:rsidP="005A1EA8">
            <w:pPr>
              <w:jc w:val="center"/>
              <w:rPr>
                <w:sz w:val="22"/>
                <w:szCs w:val="22"/>
              </w:rPr>
            </w:pPr>
            <w:r w:rsidRPr="00931B79">
              <w:rPr>
                <w:sz w:val="22"/>
                <w:szCs w:val="22"/>
              </w:rPr>
              <w:t>20</w:t>
            </w:r>
          </w:p>
        </w:tc>
        <w:tc>
          <w:tcPr>
            <w:tcW w:w="719" w:type="dxa"/>
          </w:tcPr>
          <w:p w14:paraId="241EAEB4" w14:textId="77777777" w:rsidR="00DD650A" w:rsidRPr="00931B79" w:rsidRDefault="00DD650A" w:rsidP="005A1EA8">
            <w:pPr>
              <w:jc w:val="center"/>
              <w:rPr>
                <w:sz w:val="22"/>
                <w:szCs w:val="22"/>
              </w:rPr>
            </w:pPr>
            <w:r w:rsidRPr="00931B79">
              <w:rPr>
                <w:sz w:val="22"/>
                <w:szCs w:val="22"/>
              </w:rPr>
              <w:t>-7.25</w:t>
            </w:r>
          </w:p>
        </w:tc>
        <w:tc>
          <w:tcPr>
            <w:tcW w:w="771" w:type="dxa"/>
          </w:tcPr>
          <w:p w14:paraId="48210209" w14:textId="77777777" w:rsidR="00DD650A" w:rsidRPr="00931B79" w:rsidRDefault="00DD650A" w:rsidP="005A1EA8">
            <w:pPr>
              <w:jc w:val="center"/>
              <w:rPr>
                <w:sz w:val="22"/>
                <w:szCs w:val="22"/>
              </w:rPr>
            </w:pPr>
            <w:r w:rsidRPr="00931B79">
              <w:rPr>
                <w:sz w:val="22"/>
                <w:szCs w:val="22"/>
              </w:rPr>
              <w:t>0.758</w:t>
            </w:r>
          </w:p>
        </w:tc>
        <w:tc>
          <w:tcPr>
            <w:tcW w:w="756" w:type="dxa"/>
          </w:tcPr>
          <w:p w14:paraId="3557FA86" w14:textId="77777777" w:rsidR="00DD650A" w:rsidRPr="00931B79" w:rsidRDefault="00DD650A" w:rsidP="005A1EA8">
            <w:pPr>
              <w:jc w:val="center"/>
              <w:rPr>
                <w:sz w:val="22"/>
                <w:szCs w:val="22"/>
              </w:rPr>
            </w:pPr>
            <w:r w:rsidRPr="00931B79">
              <w:rPr>
                <w:sz w:val="22"/>
                <w:szCs w:val="22"/>
              </w:rPr>
              <w:t>0.00</w:t>
            </w:r>
          </w:p>
        </w:tc>
      </w:tr>
      <w:tr w:rsidR="00DD650A" w14:paraId="3770D2F3" w14:textId="77777777" w:rsidTr="00931B79">
        <w:tc>
          <w:tcPr>
            <w:tcW w:w="613" w:type="dxa"/>
          </w:tcPr>
          <w:p w14:paraId="310B6E4A" w14:textId="77777777" w:rsidR="00DD650A" w:rsidRPr="00931B79" w:rsidRDefault="00DD650A" w:rsidP="005A1EA8">
            <w:pPr>
              <w:jc w:val="center"/>
              <w:rPr>
                <w:sz w:val="22"/>
                <w:szCs w:val="22"/>
              </w:rPr>
            </w:pPr>
            <w:r w:rsidRPr="00931B79">
              <w:rPr>
                <w:sz w:val="22"/>
                <w:szCs w:val="22"/>
              </w:rPr>
              <w:t>C</w:t>
            </w:r>
          </w:p>
        </w:tc>
        <w:tc>
          <w:tcPr>
            <w:tcW w:w="1097" w:type="dxa"/>
          </w:tcPr>
          <w:p w14:paraId="1E92D172" w14:textId="77777777" w:rsidR="00DD650A" w:rsidRPr="00931B79" w:rsidRDefault="00DD650A" w:rsidP="005A1EA8">
            <w:pPr>
              <w:jc w:val="center"/>
              <w:rPr>
                <w:sz w:val="22"/>
                <w:szCs w:val="22"/>
              </w:rPr>
            </w:pPr>
            <w:r w:rsidRPr="00931B79">
              <w:rPr>
                <w:sz w:val="22"/>
                <w:szCs w:val="22"/>
              </w:rPr>
              <w:t>50</w:t>
            </w:r>
          </w:p>
        </w:tc>
        <w:tc>
          <w:tcPr>
            <w:tcW w:w="900" w:type="dxa"/>
          </w:tcPr>
          <w:p w14:paraId="0179BD9D" w14:textId="77777777" w:rsidR="00DD650A" w:rsidRPr="00931B79" w:rsidRDefault="00DD650A" w:rsidP="005A1EA8">
            <w:pPr>
              <w:jc w:val="center"/>
              <w:rPr>
                <w:sz w:val="22"/>
                <w:szCs w:val="22"/>
              </w:rPr>
            </w:pPr>
            <w:r w:rsidRPr="00931B79">
              <w:rPr>
                <w:sz w:val="22"/>
                <w:szCs w:val="22"/>
              </w:rPr>
              <w:t>5</w:t>
            </w:r>
          </w:p>
        </w:tc>
        <w:tc>
          <w:tcPr>
            <w:tcW w:w="720" w:type="dxa"/>
          </w:tcPr>
          <w:p w14:paraId="366BD02E" w14:textId="77777777" w:rsidR="00DD650A" w:rsidRPr="00931B79" w:rsidRDefault="00DD650A" w:rsidP="005A1EA8">
            <w:pPr>
              <w:jc w:val="center"/>
              <w:rPr>
                <w:sz w:val="22"/>
                <w:szCs w:val="22"/>
              </w:rPr>
            </w:pPr>
            <w:r w:rsidRPr="00931B79">
              <w:rPr>
                <w:sz w:val="22"/>
                <w:szCs w:val="22"/>
              </w:rPr>
              <w:t>10</w:t>
            </w:r>
          </w:p>
        </w:tc>
        <w:tc>
          <w:tcPr>
            <w:tcW w:w="720" w:type="dxa"/>
          </w:tcPr>
          <w:p w14:paraId="611E4BA1" w14:textId="77777777" w:rsidR="00DD650A" w:rsidRPr="00931B79" w:rsidRDefault="00DD650A" w:rsidP="005A1EA8">
            <w:pPr>
              <w:jc w:val="center"/>
              <w:rPr>
                <w:sz w:val="22"/>
                <w:szCs w:val="22"/>
              </w:rPr>
            </w:pPr>
            <w:r w:rsidRPr="00931B79">
              <w:rPr>
                <w:sz w:val="22"/>
                <w:szCs w:val="22"/>
              </w:rPr>
              <w:t>20</w:t>
            </w:r>
          </w:p>
        </w:tc>
        <w:tc>
          <w:tcPr>
            <w:tcW w:w="835" w:type="dxa"/>
          </w:tcPr>
          <w:p w14:paraId="62483967" w14:textId="77777777" w:rsidR="00DD650A" w:rsidRPr="00931B79" w:rsidRDefault="00DD650A" w:rsidP="005A1EA8">
            <w:pPr>
              <w:jc w:val="center"/>
              <w:rPr>
                <w:sz w:val="22"/>
                <w:szCs w:val="22"/>
              </w:rPr>
            </w:pPr>
            <w:r w:rsidRPr="00931B79">
              <w:rPr>
                <w:sz w:val="22"/>
                <w:szCs w:val="22"/>
              </w:rPr>
              <w:t>25</w:t>
            </w:r>
          </w:p>
        </w:tc>
        <w:tc>
          <w:tcPr>
            <w:tcW w:w="817" w:type="dxa"/>
          </w:tcPr>
          <w:p w14:paraId="07CEFD10" w14:textId="77777777" w:rsidR="00DD650A" w:rsidRPr="00931B79" w:rsidRDefault="00DD650A" w:rsidP="005A1EA8">
            <w:pPr>
              <w:jc w:val="center"/>
              <w:rPr>
                <w:sz w:val="22"/>
                <w:szCs w:val="22"/>
              </w:rPr>
            </w:pPr>
            <w:r w:rsidRPr="00931B79">
              <w:rPr>
                <w:sz w:val="22"/>
                <w:szCs w:val="22"/>
              </w:rPr>
              <w:t>15</w:t>
            </w:r>
          </w:p>
        </w:tc>
        <w:tc>
          <w:tcPr>
            <w:tcW w:w="890" w:type="dxa"/>
          </w:tcPr>
          <w:p w14:paraId="2ACEFDB8" w14:textId="77777777" w:rsidR="00DD650A" w:rsidRPr="00931B79" w:rsidRDefault="00DD650A" w:rsidP="005A1EA8">
            <w:pPr>
              <w:jc w:val="center"/>
              <w:rPr>
                <w:sz w:val="22"/>
                <w:szCs w:val="22"/>
              </w:rPr>
            </w:pPr>
            <w:r w:rsidRPr="00931B79">
              <w:rPr>
                <w:sz w:val="22"/>
                <w:szCs w:val="22"/>
              </w:rPr>
              <w:t>75</w:t>
            </w:r>
          </w:p>
        </w:tc>
        <w:tc>
          <w:tcPr>
            <w:tcW w:w="978" w:type="dxa"/>
          </w:tcPr>
          <w:p w14:paraId="61E84A71" w14:textId="77777777" w:rsidR="00DD650A" w:rsidRPr="00931B79" w:rsidRDefault="00DD650A" w:rsidP="005A1EA8">
            <w:pPr>
              <w:jc w:val="center"/>
              <w:rPr>
                <w:sz w:val="22"/>
                <w:szCs w:val="22"/>
              </w:rPr>
            </w:pPr>
            <w:r w:rsidRPr="00931B79">
              <w:rPr>
                <w:sz w:val="22"/>
                <w:szCs w:val="22"/>
              </w:rPr>
              <w:t>15</w:t>
            </w:r>
          </w:p>
        </w:tc>
        <w:tc>
          <w:tcPr>
            <w:tcW w:w="805" w:type="dxa"/>
          </w:tcPr>
          <w:p w14:paraId="277CBFA6" w14:textId="77777777" w:rsidR="00DD650A" w:rsidRPr="00931B79" w:rsidRDefault="00DD650A" w:rsidP="005A1EA8">
            <w:pPr>
              <w:jc w:val="center"/>
              <w:rPr>
                <w:sz w:val="22"/>
                <w:szCs w:val="22"/>
              </w:rPr>
            </w:pPr>
            <w:r w:rsidRPr="00931B79">
              <w:rPr>
                <w:sz w:val="22"/>
                <w:szCs w:val="22"/>
              </w:rPr>
              <w:t>3.6</w:t>
            </w:r>
          </w:p>
        </w:tc>
        <w:tc>
          <w:tcPr>
            <w:tcW w:w="539" w:type="dxa"/>
          </w:tcPr>
          <w:p w14:paraId="77D0FAAC" w14:textId="77777777" w:rsidR="00DD650A" w:rsidRPr="00931B79" w:rsidRDefault="00DD650A" w:rsidP="005A1EA8">
            <w:pPr>
              <w:jc w:val="center"/>
              <w:rPr>
                <w:sz w:val="22"/>
                <w:szCs w:val="22"/>
              </w:rPr>
            </w:pPr>
            <w:r w:rsidRPr="00931B79">
              <w:rPr>
                <w:sz w:val="22"/>
                <w:szCs w:val="22"/>
              </w:rPr>
              <w:t>30</w:t>
            </w:r>
          </w:p>
        </w:tc>
        <w:tc>
          <w:tcPr>
            <w:tcW w:w="719" w:type="dxa"/>
          </w:tcPr>
          <w:p w14:paraId="272DA19B" w14:textId="77777777" w:rsidR="00DD650A" w:rsidRPr="00931B79" w:rsidRDefault="00DD650A" w:rsidP="005A1EA8">
            <w:pPr>
              <w:jc w:val="center"/>
              <w:rPr>
                <w:sz w:val="22"/>
                <w:szCs w:val="22"/>
              </w:rPr>
            </w:pPr>
            <w:r w:rsidRPr="00931B79">
              <w:rPr>
                <w:sz w:val="22"/>
                <w:szCs w:val="22"/>
              </w:rPr>
              <w:t>4.23</w:t>
            </w:r>
          </w:p>
        </w:tc>
        <w:tc>
          <w:tcPr>
            <w:tcW w:w="771" w:type="dxa"/>
          </w:tcPr>
          <w:p w14:paraId="1C9D7A5F" w14:textId="77777777" w:rsidR="00DD650A" w:rsidRPr="00931B79" w:rsidRDefault="00DD650A" w:rsidP="005A1EA8">
            <w:pPr>
              <w:jc w:val="center"/>
              <w:rPr>
                <w:sz w:val="22"/>
                <w:szCs w:val="22"/>
              </w:rPr>
            </w:pPr>
            <w:r w:rsidRPr="00931B79">
              <w:rPr>
                <w:sz w:val="22"/>
                <w:szCs w:val="22"/>
              </w:rPr>
              <w:t>1.085</w:t>
            </w:r>
          </w:p>
        </w:tc>
        <w:tc>
          <w:tcPr>
            <w:tcW w:w="756" w:type="dxa"/>
          </w:tcPr>
          <w:p w14:paraId="606C57CA" w14:textId="77777777" w:rsidR="00DD650A" w:rsidRPr="00931B79" w:rsidRDefault="00DD650A" w:rsidP="005A1EA8">
            <w:pPr>
              <w:jc w:val="center"/>
              <w:rPr>
                <w:sz w:val="22"/>
                <w:szCs w:val="22"/>
              </w:rPr>
            </w:pPr>
            <w:r w:rsidRPr="00931B79">
              <w:rPr>
                <w:sz w:val="22"/>
                <w:szCs w:val="22"/>
              </w:rPr>
              <w:t>12.72</w:t>
            </w:r>
          </w:p>
        </w:tc>
      </w:tr>
    </w:tbl>
    <w:p w14:paraId="502361EA" w14:textId="4546A41C" w:rsidR="00D0141D" w:rsidRDefault="00D0141D" w:rsidP="00D0141D"/>
    <w:sectPr w:rsidR="00D0141D" w:rsidSect="00E16F04">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2B2E0" w14:textId="77777777" w:rsidR="009E4405" w:rsidRDefault="009E4405" w:rsidP="00D0141D">
      <w:pPr>
        <w:spacing w:line="240" w:lineRule="auto"/>
      </w:pPr>
      <w:r>
        <w:separator/>
      </w:r>
    </w:p>
  </w:endnote>
  <w:endnote w:type="continuationSeparator" w:id="0">
    <w:p w14:paraId="4AE5A44B" w14:textId="77777777" w:rsidR="009E4405" w:rsidRDefault="009E4405" w:rsidP="00D014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248594"/>
      <w:docPartObj>
        <w:docPartGallery w:val="Page Numbers (Bottom of Page)"/>
        <w:docPartUnique/>
      </w:docPartObj>
    </w:sdtPr>
    <w:sdtEndPr>
      <w:rPr>
        <w:noProof/>
      </w:rPr>
    </w:sdtEndPr>
    <w:sdtContent>
      <w:p w14:paraId="2E565040" w14:textId="06D8D6EF" w:rsidR="00E16F04" w:rsidRDefault="00E16F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18395C" w14:textId="02F88B93" w:rsidR="00E16F04" w:rsidRDefault="00E16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096754"/>
      <w:docPartObj>
        <w:docPartGallery w:val="Page Numbers (Bottom of Page)"/>
        <w:docPartUnique/>
      </w:docPartObj>
    </w:sdtPr>
    <w:sdtContent>
      <w:p w14:paraId="26C750D2" w14:textId="77777777" w:rsidR="00E16F04" w:rsidRDefault="00E16F04">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4774517E" wp14:editId="54673A5F">
                  <wp:simplePos x="0" y="0"/>
                  <wp:positionH relativeFrom="margin">
                    <wp:align>center</wp:align>
                  </wp:positionH>
                  <wp:positionV relativeFrom="bottomMargin">
                    <wp:align>center</wp:align>
                  </wp:positionV>
                  <wp:extent cx="1282700" cy="343535"/>
                  <wp:effectExtent l="28575" t="19050" r="22225" b="8890"/>
                  <wp:wrapNone/>
                  <wp:docPr id="2" name="Ribbon: Curved and Tilted Dow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31E7AF70" w14:textId="77777777" w:rsidR="00E16F04" w:rsidRDefault="00E16F04">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4517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2" o:spid="_x0000_s1026" type="#_x0000_t107" style="position:absolute;left:0;text-align:left;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31E7AF70" w14:textId="77777777" w:rsidR="00E16F04" w:rsidRDefault="00E16F04">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7B475" w14:textId="77777777" w:rsidR="009E4405" w:rsidRDefault="009E4405" w:rsidP="00D0141D">
      <w:pPr>
        <w:spacing w:line="240" w:lineRule="auto"/>
      </w:pPr>
      <w:r>
        <w:separator/>
      </w:r>
    </w:p>
  </w:footnote>
  <w:footnote w:type="continuationSeparator" w:id="0">
    <w:p w14:paraId="71073512" w14:textId="77777777" w:rsidR="009E4405" w:rsidRDefault="009E4405" w:rsidP="00D014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C7976"/>
    <w:multiLevelType w:val="hybridMultilevel"/>
    <w:tmpl w:val="F904D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A671C4"/>
    <w:multiLevelType w:val="hybridMultilevel"/>
    <w:tmpl w:val="764E2E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544EA2"/>
    <w:multiLevelType w:val="hybridMultilevel"/>
    <w:tmpl w:val="A5C27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B72D5"/>
    <w:multiLevelType w:val="hybridMultilevel"/>
    <w:tmpl w:val="6EBC8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302411">
    <w:abstractNumId w:val="1"/>
  </w:num>
  <w:num w:numId="2" w16cid:durableId="1843888097">
    <w:abstractNumId w:val="0"/>
  </w:num>
  <w:num w:numId="3" w16cid:durableId="61871053">
    <w:abstractNumId w:val="2"/>
  </w:num>
  <w:num w:numId="4" w16cid:durableId="255988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2DA"/>
    <w:rsid w:val="00014263"/>
    <w:rsid w:val="000350D4"/>
    <w:rsid w:val="00052639"/>
    <w:rsid w:val="0008472D"/>
    <w:rsid w:val="000A2334"/>
    <w:rsid w:val="000B175A"/>
    <w:rsid w:val="000D63E8"/>
    <w:rsid w:val="001138AC"/>
    <w:rsid w:val="0012228B"/>
    <w:rsid w:val="001734A2"/>
    <w:rsid w:val="001822B2"/>
    <w:rsid w:val="00186AA9"/>
    <w:rsid w:val="001A44CA"/>
    <w:rsid w:val="001C4849"/>
    <w:rsid w:val="002055FD"/>
    <w:rsid w:val="002221C4"/>
    <w:rsid w:val="0028067B"/>
    <w:rsid w:val="002B26E6"/>
    <w:rsid w:val="003306D2"/>
    <w:rsid w:val="00386053"/>
    <w:rsid w:val="003A2F67"/>
    <w:rsid w:val="003E78ED"/>
    <w:rsid w:val="004053B9"/>
    <w:rsid w:val="00432B7A"/>
    <w:rsid w:val="0044766C"/>
    <w:rsid w:val="0046254B"/>
    <w:rsid w:val="0048699A"/>
    <w:rsid w:val="004F1189"/>
    <w:rsid w:val="00511B7E"/>
    <w:rsid w:val="005206D7"/>
    <w:rsid w:val="005559D1"/>
    <w:rsid w:val="00577386"/>
    <w:rsid w:val="005A6062"/>
    <w:rsid w:val="005D645E"/>
    <w:rsid w:val="006046BD"/>
    <w:rsid w:val="006321D0"/>
    <w:rsid w:val="00642576"/>
    <w:rsid w:val="00646633"/>
    <w:rsid w:val="00671E2B"/>
    <w:rsid w:val="006854B3"/>
    <w:rsid w:val="006A6C9D"/>
    <w:rsid w:val="00712D13"/>
    <w:rsid w:val="00755752"/>
    <w:rsid w:val="00761164"/>
    <w:rsid w:val="007E2EFE"/>
    <w:rsid w:val="007E6185"/>
    <w:rsid w:val="00833FE6"/>
    <w:rsid w:val="00836D52"/>
    <w:rsid w:val="00865090"/>
    <w:rsid w:val="008B65F1"/>
    <w:rsid w:val="008C09CE"/>
    <w:rsid w:val="0094457A"/>
    <w:rsid w:val="00954EEB"/>
    <w:rsid w:val="0098423C"/>
    <w:rsid w:val="009B5834"/>
    <w:rsid w:val="009E4405"/>
    <w:rsid w:val="009E4C83"/>
    <w:rsid w:val="00A17125"/>
    <w:rsid w:val="00A54453"/>
    <w:rsid w:val="00A9143C"/>
    <w:rsid w:val="00A934BF"/>
    <w:rsid w:val="00AA32DA"/>
    <w:rsid w:val="00AB2E75"/>
    <w:rsid w:val="00AB3CE8"/>
    <w:rsid w:val="00AC29A2"/>
    <w:rsid w:val="00AE39B1"/>
    <w:rsid w:val="00B71A72"/>
    <w:rsid w:val="00BB5B49"/>
    <w:rsid w:val="00C01E51"/>
    <w:rsid w:val="00C31454"/>
    <w:rsid w:val="00C64D7F"/>
    <w:rsid w:val="00C71C3A"/>
    <w:rsid w:val="00C75B7B"/>
    <w:rsid w:val="00CF048D"/>
    <w:rsid w:val="00D0141D"/>
    <w:rsid w:val="00D31924"/>
    <w:rsid w:val="00D364D6"/>
    <w:rsid w:val="00D40592"/>
    <w:rsid w:val="00D67C1E"/>
    <w:rsid w:val="00D7168E"/>
    <w:rsid w:val="00DB2E76"/>
    <w:rsid w:val="00DC3BCC"/>
    <w:rsid w:val="00DD1C10"/>
    <w:rsid w:val="00DD650A"/>
    <w:rsid w:val="00DE29F1"/>
    <w:rsid w:val="00DF6762"/>
    <w:rsid w:val="00E16F04"/>
    <w:rsid w:val="00E30C6F"/>
    <w:rsid w:val="00E40E84"/>
    <w:rsid w:val="00E5051B"/>
    <w:rsid w:val="00E513E6"/>
    <w:rsid w:val="00EC18AC"/>
    <w:rsid w:val="00ED12DA"/>
    <w:rsid w:val="00EF0ACD"/>
    <w:rsid w:val="00EF59EA"/>
    <w:rsid w:val="00F5464F"/>
    <w:rsid w:val="00F95C7A"/>
    <w:rsid w:val="00FB4024"/>
    <w:rsid w:val="00FF5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4AA4A0"/>
  <w15:chartTrackingRefBased/>
  <w15:docId w15:val="{54F33226-0238-4525-A461-EDE093D3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A9"/>
    <w:pPr>
      <w:spacing w:after="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86AA9"/>
    <w:pPr>
      <w:keepNext/>
      <w:keepLines/>
      <w:spacing w:after="80" w:line="480" w:lineRule="auto"/>
      <w:outlineLvl w:val="0"/>
    </w:pPr>
    <w:rPr>
      <w:rFonts w:eastAsia="Times New Roman" w:cs="Times New Roman"/>
      <w:b/>
      <w:color w:val="000000" w:themeColor="text1"/>
      <w:sz w:val="30"/>
      <w:szCs w:val="28"/>
    </w:rPr>
  </w:style>
  <w:style w:type="paragraph" w:styleId="Heading2">
    <w:name w:val="heading 2"/>
    <w:basedOn w:val="Normal"/>
    <w:next w:val="Normal"/>
    <w:link w:val="Heading2Char"/>
    <w:autoRedefine/>
    <w:uiPriority w:val="9"/>
    <w:unhideWhenUsed/>
    <w:qFormat/>
    <w:rsid w:val="00646633"/>
    <w:pPr>
      <w:keepNext/>
      <w:keepLines/>
      <w:spacing w:before="160" w:after="80" w:line="480" w:lineRule="auto"/>
      <w:outlineLvl w:val="1"/>
    </w:pPr>
    <w:rPr>
      <w:rFonts w:eastAsia="Times New Roman" w:cs="Times New Roman"/>
      <w:b/>
      <w:bCs/>
      <w:color w:val="000000" w:themeColor="text1"/>
    </w:rPr>
  </w:style>
  <w:style w:type="paragraph" w:styleId="Heading3">
    <w:name w:val="heading 3"/>
    <w:basedOn w:val="Normal"/>
    <w:next w:val="Normal"/>
    <w:link w:val="Heading3Char"/>
    <w:autoRedefine/>
    <w:uiPriority w:val="9"/>
    <w:unhideWhenUsed/>
    <w:qFormat/>
    <w:rsid w:val="00186AA9"/>
    <w:pPr>
      <w:keepNext/>
      <w:keepLines/>
      <w:spacing w:before="160" w:after="80"/>
      <w:outlineLvl w:val="2"/>
    </w:pPr>
    <w:rPr>
      <w:rFonts w:eastAsia="Times New Roman" w:cs="Times New Roman"/>
      <w:b/>
      <w:bCs/>
      <w:color w:val="000000" w:themeColor="text1"/>
      <w:szCs w:val="28"/>
    </w:rPr>
  </w:style>
  <w:style w:type="paragraph" w:styleId="Heading4">
    <w:name w:val="heading 4"/>
    <w:basedOn w:val="Normal"/>
    <w:next w:val="Normal"/>
    <w:link w:val="Heading4Char"/>
    <w:uiPriority w:val="9"/>
    <w:semiHidden/>
    <w:unhideWhenUsed/>
    <w:qFormat/>
    <w:rsid w:val="00AA32D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A32D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A32D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A32D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A32D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A32D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Heading3"/>
    <w:next w:val="Normal"/>
    <w:link w:val="SubtitleChar"/>
    <w:uiPriority w:val="11"/>
    <w:qFormat/>
    <w:rsid w:val="00646633"/>
    <w:pPr>
      <w:numPr>
        <w:ilvl w:val="1"/>
      </w:numPr>
    </w:pPr>
    <w:rPr>
      <w:spacing w:val="15"/>
    </w:rPr>
  </w:style>
  <w:style w:type="character" w:customStyle="1" w:styleId="SubtitleChar">
    <w:name w:val="Subtitle Char"/>
    <w:basedOn w:val="DefaultParagraphFont"/>
    <w:link w:val="Subtitle"/>
    <w:uiPriority w:val="11"/>
    <w:rsid w:val="00646633"/>
    <w:rPr>
      <w:rFonts w:ascii="Times New Roman" w:eastAsiaTheme="majorEastAsia" w:hAnsi="Times New Roman" w:cstheme="majorBidi"/>
      <w:color w:val="000000" w:themeColor="text1"/>
      <w:spacing w:val="15"/>
      <w:szCs w:val="28"/>
    </w:rPr>
  </w:style>
  <w:style w:type="character" w:customStyle="1" w:styleId="Heading3Char">
    <w:name w:val="Heading 3 Char"/>
    <w:basedOn w:val="DefaultParagraphFont"/>
    <w:link w:val="Heading3"/>
    <w:uiPriority w:val="9"/>
    <w:rsid w:val="00186AA9"/>
    <w:rPr>
      <w:rFonts w:ascii="Times New Roman" w:eastAsia="Times New Roman" w:hAnsi="Times New Roman" w:cs="Times New Roman"/>
      <w:b/>
      <w:bCs/>
      <w:color w:val="000000" w:themeColor="text1"/>
      <w:szCs w:val="28"/>
    </w:rPr>
  </w:style>
  <w:style w:type="character" w:styleId="Strong">
    <w:name w:val="Strong"/>
    <w:basedOn w:val="Heading3Char"/>
    <w:uiPriority w:val="22"/>
    <w:qFormat/>
    <w:rsid w:val="00646633"/>
    <w:rPr>
      <w:rFonts w:ascii="Times New Roman" w:eastAsia="Times New Roman" w:hAnsi="Times New Roman" w:cs="Times New Roman"/>
      <w:b w:val="0"/>
      <w:bCs w:val="0"/>
      <w:i w:val="0"/>
      <w:color w:val="000000" w:themeColor="text1"/>
      <w:sz w:val="24"/>
      <w:szCs w:val="28"/>
    </w:rPr>
  </w:style>
  <w:style w:type="character" w:customStyle="1" w:styleId="Heading1Char">
    <w:name w:val="Heading 1 Char"/>
    <w:basedOn w:val="DefaultParagraphFont"/>
    <w:link w:val="Heading1"/>
    <w:uiPriority w:val="9"/>
    <w:rsid w:val="00186AA9"/>
    <w:rPr>
      <w:rFonts w:ascii="Times New Roman" w:eastAsia="Times New Roman" w:hAnsi="Times New Roman" w:cs="Times New Roman"/>
      <w:b/>
      <w:color w:val="000000" w:themeColor="text1"/>
      <w:sz w:val="30"/>
      <w:szCs w:val="28"/>
    </w:rPr>
  </w:style>
  <w:style w:type="character" w:customStyle="1" w:styleId="Heading2Char">
    <w:name w:val="Heading 2 Char"/>
    <w:basedOn w:val="DefaultParagraphFont"/>
    <w:link w:val="Heading2"/>
    <w:uiPriority w:val="9"/>
    <w:rsid w:val="00646633"/>
    <w:rPr>
      <w:rFonts w:ascii="Times New Roman" w:eastAsia="Times New Roman" w:hAnsi="Times New Roman" w:cs="Times New Roman"/>
      <w:b/>
      <w:bCs/>
      <w:color w:val="000000" w:themeColor="text1"/>
    </w:rPr>
  </w:style>
  <w:style w:type="paragraph" w:styleId="Caption">
    <w:name w:val="caption"/>
    <w:basedOn w:val="Normal"/>
    <w:next w:val="Normal"/>
    <w:uiPriority w:val="35"/>
    <w:unhideWhenUsed/>
    <w:qFormat/>
    <w:rsid w:val="005A6062"/>
    <w:pPr>
      <w:widowControl w:val="0"/>
      <w:spacing w:after="200" w:line="240" w:lineRule="auto"/>
    </w:pPr>
    <w:rPr>
      <w:rFonts w:eastAsia="SimSun" w:cs="Times New Roman"/>
      <w:i/>
      <w:iCs/>
      <w:color w:val="000000" w:themeColor="text1"/>
      <w:sz w:val="21"/>
      <w:szCs w:val="18"/>
      <w14:ligatures w14:val="none"/>
    </w:rPr>
  </w:style>
  <w:style w:type="character" w:customStyle="1" w:styleId="Heading4Char">
    <w:name w:val="Heading 4 Char"/>
    <w:basedOn w:val="DefaultParagraphFont"/>
    <w:link w:val="Heading4"/>
    <w:uiPriority w:val="9"/>
    <w:semiHidden/>
    <w:rsid w:val="00AA3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2DA"/>
    <w:rPr>
      <w:rFonts w:eastAsiaTheme="majorEastAsia" w:cstheme="majorBidi"/>
      <w:color w:val="272727" w:themeColor="text1" w:themeTint="D8"/>
    </w:rPr>
  </w:style>
  <w:style w:type="paragraph" w:styleId="Title">
    <w:name w:val="Title"/>
    <w:basedOn w:val="Normal"/>
    <w:next w:val="Normal"/>
    <w:link w:val="TitleChar"/>
    <w:uiPriority w:val="10"/>
    <w:qFormat/>
    <w:rsid w:val="00AA3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2DA"/>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A32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32DA"/>
    <w:rPr>
      <w:rFonts w:ascii="Times New Roman" w:hAnsi="Times New Roman"/>
      <w:i/>
      <w:iCs/>
      <w:color w:val="404040" w:themeColor="text1" w:themeTint="BF"/>
    </w:rPr>
  </w:style>
  <w:style w:type="paragraph" w:styleId="ListParagraph">
    <w:name w:val="List Paragraph"/>
    <w:basedOn w:val="Normal"/>
    <w:uiPriority w:val="34"/>
    <w:qFormat/>
    <w:rsid w:val="00AA32DA"/>
    <w:pPr>
      <w:ind w:left="720"/>
      <w:contextualSpacing/>
    </w:pPr>
  </w:style>
  <w:style w:type="character" w:styleId="IntenseEmphasis">
    <w:name w:val="Intense Emphasis"/>
    <w:basedOn w:val="DefaultParagraphFont"/>
    <w:uiPriority w:val="21"/>
    <w:qFormat/>
    <w:rsid w:val="00AA32DA"/>
    <w:rPr>
      <w:i/>
      <w:iCs/>
      <w:color w:val="0F4761" w:themeColor="accent1" w:themeShade="BF"/>
    </w:rPr>
  </w:style>
  <w:style w:type="paragraph" w:styleId="IntenseQuote">
    <w:name w:val="Intense Quote"/>
    <w:basedOn w:val="Normal"/>
    <w:next w:val="Normal"/>
    <w:link w:val="IntenseQuoteChar"/>
    <w:uiPriority w:val="30"/>
    <w:qFormat/>
    <w:rsid w:val="00AA3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2DA"/>
    <w:rPr>
      <w:rFonts w:ascii="Times New Roman" w:hAnsi="Times New Roman"/>
      <w:i/>
      <w:iCs/>
      <w:color w:val="0F4761" w:themeColor="accent1" w:themeShade="BF"/>
    </w:rPr>
  </w:style>
  <w:style w:type="character" w:styleId="IntenseReference">
    <w:name w:val="Intense Reference"/>
    <w:basedOn w:val="DefaultParagraphFont"/>
    <w:uiPriority w:val="32"/>
    <w:qFormat/>
    <w:rsid w:val="00AA32DA"/>
    <w:rPr>
      <w:b/>
      <w:bCs/>
      <w:smallCaps/>
      <w:color w:val="0F4761" w:themeColor="accent1" w:themeShade="BF"/>
      <w:spacing w:val="5"/>
    </w:rPr>
  </w:style>
  <w:style w:type="paragraph" w:styleId="Header">
    <w:name w:val="header"/>
    <w:basedOn w:val="Normal"/>
    <w:link w:val="HeaderChar"/>
    <w:unhideWhenUsed/>
    <w:rsid w:val="00D0141D"/>
    <w:pPr>
      <w:tabs>
        <w:tab w:val="center" w:pos="4680"/>
        <w:tab w:val="right" w:pos="9360"/>
      </w:tabs>
      <w:spacing w:line="240" w:lineRule="auto"/>
    </w:pPr>
  </w:style>
  <w:style w:type="character" w:customStyle="1" w:styleId="HeaderChar">
    <w:name w:val="Header Char"/>
    <w:basedOn w:val="DefaultParagraphFont"/>
    <w:link w:val="Header"/>
    <w:rsid w:val="00D0141D"/>
    <w:rPr>
      <w:rFonts w:ascii="Times New Roman" w:hAnsi="Times New Roman"/>
    </w:rPr>
  </w:style>
  <w:style w:type="paragraph" w:styleId="Footer">
    <w:name w:val="footer"/>
    <w:basedOn w:val="Normal"/>
    <w:link w:val="FooterChar"/>
    <w:uiPriority w:val="99"/>
    <w:unhideWhenUsed/>
    <w:rsid w:val="00D0141D"/>
    <w:pPr>
      <w:tabs>
        <w:tab w:val="center" w:pos="4680"/>
        <w:tab w:val="right" w:pos="9360"/>
      </w:tabs>
      <w:spacing w:line="240" w:lineRule="auto"/>
    </w:pPr>
  </w:style>
  <w:style w:type="character" w:customStyle="1" w:styleId="FooterChar">
    <w:name w:val="Footer Char"/>
    <w:basedOn w:val="DefaultParagraphFont"/>
    <w:link w:val="Footer"/>
    <w:uiPriority w:val="99"/>
    <w:rsid w:val="00D0141D"/>
    <w:rPr>
      <w:rFonts w:ascii="Times New Roman" w:hAnsi="Times New Roman"/>
    </w:rPr>
  </w:style>
  <w:style w:type="paragraph" w:styleId="Bibliography">
    <w:name w:val="Bibliography"/>
    <w:basedOn w:val="Normal"/>
    <w:next w:val="Normal"/>
    <w:uiPriority w:val="37"/>
    <w:unhideWhenUsed/>
    <w:rsid w:val="0044766C"/>
  </w:style>
  <w:style w:type="character" w:styleId="PlaceholderText">
    <w:name w:val="Placeholder Text"/>
    <w:basedOn w:val="DefaultParagraphFont"/>
    <w:uiPriority w:val="99"/>
    <w:semiHidden/>
    <w:rsid w:val="00DD650A"/>
    <w:rPr>
      <w:color w:val="666666"/>
    </w:rPr>
  </w:style>
  <w:style w:type="table" w:styleId="TableGrid">
    <w:name w:val="Table Grid"/>
    <w:basedOn w:val="TableNormal"/>
    <w:uiPriority w:val="39"/>
    <w:rsid w:val="00DD6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A2334"/>
    <w:p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0A2334"/>
    <w:pPr>
      <w:spacing w:after="100"/>
    </w:pPr>
  </w:style>
  <w:style w:type="paragraph" w:styleId="TOC2">
    <w:name w:val="toc 2"/>
    <w:basedOn w:val="Normal"/>
    <w:next w:val="Normal"/>
    <w:autoRedefine/>
    <w:uiPriority w:val="39"/>
    <w:unhideWhenUsed/>
    <w:rsid w:val="000A2334"/>
    <w:pPr>
      <w:spacing w:after="100"/>
      <w:ind w:left="240"/>
    </w:pPr>
  </w:style>
  <w:style w:type="paragraph" w:styleId="TOC3">
    <w:name w:val="toc 3"/>
    <w:basedOn w:val="Normal"/>
    <w:next w:val="Normal"/>
    <w:autoRedefine/>
    <w:uiPriority w:val="39"/>
    <w:unhideWhenUsed/>
    <w:rsid w:val="000A2334"/>
    <w:pPr>
      <w:spacing w:after="100"/>
      <w:ind w:left="480"/>
    </w:pPr>
  </w:style>
  <w:style w:type="character" w:styleId="Hyperlink">
    <w:name w:val="Hyperlink"/>
    <w:basedOn w:val="DefaultParagraphFont"/>
    <w:uiPriority w:val="99"/>
    <w:unhideWhenUsed/>
    <w:rsid w:val="000A2334"/>
    <w:rPr>
      <w:color w:val="467886" w:themeColor="hyperlink"/>
      <w:u w:val="single"/>
    </w:rPr>
  </w:style>
  <w:style w:type="paragraph" w:styleId="TableofFigures">
    <w:name w:val="table of figures"/>
    <w:basedOn w:val="Normal"/>
    <w:next w:val="Normal"/>
    <w:uiPriority w:val="99"/>
    <w:unhideWhenUsed/>
    <w:rsid w:val="00122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0640">
      <w:bodyDiv w:val="1"/>
      <w:marLeft w:val="0"/>
      <w:marRight w:val="0"/>
      <w:marTop w:val="0"/>
      <w:marBottom w:val="0"/>
      <w:divBdr>
        <w:top w:val="none" w:sz="0" w:space="0" w:color="auto"/>
        <w:left w:val="none" w:sz="0" w:space="0" w:color="auto"/>
        <w:bottom w:val="none" w:sz="0" w:space="0" w:color="auto"/>
        <w:right w:val="none" w:sz="0" w:space="0" w:color="auto"/>
      </w:divBdr>
    </w:div>
    <w:div w:id="33895987">
      <w:bodyDiv w:val="1"/>
      <w:marLeft w:val="0"/>
      <w:marRight w:val="0"/>
      <w:marTop w:val="0"/>
      <w:marBottom w:val="0"/>
      <w:divBdr>
        <w:top w:val="none" w:sz="0" w:space="0" w:color="auto"/>
        <w:left w:val="none" w:sz="0" w:space="0" w:color="auto"/>
        <w:bottom w:val="none" w:sz="0" w:space="0" w:color="auto"/>
        <w:right w:val="none" w:sz="0" w:space="0" w:color="auto"/>
      </w:divBdr>
    </w:div>
    <w:div w:id="41365905">
      <w:bodyDiv w:val="1"/>
      <w:marLeft w:val="0"/>
      <w:marRight w:val="0"/>
      <w:marTop w:val="0"/>
      <w:marBottom w:val="0"/>
      <w:divBdr>
        <w:top w:val="none" w:sz="0" w:space="0" w:color="auto"/>
        <w:left w:val="none" w:sz="0" w:space="0" w:color="auto"/>
        <w:bottom w:val="none" w:sz="0" w:space="0" w:color="auto"/>
        <w:right w:val="none" w:sz="0" w:space="0" w:color="auto"/>
      </w:divBdr>
    </w:div>
    <w:div w:id="48966733">
      <w:bodyDiv w:val="1"/>
      <w:marLeft w:val="0"/>
      <w:marRight w:val="0"/>
      <w:marTop w:val="0"/>
      <w:marBottom w:val="0"/>
      <w:divBdr>
        <w:top w:val="none" w:sz="0" w:space="0" w:color="auto"/>
        <w:left w:val="none" w:sz="0" w:space="0" w:color="auto"/>
        <w:bottom w:val="none" w:sz="0" w:space="0" w:color="auto"/>
        <w:right w:val="none" w:sz="0" w:space="0" w:color="auto"/>
      </w:divBdr>
    </w:div>
    <w:div w:id="78336328">
      <w:bodyDiv w:val="1"/>
      <w:marLeft w:val="0"/>
      <w:marRight w:val="0"/>
      <w:marTop w:val="0"/>
      <w:marBottom w:val="0"/>
      <w:divBdr>
        <w:top w:val="none" w:sz="0" w:space="0" w:color="auto"/>
        <w:left w:val="none" w:sz="0" w:space="0" w:color="auto"/>
        <w:bottom w:val="none" w:sz="0" w:space="0" w:color="auto"/>
        <w:right w:val="none" w:sz="0" w:space="0" w:color="auto"/>
      </w:divBdr>
    </w:div>
    <w:div w:id="79105131">
      <w:bodyDiv w:val="1"/>
      <w:marLeft w:val="0"/>
      <w:marRight w:val="0"/>
      <w:marTop w:val="0"/>
      <w:marBottom w:val="0"/>
      <w:divBdr>
        <w:top w:val="none" w:sz="0" w:space="0" w:color="auto"/>
        <w:left w:val="none" w:sz="0" w:space="0" w:color="auto"/>
        <w:bottom w:val="none" w:sz="0" w:space="0" w:color="auto"/>
        <w:right w:val="none" w:sz="0" w:space="0" w:color="auto"/>
      </w:divBdr>
    </w:div>
    <w:div w:id="109473887">
      <w:bodyDiv w:val="1"/>
      <w:marLeft w:val="0"/>
      <w:marRight w:val="0"/>
      <w:marTop w:val="0"/>
      <w:marBottom w:val="0"/>
      <w:divBdr>
        <w:top w:val="none" w:sz="0" w:space="0" w:color="auto"/>
        <w:left w:val="none" w:sz="0" w:space="0" w:color="auto"/>
        <w:bottom w:val="none" w:sz="0" w:space="0" w:color="auto"/>
        <w:right w:val="none" w:sz="0" w:space="0" w:color="auto"/>
      </w:divBdr>
    </w:div>
    <w:div w:id="134296719">
      <w:bodyDiv w:val="1"/>
      <w:marLeft w:val="0"/>
      <w:marRight w:val="0"/>
      <w:marTop w:val="0"/>
      <w:marBottom w:val="0"/>
      <w:divBdr>
        <w:top w:val="none" w:sz="0" w:space="0" w:color="auto"/>
        <w:left w:val="none" w:sz="0" w:space="0" w:color="auto"/>
        <w:bottom w:val="none" w:sz="0" w:space="0" w:color="auto"/>
        <w:right w:val="none" w:sz="0" w:space="0" w:color="auto"/>
      </w:divBdr>
    </w:div>
    <w:div w:id="148324433">
      <w:bodyDiv w:val="1"/>
      <w:marLeft w:val="0"/>
      <w:marRight w:val="0"/>
      <w:marTop w:val="0"/>
      <w:marBottom w:val="0"/>
      <w:divBdr>
        <w:top w:val="none" w:sz="0" w:space="0" w:color="auto"/>
        <w:left w:val="none" w:sz="0" w:space="0" w:color="auto"/>
        <w:bottom w:val="none" w:sz="0" w:space="0" w:color="auto"/>
        <w:right w:val="none" w:sz="0" w:space="0" w:color="auto"/>
      </w:divBdr>
    </w:div>
    <w:div w:id="171721774">
      <w:bodyDiv w:val="1"/>
      <w:marLeft w:val="0"/>
      <w:marRight w:val="0"/>
      <w:marTop w:val="0"/>
      <w:marBottom w:val="0"/>
      <w:divBdr>
        <w:top w:val="none" w:sz="0" w:space="0" w:color="auto"/>
        <w:left w:val="none" w:sz="0" w:space="0" w:color="auto"/>
        <w:bottom w:val="none" w:sz="0" w:space="0" w:color="auto"/>
        <w:right w:val="none" w:sz="0" w:space="0" w:color="auto"/>
      </w:divBdr>
    </w:div>
    <w:div w:id="200216614">
      <w:bodyDiv w:val="1"/>
      <w:marLeft w:val="0"/>
      <w:marRight w:val="0"/>
      <w:marTop w:val="0"/>
      <w:marBottom w:val="0"/>
      <w:divBdr>
        <w:top w:val="none" w:sz="0" w:space="0" w:color="auto"/>
        <w:left w:val="none" w:sz="0" w:space="0" w:color="auto"/>
        <w:bottom w:val="none" w:sz="0" w:space="0" w:color="auto"/>
        <w:right w:val="none" w:sz="0" w:space="0" w:color="auto"/>
      </w:divBdr>
    </w:div>
    <w:div w:id="241256330">
      <w:bodyDiv w:val="1"/>
      <w:marLeft w:val="0"/>
      <w:marRight w:val="0"/>
      <w:marTop w:val="0"/>
      <w:marBottom w:val="0"/>
      <w:divBdr>
        <w:top w:val="none" w:sz="0" w:space="0" w:color="auto"/>
        <w:left w:val="none" w:sz="0" w:space="0" w:color="auto"/>
        <w:bottom w:val="none" w:sz="0" w:space="0" w:color="auto"/>
        <w:right w:val="none" w:sz="0" w:space="0" w:color="auto"/>
      </w:divBdr>
    </w:div>
    <w:div w:id="305400592">
      <w:bodyDiv w:val="1"/>
      <w:marLeft w:val="0"/>
      <w:marRight w:val="0"/>
      <w:marTop w:val="0"/>
      <w:marBottom w:val="0"/>
      <w:divBdr>
        <w:top w:val="none" w:sz="0" w:space="0" w:color="auto"/>
        <w:left w:val="none" w:sz="0" w:space="0" w:color="auto"/>
        <w:bottom w:val="none" w:sz="0" w:space="0" w:color="auto"/>
        <w:right w:val="none" w:sz="0" w:space="0" w:color="auto"/>
      </w:divBdr>
    </w:div>
    <w:div w:id="313145778">
      <w:bodyDiv w:val="1"/>
      <w:marLeft w:val="0"/>
      <w:marRight w:val="0"/>
      <w:marTop w:val="0"/>
      <w:marBottom w:val="0"/>
      <w:divBdr>
        <w:top w:val="none" w:sz="0" w:space="0" w:color="auto"/>
        <w:left w:val="none" w:sz="0" w:space="0" w:color="auto"/>
        <w:bottom w:val="none" w:sz="0" w:space="0" w:color="auto"/>
        <w:right w:val="none" w:sz="0" w:space="0" w:color="auto"/>
      </w:divBdr>
    </w:div>
    <w:div w:id="326372098">
      <w:bodyDiv w:val="1"/>
      <w:marLeft w:val="0"/>
      <w:marRight w:val="0"/>
      <w:marTop w:val="0"/>
      <w:marBottom w:val="0"/>
      <w:divBdr>
        <w:top w:val="none" w:sz="0" w:space="0" w:color="auto"/>
        <w:left w:val="none" w:sz="0" w:space="0" w:color="auto"/>
        <w:bottom w:val="none" w:sz="0" w:space="0" w:color="auto"/>
        <w:right w:val="none" w:sz="0" w:space="0" w:color="auto"/>
      </w:divBdr>
    </w:div>
    <w:div w:id="331883772">
      <w:bodyDiv w:val="1"/>
      <w:marLeft w:val="0"/>
      <w:marRight w:val="0"/>
      <w:marTop w:val="0"/>
      <w:marBottom w:val="0"/>
      <w:divBdr>
        <w:top w:val="none" w:sz="0" w:space="0" w:color="auto"/>
        <w:left w:val="none" w:sz="0" w:space="0" w:color="auto"/>
        <w:bottom w:val="none" w:sz="0" w:space="0" w:color="auto"/>
        <w:right w:val="none" w:sz="0" w:space="0" w:color="auto"/>
      </w:divBdr>
    </w:div>
    <w:div w:id="334964833">
      <w:bodyDiv w:val="1"/>
      <w:marLeft w:val="0"/>
      <w:marRight w:val="0"/>
      <w:marTop w:val="0"/>
      <w:marBottom w:val="0"/>
      <w:divBdr>
        <w:top w:val="none" w:sz="0" w:space="0" w:color="auto"/>
        <w:left w:val="none" w:sz="0" w:space="0" w:color="auto"/>
        <w:bottom w:val="none" w:sz="0" w:space="0" w:color="auto"/>
        <w:right w:val="none" w:sz="0" w:space="0" w:color="auto"/>
      </w:divBdr>
    </w:div>
    <w:div w:id="353072148">
      <w:bodyDiv w:val="1"/>
      <w:marLeft w:val="0"/>
      <w:marRight w:val="0"/>
      <w:marTop w:val="0"/>
      <w:marBottom w:val="0"/>
      <w:divBdr>
        <w:top w:val="none" w:sz="0" w:space="0" w:color="auto"/>
        <w:left w:val="none" w:sz="0" w:space="0" w:color="auto"/>
        <w:bottom w:val="none" w:sz="0" w:space="0" w:color="auto"/>
        <w:right w:val="none" w:sz="0" w:space="0" w:color="auto"/>
      </w:divBdr>
    </w:div>
    <w:div w:id="359477087">
      <w:bodyDiv w:val="1"/>
      <w:marLeft w:val="0"/>
      <w:marRight w:val="0"/>
      <w:marTop w:val="0"/>
      <w:marBottom w:val="0"/>
      <w:divBdr>
        <w:top w:val="none" w:sz="0" w:space="0" w:color="auto"/>
        <w:left w:val="none" w:sz="0" w:space="0" w:color="auto"/>
        <w:bottom w:val="none" w:sz="0" w:space="0" w:color="auto"/>
        <w:right w:val="none" w:sz="0" w:space="0" w:color="auto"/>
      </w:divBdr>
    </w:div>
    <w:div w:id="377054847">
      <w:bodyDiv w:val="1"/>
      <w:marLeft w:val="0"/>
      <w:marRight w:val="0"/>
      <w:marTop w:val="0"/>
      <w:marBottom w:val="0"/>
      <w:divBdr>
        <w:top w:val="none" w:sz="0" w:space="0" w:color="auto"/>
        <w:left w:val="none" w:sz="0" w:space="0" w:color="auto"/>
        <w:bottom w:val="none" w:sz="0" w:space="0" w:color="auto"/>
        <w:right w:val="none" w:sz="0" w:space="0" w:color="auto"/>
      </w:divBdr>
    </w:div>
    <w:div w:id="396321732">
      <w:bodyDiv w:val="1"/>
      <w:marLeft w:val="0"/>
      <w:marRight w:val="0"/>
      <w:marTop w:val="0"/>
      <w:marBottom w:val="0"/>
      <w:divBdr>
        <w:top w:val="none" w:sz="0" w:space="0" w:color="auto"/>
        <w:left w:val="none" w:sz="0" w:space="0" w:color="auto"/>
        <w:bottom w:val="none" w:sz="0" w:space="0" w:color="auto"/>
        <w:right w:val="none" w:sz="0" w:space="0" w:color="auto"/>
      </w:divBdr>
    </w:div>
    <w:div w:id="410278145">
      <w:bodyDiv w:val="1"/>
      <w:marLeft w:val="0"/>
      <w:marRight w:val="0"/>
      <w:marTop w:val="0"/>
      <w:marBottom w:val="0"/>
      <w:divBdr>
        <w:top w:val="none" w:sz="0" w:space="0" w:color="auto"/>
        <w:left w:val="none" w:sz="0" w:space="0" w:color="auto"/>
        <w:bottom w:val="none" w:sz="0" w:space="0" w:color="auto"/>
        <w:right w:val="none" w:sz="0" w:space="0" w:color="auto"/>
      </w:divBdr>
    </w:div>
    <w:div w:id="415829453">
      <w:bodyDiv w:val="1"/>
      <w:marLeft w:val="0"/>
      <w:marRight w:val="0"/>
      <w:marTop w:val="0"/>
      <w:marBottom w:val="0"/>
      <w:divBdr>
        <w:top w:val="none" w:sz="0" w:space="0" w:color="auto"/>
        <w:left w:val="none" w:sz="0" w:space="0" w:color="auto"/>
        <w:bottom w:val="none" w:sz="0" w:space="0" w:color="auto"/>
        <w:right w:val="none" w:sz="0" w:space="0" w:color="auto"/>
      </w:divBdr>
    </w:div>
    <w:div w:id="426579419">
      <w:bodyDiv w:val="1"/>
      <w:marLeft w:val="0"/>
      <w:marRight w:val="0"/>
      <w:marTop w:val="0"/>
      <w:marBottom w:val="0"/>
      <w:divBdr>
        <w:top w:val="none" w:sz="0" w:space="0" w:color="auto"/>
        <w:left w:val="none" w:sz="0" w:space="0" w:color="auto"/>
        <w:bottom w:val="none" w:sz="0" w:space="0" w:color="auto"/>
        <w:right w:val="none" w:sz="0" w:space="0" w:color="auto"/>
      </w:divBdr>
    </w:div>
    <w:div w:id="427896548">
      <w:bodyDiv w:val="1"/>
      <w:marLeft w:val="0"/>
      <w:marRight w:val="0"/>
      <w:marTop w:val="0"/>
      <w:marBottom w:val="0"/>
      <w:divBdr>
        <w:top w:val="none" w:sz="0" w:space="0" w:color="auto"/>
        <w:left w:val="none" w:sz="0" w:space="0" w:color="auto"/>
        <w:bottom w:val="none" w:sz="0" w:space="0" w:color="auto"/>
        <w:right w:val="none" w:sz="0" w:space="0" w:color="auto"/>
      </w:divBdr>
    </w:div>
    <w:div w:id="445663022">
      <w:bodyDiv w:val="1"/>
      <w:marLeft w:val="0"/>
      <w:marRight w:val="0"/>
      <w:marTop w:val="0"/>
      <w:marBottom w:val="0"/>
      <w:divBdr>
        <w:top w:val="none" w:sz="0" w:space="0" w:color="auto"/>
        <w:left w:val="none" w:sz="0" w:space="0" w:color="auto"/>
        <w:bottom w:val="none" w:sz="0" w:space="0" w:color="auto"/>
        <w:right w:val="none" w:sz="0" w:space="0" w:color="auto"/>
      </w:divBdr>
    </w:div>
    <w:div w:id="448089929">
      <w:bodyDiv w:val="1"/>
      <w:marLeft w:val="0"/>
      <w:marRight w:val="0"/>
      <w:marTop w:val="0"/>
      <w:marBottom w:val="0"/>
      <w:divBdr>
        <w:top w:val="none" w:sz="0" w:space="0" w:color="auto"/>
        <w:left w:val="none" w:sz="0" w:space="0" w:color="auto"/>
        <w:bottom w:val="none" w:sz="0" w:space="0" w:color="auto"/>
        <w:right w:val="none" w:sz="0" w:space="0" w:color="auto"/>
      </w:divBdr>
    </w:div>
    <w:div w:id="454178328">
      <w:bodyDiv w:val="1"/>
      <w:marLeft w:val="0"/>
      <w:marRight w:val="0"/>
      <w:marTop w:val="0"/>
      <w:marBottom w:val="0"/>
      <w:divBdr>
        <w:top w:val="none" w:sz="0" w:space="0" w:color="auto"/>
        <w:left w:val="none" w:sz="0" w:space="0" w:color="auto"/>
        <w:bottom w:val="none" w:sz="0" w:space="0" w:color="auto"/>
        <w:right w:val="none" w:sz="0" w:space="0" w:color="auto"/>
      </w:divBdr>
    </w:div>
    <w:div w:id="454443768">
      <w:bodyDiv w:val="1"/>
      <w:marLeft w:val="0"/>
      <w:marRight w:val="0"/>
      <w:marTop w:val="0"/>
      <w:marBottom w:val="0"/>
      <w:divBdr>
        <w:top w:val="none" w:sz="0" w:space="0" w:color="auto"/>
        <w:left w:val="none" w:sz="0" w:space="0" w:color="auto"/>
        <w:bottom w:val="none" w:sz="0" w:space="0" w:color="auto"/>
        <w:right w:val="none" w:sz="0" w:space="0" w:color="auto"/>
      </w:divBdr>
    </w:div>
    <w:div w:id="481581726">
      <w:bodyDiv w:val="1"/>
      <w:marLeft w:val="0"/>
      <w:marRight w:val="0"/>
      <w:marTop w:val="0"/>
      <w:marBottom w:val="0"/>
      <w:divBdr>
        <w:top w:val="none" w:sz="0" w:space="0" w:color="auto"/>
        <w:left w:val="none" w:sz="0" w:space="0" w:color="auto"/>
        <w:bottom w:val="none" w:sz="0" w:space="0" w:color="auto"/>
        <w:right w:val="none" w:sz="0" w:space="0" w:color="auto"/>
      </w:divBdr>
    </w:div>
    <w:div w:id="562721201">
      <w:bodyDiv w:val="1"/>
      <w:marLeft w:val="0"/>
      <w:marRight w:val="0"/>
      <w:marTop w:val="0"/>
      <w:marBottom w:val="0"/>
      <w:divBdr>
        <w:top w:val="none" w:sz="0" w:space="0" w:color="auto"/>
        <w:left w:val="none" w:sz="0" w:space="0" w:color="auto"/>
        <w:bottom w:val="none" w:sz="0" w:space="0" w:color="auto"/>
        <w:right w:val="none" w:sz="0" w:space="0" w:color="auto"/>
      </w:divBdr>
    </w:div>
    <w:div w:id="568153395">
      <w:bodyDiv w:val="1"/>
      <w:marLeft w:val="0"/>
      <w:marRight w:val="0"/>
      <w:marTop w:val="0"/>
      <w:marBottom w:val="0"/>
      <w:divBdr>
        <w:top w:val="none" w:sz="0" w:space="0" w:color="auto"/>
        <w:left w:val="none" w:sz="0" w:space="0" w:color="auto"/>
        <w:bottom w:val="none" w:sz="0" w:space="0" w:color="auto"/>
        <w:right w:val="none" w:sz="0" w:space="0" w:color="auto"/>
      </w:divBdr>
    </w:div>
    <w:div w:id="574239731">
      <w:bodyDiv w:val="1"/>
      <w:marLeft w:val="0"/>
      <w:marRight w:val="0"/>
      <w:marTop w:val="0"/>
      <w:marBottom w:val="0"/>
      <w:divBdr>
        <w:top w:val="none" w:sz="0" w:space="0" w:color="auto"/>
        <w:left w:val="none" w:sz="0" w:space="0" w:color="auto"/>
        <w:bottom w:val="none" w:sz="0" w:space="0" w:color="auto"/>
        <w:right w:val="none" w:sz="0" w:space="0" w:color="auto"/>
      </w:divBdr>
    </w:div>
    <w:div w:id="652566698">
      <w:bodyDiv w:val="1"/>
      <w:marLeft w:val="0"/>
      <w:marRight w:val="0"/>
      <w:marTop w:val="0"/>
      <w:marBottom w:val="0"/>
      <w:divBdr>
        <w:top w:val="none" w:sz="0" w:space="0" w:color="auto"/>
        <w:left w:val="none" w:sz="0" w:space="0" w:color="auto"/>
        <w:bottom w:val="none" w:sz="0" w:space="0" w:color="auto"/>
        <w:right w:val="none" w:sz="0" w:space="0" w:color="auto"/>
      </w:divBdr>
    </w:div>
    <w:div w:id="656418099">
      <w:bodyDiv w:val="1"/>
      <w:marLeft w:val="0"/>
      <w:marRight w:val="0"/>
      <w:marTop w:val="0"/>
      <w:marBottom w:val="0"/>
      <w:divBdr>
        <w:top w:val="none" w:sz="0" w:space="0" w:color="auto"/>
        <w:left w:val="none" w:sz="0" w:space="0" w:color="auto"/>
        <w:bottom w:val="none" w:sz="0" w:space="0" w:color="auto"/>
        <w:right w:val="none" w:sz="0" w:space="0" w:color="auto"/>
      </w:divBdr>
    </w:div>
    <w:div w:id="679354668">
      <w:bodyDiv w:val="1"/>
      <w:marLeft w:val="0"/>
      <w:marRight w:val="0"/>
      <w:marTop w:val="0"/>
      <w:marBottom w:val="0"/>
      <w:divBdr>
        <w:top w:val="none" w:sz="0" w:space="0" w:color="auto"/>
        <w:left w:val="none" w:sz="0" w:space="0" w:color="auto"/>
        <w:bottom w:val="none" w:sz="0" w:space="0" w:color="auto"/>
        <w:right w:val="none" w:sz="0" w:space="0" w:color="auto"/>
      </w:divBdr>
    </w:div>
    <w:div w:id="681203838">
      <w:bodyDiv w:val="1"/>
      <w:marLeft w:val="0"/>
      <w:marRight w:val="0"/>
      <w:marTop w:val="0"/>
      <w:marBottom w:val="0"/>
      <w:divBdr>
        <w:top w:val="none" w:sz="0" w:space="0" w:color="auto"/>
        <w:left w:val="none" w:sz="0" w:space="0" w:color="auto"/>
        <w:bottom w:val="none" w:sz="0" w:space="0" w:color="auto"/>
        <w:right w:val="none" w:sz="0" w:space="0" w:color="auto"/>
      </w:divBdr>
    </w:div>
    <w:div w:id="710153788">
      <w:bodyDiv w:val="1"/>
      <w:marLeft w:val="0"/>
      <w:marRight w:val="0"/>
      <w:marTop w:val="0"/>
      <w:marBottom w:val="0"/>
      <w:divBdr>
        <w:top w:val="none" w:sz="0" w:space="0" w:color="auto"/>
        <w:left w:val="none" w:sz="0" w:space="0" w:color="auto"/>
        <w:bottom w:val="none" w:sz="0" w:space="0" w:color="auto"/>
        <w:right w:val="none" w:sz="0" w:space="0" w:color="auto"/>
      </w:divBdr>
    </w:div>
    <w:div w:id="730617518">
      <w:bodyDiv w:val="1"/>
      <w:marLeft w:val="0"/>
      <w:marRight w:val="0"/>
      <w:marTop w:val="0"/>
      <w:marBottom w:val="0"/>
      <w:divBdr>
        <w:top w:val="none" w:sz="0" w:space="0" w:color="auto"/>
        <w:left w:val="none" w:sz="0" w:space="0" w:color="auto"/>
        <w:bottom w:val="none" w:sz="0" w:space="0" w:color="auto"/>
        <w:right w:val="none" w:sz="0" w:space="0" w:color="auto"/>
      </w:divBdr>
    </w:div>
    <w:div w:id="757023773">
      <w:bodyDiv w:val="1"/>
      <w:marLeft w:val="0"/>
      <w:marRight w:val="0"/>
      <w:marTop w:val="0"/>
      <w:marBottom w:val="0"/>
      <w:divBdr>
        <w:top w:val="none" w:sz="0" w:space="0" w:color="auto"/>
        <w:left w:val="none" w:sz="0" w:space="0" w:color="auto"/>
        <w:bottom w:val="none" w:sz="0" w:space="0" w:color="auto"/>
        <w:right w:val="none" w:sz="0" w:space="0" w:color="auto"/>
      </w:divBdr>
    </w:div>
    <w:div w:id="771898710">
      <w:bodyDiv w:val="1"/>
      <w:marLeft w:val="0"/>
      <w:marRight w:val="0"/>
      <w:marTop w:val="0"/>
      <w:marBottom w:val="0"/>
      <w:divBdr>
        <w:top w:val="none" w:sz="0" w:space="0" w:color="auto"/>
        <w:left w:val="none" w:sz="0" w:space="0" w:color="auto"/>
        <w:bottom w:val="none" w:sz="0" w:space="0" w:color="auto"/>
        <w:right w:val="none" w:sz="0" w:space="0" w:color="auto"/>
      </w:divBdr>
    </w:div>
    <w:div w:id="782573030">
      <w:bodyDiv w:val="1"/>
      <w:marLeft w:val="0"/>
      <w:marRight w:val="0"/>
      <w:marTop w:val="0"/>
      <w:marBottom w:val="0"/>
      <w:divBdr>
        <w:top w:val="none" w:sz="0" w:space="0" w:color="auto"/>
        <w:left w:val="none" w:sz="0" w:space="0" w:color="auto"/>
        <w:bottom w:val="none" w:sz="0" w:space="0" w:color="auto"/>
        <w:right w:val="none" w:sz="0" w:space="0" w:color="auto"/>
      </w:divBdr>
    </w:div>
    <w:div w:id="794060677">
      <w:bodyDiv w:val="1"/>
      <w:marLeft w:val="0"/>
      <w:marRight w:val="0"/>
      <w:marTop w:val="0"/>
      <w:marBottom w:val="0"/>
      <w:divBdr>
        <w:top w:val="none" w:sz="0" w:space="0" w:color="auto"/>
        <w:left w:val="none" w:sz="0" w:space="0" w:color="auto"/>
        <w:bottom w:val="none" w:sz="0" w:space="0" w:color="auto"/>
        <w:right w:val="none" w:sz="0" w:space="0" w:color="auto"/>
      </w:divBdr>
    </w:div>
    <w:div w:id="828407266">
      <w:bodyDiv w:val="1"/>
      <w:marLeft w:val="0"/>
      <w:marRight w:val="0"/>
      <w:marTop w:val="0"/>
      <w:marBottom w:val="0"/>
      <w:divBdr>
        <w:top w:val="none" w:sz="0" w:space="0" w:color="auto"/>
        <w:left w:val="none" w:sz="0" w:space="0" w:color="auto"/>
        <w:bottom w:val="none" w:sz="0" w:space="0" w:color="auto"/>
        <w:right w:val="none" w:sz="0" w:space="0" w:color="auto"/>
      </w:divBdr>
    </w:div>
    <w:div w:id="856040271">
      <w:bodyDiv w:val="1"/>
      <w:marLeft w:val="0"/>
      <w:marRight w:val="0"/>
      <w:marTop w:val="0"/>
      <w:marBottom w:val="0"/>
      <w:divBdr>
        <w:top w:val="none" w:sz="0" w:space="0" w:color="auto"/>
        <w:left w:val="none" w:sz="0" w:space="0" w:color="auto"/>
        <w:bottom w:val="none" w:sz="0" w:space="0" w:color="auto"/>
        <w:right w:val="none" w:sz="0" w:space="0" w:color="auto"/>
      </w:divBdr>
    </w:div>
    <w:div w:id="858928619">
      <w:bodyDiv w:val="1"/>
      <w:marLeft w:val="0"/>
      <w:marRight w:val="0"/>
      <w:marTop w:val="0"/>
      <w:marBottom w:val="0"/>
      <w:divBdr>
        <w:top w:val="none" w:sz="0" w:space="0" w:color="auto"/>
        <w:left w:val="none" w:sz="0" w:space="0" w:color="auto"/>
        <w:bottom w:val="none" w:sz="0" w:space="0" w:color="auto"/>
        <w:right w:val="none" w:sz="0" w:space="0" w:color="auto"/>
      </w:divBdr>
    </w:div>
    <w:div w:id="921179558">
      <w:bodyDiv w:val="1"/>
      <w:marLeft w:val="0"/>
      <w:marRight w:val="0"/>
      <w:marTop w:val="0"/>
      <w:marBottom w:val="0"/>
      <w:divBdr>
        <w:top w:val="none" w:sz="0" w:space="0" w:color="auto"/>
        <w:left w:val="none" w:sz="0" w:space="0" w:color="auto"/>
        <w:bottom w:val="none" w:sz="0" w:space="0" w:color="auto"/>
        <w:right w:val="none" w:sz="0" w:space="0" w:color="auto"/>
      </w:divBdr>
    </w:div>
    <w:div w:id="939138883">
      <w:bodyDiv w:val="1"/>
      <w:marLeft w:val="0"/>
      <w:marRight w:val="0"/>
      <w:marTop w:val="0"/>
      <w:marBottom w:val="0"/>
      <w:divBdr>
        <w:top w:val="none" w:sz="0" w:space="0" w:color="auto"/>
        <w:left w:val="none" w:sz="0" w:space="0" w:color="auto"/>
        <w:bottom w:val="none" w:sz="0" w:space="0" w:color="auto"/>
        <w:right w:val="none" w:sz="0" w:space="0" w:color="auto"/>
      </w:divBdr>
    </w:div>
    <w:div w:id="948246472">
      <w:bodyDiv w:val="1"/>
      <w:marLeft w:val="0"/>
      <w:marRight w:val="0"/>
      <w:marTop w:val="0"/>
      <w:marBottom w:val="0"/>
      <w:divBdr>
        <w:top w:val="none" w:sz="0" w:space="0" w:color="auto"/>
        <w:left w:val="none" w:sz="0" w:space="0" w:color="auto"/>
        <w:bottom w:val="none" w:sz="0" w:space="0" w:color="auto"/>
        <w:right w:val="none" w:sz="0" w:space="0" w:color="auto"/>
      </w:divBdr>
    </w:div>
    <w:div w:id="996346707">
      <w:bodyDiv w:val="1"/>
      <w:marLeft w:val="0"/>
      <w:marRight w:val="0"/>
      <w:marTop w:val="0"/>
      <w:marBottom w:val="0"/>
      <w:divBdr>
        <w:top w:val="none" w:sz="0" w:space="0" w:color="auto"/>
        <w:left w:val="none" w:sz="0" w:space="0" w:color="auto"/>
        <w:bottom w:val="none" w:sz="0" w:space="0" w:color="auto"/>
        <w:right w:val="none" w:sz="0" w:space="0" w:color="auto"/>
      </w:divBdr>
    </w:div>
    <w:div w:id="1001079818">
      <w:bodyDiv w:val="1"/>
      <w:marLeft w:val="0"/>
      <w:marRight w:val="0"/>
      <w:marTop w:val="0"/>
      <w:marBottom w:val="0"/>
      <w:divBdr>
        <w:top w:val="none" w:sz="0" w:space="0" w:color="auto"/>
        <w:left w:val="none" w:sz="0" w:space="0" w:color="auto"/>
        <w:bottom w:val="none" w:sz="0" w:space="0" w:color="auto"/>
        <w:right w:val="none" w:sz="0" w:space="0" w:color="auto"/>
      </w:divBdr>
    </w:div>
    <w:div w:id="1020202878">
      <w:bodyDiv w:val="1"/>
      <w:marLeft w:val="0"/>
      <w:marRight w:val="0"/>
      <w:marTop w:val="0"/>
      <w:marBottom w:val="0"/>
      <w:divBdr>
        <w:top w:val="none" w:sz="0" w:space="0" w:color="auto"/>
        <w:left w:val="none" w:sz="0" w:space="0" w:color="auto"/>
        <w:bottom w:val="none" w:sz="0" w:space="0" w:color="auto"/>
        <w:right w:val="none" w:sz="0" w:space="0" w:color="auto"/>
      </w:divBdr>
    </w:div>
    <w:div w:id="1049232611">
      <w:bodyDiv w:val="1"/>
      <w:marLeft w:val="0"/>
      <w:marRight w:val="0"/>
      <w:marTop w:val="0"/>
      <w:marBottom w:val="0"/>
      <w:divBdr>
        <w:top w:val="none" w:sz="0" w:space="0" w:color="auto"/>
        <w:left w:val="none" w:sz="0" w:space="0" w:color="auto"/>
        <w:bottom w:val="none" w:sz="0" w:space="0" w:color="auto"/>
        <w:right w:val="none" w:sz="0" w:space="0" w:color="auto"/>
      </w:divBdr>
    </w:div>
    <w:div w:id="1112095292">
      <w:bodyDiv w:val="1"/>
      <w:marLeft w:val="0"/>
      <w:marRight w:val="0"/>
      <w:marTop w:val="0"/>
      <w:marBottom w:val="0"/>
      <w:divBdr>
        <w:top w:val="none" w:sz="0" w:space="0" w:color="auto"/>
        <w:left w:val="none" w:sz="0" w:space="0" w:color="auto"/>
        <w:bottom w:val="none" w:sz="0" w:space="0" w:color="auto"/>
        <w:right w:val="none" w:sz="0" w:space="0" w:color="auto"/>
      </w:divBdr>
    </w:div>
    <w:div w:id="1121458592">
      <w:bodyDiv w:val="1"/>
      <w:marLeft w:val="0"/>
      <w:marRight w:val="0"/>
      <w:marTop w:val="0"/>
      <w:marBottom w:val="0"/>
      <w:divBdr>
        <w:top w:val="none" w:sz="0" w:space="0" w:color="auto"/>
        <w:left w:val="none" w:sz="0" w:space="0" w:color="auto"/>
        <w:bottom w:val="none" w:sz="0" w:space="0" w:color="auto"/>
        <w:right w:val="none" w:sz="0" w:space="0" w:color="auto"/>
      </w:divBdr>
    </w:div>
    <w:div w:id="1136607728">
      <w:bodyDiv w:val="1"/>
      <w:marLeft w:val="0"/>
      <w:marRight w:val="0"/>
      <w:marTop w:val="0"/>
      <w:marBottom w:val="0"/>
      <w:divBdr>
        <w:top w:val="none" w:sz="0" w:space="0" w:color="auto"/>
        <w:left w:val="none" w:sz="0" w:space="0" w:color="auto"/>
        <w:bottom w:val="none" w:sz="0" w:space="0" w:color="auto"/>
        <w:right w:val="none" w:sz="0" w:space="0" w:color="auto"/>
      </w:divBdr>
    </w:div>
    <w:div w:id="1156334727">
      <w:bodyDiv w:val="1"/>
      <w:marLeft w:val="0"/>
      <w:marRight w:val="0"/>
      <w:marTop w:val="0"/>
      <w:marBottom w:val="0"/>
      <w:divBdr>
        <w:top w:val="none" w:sz="0" w:space="0" w:color="auto"/>
        <w:left w:val="none" w:sz="0" w:space="0" w:color="auto"/>
        <w:bottom w:val="none" w:sz="0" w:space="0" w:color="auto"/>
        <w:right w:val="none" w:sz="0" w:space="0" w:color="auto"/>
      </w:divBdr>
    </w:div>
    <w:div w:id="1160343999">
      <w:bodyDiv w:val="1"/>
      <w:marLeft w:val="0"/>
      <w:marRight w:val="0"/>
      <w:marTop w:val="0"/>
      <w:marBottom w:val="0"/>
      <w:divBdr>
        <w:top w:val="none" w:sz="0" w:space="0" w:color="auto"/>
        <w:left w:val="none" w:sz="0" w:space="0" w:color="auto"/>
        <w:bottom w:val="none" w:sz="0" w:space="0" w:color="auto"/>
        <w:right w:val="none" w:sz="0" w:space="0" w:color="auto"/>
      </w:divBdr>
    </w:div>
    <w:div w:id="1241528394">
      <w:bodyDiv w:val="1"/>
      <w:marLeft w:val="0"/>
      <w:marRight w:val="0"/>
      <w:marTop w:val="0"/>
      <w:marBottom w:val="0"/>
      <w:divBdr>
        <w:top w:val="none" w:sz="0" w:space="0" w:color="auto"/>
        <w:left w:val="none" w:sz="0" w:space="0" w:color="auto"/>
        <w:bottom w:val="none" w:sz="0" w:space="0" w:color="auto"/>
        <w:right w:val="none" w:sz="0" w:space="0" w:color="auto"/>
      </w:divBdr>
    </w:div>
    <w:div w:id="1267031858">
      <w:bodyDiv w:val="1"/>
      <w:marLeft w:val="0"/>
      <w:marRight w:val="0"/>
      <w:marTop w:val="0"/>
      <w:marBottom w:val="0"/>
      <w:divBdr>
        <w:top w:val="none" w:sz="0" w:space="0" w:color="auto"/>
        <w:left w:val="none" w:sz="0" w:space="0" w:color="auto"/>
        <w:bottom w:val="none" w:sz="0" w:space="0" w:color="auto"/>
        <w:right w:val="none" w:sz="0" w:space="0" w:color="auto"/>
      </w:divBdr>
    </w:div>
    <w:div w:id="1270965454">
      <w:bodyDiv w:val="1"/>
      <w:marLeft w:val="0"/>
      <w:marRight w:val="0"/>
      <w:marTop w:val="0"/>
      <w:marBottom w:val="0"/>
      <w:divBdr>
        <w:top w:val="none" w:sz="0" w:space="0" w:color="auto"/>
        <w:left w:val="none" w:sz="0" w:space="0" w:color="auto"/>
        <w:bottom w:val="none" w:sz="0" w:space="0" w:color="auto"/>
        <w:right w:val="none" w:sz="0" w:space="0" w:color="auto"/>
      </w:divBdr>
    </w:div>
    <w:div w:id="1280450663">
      <w:bodyDiv w:val="1"/>
      <w:marLeft w:val="0"/>
      <w:marRight w:val="0"/>
      <w:marTop w:val="0"/>
      <w:marBottom w:val="0"/>
      <w:divBdr>
        <w:top w:val="none" w:sz="0" w:space="0" w:color="auto"/>
        <w:left w:val="none" w:sz="0" w:space="0" w:color="auto"/>
        <w:bottom w:val="none" w:sz="0" w:space="0" w:color="auto"/>
        <w:right w:val="none" w:sz="0" w:space="0" w:color="auto"/>
      </w:divBdr>
    </w:div>
    <w:div w:id="1338000635">
      <w:bodyDiv w:val="1"/>
      <w:marLeft w:val="0"/>
      <w:marRight w:val="0"/>
      <w:marTop w:val="0"/>
      <w:marBottom w:val="0"/>
      <w:divBdr>
        <w:top w:val="none" w:sz="0" w:space="0" w:color="auto"/>
        <w:left w:val="none" w:sz="0" w:space="0" w:color="auto"/>
        <w:bottom w:val="none" w:sz="0" w:space="0" w:color="auto"/>
        <w:right w:val="none" w:sz="0" w:space="0" w:color="auto"/>
      </w:divBdr>
    </w:div>
    <w:div w:id="1358699463">
      <w:bodyDiv w:val="1"/>
      <w:marLeft w:val="0"/>
      <w:marRight w:val="0"/>
      <w:marTop w:val="0"/>
      <w:marBottom w:val="0"/>
      <w:divBdr>
        <w:top w:val="none" w:sz="0" w:space="0" w:color="auto"/>
        <w:left w:val="none" w:sz="0" w:space="0" w:color="auto"/>
        <w:bottom w:val="none" w:sz="0" w:space="0" w:color="auto"/>
        <w:right w:val="none" w:sz="0" w:space="0" w:color="auto"/>
      </w:divBdr>
    </w:div>
    <w:div w:id="1365640779">
      <w:bodyDiv w:val="1"/>
      <w:marLeft w:val="0"/>
      <w:marRight w:val="0"/>
      <w:marTop w:val="0"/>
      <w:marBottom w:val="0"/>
      <w:divBdr>
        <w:top w:val="none" w:sz="0" w:space="0" w:color="auto"/>
        <w:left w:val="none" w:sz="0" w:space="0" w:color="auto"/>
        <w:bottom w:val="none" w:sz="0" w:space="0" w:color="auto"/>
        <w:right w:val="none" w:sz="0" w:space="0" w:color="auto"/>
      </w:divBdr>
    </w:div>
    <w:div w:id="1383334301">
      <w:bodyDiv w:val="1"/>
      <w:marLeft w:val="0"/>
      <w:marRight w:val="0"/>
      <w:marTop w:val="0"/>
      <w:marBottom w:val="0"/>
      <w:divBdr>
        <w:top w:val="none" w:sz="0" w:space="0" w:color="auto"/>
        <w:left w:val="none" w:sz="0" w:space="0" w:color="auto"/>
        <w:bottom w:val="none" w:sz="0" w:space="0" w:color="auto"/>
        <w:right w:val="none" w:sz="0" w:space="0" w:color="auto"/>
      </w:divBdr>
    </w:div>
    <w:div w:id="1417439536">
      <w:bodyDiv w:val="1"/>
      <w:marLeft w:val="0"/>
      <w:marRight w:val="0"/>
      <w:marTop w:val="0"/>
      <w:marBottom w:val="0"/>
      <w:divBdr>
        <w:top w:val="none" w:sz="0" w:space="0" w:color="auto"/>
        <w:left w:val="none" w:sz="0" w:space="0" w:color="auto"/>
        <w:bottom w:val="none" w:sz="0" w:space="0" w:color="auto"/>
        <w:right w:val="none" w:sz="0" w:space="0" w:color="auto"/>
      </w:divBdr>
    </w:div>
    <w:div w:id="1490712444">
      <w:bodyDiv w:val="1"/>
      <w:marLeft w:val="0"/>
      <w:marRight w:val="0"/>
      <w:marTop w:val="0"/>
      <w:marBottom w:val="0"/>
      <w:divBdr>
        <w:top w:val="none" w:sz="0" w:space="0" w:color="auto"/>
        <w:left w:val="none" w:sz="0" w:space="0" w:color="auto"/>
        <w:bottom w:val="none" w:sz="0" w:space="0" w:color="auto"/>
        <w:right w:val="none" w:sz="0" w:space="0" w:color="auto"/>
      </w:divBdr>
    </w:div>
    <w:div w:id="1540583437">
      <w:bodyDiv w:val="1"/>
      <w:marLeft w:val="0"/>
      <w:marRight w:val="0"/>
      <w:marTop w:val="0"/>
      <w:marBottom w:val="0"/>
      <w:divBdr>
        <w:top w:val="none" w:sz="0" w:space="0" w:color="auto"/>
        <w:left w:val="none" w:sz="0" w:space="0" w:color="auto"/>
        <w:bottom w:val="none" w:sz="0" w:space="0" w:color="auto"/>
        <w:right w:val="none" w:sz="0" w:space="0" w:color="auto"/>
      </w:divBdr>
    </w:div>
    <w:div w:id="1595941551">
      <w:bodyDiv w:val="1"/>
      <w:marLeft w:val="0"/>
      <w:marRight w:val="0"/>
      <w:marTop w:val="0"/>
      <w:marBottom w:val="0"/>
      <w:divBdr>
        <w:top w:val="none" w:sz="0" w:space="0" w:color="auto"/>
        <w:left w:val="none" w:sz="0" w:space="0" w:color="auto"/>
        <w:bottom w:val="none" w:sz="0" w:space="0" w:color="auto"/>
        <w:right w:val="none" w:sz="0" w:space="0" w:color="auto"/>
      </w:divBdr>
    </w:div>
    <w:div w:id="1625236540">
      <w:bodyDiv w:val="1"/>
      <w:marLeft w:val="0"/>
      <w:marRight w:val="0"/>
      <w:marTop w:val="0"/>
      <w:marBottom w:val="0"/>
      <w:divBdr>
        <w:top w:val="none" w:sz="0" w:space="0" w:color="auto"/>
        <w:left w:val="none" w:sz="0" w:space="0" w:color="auto"/>
        <w:bottom w:val="none" w:sz="0" w:space="0" w:color="auto"/>
        <w:right w:val="none" w:sz="0" w:space="0" w:color="auto"/>
      </w:divBdr>
    </w:div>
    <w:div w:id="1637904619">
      <w:bodyDiv w:val="1"/>
      <w:marLeft w:val="0"/>
      <w:marRight w:val="0"/>
      <w:marTop w:val="0"/>
      <w:marBottom w:val="0"/>
      <w:divBdr>
        <w:top w:val="none" w:sz="0" w:space="0" w:color="auto"/>
        <w:left w:val="none" w:sz="0" w:space="0" w:color="auto"/>
        <w:bottom w:val="none" w:sz="0" w:space="0" w:color="auto"/>
        <w:right w:val="none" w:sz="0" w:space="0" w:color="auto"/>
      </w:divBdr>
    </w:div>
    <w:div w:id="1645967207">
      <w:bodyDiv w:val="1"/>
      <w:marLeft w:val="0"/>
      <w:marRight w:val="0"/>
      <w:marTop w:val="0"/>
      <w:marBottom w:val="0"/>
      <w:divBdr>
        <w:top w:val="none" w:sz="0" w:space="0" w:color="auto"/>
        <w:left w:val="none" w:sz="0" w:space="0" w:color="auto"/>
        <w:bottom w:val="none" w:sz="0" w:space="0" w:color="auto"/>
        <w:right w:val="none" w:sz="0" w:space="0" w:color="auto"/>
      </w:divBdr>
    </w:div>
    <w:div w:id="1650013917">
      <w:bodyDiv w:val="1"/>
      <w:marLeft w:val="0"/>
      <w:marRight w:val="0"/>
      <w:marTop w:val="0"/>
      <w:marBottom w:val="0"/>
      <w:divBdr>
        <w:top w:val="none" w:sz="0" w:space="0" w:color="auto"/>
        <w:left w:val="none" w:sz="0" w:space="0" w:color="auto"/>
        <w:bottom w:val="none" w:sz="0" w:space="0" w:color="auto"/>
        <w:right w:val="none" w:sz="0" w:space="0" w:color="auto"/>
      </w:divBdr>
    </w:div>
    <w:div w:id="1721133128">
      <w:bodyDiv w:val="1"/>
      <w:marLeft w:val="0"/>
      <w:marRight w:val="0"/>
      <w:marTop w:val="0"/>
      <w:marBottom w:val="0"/>
      <w:divBdr>
        <w:top w:val="none" w:sz="0" w:space="0" w:color="auto"/>
        <w:left w:val="none" w:sz="0" w:space="0" w:color="auto"/>
        <w:bottom w:val="none" w:sz="0" w:space="0" w:color="auto"/>
        <w:right w:val="none" w:sz="0" w:space="0" w:color="auto"/>
      </w:divBdr>
    </w:div>
    <w:div w:id="1769037852">
      <w:bodyDiv w:val="1"/>
      <w:marLeft w:val="0"/>
      <w:marRight w:val="0"/>
      <w:marTop w:val="0"/>
      <w:marBottom w:val="0"/>
      <w:divBdr>
        <w:top w:val="none" w:sz="0" w:space="0" w:color="auto"/>
        <w:left w:val="none" w:sz="0" w:space="0" w:color="auto"/>
        <w:bottom w:val="none" w:sz="0" w:space="0" w:color="auto"/>
        <w:right w:val="none" w:sz="0" w:space="0" w:color="auto"/>
      </w:divBdr>
    </w:div>
    <w:div w:id="1876692968">
      <w:bodyDiv w:val="1"/>
      <w:marLeft w:val="0"/>
      <w:marRight w:val="0"/>
      <w:marTop w:val="0"/>
      <w:marBottom w:val="0"/>
      <w:divBdr>
        <w:top w:val="none" w:sz="0" w:space="0" w:color="auto"/>
        <w:left w:val="none" w:sz="0" w:space="0" w:color="auto"/>
        <w:bottom w:val="none" w:sz="0" w:space="0" w:color="auto"/>
        <w:right w:val="none" w:sz="0" w:space="0" w:color="auto"/>
      </w:divBdr>
    </w:div>
    <w:div w:id="1892765791">
      <w:bodyDiv w:val="1"/>
      <w:marLeft w:val="0"/>
      <w:marRight w:val="0"/>
      <w:marTop w:val="0"/>
      <w:marBottom w:val="0"/>
      <w:divBdr>
        <w:top w:val="none" w:sz="0" w:space="0" w:color="auto"/>
        <w:left w:val="none" w:sz="0" w:space="0" w:color="auto"/>
        <w:bottom w:val="none" w:sz="0" w:space="0" w:color="auto"/>
        <w:right w:val="none" w:sz="0" w:space="0" w:color="auto"/>
      </w:divBdr>
    </w:div>
    <w:div w:id="1901593584">
      <w:bodyDiv w:val="1"/>
      <w:marLeft w:val="0"/>
      <w:marRight w:val="0"/>
      <w:marTop w:val="0"/>
      <w:marBottom w:val="0"/>
      <w:divBdr>
        <w:top w:val="none" w:sz="0" w:space="0" w:color="auto"/>
        <w:left w:val="none" w:sz="0" w:space="0" w:color="auto"/>
        <w:bottom w:val="none" w:sz="0" w:space="0" w:color="auto"/>
        <w:right w:val="none" w:sz="0" w:space="0" w:color="auto"/>
      </w:divBdr>
    </w:div>
    <w:div w:id="1969361508">
      <w:bodyDiv w:val="1"/>
      <w:marLeft w:val="0"/>
      <w:marRight w:val="0"/>
      <w:marTop w:val="0"/>
      <w:marBottom w:val="0"/>
      <w:divBdr>
        <w:top w:val="none" w:sz="0" w:space="0" w:color="auto"/>
        <w:left w:val="none" w:sz="0" w:space="0" w:color="auto"/>
        <w:bottom w:val="none" w:sz="0" w:space="0" w:color="auto"/>
        <w:right w:val="none" w:sz="0" w:space="0" w:color="auto"/>
      </w:divBdr>
    </w:div>
    <w:div w:id="1998414953">
      <w:bodyDiv w:val="1"/>
      <w:marLeft w:val="0"/>
      <w:marRight w:val="0"/>
      <w:marTop w:val="0"/>
      <w:marBottom w:val="0"/>
      <w:divBdr>
        <w:top w:val="none" w:sz="0" w:space="0" w:color="auto"/>
        <w:left w:val="none" w:sz="0" w:space="0" w:color="auto"/>
        <w:bottom w:val="none" w:sz="0" w:space="0" w:color="auto"/>
        <w:right w:val="none" w:sz="0" w:space="0" w:color="auto"/>
      </w:divBdr>
    </w:div>
    <w:div w:id="1998920828">
      <w:bodyDiv w:val="1"/>
      <w:marLeft w:val="0"/>
      <w:marRight w:val="0"/>
      <w:marTop w:val="0"/>
      <w:marBottom w:val="0"/>
      <w:divBdr>
        <w:top w:val="none" w:sz="0" w:space="0" w:color="auto"/>
        <w:left w:val="none" w:sz="0" w:space="0" w:color="auto"/>
        <w:bottom w:val="none" w:sz="0" w:space="0" w:color="auto"/>
        <w:right w:val="none" w:sz="0" w:space="0" w:color="auto"/>
      </w:divBdr>
    </w:div>
    <w:div w:id="2025549204">
      <w:bodyDiv w:val="1"/>
      <w:marLeft w:val="0"/>
      <w:marRight w:val="0"/>
      <w:marTop w:val="0"/>
      <w:marBottom w:val="0"/>
      <w:divBdr>
        <w:top w:val="none" w:sz="0" w:space="0" w:color="auto"/>
        <w:left w:val="none" w:sz="0" w:space="0" w:color="auto"/>
        <w:bottom w:val="none" w:sz="0" w:space="0" w:color="auto"/>
        <w:right w:val="none" w:sz="0" w:space="0" w:color="auto"/>
      </w:divBdr>
    </w:div>
    <w:div w:id="2043241126">
      <w:bodyDiv w:val="1"/>
      <w:marLeft w:val="0"/>
      <w:marRight w:val="0"/>
      <w:marTop w:val="0"/>
      <w:marBottom w:val="0"/>
      <w:divBdr>
        <w:top w:val="none" w:sz="0" w:space="0" w:color="auto"/>
        <w:left w:val="none" w:sz="0" w:space="0" w:color="auto"/>
        <w:bottom w:val="none" w:sz="0" w:space="0" w:color="auto"/>
        <w:right w:val="none" w:sz="0" w:space="0" w:color="auto"/>
      </w:divBdr>
    </w:div>
    <w:div w:id="2071346304">
      <w:bodyDiv w:val="1"/>
      <w:marLeft w:val="0"/>
      <w:marRight w:val="0"/>
      <w:marTop w:val="0"/>
      <w:marBottom w:val="0"/>
      <w:divBdr>
        <w:top w:val="none" w:sz="0" w:space="0" w:color="auto"/>
        <w:left w:val="none" w:sz="0" w:space="0" w:color="auto"/>
        <w:bottom w:val="none" w:sz="0" w:space="0" w:color="auto"/>
        <w:right w:val="none" w:sz="0" w:space="0" w:color="auto"/>
      </w:divBdr>
    </w:div>
    <w:div w:id="2078243301">
      <w:bodyDiv w:val="1"/>
      <w:marLeft w:val="0"/>
      <w:marRight w:val="0"/>
      <w:marTop w:val="0"/>
      <w:marBottom w:val="0"/>
      <w:divBdr>
        <w:top w:val="none" w:sz="0" w:space="0" w:color="auto"/>
        <w:left w:val="none" w:sz="0" w:space="0" w:color="auto"/>
        <w:bottom w:val="none" w:sz="0" w:space="0" w:color="auto"/>
        <w:right w:val="none" w:sz="0" w:space="0" w:color="auto"/>
      </w:divBdr>
    </w:div>
    <w:div w:id="2084521390">
      <w:bodyDiv w:val="1"/>
      <w:marLeft w:val="0"/>
      <w:marRight w:val="0"/>
      <w:marTop w:val="0"/>
      <w:marBottom w:val="0"/>
      <w:divBdr>
        <w:top w:val="none" w:sz="0" w:space="0" w:color="auto"/>
        <w:left w:val="none" w:sz="0" w:space="0" w:color="auto"/>
        <w:bottom w:val="none" w:sz="0" w:space="0" w:color="auto"/>
        <w:right w:val="none" w:sz="0" w:space="0" w:color="auto"/>
      </w:divBdr>
    </w:div>
    <w:div w:id="2118061911">
      <w:bodyDiv w:val="1"/>
      <w:marLeft w:val="0"/>
      <w:marRight w:val="0"/>
      <w:marTop w:val="0"/>
      <w:marBottom w:val="0"/>
      <w:divBdr>
        <w:top w:val="none" w:sz="0" w:space="0" w:color="auto"/>
        <w:left w:val="none" w:sz="0" w:space="0" w:color="auto"/>
        <w:bottom w:val="none" w:sz="0" w:space="0" w:color="auto"/>
        <w:right w:val="none" w:sz="0" w:space="0" w:color="auto"/>
      </w:divBdr>
    </w:div>
    <w:div w:id="214731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2024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Gross Profit Margin</c:v>
                </c:pt>
                <c:pt idx="1">
                  <c:v>Net Profit Margin</c:v>
                </c:pt>
                <c:pt idx="2">
                  <c:v>Return on Assets (ROA)</c:v>
                </c:pt>
                <c:pt idx="3">
                  <c:v>Return on Equity (ROE)</c:v>
                </c:pt>
                <c:pt idx="4">
                  <c:v>DuPont Analysis ROE</c:v>
                </c:pt>
                <c:pt idx="5">
                  <c:v>Total Debt Ratio</c:v>
                </c:pt>
              </c:strCache>
            </c:strRef>
          </c:cat>
          <c:val>
            <c:numRef>
              <c:f>Sheet1!$B$2:$B$7</c:f>
              <c:numCache>
                <c:formatCode>General</c:formatCode>
                <c:ptCount val="6"/>
                <c:pt idx="0">
                  <c:v>28.87</c:v>
                </c:pt>
                <c:pt idx="1">
                  <c:v>-6.09</c:v>
                </c:pt>
                <c:pt idx="2">
                  <c:v>-7.08</c:v>
                </c:pt>
                <c:pt idx="3">
                  <c:v>-14.47</c:v>
                </c:pt>
                <c:pt idx="4">
                  <c:v>-15.69</c:v>
                </c:pt>
                <c:pt idx="5">
                  <c:v>52.65</c:v>
                </c:pt>
              </c:numCache>
            </c:numRef>
          </c:val>
          <c:extLst>
            <c:ext xmlns:c16="http://schemas.microsoft.com/office/drawing/2014/chart" uri="{C3380CC4-5D6E-409C-BE32-E72D297353CC}">
              <c16:uniqueId val="{00000000-FE79-4C23-9094-3CF271329F55}"/>
            </c:ext>
          </c:extLst>
        </c:ser>
        <c:ser>
          <c:idx val="1"/>
          <c:order val="1"/>
          <c:tx>
            <c:strRef>
              <c:f>Sheet1!$C$1</c:f>
              <c:strCache>
                <c:ptCount val="1"/>
                <c:pt idx="0">
                  <c:v>2023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Gross Profit Margin</c:v>
                </c:pt>
                <c:pt idx="1">
                  <c:v>Net Profit Margin</c:v>
                </c:pt>
                <c:pt idx="2">
                  <c:v>Return on Assets (ROA)</c:v>
                </c:pt>
                <c:pt idx="3">
                  <c:v>Return on Equity (ROE)</c:v>
                </c:pt>
                <c:pt idx="4">
                  <c:v>DuPont Analysis ROE</c:v>
                </c:pt>
                <c:pt idx="5">
                  <c:v>Total Debt Ratio</c:v>
                </c:pt>
              </c:strCache>
            </c:strRef>
          </c:cat>
          <c:val>
            <c:numRef>
              <c:f>Sheet1!$C$2:$C$7</c:f>
              <c:numCache>
                <c:formatCode>General</c:formatCode>
                <c:ptCount val="6"/>
                <c:pt idx="0">
                  <c:v>23.2</c:v>
                </c:pt>
                <c:pt idx="1">
                  <c:v>-23.36</c:v>
                </c:pt>
                <c:pt idx="2">
                  <c:v>-22.85</c:v>
                </c:pt>
                <c:pt idx="3">
                  <c:v>-43.92</c:v>
                </c:pt>
                <c:pt idx="4">
                  <c:v>-54.91</c:v>
                </c:pt>
                <c:pt idx="5">
                  <c:v>49.72</c:v>
                </c:pt>
              </c:numCache>
            </c:numRef>
          </c:val>
          <c:extLst>
            <c:ext xmlns:c16="http://schemas.microsoft.com/office/drawing/2014/chart" uri="{C3380CC4-5D6E-409C-BE32-E72D297353CC}">
              <c16:uniqueId val="{00000001-FE79-4C23-9094-3CF271329F55}"/>
            </c:ext>
          </c:extLst>
        </c:ser>
        <c:ser>
          <c:idx val="2"/>
          <c:order val="2"/>
          <c:tx>
            <c:strRef>
              <c:f>Sheet1!$D$1</c:f>
              <c:strCache>
                <c:ptCount val="1"/>
                <c:pt idx="0">
                  <c:v>2022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Gross Profit Margin</c:v>
                </c:pt>
                <c:pt idx="1">
                  <c:v>Net Profit Margin</c:v>
                </c:pt>
                <c:pt idx="2">
                  <c:v>Return on Assets (ROA)</c:v>
                </c:pt>
                <c:pt idx="3">
                  <c:v>Return on Equity (ROE)</c:v>
                </c:pt>
                <c:pt idx="4">
                  <c:v>DuPont Analysis ROE</c:v>
                </c:pt>
                <c:pt idx="5">
                  <c:v>Total Debt Ratio</c:v>
                </c:pt>
              </c:strCache>
            </c:strRef>
          </c:cat>
          <c:val>
            <c:numRef>
              <c:f>Sheet1!$D$2:$D$7</c:f>
              <c:numCache>
                <c:formatCode>General</c:formatCode>
                <c:ptCount val="6"/>
                <c:pt idx="0">
                  <c:v>28.06</c:v>
                </c:pt>
                <c:pt idx="1">
                  <c:v>7.0000000000000007E-2</c:v>
                </c:pt>
                <c:pt idx="2">
                  <c:v>0.08</c:v>
                </c:pt>
                <c:pt idx="3">
                  <c:v>0.15</c:v>
                </c:pt>
                <c:pt idx="4">
                  <c:v>0.15</c:v>
                </c:pt>
                <c:pt idx="5">
                  <c:v>46.76</c:v>
                </c:pt>
              </c:numCache>
            </c:numRef>
          </c:val>
          <c:extLst>
            <c:ext xmlns:c16="http://schemas.microsoft.com/office/drawing/2014/chart" uri="{C3380CC4-5D6E-409C-BE32-E72D297353CC}">
              <c16:uniqueId val="{00000002-FE79-4C23-9094-3CF271329F55}"/>
            </c:ext>
          </c:extLst>
        </c:ser>
        <c:ser>
          <c:idx val="3"/>
          <c:order val="3"/>
          <c:tx>
            <c:strRef>
              <c:f>Sheet1!$E$1</c:f>
              <c:strCache>
                <c:ptCount val="1"/>
                <c:pt idx="0">
                  <c:v>2021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Gross Profit Margin</c:v>
                </c:pt>
                <c:pt idx="1">
                  <c:v>Net Profit Margin</c:v>
                </c:pt>
                <c:pt idx="2">
                  <c:v>Return on Assets (ROA)</c:v>
                </c:pt>
                <c:pt idx="3">
                  <c:v>Return on Equity (ROE)</c:v>
                </c:pt>
                <c:pt idx="4">
                  <c:v>DuPont Analysis ROE</c:v>
                </c:pt>
                <c:pt idx="5">
                  <c:v>Total Debt Ratio</c:v>
                </c:pt>
              </c:strCache>
            </c:strRef>
          </c:cat>
          <c:val>
            <c:numRef>
              <c:f>Sheet1!$E$2:$E$7</c:f>
              <c:numCache>
                <c:formatCode>General</c:formatCode>
                <c:ptCount val="6"/>
                <c:pt idx="0">
                  <c:v>28.76</c:v>
                </c:pt>
                <c:pt idx="1">
                  <c:v>0.88</c:v>
                </c:pt>
                <c:pt idx="2">
                  <c:v>1.04</c:v>
                </c:pt>
                <c:pt idx="3">
                  <c:v>1.8</c:v>
                </c:pt>
                <c:pt idx="4">
                  <c:v>1.92</c:v>
                </c:pt>
                <c:pt idx="5">
                  <c:v>45.93</c:v>
                </c:pt>
              </c:numCache>
            </c:numRef>
          </c:val>
          <c:extLst>
            <c:ext xmlns:c16="http://schemas.microsoft.com/office/drawing/2014/chart" uri="{C3380CC4-5D6E-409C-BE32-E72D297353CC}">
              <c16:uniqueId val="{00000003-FE79-4C23-9094-3CF271329F55}"/>
            </c:ext>
          </c:extLst>
        </c:ser>
        <c:ser>
          <c:idx val="4"/>
          <c:order val="4"/>
          <c:tx>
            <c:strRef>
              <c:f>Sheet1!$F$1</c:f>
              <c:strCache>
                <c:ptCount val="1"/>
                <c:pt idx="0">
                  <c:v>2020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Sheet1!$A$2:$A$7</c:f>
              <c:strCache>
                <c:ptCount val="6"/>
                <c:pt idx="0">
                  <c:v>Gross Profit Margin</c:v>
                </c:pt>
                <c:pt idx="1">
                  <c:v>Net Profit Margin</c:v>
                </c:pt>
                <c:pt idx="2">
                  <c:v>Return on Assets (ROA)</c:v>
                </c:pt>
                <c:pt idx="3">
                  <c:v>Return on Equity (ROE)</c:v>
                </c:pt>
                <c:pt idx="4">
                  <c:v>DuPont Analysis ROE</c:v>
                </c:pt>
                <c:pt idx="5">
                  <c:v>Total Debt Ratio</c:v>
                </c:pt>
              </c:strCache>
            </c:strRef>
          </c:cat>
          <c:val>
            <c:numRef>
              <c:f>Sheet1!$F$2:$F$7</c:f>
              <c:numCache>
                <c:formatCode>General</c:formatCode>
                <c:ptCount val="6"/>
                <c:pt idx="0">
                  <c:v>28.67</c:v>
                </c:pt>
                <c:pt idx="1">
                  <c:v>6.28</c:v>
                </c:pt>
                <c:pt idx="2">
                  <c:v>7.56</c:v>
                </c:pt>
                <c:pt idx="3">
                  <c:v>13.09</c:v>
                </c:pt>
                <c:pt idx="4">
                  <c:v>12.31</c:v>
                </c:pt>
                <c:pt idx="5">
                  <c:v>38.6</c:v>
                </c:pt>
              </c:numCache>
            </c:numRef>
          </c:val>
          <c:extLst>
            <c:ext xmlns:c16="http://schemas.microsoft.com/office/drawing/2014/chart" uri="{C3380CC4-5D6E-409C-BE32-E72D297353CC}">
              <c16:uniqueId val="{00000004-FE79-4C23-9094-3CF271329F55}"/>
            </c:ext>
          </c:extLst>
        </c:ser>
        <c:dLbls>
          <c:showLegendKey val="0"/>
          <c:showVal val="0"/>
          <c:showCatName val="0"/>
          <c:showSerName val="0"/>
          <c:showPercent val="0"/>
          <c:showBubbleSize val="0"/>
        </c:dLbls>
        <c:gapWidth val="115"/>
        <c:overlap val="-20"/>
        <c:axId val="1754977695"/>
        <c:axId val="1754980575"/>
      </c:barChart>
      <c:catAx>
        <c:axId val="175497769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54980575"/>
        <c:crosses val="autoZero"/>
        <c:auto val="1"/>
        <c:lblAlgn val="ctr"/>
        <c:lblOffset val="100"/>
        <c:noMultiLvlLbl val="0"/>
      </c:catAx>
      <c:valAx>
        <c:axId val="1754980575"/>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54977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2024</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8"/>
                <c:pt idx="0">
                  <c:v>Current Ratio</c:v>
                </c:pt>
                <c:pt idx="1">
                  <c:v>Quick Ratio</c:v>
                </c:pt>
                <c:pt idx="2">
                  <c:v>Cash Ratio</c:v>
                </c:pt>
                <c:pt idx="3">
                  <c:v>Interest Coverage Ratio</c:v>
                </c:pt>
                <c:pt idx="4">
                  <c:v>Accounts Receivable Turnover Ratio</c:v>
                </c:pt>
                <c:pt idx="5">
                  <c:v>Inventory Turnover Ratio</c:v>
                </c:pt>
                <c:pt idx="6">
                  <c:v>Total Asset Turnover Ratio</c:v>
                </c:pt>
                <c:pt idx="7">
                  <c:v>Operating Cash Flow Ratio</c:v>
                </c:pt>
              </c:strCache>
            </c:strRef>
          </c:cat>
          <c:val>
            <c:numRef>
              <c:f>Sheet1!$B$2:$B$9</c:f>
              <c:numCache>
                <c:formatCode>General</c:formatCode>
                <c:ptCount val="8"/>
                <c:pt idx="0">
                  <c:v>1.53</c:v>
                </c:pt>
                <c:pt idx="1">
                  <c:v>1.03</c:v>
                </c:pt>
                <c:pt idx="2">
                  <c:v>0.17</c:v>
                </c:pt>
                <c:pt idx="3">
                  <c:v>-4.55</c:v>
                </c:pt>
                <c:pt idx="4">
                  <c:v>3.48</c:v>
                </c:pt>
                <c:pt idx="5">
                  <c:v>3.35</c:v>
                </c:pt>
                <c:pt idx="6">
                  <c:v>1.1599999999999999</c:v>
                </c:pt>
                <c:pt idx="7">
                  <c:v>0.27</c:v>
                </c:pt>
              </c:numCache>
            </c:numRef>
          </c:val>
          <c:extLst>
            <c:ext xmlns:c16="http://schemas.microsoft.com/office/drawing/2014/chart" uri="{C3380CC4-5D6E-409C-BE32-E72D297353CC}">
              <c16:uniqueId val="{00000000-C791-4B39-9718-4FB23D4A32DA}"/>
            </c:ext>
          </c:extLst>
        </c:ser>
        <c:ser>
          <c:idx val="1"/>
          <c:order val="1"/>
          <c:tx>
            <c:strRef>
              <c:f>Sheet1!$C$1</c:f>
              <c:strCache>
                <c:ptCount val="1"/>
                <c:pt idx="0">
                  <c:v>2023</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8"/>
                <c:pt idx="0">
                  <c:v>Current Ratio</c:v>
                </c:pt>
                <c:pt idx="1">
                  <c:v>Quick Ratio</c:v>
                </c:pt>
                <c:pt idx="2">
                  <c:v>Cash Ratio</c:v>
                </c:pt>
                <c:pt idx="3">
                  <c:v>Interest Coverage Ratio</c:v>
                </c:pt>
                <c:pt idx="4">
                  <c:v>Accounts Receivable Turnover Ratio</c:v>
                </c:pt>
                <c:pt idx="5">
                  <c:v>Inventory Turnover Ratio</c:v>
                </c:pt>
                <c:pt idx="6">
                  <c:v>Total Asset Turnover Ratio</c:v>
                </c:pt>
                <c:pt idx="7">
                  <c:v>Operating Cash Flow Ratio</c:v>
                </c:pt>
              </c:strCache>
            </c:strRef>
          </c:cat>
          <c:val>
            <c:numRef>
              <c:f>Sheet1!$C$2:$C$9</c:f>
              <c:numCache>
                <c:formatCode>General</c:formatCode>
                <c:ptCount val="8"/>
                <c:pt idx="0">
                  <c:v>1.61</c:v>
                </c:pt>
                <c:pt idx="1">
                  <c:v>1.06</c:v>
                </c:pt>
                <c:pt idx="2">
                  <c:v>0.27</c:v>
                </c:pt>
                <c:pt idx="3">
                  <c:v>-19.690000000000001</c:v>
                </c:pt>
                <c:pt idx="4">
                  <c:v>3.74</c:v>
                </c:pt>
                <c:pt idx="5">
                  <c:v>2.83</c:v>
                </c:pt>
                <c:pt idx="6">
                  <c:v>0.98</c:v>
                </c:pt>
                <c:pt idx="7">
                  <c:v>0.25</c:v>
                </c:pt>
              </c:numCache>
            </c:numRef>
          </c:val>
          <c:extLst>
            <c:ext xmlns:c16="http://schemas.microsoft.com/office/drawing/2014/chart" uri="{C3380CC4-5D6E-409C-BE32-E72D297353CC}">
              <c16:uniqueId val="{00000001-C791-4B39-9718-4FB23D4A32DA}"/>
            </c:ext>
          </c:extLst>
        </c:ser>
        <c:ser>
          <c:idx val="2"/>
          <c:order val="2"/>
          <c:tx>
            <c:strRef>
              <c:f>Sheet1!$D$1</c:f>
              <c:strCache>
                <c:ptCount val="1"/>
                <c:pt idx="0">
                  <c:v>2022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8"/>
                <c:pt idx="0">
                  <c:v>Current Ratio</c:v>
                </c:pt>
                <c:pt idx="1">
                  <c:v>Quick Ratio</c:v>
                </c:pt>
                <c:pt idx="2">
                  <c:v>Cash Ratio</c:v>
                </c:pt>
                <c:pt idx="3">
                  <c:v>Interest Coverage Ratio</c:v>
                </c:pt>
                <c:pt idx="4">
                  <c:v>Accounts Receivable Turnover Ratio</c:v>
                </c:pt>
                <c:pt idx="5">
                  <c:v>Inventory Turnover Ratio</c:v>
                </c:pt>
                <c:pt idx="6">
                  <c:v>Total Asset Turnover Ratio</c:v>
                </c:pt>
                <c:pt idx="7">
                  <c:v>Operating Cash Flow Ratio</c:v>
                </c:pt>
              </c:strCache>
            </c:strRef>
          </c:cat>
          <c:val>
            <c:numRef>
              <c:f>Sheet1!$D$2:$D$9</c:f>
              <c:numCache>
                <c:formatCode>General</c:formatCode>
                <c:ptCount val="8"/>
                <c:pt idx="0">
                  <c:v>1.56</c:v>
                </c:pt>
                <c:pt idx="1">
                  <c:v>0.91</c:v>
                </c:pt>
                <c:pt idx="2">
                  <c:v>0.31</c:v>
                </c:pt>
                <c:pt idx="3">
                  <c:v>6.61</c:v>
                </c:pt>
                <c:pt idx="4">
                  <c:v>4.49</c:v>
                </c:pt>
                <c:pt idx="5">
                  <c:v>2.84</c:v>
                </c:pt>
                <c:pt idx="6">
                  <c:v>1.07</c:v>
                </c:pt>
                <c:pt idx="7">
                  <c:v>0.27</c:v>
                </c:pt>
              </c:numCache>
            </c:numRef>
          </c:val>
          <c:extLst>
            <c:ext xmlns:c16="http://schemas.microsoft.com/office/drawing/2014/chart" uri="{C3380CC4-5D6E-409C-BE32-E72D297353CC}">
              <c16:uniqueId val="{00000002-C791-4B39-9718-4FB23D4A32DA}"/>
            </c:ext>
          </c:extLst>
        </c:ser>
        <c:ser>
          <c:idx val="3"/>
          <c:order val="3"/>
          <c:tx>
            <c:strRef>
              <c:f>Sheet1!$E$1</c:f>
              <c:strCache>
                <c:ptCount val="1"/>
                <c:pt idx="0">
                  <c:v>2021</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8"/>
                <c:pt idx="0">
                  <c:v>Current Ratio</c:v>
                </c:pt>
                <c:pt idx="1">
                  <c:v>Quick Ratio</c:v>
                </c:pt>
                <c:pt idx="2">
                  <c:v>Cash Ratio</c:v>
                </c:pt>
                <c:pt idx="3">
                  <c:v>Interest Coverage Ratio</c:v>
                </c:pt>
                <c:pt idx="4">
                  <c:v>Accounts Receivable Turnover Ratio</c:v>
                </c:pt>
                <c:pt idx="5">
                  <c:v>Inventory Turnover Ratio</c:v>
                </c:pt>
                <c:pt idx="6">
                  <c:v>Total Asset Turnover Ratio</c:v>
                </c:pt>
                <c:pt idx="7">
                  <c:v>Operating Cash Flow Ratio</c:v>
                </c:pt>
              </c:strCache>
            </c:strRef>
          </c:cat>
          <c:val>
            <c:numRef>
              <c:f>Sheet1!$E$2:$E$9</c:f>
              <c:numCache>
                <c:formatCode>General</c:formatCode>
                <c:ptCount val="8"/>
                <c:pt idx="0">
                  <c:v>1.56</c:v>
                </c:pt>
                <c:pt idx="1">
                  <c:v>0.93</c:v>
                </c:pt>
                <c:pt idx="2">
                  <c:v>0.28000000000000003</c:v>
                </c:pt>
                <c:pt idx="3">
                  <c:v>41.08</c:v>
                </c:pt>
                <c:pt idx="4">
                  <c:v>4.6500000000000004</c:v>
                </c:pt>
                <c:pt idx="5">
                  <c:v>3.36</c:v>
                </c:pt>
                <c:pt idx="6">
                  <c:v>1.18</c:v>
                </c:pt>
                <c:pt idx="7">
                  <c:v>0.3</c:v>
                </c:pt>
              </c:numCache>
            </c:numRef>
          </c:val>
          <c:extLst>
            <c:ext xmlns:c16="http://schemas.microsoft.com/office/drawing/2014/chart" uri="{C3380CC4-5D6E-409C-BE32-E72D297353CC}">
              <c16:uniqueId val="{00000003-C791-4B39-9718-4FB23D4A32DA}"/>
            </c:ext>
          </c:extLst>
        </c:ser>
        <c:ser>
          <c:idx val="4"/>
          <c:order val="4"/>
          <c:tx>
            <c:strRef>
              <c:f>Sheet1!$F$1</c:f>
              <c:strCache>
                <c:ptCount val="1"/>
                <c:pt idx="0">
                  <c:v>2020</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Sheet1!$A$2:$A$9</c:f>
              <c:strCache>
                <c:ptCount val="8"/>
                <c:pt idx="0">
                  <c:v>Current Ratio</c:v>
                </c:pt>
                <c:pt idx="1">
                  <c:v>Quick Ratio</c:v>
                </c:pt>
                <c:pt idx="2">
                  <c:v>Cash Ratio</c:v>
                </c:pt>
                <c:pt idx="3">
                  <c:v>Interest Coverage Ratio</c:v>
                </c:pt>
                <c:pt idx="4">
                  <c:v>Accounts Receivable Turnover Ratio</c:v>
                </c:pt>
                <c:pt idx="5">
                  <c:v>Inventory Turnover Ratio</c:v>
                </c:pt>
                <c:pt idx="6">
                  <c:v>Total Asset Turnover Ratio</c:v>
                </c:pt>
                <c:pt idx="7">
                  <c:v>Operating Cash Flow Ratio</c:v>
                </c:pt>
              </c:strCache>
            </c:strRef>
          </c:cat>
          <c:val>
            <c:numRef>
              <c:f>Sheet1!$F$2:$F$9</c:f>
              <c:numCache>
                <c:formatCode>General</c:formatCode>
                <c:ptCount val="8"/>
                <c:pt idx="0">
                  <c:v>1.82</c:v>
                </c:pt>
                <c:pt idx="1">
                  <c:v>1.1499999999999999</c:v>
                </c:pt>
                <c:pt idx="2">
                  <c:v>0.32</c:v>
                </c:pt>
                <c:pt idx="3">
                  <c:v>26.21</c:v>
                </c:pt>
                <c:pt idx="4">
                  <c:v>4.75</c:v>
                </c:pt>
                <c:pt idx="5">
                  <c:v>3.44</c:v>
                </c:pt>
                <c:pt idx="6">
                  <c:v>1.2</c:v>
                </c:pt>
                <c:pt idx="7">
                  <c:v>0.32</c:v>
                </c:pt>
              </c:numCache>
            </c:numRef>
          </c:val>
          <c:extLst>
            <c:ext xmlns:c16="http://schemas.microsoft.com/office/drawing/2014/chart" uri="{C3380CC4-5D6E-409C-BE32-E72D297353CC}">
              <c16:uniqueId val="{00000004-C791-4B39-9718-4FB23D4A32DA}"/>
            </c:ext>
          </c:extLst>
        </c:ser>
        <c:dLbls>
          <c:showLegendKey val="0"/>
          <c:showVal val="0"/>
          <c:showCatName val="0"/>
          <c:showSerName val="0"/>
          <c:showPercent val="0"/>
          <c:showBubbleSize val="0"/>
        </c:dLbls>
        <c:gapWidth val="115"/>
        <c:overlap val="-20"/>
        <c:axId val="1784376207"/>
        <c:axId val="1784377167"/>
      </c:barChart>
      <c:catAx>
        <c:axId val="1784376207"/>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84377167"/>
        <c:crosses val="autoZero"/>
        <c:auto val="1"/>
        <c:lblAlgn val="ctr"/>
        <c:lblOffset val="100"/>
        <c:noMultiLvlLbl val="0"/>
      </c:catAx>
      <c:valAx>
        <c:axId val="1784377167"/>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843762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2024</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Working Capital (Million)</c:v>
                </c:pt>
              </c:strCache>
            </c:strRef>
          </c:cat>
          <c:val>
            <c:numRef>
              <c:f>Sheet1!$B$2</c:f>
              <c:numCache>
                <c:formatCode>General</c:formatCode>
                <c:ptCount val="1"/>
                <c:pt idx="0">
                  <c:v>84.203000000000003</c:v>
                </c:pt>
              </c:numCache>
            </c:numRef>
          </c:val>
          <c:extLst>
            <c:ext xmlns:c16="http://schemas.microsoft.com/office/drawing/2014/chart" uri="{C3380CC4-5D6E-409C-BE32-E72D297353CC}">
              <c16:uniqueId val="{00000000-D97F-4DA3-A55F-1553DEFBCC7B}"/>
            </c:ext>
          </c:extLst>
        </c:ser>
        <c:ser>
          <c:idx val="1"/>
          <c:order val="1"/>
          <c:tx>
            <c:strRef>
              <c:f>Sheet1!$C$1</c:f>
              <c:strCache>
                <c:ptCount val="1"/>
                <c:pt idx="0">
                  <c:v>2023</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Working Capital (Million)</c:v>
                </c:pt>
              </c:strCache>
            </c:strRef>
          </c:cat>
          <c:val>
            <c:numRef>
              <c:f>Sheet1!$C$2</c:f>
              <c:numCache>
                <c:formatCode>General</c:formatCode>
                <c:ptCount val="1"/>
                <c:pt idx="0">
                  <c:v>97.703000000000003</c:v>
                </c:pt>
              </c:numCache>
            </c:numRef>
          </c:val>
          <c:extLst>
            <c:ext xmlns:c16="http://schemas.microsoft.com/office/drawing/2014/chart" uri="{C3380CC4-5D6E-409C-BE32-E72D297353CC}">
              <c16:uniqueId val="{00000001-D97F-4DA3-A55F-1553DEFBCC7B}"/>
            </c:ext>
          </c:extLst>
        </c:ser>
        <c:ser>
          <c:idx val="2"/>
          <c:order val="2"/>
          <c:tx>
            <c:strRef>
              <c:f>Sheet1!$D$1</c:f>
              <c:strCache>
                <c:ptCount val="1"/>
                <c:pt idx="0">
                  <c:v>2022</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Working Capital (Million)</c:v>
                </c:pt>
              </c:strCache>
            </c:strRef>
          </c:cat>
          <c:val>
            <c:numRef>
              <c:f>Sheet1!$D$2</c:f>
              <c:numCache>
                <c:formatCode>General</c:formatCode>
                <c:ptCount val="1"/>
                <c:pt idx="0">
                  <c:v>121.56699999999999</c:v>
                </c:pt>
              </c:numCache>
            </c:numRef>
          </c:val>
          <c:extLst>
            <c:ext xmlns:c16="http://schemas.microsoft.com/office/drawing/2014/chart" uri="{C3380CC4-5D6E-409C-BE32-E72D297353CC}">
              <c16:uniqueId val="{00000002-D97F-4DA3-A55F-1553DEFBCC7B}"/>
            </c:ext>
          </c:extLst>
        </c:ser>
        <c:ser>
          <c:idx val="3"/>
          <c:order val="3"/>
          <c:tx>
            <c:strRef>
              <c:f>Sheet1!$E$1</c:f>
              <c:strCache>
                <c:ptCount val="1"/>
                <c:pt idx="0">
                  <c:v>2021</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Working Capital (Million)</c:v>
                </c:pt>
              </c:strCache>
            </c:strRef>
          </c:cat>
          <c:val>
            <c:numRef>
              <c:f>Sheet1!$E$2</c:f>
              <c:numCache>
                <c:formatCode>General</c:formatCode>
                <c:ptCount val="1"/>
                <c:pt idx="0">
                  <c:v>120.35899999999999</c:v>
                </c:pt>
              </c:numCache>
            </c:numRef>
          </c:val>
          <c:extLst>
            <c:ext xmlns:c16="http://schemas.microsoft.com/office/drawing/2014/chart" uri="{C3380CC4-5D6E-409C-BE32-E72D297353CC}">
              <c16:uniqueId val="{00000003-D97F-4DA3-A55F-1553DEFBCC7B}"/>
            </c:ext>
          </c:extLst>
        </c:ser>
        <c:ser>
          <c:idx val="4"/>
          <c:order val="4"/>
          <c:tx>
            <c:strRef>
              <c:f>Sheet1!$F$1</c:f>
              <c:strCache>
                <c:ptCount val="1"/>
                <c:pt idx="0">
                  <c:v>2020</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c:f>
              <c:strCache>
                <c:ptCount val="1"/>
                <c:pt idx="0">
                  <c:v>Working Capital (Million)</c:v>
                </c:pt>
              </c:strCache>
            </c:strRef>
          </c:cat>
          <c:val>
            <c:numRef>
              <c:f>Sheet1!$F$2</c:f>
              <c:numCache>
                <c:formatCode>General</c:formatCode>
                <c:ptCount val="1"/>
                <c:pt idx="0">
                  <c:v>147.333</c:v>
                </c:pt>
              </c:numCache>
            </c:numRef>
          </c:val>
          <c:extLst>
            <c:ext xmlns:c16="http://schemas.microsoft.com/office/drawing/2014/chart" uri="{C3380CC4-5D6E-409C-BE32-E72D297353CC}">
              <c16:uniqueId val="{00000004-D97F-4DA3-A55F-1553DEFBCC7B}"/>
            </c:ext>
          </c:extLst>
        </c:ser>
        <c:dLbls>
          <c:dLblPos val="outEnd"/>
          <c:showLegendKey val="0"/>
          <c:showVal val="1"/>
          <c:showCatName val="0"/>
          <c:showSerName val="0"/>
          <c:showPercent val="0"/>
          <c:showBubbleSize val="0"/>
        </c:dLbls>
        <c:gapWidth val="444"/>
        <c:overlap val="-90"/>
        <c:axId val="1794752191"/>
        <c:axId val="1794751711"/>
      </c:barChart>
      <c:catAx>
        <c:axId val="17947521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94751711"/>
        <c:crosses val="autoZero"/>
        <c:auto val="1"/>
        <c:lblAlgn val="ctr"/>
        <c:lblOffset val="100"/>
        <c:noMultiLvlLbl val="0"/>
      </c:catAx>
      <c:valAx>
        <c:axId val="1794751711"/>
        <c:scaling>
          <c:orientation val="minMax"/>
        </c:scaling>
        <c:delete val="1"/>
        <c:axPos val="l"/>
        <c:numFmt formatCode="General" sourceLinked="1"/>
        <c:majorTickMark val="none"/>
        <c:minorTickMark val="none"/>
        <c:tickLblPos val="nextTo"/>
        <c:crossAx val="179475219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Initial Investment (Â£m)</c:v>
                </c:pt>
              </c:strCache>
            </c:strRef>
          </c:tx>
          <c:spPr>
            <a:solidFill>
              <a:schemeClr val="accent1"/>
            </a:solidFill>
            <a:ln>
              <a:noFill/>
            </a:ln>
            <a:effectLst/>
          </c:spPr>
          <c:invertIfNegative val="0"/>
          <c:cat>
            <c:strRef>
              <c:f>Sheet1!$A$2:$A$4</c:f>
              <c:strCache>
                <c:ptCount val="3"/>
                <c:pt idx="0">
                  <c:v>A</c:v>
                </c:pt>
                <c:pt idx="1">
                  <c:v>B</c:v>
                </c:pt>
                <c:pt idx="2">
                  <c:v>C</c:v>
                </c:pt>
              </c:strCache>
            </c:strRef>
          </c:cat>
          <c:val>
            <c:numRef>
              <c:f>Sheet1!$B$2:$B$4</c:f>
              <c:numCache>
                <c:formatCode>General</c:formatCode>
                <c:ptCount val="3"/>
                <c:pt idx="0">
                  <c:v>40</c:v>
                </c:pt>
                <c:pt idx="1">
                  <c:v>30</c:v>
                </c:pt>
                <c:pt idx="2">
                  <c:v>50</c:v>
                </c:pt>
              </c:numCache>
            </c:numRef>
          </c:val>
          <c:extLst>
            <c:ext xmlns:c16="http://schemas.microsoft.com/office/drawing/2014/chart" uri="{C3380CC4-5D6E-409C-BE32-E72D297353CC}">
              <c16:uniqueId val="{00000000-DC9E-4456-B248-64B1699BEE52}"/>
            </c:ext>
          </c:extLst>
        </c:ser>
        <c:ser>
          <c:idx val="1"/>
          <c:order val="1"/>
          <c:tx>
            <c:strRef>
              <c:f>Sheet1!$C$1</c:f>
              <c:strCache>
                <c:ptCount val="1"/>
                <c:pt idx="0">
                  <c:v>Year 1 CI (Â£m)</c:v>
                </c:pt>
              </c:strCache>
            </c:strRef>
          </c:tx>
          <c:spPr>
            <a:solidFill>
              <a:schemeClr val="accent2"/>
            </a:solidFill>
            <a:ln>
              <a:noFill/>
            </a:ln>
            <a:effectLst/>
          </c:spPr>
          <c:invertIfNegative val="0"/>
          <c:cat>
            <c:strRef>
              <c:f>Sheet1!$A$2:$A$4</c:f>
              <c:strCache>
                <c:ptCount val="3"/>
                <c:pt idx="0">
                  <c:v>A</c:v>
                </c:pt>
                <c:pt idx="1">
                  <c:v>B</c:v>
                </c:pt>
                <c:pt idx="2">
                  <c:v>C</c:v>
                </c:pt>
              </c:strCache>
            </c:strRef>
          </c:cat>
          <c:val>
            <c:numRef>
              <c:f>Sheet1!$C$2:$C$4</c:f>
              <c:numCache>
                <c:formatCode>General</c:formatCode>
                <c:ptCount val="3"/>
                <c:pt idx="0">
                  <c:v>10</c:v>
                </c:pt>
                <c:pt idx="1">
                  <c:v>6</c:v>
                </c:pt>
                <c:pt idx="2">
                  <c:v>5</c:v>
                </c:pt>
              </c:numCache>
            </c:numRef>
          </c:val>
          <c:extLst>
            <c:ext xmlns:c16="http://schemas.microsoft.com/office/drawing/2014/chart" uri="{C3380CC4-5D6E-409C-BE32-E72D297353CC}">
              <c16:uniqueId val="{00000001-DC9E-4456-B248-64B1699BEE52}"/>
            </c:ext>
          </c:extLst>
        </c:ser>
        <c:ser>
          <c:idx val="2"/>
          <c:order val="2"/>
          <c:tx>
            <c:strRef>
              <c:f>Sheet1!$D$1</c:f>
              <c:strCache>
                <c:ptCount val="1"/>
                <c:pt idx="0">
                  <c:v>Year 2 CI (Â£m)</c:v>
                </c:pt>
              </c:strCache>
            </c:strRef>
          </c:tx>
          <c:spPr>
            <a:solidFill>
              <a:schemeClr val="accent3"/>
            </a:solidFill>
            <a:ln>
              <a:noFill/>
            </a:ln>
            <a:effectLst/>
          </c:spPr>
          <c:invertIfNegative val="0"/>
          <c:cat>
            <c:strRef>
              <c:f>Sheet1!$A$2:$A$4</c:f>
              <c:strCache>
                <c:ptCount val="3"/>
                <c:pt idx="0">
                  <c:v>A</c:v>
                </c:pt>
                <c:pt idx="1">
                  <c:v>B</c:v>
                </c:pt>
                <c:pt idx="2">
                  <c:v>C</c:v>
                </c:pt>
              </c:strCache>
            </c:strRef>
          </c:cat>
          <c:val>
            <c:numRef>
              <c:f>Sheet1!$D$2:$D$4</c:f>
              <c:numCache>
                <c:formatCode>General</c:formatCode>
                <c:ptCount val="3"/>
                <c:pt idx="0">
                  <c:v>12</c:v>
                </c:pt>
                <c:pt idx="1">
                  <c:v>6</c:v>
                </c:pt>
                <c:pt idx="2">
                  <c:v>10</c:v>
                </c:pt>
              </c:numCache>
            </c:numRef>
          </c:val>
          <c:extLst>
            <c:ext xmlns:c16="http://schemas.microsoft.com/office/drawing/2014/chart" uri="{C3380CC4-5D6E-409C-BE32-E72D297353CC}">
              <c16:uniqueId val="{00000002-DC9E-4456-B248-64B1699BEE52}"/>
            </c:ext>
          </c:extLst>
        </c:ser>
        <c:ser>
          <c:idx val="3"/>
          <c:order val="3"/>
          <c:tx>
            <c:strRef>
              <c:f>Sheet1!$E$1</c:f>
              <c:strCache>
                <c:ptCount val="1"/>
                <c:pt idx="0">
                  <c:v>Year 3 CI (Â£m)</c:v>
                </c:pt>
              </c:strCache>
            </c:strRef>
          </c:tx>
          <c:spPr>
            <a:solidFill>
              <a:schemeClr val="accent4"/>
            </a:solidFill>
            <a:ln>
              <a:noFill/>
            </a:ln>
            <a:effectLst/>
          </c:spPr>
          <c:invertIfNegative val="0"/>
          <c:cat>
            <c:strRef>
              <c:f>Sheet1!$A$2:$A$4</c:f>
              <c:strCache>
                <c:ptCount val="3"/>
                <c:pt idx="0">
                  <c:v>A</c:v>
                </c:pt>
                <c:pt idx="1">
                  <c:v>B</c:v>
                </c:pt>
                <c:pt idx="2">
                  <c:v>C</c:v>
                </c:pt>
              </c:strCache>
            </c:strRef>
          </c:cat>
          <c:val>
            <c:numRef>
              <c:f>Sheet1!$E$2:$E$4</c:f>
              <c:numCache>
                <c:formatCode>General</c:formatCode>
                <c:ptCount val="3"/>
                <c:pt idx="0">
                  <c:v>14</c:v>
                </c:pt>
                <c:pt idx="1">
                  <c:v>6</c:v>
                </c:pt>
                <c:pt idx="2">
                  <c:v>20</c:v>
                </c:pt>
              </c:numCache>
            </c:numRef>
          </c:val>
          <c:extLst>
            <c:ext xmlns:c16="http://schemas.microsoft.com/office/drawing/2014/chart" uri="{C3380CC4-5D6E-409C-BE32-E72D297353CC}">
              <c16:uniqueId val="{00000003-DC9E-4456-B248-64B1699BEE52}"/>
            </c:ext>
          </c:extLst>
        </c:ser>
        <c:ser>
          <c:idx val="4"/>
          <c:order val="4"/>
          <c:tx>
            <c:strRef>
              <c:f>Sheet1!$F$1</c:f>
              <c:strCache>
                <c:ptCount val="1"/>
                <c:pt idx="0">
                  <c:v>Year 4 CI (Â£m)</c:v>
                </c:pt>
              </c:strCache>
            </c:strRef>
          </c:tx>
          <c:spPr>
            <a:solidFill>
              <a:schemeClr val="accent5"/>
            </a:solidFill>
            <a:ln>
              <a:noFill/>
            </a:ln>
            <a:effectLst/>
          </c:spPr>
          <c:invertIfNegative val="0"/>
          <c:cat>
            <c:strRef>
              <c:f>Sheet1!$A$2:$A$4</c:f>
              <c:strCache>
                <c:ptCount val="3"/>
                <c:pt idx="0">
                  <c:v>A</c:v>
                </c:pt>
                <c:pt idx="1">
                  <c:v>B</c:v>
                </c:pt>
                <c:pt idx="2">
                  <c:v>C</c:v>
                </c:pt>
              </c:strCache>
            </c:strRef>
          </c:cat>
          <c:val>
            <c:numRef>
              <c:f>Sheet1!$F$2:$F$4</c:f>
              <c:numCache>
                <c:formatCode>General</c:formatCode>
                <c:ptCount val="3"/>
                <c:pt idx="0">
                  <c:v>10</c:v>
                </c:pt>
                <c:pt idx="1">
                  <c:v>6</c:v>
                </c:pt>
                <c:pt idx="2">
                  <c:v>25</c:v>
                </c:pt>
              </c:numCache>
            </c:numRef>
          </c:val>
          <c:extLst>
            <c:ext xmlns:c16="http://schemas.microsoft.com/office/drawing/2014/chart" uri="{C3380CC4-5D6E-409C-BE32-E72D297353CC}">
              <c16:uniqueId val="{00000004-DC9E-4456-B248-64B1699BEE52}"/>
            </c:ext>
          </c:extLst>
        </c:ser>
        <c:ser>
          <c:idx val="5"/>
          <c:order val="5"/>
          <c:tx>
            <c:strRef>
              <c:f>Sheet1!$G$1</c:f>
              <c:strCache>
                <c:ptCount val="1"/>
                <c:pt idx="0">
                  <c:v>Year 5 CI (Â£m)</c:v>
                </c:pt>
              </c:strCache>
            </c:strRef>
          </c:tx>
          <c:spPr>
            <a:solidFill>
              <a:schemeClr val="accent6"/>
            </a:solidFill>
            <a:ln>
              <a:noFill/>
            </a:ln>
            <a:effectLst/>
          </c:spPr>
          <c:invertIfNegative val="0"/>
          <c:cat>
            <c:strRef>
              <c:f>Sheet1!$A$2:$A$4</c:f>
              <c:strCache>
                <c:ptCount val="3"/>
                <c:pt idx="0">
                  <c:v>A</c:v>
                </c:pt>
                <c:pt idx="1">
                  <c:v>B</c:v>
                </c:pt>
                <c:pt idx="2">
                  <c:v>C</c:v>
                </c:pt>
              </c:strCache>
            </c:strRef>
          </c:cat>
          <c:val>
            <c:numRef>
              <c:f>Sheet1!$G$2:$G$4</c:f>
              <c:numCache>
                <c:formatCode>General</c:formatCode>
                <c:ptCount val="3"/>
                <c:pt idx="0">
                  <c:v>8</c:v>
                </c:pt>
                <c:pt idx="1">
                  <c:v>6</c:v>
                </c:pt>
                <c:pt idx="2">
                  <c:v>15</c:v>
                </c:pt>
              </c:numCache>
            </c:numRef>
          </c:val>
          <c:extLst>
            <c:ext xmlns:c16="http://schemas.microsoft.com/office/drawing/2014/chart" uri="{C3380CC4-5D6E-409C-BE32-E72D297353CC}">
              <c16:uniqueId val="{00000005-DC9E-4456-B248-64B1699BEE52}"/>
            </c:ext>
          </c:extLst>
        </c:ser>
        <c:ser>
          <c:idx val="6"/>
          <c:order val="6"/>
          <c:tx>
            <c:strRef>
              <c:f>Sheet1!$H$1</c:f>
              <c:strCache>
                <c:ptCount val="1"/>
                <c:pt idx="0">
                  <c:v>Total CI (Â£m)</c:v>
                </c:pt>
              </c:strCache>
            </c:strRef>
          </c:tx>
          <c:spPr>
            <a:solidFill>
              <a:schemeClr val="accent1">
                <a:lumMod val="60000"/>
              </a:schemeClr>
            </a:solidFill>
            <a:ln>
              <a:noFill/>
            </a:ln>
            <a:effectLst/>
          </c:spPr>
          <c:invertIfNegative val="0"/>
          <c:cat>
            <c:strRef>
              <c:f>Sheet1!$A$2:$A$4</c:f>
              <c:strCache>
                <c:ptCount val="3"/>
                <c:pt idx="0">
                  <c:v>A</c:v>
                </c:pt>
                <c:pt idx="1">
                  <c:v>B</c:v>
                </c:pt>
                <c:pt idx="2">
                  <c:v>C</c:v>
                </c:pt>
              </c:strCache>
            </c:strRef>
          </c:cat>
          <c:val>
            <c:numRef>
              <c:f>Sheet1!$H$2:$H$4</c:f>
              <c:numCache>
                <c:formatCode>General</c:formatCode>
                <c:ptCount val="3"/>
                <c:pt idx="0">
                  <c:v>54</c:v>
                </c:pt>
                <c:pt idx="1">
                  <c:v>30</c:v>
                </c:pt>
                <c:pt idx="2">
                  <c:v>75</c:v>
                </c:pt>
              </c:numCache>
            </c:numRef>
          </c:val>
          <c:extLst>
            <c:ext xmlns:c16="http://schemas.microsoft.com/office/drawing/2014/chart" uri="{C3380CC4-5D6E-409C-BE32-E72D297353CC}">
              <c16:uniqueId val="{00000006-DC9E-4456-B248-64B1699BEE52}"/>
            </c:ext>
          </c:extLst>
        </c:ser>
        <c:ser>
          <c:idx val="7"/>
          <c:order val="7"/>
          <c:tx>
            <c:strRef>
              <c:f>Sheet1!$I$1</c:f>
              <c:strCache>
                <c:ptCount val="1"/>
                <c:pt idx="0">
                  <c:v>AACI (Â£m)</c:v>
                </c:pt>
              </c:strCache>
            </c:strRef>
          </c:tx>
          <c:spPr>
            <a:solidFill>
              <a:schemeClr val="accent2">
                <a:lumMod val="60000"/>
              </a:schemeClr>
            </a:solidFill>
            <a:ln>
              <a:noFill/>
            </a:ln>
            <a:effectLst/>
          </c:spPr>
          <c:invertIfNegative val="0"/>
          <c:cat>
            <c:strRef>
              <c:f>Sheet1!$A$2:$A$4</c:f>
              <c:strCache>
                <c:ptCount val="3"/>
                <c:pt idx="0">
                  <c:v>A</c:v>
                </c:pt>
                <c:pt idx="1">
                  <c:v>B</c:v>
                </c:pt>
                <c:pt idx="2">
                  <c:v>C</c:v>
                </c:pt>
              </c:strCache>
            </c:strRef>
          </c:cat>
          <c:val>
            <c:numRef>
              <c:f>Sheet1!$I$2:$I$4</c:f>
              <c:numCache>
                <c:formatCode>General</c:formatCode>
                <c:ptCount val="3"/>
                <c:pt idx="0">
                  <c:v>10.8</c:v>
                </c:pt>
                <c:pt idx="1">
                  <c:v>6</c:v>
                </c:pt>
                <c:pt idx="2">
                  <c:v>15</c:v>
                </c:pt>
              </c:numCache>
            </c:numRef>
          </c:val>
          <c:extLst>
            <c:ext xmlns:c16="http://schemas.microsoft.com/office/drawing/2014/chart" uri="{C3380CC4-5D6E-409C-BE32-E72D297353CC}">
              <c16:uniqueId val="{00000007-DC9E-4456-B248-64B1699BEE52}"/>
            </c:ext>
          </c:extLst>
        </c:ser>
        <c:ser>
          <c:idx val="8"/>
          <c:order val="8"/>
          <c:tx>
            <c:strRef>
              <c:f>Sheet1!$J$1</c:f>
              <c:strCache>
                <c:ptCount val="1"/>
                <c:pt idx="0">
                  <c:v>PP (Years)</c:v>
                </c:pt>
              </c:strCache>
            </c:strRef>
          </c:tx>
          <c:spPr>
            <a:solidFill>
              <a:schemeClr val="accent3">
                <a:lumMod val="60000"/>
              </a:schemeClr>
            </a:solidFill>
            <a:ln>
              <a:noFill/>
            </a:ln>
            <a:effectLst/>
          </c:spPr>
          <c:invertIfNegative val="0"/>
          <c:cat>
            <c:strRef>
              <c:f>Sheet1!$A$2:$A$4</c:f>
              <c:strCache>
                <c:ptCount val="3"/>
                <c:pt idx="0">
                  <c:v>A</c:v>
                </c:pt>
                <c:pt idx="1">
                  <c:v>B</c:v>
                </c:pt>
                <c:pt idx="2">
                  <c:v>C</c:v>
                </c:pt>
              </c:strCache>
            </c:strRef>
          </c:cat>
          <c:val>
            <c:numRef>
              <c:f>Sheet1!$J$2:$J$4</c:f>
              <c:numCache>
                <c:formatCode>General</c:formatCode>
                <c:ptCount val="3"/>
                <c:pt idx="0">
                  <c:v>3.4</c:v>
                </c:pt>
                <c:pt idx="1">
                  <c:v>5</c:v>
                </c:pt>
                <c:pt idx="2">
                  <c:v>3.6</c:v>
                </c:pt>
              </c:numCache>
            </c:numRef>
          </c:val>
          <c:extLst>
            <c:ext xmlns:c16="http://schemas.microsoft.com/office/drawing/2014/chart" uri="{C3380CC4-5D6E-409C-BE32-E72D297353CC}">
              <c16:uniqueId val="{00000008-DC9E-4456-B248-64B1699BEE52}"/>
            </c:ext>
          </c:extLst>
        </c:ser>
        <c:ser>
          <c:idx val="9"/>
          <c:order val="9"/>
          <c:tx>
            <c:strRef>
              <c:f>Sheet1!$K$1</c:f>
              <c:strCache>
                <c:ptCount val="1"/>
                <c:pt idx="0">
                  <c:v>ARR (%)</c:v>
                </c:pt>
              </c:strCache>
            </c:strRef>
          </c:tx>
          <c:spPr>
            <a:solidFill>
              <a:schemeClr val="accent4">
                <a:lumMod val="60000"/>
              </a:schemeClr>
            </a:solidFill>
            <a:ln>
              <a:noFill/>
            </a:ln>
            <a:effectLst/>
          </c:spPr>
          <c:invertIfNegative val="0"/>
          <c:cat>
            <c:strRef>
              <c:f>Sheet1!$A$2:$A$4</c:f>
              <c:strCache>
                <c:ptCount val="3"/>
                <c:pt idx="0">
                  <c:v>A</c:v>
                </c:pt>
                <c:pt idx="1">
                  <c:v>B</c:v>
                </c:pt>
                <c:pt idx="2">
                  <c:v>C</c:v>
                </c:pt>
              </c:strCache>
            </c:strRef>
          </c:cat>
          <c:val>
            <c:numRef>
              <c:f>Sheet1!$K$2:$K$4</c:f>
              <c:numCache>
                <c:formatCode>General</c:formatCode>
                <c:ptCount val="3"/>
                <c:pt idx="0">
                  <c:v>27</c:v>
                </c:pt>
                <c:pt idx="1">
                  <c:v>20</c:v>
                </c:pt>
                <c:pt idx="2">
                  <c:v>30</c:v>
                </c:pt>
              </c:numCache>
            </c:numRef>
          </c:val>
          <c:extLst>
            <c:ext xmlns:c16="http://schemas.microsoft.com/office/drawing/2014/chart" uri="{C3380CC4-5D6E-409C-BE32-E72D297353CC}">
              <c16:uniqueId val="{00000009-DC9E-4456-B248-64B1699BEE52}"/>
            </c:ext>
          </c:extLst>
        </c:ser>
        <c:ser>
          <c:idx val="10"/>
          <c:order val="10"/>
          <c:tx>
            <c:strRef>
              <c:f>Sheet1!$L$1</c:f>
              <c:strCache>
                <c:ptCount val="1"/>
                <c:pt idx="0">
                  <c:v>NPV (Â£m)</c:v>
                </c:pt>
              </c:strCache>
            </c:strRef>
          </c:tx>
          <c:spPr>
            <a:solidFill>
              <a:schemeClr val="accent5">
                <a:lumMod val="60000"/>
              </a:schemeClr>
            </a:solidFill>
            <a:ln>
              <a:noFill/>
            </a:ln>
            <a:effectLst/>
          </c:spPr>
          <c:invertIfNegative val="0"/>
          <c:cat>
            <c:strRef>
              <c:f>Sheet1!$A$2:$A$4</c:f>
              <c:strCache>
                <c:ptCount val="3"/>
                <c:pt idx="0">
                  <c:v>A</c:v>
                </c:pt>
                <c:pt idx="1">
                  <c:v>B</c:v>
                </c:pt>
                <c:pt idx="2">
                  <c:v>C</c:v>
                </c:pt>
              </c:strCache>
            </c:strRef>
          </c:cat>
          <c:val>
            <c:numRef>
              <c:f>Sheet1!$L$2:$L$4</c:f>
              <c:numCache>
                <c:formatCode>General</c:formatCode>
                <c:ptCount val="3"/>
                <c:pt idx="0">
                  <c:v>1.33</c:v>
                </c:pt>
                <c:pt idx="1">
                  <c:v>-7.25</c:v>
                </c:pt>
                <c:pt idx="2">
                  <c:v>4.2300000000000004</c:v>
                </c:pt>
              </c:numCache>
            </c:numRef>
          </c:val>
          <c:extLst>
            <c:ext xmlns:c16="http://schemas.microsoft.com/office/drawing/2014/chart" uri="{C3380CC4-5D6E-409C-BE32-E72D297353CC}">
              <c16:uniqueId val="{0000000A-DC9E-4456-B248-64B1699BEE52}"/>
            </c:ext>
          </c:extLst>
        </c:ser>
        <c:ser>
          <c:idx val="11"/>
          <c:order val="11"/>
          <c:tx>
            <c:strRef>
              <c:f>Sheet1!$M$1</c:f>
              <c:strCache>
                <c:ptCount val="1"/>
                <c:pt idx="0">
                  <c:v>PI</c:v>
                </c:pt>
              </c:strCache>
            </c:strRef>
          </c:tx>
          <c:spPr>
            <a:solidFill>
              <a:schemeClr val="accent6">
                <a:lumMod val="60000"/>
              </a:schemeClr>
            </a:solidFill>
            <a:ln>
              <a:noFill/>
            </a:ln>
            <a:effectLst/>
          </c:spPr>
          <c:invertIfNegative val="0"/>
          <c:cat>
            <c:strRef>
              <c:f>Sheet1!$A$2:$A$4</c:f>
              <c:strCache>
                <c:ptCount val="3"/>
                <c:pt idx="0">
                  <c:v>A</c:v>
                </c:pt>
                <c:pt idx="1">
                  <c:v>B</c:v>
                </c:pt>
                <c:pt idx="2">
                  <c:v>C</c:v>
                </c:pt>
              </c:strCache>
            </c:strRef>
          </c:cat>
          <c:val>
            <c:numRef>
              <c:f>Sheet1!$M$2:$M$4</c:f>
              <c:numCache>
                <c:formatCode>General</c:formatCode>
                <c:ptCount val="3"/>
                <c:pt idx="0">
                  <c:v>1.0329999999999999</c:v>
                </c:pt>
                <c:pt idx="1">
                  <c:v>0.75800000000000001</c:v>
                </c:pt>
                <c:pt idx="2">
                  <c:v>1.085</c:v>
                </c:pt>
              </c:numCache>
            </c:numRef>
          </c:val>
          <c:extLst>
            <c:ext xmlns:c16="http://schemas.microsoft.com/office/drawing/2014/chart" uri="{C3380CC4-5D6E-409C-BE32-E72D297353CC}">
              <c16:uniqueId val="{0000000B-DC9E-4456-B248-64B1699BEE52}"/>
            </c:ext>
          </c:extLst>
        </c:ser>
        <c:ser>
          <c:idx val="12"/>
          <c:order val="12"/>
          <c:tx>
            <c:strRef>
              <c:f>Sheet1!$N$1</c:f>
              <c:strCache>
                <c:ptCount val="1"/>
                <c:pt idx="0">
                  <c:v>IRR (%)</c:v>
                </c:pt>
              </c:strCache>
            </c:strRef>
          </c:tx>
          <c:spPr>
            <a:solidFill>
              <a:schemeClr val="accent1">
                <a:lumMod val="80000"/>
                <a:lumOff val="20000"/>
              </a:schemeClr>
            </a:solidFill>
            <a:ln>
              <a:noFill/>
            </a:ln>
            <a:effectLst/>
          </c:spPr>
          <c:invertIfNegative val="0"/>
          <c:cat>
            <c:strRef>
              <c:f>Sheet1!$A$2:$A$4</c:f>
              <c:strCache>
                <c:ptCount val="3"/>
                <c:pt idx="0">
                  <c:v>A</c:v>
                </c:pt>
                <c:pt idx="1">
                  <c:v>B</c:v>
                </c:pt>
                <c:pt idx="2">
                  <c:v>C</c:v>
                </c:pt>
              </c:strCache>
            </c:strRef>
          </c:cat>
          <c:val>
            <c:numRef>
              <c:f>Sheet1!$N$2:$N$4</c:f>
              <c:numCache>
                <c:formatCode>General</c:formatCode>
                <c:ptCount val="3"/>
                <c:pt idx="0">
                  <c:v>11.33</c:v>
                </c:pt>
                <c:pt idx="1">
                  <c:v>0</c:v>
                </c:pt>
                <c:pt idx="2">
                  <c:v>12.72</c:v>
                </c:pt>
              </c:numCache>
            </c:numRef>
          </c:val>
          <c:extLst>
            <c:ext xmlns:c16="http://schemas.microsoft.com/office/drawing/2014/chart" uri="{C3380CC4-5D6E-409C-BE32-E72D297353CC}">
              <c16:uniqueId val="{0000000C-DC9E-4456-B248-64B1699BEE52}"/>
            </c:ext>
          </c:extLst>
        </c:ser>
        <c:dLbls>
          <c:showLegendKey val="0"/>
          <c:showVal val="0"/>
          <c:showCatName val="0"/>
          <c:showSerName val="0"/>
          <c:showPercent val="0"/>
          <c:showBubbleSize val="0"/>
        </c:dLbls>
        <c:gapWidth val="219"/>
        <c:axId val="1755899807"/>
        <c:axId val="1755900287"/>
      </c:barChart>
      <c:catAx>
        <c:axId val="17558998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5900287"/>
        <c:crosses val="autoZero"/>
        <c:auto val="1"/>
        <c:lblAlgn val="ctr"/>
        <c:lblOffset val="100"/>
        <c:noMultiLvlLbl val="0"/>
      </c:catAx>
      <c:valAx>
        <c:axId val="17559002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5899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Chr25</b:Tag>
    <b:SourceType>JournalArticle</b:SourceType>
    <b:Guid>{C0E75C9B-1F51-4890-80E0-78D40AEAC435}</b:Guid>
    <b:Title>Corporate Failure Prediction: A Literature Review of Altman Z-Score and Machine Learning Models Within a Technology Adoption Framework</b:Title>
    <b:Year>2025</b:Year>
    <b:Author>
      <b:Author>
        <b:NameList>
          <b:Person>
            <b:Last>Braunsberger</b:Last>
            <b:First>Christoph</b:First>
          </b:Person>
          <b:Person>
            <b:Last>Aschauer</b:Last>
            <b:First>Ewald</b:First>
          </b:Person>
        </b:NameList>
      </b:Author>
    </b:Author>
    <b:JournalName>Journal of Risk and Financial Management</b:JournalName>
    <b:Pages>465</b:Pages>
    <b:Volume>18</b:Volume>
    <b:Issue>8</b:Issue>
    <b:RefOrder>6</b:RefOrder>
  </b:Source>
  <b:Source>
    <b:Tag>Meh24</b:Tag>
    <b:SourceType>InternetSite</b:SourceType>
    <b:Guid>{6B503A58-A222-46C9-913F-E190BDD997C3}</b:Guid>
    <b:Title>How are companies rethinking their liquidity management strategies in response to the recent degradation across major working capital metrics?</b:Title>
    <b:Year>2024</b:Year>
    <b:Author>
      <b:Author>
        <b:NameList>
          <b:Person>
            <b:Last>Mehlkopf</b:Last>
            <b:First>Thomas</b:First>
          </b:Person>
        </b:NameList>
      </b:Author>
    </b:Author>
    <b:YearAccessed>2025</b:YearAccessed>
    <b:InternetSiteTitle>SAP Taulia</b:InternetSiteTitle>
    <b:RefOrder>12</b:RefOrder>
  </b:Source>
  <b:Source>
    <b:Tag>Sam24</b:Tag>
    <b:SourceType>JournalArticle</b:SourceType>
    <b:Guid>{B001080F-4B9B-4D07-A9AA-B3168E44AA59}</b:Guid>
    <b:Title>Firms' financing choice between short-term and long-term debts: Are they substitutes?</b:Title>
    <b:Year>2024</b:Year>
    <b:Author>
      <b:Author>
        <b:NameList>
          <b:Person>
            <b:Last>Hempel</b:Last>
            <b:First>Sam</b:First>
          </b:Person>
          <b:Person>
            <b:Last>Li</b:Last>
            <b:First>Yi</b:First>
          </b:Person>
          <b:Person>
            <b:Last>Tibay</b:Last>
            <b:First>Sean</b:First>
          </b:Person>
        </b:NameList>
      </b:Author>
    </b:Author>
    <b:JournalName>FEDS Notes</b:JournalName>
    <b:RefOrder>15</b:RefOrder>
  </b:Source>
  <b:Source>
    <b:Tag>Hao21</b:Tag>
    <b:SourceType>JournalArticle</b:SourceType>
    <b:Guid>{E33922AD-6E21-4BC7-BB4B-503ADF78B87D}</b:Guid>
    <b:Author>
      <b:Author>
        <b:NameList>
          <b:Person>
            <b:Last>Liu</b:Last>
            <b:First>Hao</b:First>
          </b:Person>
          <b:Person>
            <b:Last>Yi</b:Last>
            <b:First>Xingjian</b:First>
          </b:Person>
          <b:Person>
            <b:Last>Yin</b:Last>
            <b:First>Libo</b:First>
          </b:Person>
        </b:NameList>
      </b:Author>
    </b:Author>
    <b:Title>The impact of operating flexibility on firms’ performance during the COVID-19 outbreak: Evidence from China</b:Title>
    <b:JournalName>Journal of Finance</b:JournalName>
    <b:Year>2021</b:Year>
    <b:Pages>1-6</b:Pages>
    <b:Volume>38</b:Volume>
    <b:RefOrder>28</b:RefOrder>
  </b:Source>
  <b:Source>
    <b:Tag>Rob23</b:Tag>
    <b:SourceType>Book</b:SourceType>
    <b:Guid>{BC734EFD-40F6-43C5-B346-6EC85705AC5D}</b:Guid>
    <b:Title>Analysis for Financial Management</b:Title>
    <b:Year>2023</b:Year>
    <b:Author>
      <b:Author>
        <b:NameList>
          <b:Person>
            <b:Last>Higgins</b:Last>
            <b:First>Robert</b:First>
          </b:Person>
          <b:Person>
            <b:Last>Koski</b:Last>
            <b:First>Jennifer</b:First>
          </b:Person>
          <b:Person>
            <b:Last>Mitton</b:Last>
            <b:First>Todd</b:First>
          </b:Person>
        </b:NameList>
      </b:Author>
    </b:Author>
    <b:City>New York</b:City>
    <b:Publisher>McGraw-Hill Education</b:Publisher>
    <b:Edition>13th</b:Edition>
    <b:RefOrder>1</b:RefOrder>
  </b:Source>
  <b:Source>
    <b:Tag>Pet19</b:Tag>
    <b:SourceType>Book</b:SourceType>
    <b:Guid>{A847D8F9-E72A-4EC1-91A3-7752B8EA7451}</b:Guid>
    <b:Author>
      <b:Author>
        <b:NameList>
          <b:Person>
            <b:Last>Atrill</b:Last>
            <b:First>Peter</b:First>
          </b:Person>
          <b:Person>
            <b:Last>McLaney</b:Last>
            <b:First>Eddie</b:First>
          </b:Person>
        </b:NameList>
      </b:Author>
    </b:Author>
    <b:Title>Financial Management for Decision Makers</b:Title>
    <b:Year>2019</b:Year>
    <b:City>London</b:City>
    <b:Publisher>Pearson Education</b:Publisher>
    <b:Edition>9th</b:Edition>
    <b:RefOrder>2</b:RefOrder>
  </b:Source>
  <b:Source>
    <b:Tag>Pet191</b:Tag>
    <b:SourceType>Book</b:SourceType>
    <b:Guid>{7D7C4A9F-333A-4DD7-AFDD-5B810A164E83}</b:Guid>
    <b:Author>
      <b:Author>
        <b:NameList>
          <b:Person>
            <b:Last>Atrill</b:Last>
            <b:First>Peter</b:First>
          </b:Person>
          <b:Person>
            <b:Last>McLaney</b:Last>
            <b:First>Eddie</b:First>
          </b:Person>
        </b:NameList>
      </b:Author>
    </b:Author>
    <b:Title>Financial Accounting for Decision Makers</b:Title>
    <b:Year>2019</b:Year>
    <b:City>London</b:City>
    <b:Publisher>Pearson Education</b:Publisher>
    <b:Edition>9th</b:Edition>
    <b:RefOrder>7</b:RefOrder>
  </b:Source>
  <b:Source>
    <b:Tag>Eug14</b:Tag>
    <b:SourceType>Book</b:SourceType>
    <b:Guid>{F7C12B4E-A64F-4075-B106-EBBC2C7A808B}</b:Guid>
    <b:Author>
      <b:Author>
        <b:NameList>
          <b:Person>
            <b:Last>Brigham</b:Last>
            <b:First>Eugene</b:First>
            <b:Middle>F.</b:Middle>
          </b:Person>
          <b:Person>
            <b:Last>Ehrhardt</b:Last>
            <b:First>Michael</b:First>
            <b:Middle>C.</b:Middle>
          </b:Person>
        </b:NameList>
      </b:Author>
    </b:Author>
    <b:Title>Financial Management: Theory &amp; Practice </b:Title>
    <b:Year>2014</b:Year>
    <b:City>Boston, MA</b:City>
    <b:Publisher>Cengage Learning</b:Publisher>
    <b:Edition>14th</b:Edition>
    <b:RefOrder>3</b:RefOrder>
  </b:Source>
  <b:Source>
    <b:Tag>Asw12</b:Tag>
    <b:SourceType>Book</b:SourceType>
    <b:Guid>{6C7BA758-3F06-4015-A77E-9CDB91020BE4}</b:Guid>
    <b:Author>
      <b:Author>
        <b:NameList>
          <b:Person>
            <b:Last>Damodaran</b:Last>
            <b:First>Aswath</b:First>
          </b:Person>
        </b:NameList>
      </b:Author>
    </b:Author>
    <b:Title>Investment Valuation: Tools and Techniques for Determining the Value of Any Asset</b:Title>
    <b:Year>2012</b:Year>
    <b:City>Hoboken, NJ</b:City>
    <b:Publisher>Wiley</b:Publisher>
    <b:Edition>3rd</b:Edition>
    <b:RefOrder>4</b:RefOrder>
  </b:Source>
  <b:Source>
    <b:Tag>Mic80</b:Tag>
    <b:SourceType>Book</b:SourceType>
    <b:Guid>{0C4A568B-35AD-4B75-86FB-48BB77692F7F}</b:Guid>
    <b:Author>
      <b:Author>
        <b:NameList>
          <b:Person>
            <b:Last>Porter</b:Last>
            <b:First>Michael</b:First>
            <b:Middle>E.</b:Middle>
          </b:Person>
        </b:NameList>
      </b:Author>
    </b:Author>
    <b:Title>Competitive strategy : techniques for analyzing industries and competitors</b:Title>
    <b:Year>1980</b:Year>
    <b:City>New York </b:City>
    <b:Publisher>Free Press</b:Publisher>
    <b:RefOrder>5</b:RefOrder>
  </b:Source>
  <b:Source>
    <b:Tag>Ahs22</b:Tag>
    <b:SourceType>JournalArticle</b:SourceType>
    <b:Guid>{F9E74B9C-3B20-4498-B2BD-9658AF8DB1D0}</b:Guid>
    <b:Title>The Importance of Just in Time (JIT) Methodology and its Advantages in Health Care Quality Management Business – A Scoping Review</b:Title>
    <b:Year>2022</b:Year>
    <b:Author>
      <b:Author>
        <b:NameList>
          <b:Person>
            <b:Last>Siddiqui</b:Last>
            <b:First>Ahsan</b:First>
          </b:Person>
        </b:NameList>
      </b:Author>
    </b:Author>
    <b:JournalName>Biomedical Journal of Scientific &amp; Technical Research</b:JournalName>
    <b:Pages>33317-33325</b:Pages>
    <b:Volume>42</b:Volume>
    <b:Issue>1</b:Issue>
    <b:RefOrder>8</b:RefOrder>
  </b:Source>
  <b:Source>
    <b:Tag>All25</b:Tag>
    <b:SourceType>InternetSite</b:SourceType>
    <b:Guid>{9BB2B9C5-2E8B-43C6-A4F9-9507DCBF3AE5}</b:Guid>
    <b:Author>
      <b:Author>
        <b:Corporate>Allianz Trade</b:Corporate>
      </b:Author>
      <b:ProducerName>
        <b:NameList>
          <b:Person>
            <b:Last>Trade</b:Last>
            <b:First>Allianz</b:First>
          </b:Person>
        </b:NameList>
      </b:ProducerName>
    </b:Author>
    <b:Title>Early Payment Discounts: Definition, Types, &amp; Examples</b:Title>
    <b:Year>2025</b:Year>
    <b:YearAccessed>2025</b:YearAccessed>
    <b:RefOrder>9</b:RefOrder>
  </b:Source>
  <b:Source>
    <b:Tag>Ben</b:Tag>
    <b:SourceType>InternetSite</b:SourceType>
    <b:Guid>{1087C6E0-DDD8-4B26-8EEC-F8E0E193294C}</b:Guid>
    <b:Author>
      <b:Author>
        <b:NameList>
          <b:Person>
            <b:Last>Bentson</b:Last>
            <b:First>Mike</b:First>
          </b:Person>
          <b:Person>
            <b:Last>Kay</b:Last>
            <b:First>Jeremy</b:First>
          </b:Person>
          <b:Person>
            <b:Last>Rapp</b:Last>
            <b:First>Tom</b:First>
          </b:Person>
          <b:Person>
            <b:Last>Young</b:Last>
            <b:First>Christine</b:First>
          </b:Person>
          <b:Person>
            <b:Last>Haenisch</b:Last>
            <b:First>Niels</b:First>
          </b:Person>
        </b:NameList>
      </b:Author>
      <b:ProducerName>
        <b:NameList>
          <b:Person>
            <b:Last>Group</b:Last>
            <b:First>Boston</b:First>
            <b:Middle>Consulting</b:Middle>
          </b:Person>
        </b:NameList>
      </b:ProducerName>
    </b:Author>
    <b:Title>Avoid the Hidden Costs of Extending Supplier Payment Terms</b:Title>
    <b:Year>2024</b:Year>
    <b:RefOrder>10</b:RefOrder>
  </b:Source>
  <b:Source>
    <b:Tag>Mal25</b:Tag>
    <b:SourceType>InternetSite</b:SourceType>
    <b:Guid>{F4BE0002-300D-494E-B664-FAFFF913347D}</b:Guid>
    <b:Author>
      <b:Author>
        <b:NameList>
          <b:Person>
            <b:Last>Malik</b:Last>
            <b:First>Yassir</b:First>
          </b:Person>
        </b:NameList>
      </b:Author>
      <b:ProducerName>
        <b:NameList>
          <b:Person>
            <b:Last>Sage</b:Last>
          </b:Person>
        </b:NameList>
      </b:ProducerName>
    </b:Author>
    <b:Title>How to Negotiate Payment Terms with Your Suppliers</b:Title>
    <b:Year>2025</b:Year>
    <b:RefOrder>11</b:RefOrder>
  </b:Source>
  <b:Source>
    <b:Tag>PGI25</b:Tag>
    <b:SourceType>InternetSite</b:SourceType>
    <b:Guid>{4DE3E63F-75A0-4C3F-A1FE-C06DE2316A03}</b:Guid>
    <b:Author>
      <b:Author>
        <b:Corporate>PGIM Private Capital</b:Corporate>
      </b:Author>
      <b:ProducerName>
        <b:NameList>
          <b:Person>
            <b:Last>Capital</b:Last>
            <b:First>PGIM</b:First>
            <b:Middle>Private</b:Middle>
          </b:Person>
        </b:NameList>
      </b:ProducerName>
    </b:Author>
    <b:Title>The Benefits of Long-Term vs. Short-Term Financing</b:Title>
    <b:Year>2025</b:Year>
    <b:RefOrder>13</b:RefOrder>
  </b:Source>
  <b:Source>
    <b:Tag>Kyr25</b:Tag>
    <b:SourceType>InternetSite</b:SourceType>
    <b:Guid>{B215761D-F755-4E10-B80A-9828E3291B62}</b:Guid>
    <b:Author>
      <b:Author>
        <b:Corporate>Kyriba</b:Corporate>
      </b:Author>
    </b:Author>
    <b:Title>Supply Chain Finance for Mid-Sized Businesses</b:Title>
    <b:Year>2025</b:Year>
    <b:YearAccessed>2025</b:YearAccessed>
    <b:RefOrder>14</b:RefOrder>
  </b:Source>
  <b:Source>
    <b:Tag>PGI251</b:Tag>
    <b:SourceType>InternetSite</b:SourceType>
    <b:Guid>{34011A02-C394-40BA-8AF2-3894CD91F4DD}</b:Guid>
    <b:Author>
      <b:Author>
        <b:Corporate>PGIM Private Capital</b:Corporate>
      </b:Author>
    </b:Author>
    <b:Title>The Benefits of Long-Term vs. Short-Term Financing</b:Title>
    <b:Year>2025</b:Year>
    <b:YearAccessed>2025</b:YearAccessed>
    <b:RefOrder>16</b:RefOrder>
  </b:Source>
  <b:Source>
    <b:Tag>PGI252</b:Tag>
    <b:SourceType>InternetSite</b:SourceType>
    <b:Guid>{6BB4E7AE-955A-4DD6-A814-7AEA18400387}</b:Guid>
    <b:Author>
      <b:Author>
        <b:Corporate>PGIM Private Capital</b:Corporate>
      </b:Author>
    </b:Author>
    <b:Title>The Value of Long-Term Financing</b:Title>
    <b:Year>2025</b:Year>
    <b:YearAccessed>2025</b:YearAccessed>
    <b:RefOrder>17</b:RefOrder>
  </b:Source>
  <b:Source>
    <b:Tag>PGI253</b:Tag>
    <b:SourceType>InternetSite</b:SourceType>
    <b:Guid>{ED8B3114-07AE-4CB5-8337-B95A0E4CACA1}</b:Guid>
    <b:Author>
      <b:Author>
        <b:Corporate>PGIM Private Capital</b:Corporate>
      </b:Author>
    </b:Author>
    <b:Title>Capital Comparison and Structure Strategy</b:Title>
    <b:Year>2025</b:Year>
    <b:YearAccessed>2025</b:YearAccessed>
    <b:RefOrder>18</b:RefOrder>
  </b:Source>
  <b:Source>
    <b:Tag>Del24</b:Tag>
    <b:SourceType>InternetSite</b:SourceType>
    <b:Guid>{ABEE4A94-75B1-426A-B639-7044657E80D9}</b:Guid>
    <b:Author>
      <b:Author>
        <b:NameList>
          <b:Person>
            <b:Last>Deloitte</b:Last>
          </b:Person>
        </b:NameList>
      </b:Author>
    </b:Author>
    <b:Title>2024 Global Corporate Divestiture Survey</b:Title>
    <b:Year>2024</b:Year>
    <b:YearAccessed>2025</b:YearAccessed>
    <b:RefOrder>19</b:RefOrder>
  </b:Source>
  <b:Source>
    <b:Tag>Mau22</b:Tag>
    <b:SourceType>InternetSite</b:SourceType>
    <b:Guid>{380C6381-53EF-42A7-93F3-2C808F843A57}</b:Guid>
    <b:Author>
      <b:Author>
        <b:NameList>
          <b:Person>
            <b:Last>Mauboussin</b:Last>
            <b:First>Michael</b:First>
            <b:Middle>J.</b:Middle>
          </b:Person>
          <b:Person>
            <b:Last>Callahan</b:Last>
            <b:First>Dan</b:First>
          </b:Person>
        </b:NameList>
      </b:Author>
    </b:Author>
    <b:Title>Capital Allocation: Results, Analysis, and Assessment</b:Title>
    <b:Year>2022</b:Year>
    <b:YearAccessed>2025</b:YearAccessed>
    <b:ProductionCompany>Morgan Stanley</b:ProductionCompany>
    <b:RefOrder>20</b:RefOrder>
  </b:Source>
  <b:Source>
    <b:Tag>MAC24</b:Tag>
    <b:SourceType>InternetSite</b:SourceType>
    <b:Guid>{A22B9A6E-0DA6-410A-A614-E9B4E9C65060}</b:Guid>
    <b:Author>
      <b:Author>
        <b:Corporate>M&amp;A Community</b:Corporate>
      </b:Author>
    </b:Author>
    <b:Title>Full guide to divestiture: Its types, process, pros, and cons</b:Title>
    <b:Year>2024</b:Year>
    <b:YearAccessed>2025</b:YearAccessed>
    <b:URL>https://mnacommunity.com/insights/divestiture/?</b:URL>
    <b:RefOrder>21</b:RefOrder>
  </b:Source>
  <b:Source>
    <b:Tag>Sab24</b:Tag>
    <b:SourceType>Report</b:SourceType>
    <b:Guid>{B7CB2841-B79A-47B3-AA7D-89CCB2CC84F2}</b:Guid>
    <b:Author>
      <b:Author>
        <b:NameList>
          <b:Person>
            <b:Last>Donnelly</b:Last>
            <b:First>Sabrinthia</b:First>
          </b:Person>
        </b:NameList>
      </b:Author>
    </b:Author>
    <b:Title>10 potential risks of mergers and acquisitions</b:Title>
    <b:Year>2024</b:Year>
    <b:YearAccessed>2025</b:YearAccessed>
    <b:Publisher>Finance Alliance</b:Publisher>
    <b:RefOrder>22</b:RefOrder>
  </b:Source>
  <b:Source>
    <b:Tag>Ped25</b:Tag>
    <b:SourceType>InternetSite</b:SourceType>
    <b:Guid>{60BF6732-893E-4A66-8A72-A5BBECB60907}</b:Guid>
    <b:Title>Private equity fundraising slides as sector’s downturn deepens</b:Title>
    <b:Year>2025</b:Year>
    <b:Author>
      <b:Author>
        <b:NameList>
          <b:Person>
            <b:Last>Pedone</b:Last>
            <b:First>Enter</b:First>
            <b:Middle>Hannah</b:Middle>
          </b:Person>
          <b:Person>
            <b:Last>Gara</b:Last>
            <b:First>Antoine</b:First>
          </b:Person>
          <b:Person>
            <b:Last>Levingston</b:Last>
            <b:First>Ivan</b:First>
          </b:Person>
        </b:NameList>
      </b:Author>
    </b:Author>
    <b:YearAccessed>2025</b:YearAccessed>
    <b:ProductionCompany>Financial Times</b:ProductionCompany>
    <b:RefOrder>23</b:RefOrder>
  </b:Source>
  <b:Source>
    <b:Tag>Odi24</b:Tag>
    <b:SourceType>JournalArticle</b:SourceType>
    <b:Guid>{4D11E5D4-F2D1-44EC-852C-805B382DE732}</b:Guid>
    <b:Title>Corporate restructuring and the shareholders wealth of selected firms in Nigeria</b:Title>
    <b:Year>2024</b:Year>
    <b:Author>
      <b:Author>
        <b:NameList>
          <b:Person>
            <b:Last>Odi</b:Last>
            <b:First>E.</b:First>
            <b:Middle>R.</b:Middle>
          </b:Person>
          <b:Person>
            <b:Last>Oji</b:Last>
            <b:First>G.</b:First>
            <b:Middle>U..</b:Middle>
          </b:Person>
        </b:NameList>
      </b:Author>
    </b:Author>
    <b:JournalName>International Journal of Banking and Finance Research</b:JournalName>
    <b:Pages>106–124</b:Pages>
    <b:Volume>10</b:Volume>
    <b:Issue>9</b:Issue>
    <b:RefOrder>24</b:RefOrder>
  </b:Source>
  <b:Source>
    <b:Tag>Ber20</b:Tag>
    <b:SourceType>Book</b:SourceType>
    <b:Guid>{49571095-3555-4E85-9EA6-B206F3AF2D6F}</b:Guid>
    <b:Title>Corporate finance</b:Title>
    <b:Year>2020</b:Year>
    <b:Author>
      <b:Author>
        <b:NameList>
          <b:Person>
            <b:Last>Berk</b:Last>
            <b:First>J.</b:First>
          </b:Person>
          <b:Person>
            <b:Last>DeMarzo</b:Last>
            <b:First>P.</b:First>
          </b:Person>
        </b:NameList>
      </b:Author>
    </b:Author>
    <b:City>London</b:City>
    <b:Publisher>Pearson</b:Publisher>
    <b:Edition>5th Global </b:Edition>
    <b:RefOrder>25</b:RefOrder>
  </b:Source>
  <b:Source>
    <b:Tag>Mar09</b:Tag>
    <b:SourceType>JournalArticle</b:SourceType>
    <b:Guid>{AE25DF32-BFC8-4CFB-B76B-F3EA276FDBB5}</b:Guid>
    <b:Title>What determines the financing decision in corporate takeovers: Cost of capital, agency problems, or the means of payment?</b:Title>
    <b:Year>2009</b:Year>
    <b:Author>
      <b:Author>
        <b:NameList>
          <b:Person>
            <b:Last>Martynova</b:Last>
            <b:First>M.</b:First>
          </b:Person>
          <b:Person>
            <b:Last>Renneboog</b:Last>
            <b:First>L.</b:First>
          </b:Person>
        </b:NameList>
      </b:Author>
    </b:Author>
    <b:JournalName>Journal of Corporate Finance</b:JournalName>
    <b:Pages>290-315</b:Pages>
    <b:Volume>15</b:Volume>
    <b:Issue>3</b:Issue>
    <b:RefOrder>26</b:RefOrder>
  </b:Source>
  <b:Source>
    <b:Tag>Bre25</b:Tag>
    <b:SourceType>Book</b:SourceType>
    <b:Guid>{07BB862B-ED3F-409C-BFF2-4D8E8AFDE753}</b:Guid>
    <b:Title>Principles of Corporate Finance</b:Title>
    <b:Year>2025</b:Year>
    <b:Author>
      <b:Author>
        <b:NameList>
          <b:Person>
            <b:Last>Brealey</b:Last>
            <b:First>R.</b:First>
          </b:Person>
          <b:Person>
            <b:Last>Myers</b:Last>
            <b:First>S.</b:First>
          </b:Person>
          <b:Person>
            <b:Last>Allen</b:Last>
            <b:First>F.</b:First>
          </b:Person>
          <b:Person>
            <b:Last>Edmans</b:Last>
            <b:First>A..</b:First>
          </b:Person>
        </b:NameList>
      </b:Author>
    </b:Author>
    <b:Publisher>McGraw-Hill Education</b:Publisher>
    <b:Edition>2025 Release</b:Edition>
    <b:RefOrder>27</b:RefOrder>
  </b:Source>
  <b:Source>
    <b:Tag>Spe24</b:Tag>
    <b:SourceType>InternetSite</b:SourceType>
    <b:Guid>{84DAB2A9-4DE0-4B12-9384-56349F9374BE}</b:Guid>
    <b:Title>Agile supply chain strategies for modern organizations</b:Title>
    <b:Year>2024</b:Year>
    <b:Author>
      <b:Author>
        <b:NameList>
          <b:Person>
            <b:Last>Spencer</b:Last>
            <b:First>B</b:First>
          </b:Person>
        </b:NameList>
      </b:Author>
      <b:ProducerName>
        <b:NameList>
          <b:Person>
            <b:Last>Service</b:Last>
            <b:First>Innovation</b:First>
            <b:Middle>as a</b:Middle>
          </b:Person>
        </b:NameList>
      </b:ProducerName>
    </b:Author>
    <b:RefOrder>29</b:RefOrder>
  </b:Source>
  <b:Source>
    <b:Tag>Nic25</b:Tag>
    <b:SourceType>InternetSite</b:SourceType>
    <b:Guid>{C5BF8087-1529-44AE-84D9-C3E98F944882}</b:Guid>
    <b:Author>
      <b:Author>
        <b:NameList>
          <b:Person>
            <b:Last>Nichols</b:Last>
            <b:First>C.</b:First>
          </b:Person>
          <b:Person>
            <b:Last>Schelonka</b:Last>
            <b:First>S.</b:First>
          </b:Person>
          <b:Person>
            <b:Last>Ferrara</b:Last>
            <b:First>N.</b:First>
          </b:Person>
        </b:NameList>
      </b:Author>
    </b:Author>
    <b:Title>Digital transformation: Optimize operations, spur innovation</b:Title>
    <b:Year>2025</b:Year>
    <b:RefOrder>30</b:RefOrder>
  </b:Source>
  <b:Source>
    <b:Tag>Sch21</b:Tag>
    <b:SourceType>InternetSite</b:SourceType>
    <b:Guid>{B4D86DE7-31DA-4822-90AF-C8B68C5E4E50}</b:Guid>
    <b:Author>
      <b:Author>
        <b:NameList>
          <b:Person>
            <b:Last>Schön</b:Last>
            <b:First>W</b:First>
          </b:Person>
        </b:NameList>
      </b:Author>
    </b:Author>
    <b:Title>Is there Finally an International Tax System?</b:Title>
    <b:Year>2021</b:Year>
    <b:YearAccessed>2025</b:YearAccessed>
    <b:RefOrder>31</b:RefOrder>
  </b:Source>
  <b:Source>
    <b:Tag>Anb25</b:Tag>
    <b:SourceType>JournalArticle</b:SourceType>
    <b:Guid>{4AB90862-6638-48BE-9377-EE7F62A4CCF4}</b:Guid>
    <b:Title>Transaction Exposure and its Hedging Strategies</b:Title>
    <b:Year>2025</b:Year>
    <b:Author>
      <b:Author>
        <b:NameList>
          <b:Person>
            <b:Last>Anbar</b:Last>
            <b:First>Y.</b:First>
          </b:Person>
          <b:Person>
            <b:Last>Amjad</b:Last>
            <b:First>M.</b:First>
          </b:Person>
          <b:Person>
            <b:Last>Sajim</b:Last>
            <b:First>S.</b:First>
          </b:Person>
          <b:Person>
            <b:Last>Palliyedath</b:Last>
            <b:First>R.</b:First>
          </b:Person>
          <b:Person>
            <b:Last>Nobanee</b:Last>
            <b:First>H.</b:First>
          </b:Person>
        </b:NameList>
      </b:Author>
    </b:Author>
    <b:JournalName>Social Science Research Network</b:JournalName>
    <b:Pages>1-20</b:Pages>
    <b:RefOrder>32</b:RefOrder>
  </b:Source>
  <b:Source>
    <b:Tag>Pel23</b:Tag>
    <b:SourceType>JournalArticle</b:SourceType>
    <b:Guid>{E12E81ED-039B-4F08-8455-A3F4EF091248}</b:Guid>
    <b:Author>
      <b:Author>
        <b:NameList>
          <b:Person>
            <b:Last>Pellegrino</b:Last>
            <b:First>R.</b:First>
          </b:Person>
          <b:Person>
            <b:Last>Gaudenzi</b:Last>
            <b:First>B.</b:First>
          </b:Person>
          <b:Person>
            <b:Last>Zsidisin</b:Last>
            <b:First>G.</b:First>
            <b:Middle>A..</b:Middle>
          </b:Person>
        </b:NameList>
      </b:Author>
    </b:Author>
    <b:Title>Mitigating foreign exchange risk exposure with supply chain flexibility: A real option analysis</b:Title>
    <b:Year>2023</b:Year>
    <b:Pages>e12338</b:Pages>
    <b:Volume>45</b:Volume>
    <b:Issue>1</b:Issue>
    <b:RefOrder>33</b:RefOrder>
  </b:Source>
  <b:Source>
    <b:Tag>Alh25</b:Tag>
    <b:SourceType>JournalArticle</b:SourceType>
    <b:Guid>{417D4AE4-23BF-405D-9B06-C35CED4B461B}</b:Guid>
    <b:Author>
      <b:Author>
        <b:NameList>
          <b:Person>
            <b:Last>Alhajjeah</b:Last>
            <b:First>D.</b:First>
          </b:Person>
          <b:Person>
            <b:Last>Besim</b:Last>
            <b:First>M.</b:First>
          </b:Person>
          <b:Person>
            <b:Last>Al-Hajieh</b:Last>
            <b:First>H.</b:First>
          </b:Person>
        </b:NameList>
      </b:Author>
    </b:Author>
    <b:Title>Mitigating Crisis Impact: The Influence of Corporate Social Responsibility on Non-Financial Firms’ Financial Performance</b:Title>
    <b:JournalName>International Review of Economics &amp; Finance</b:JournalName>
    <b:Year>2025</b:Year>
    <b:Pages>104180</b:Pages>
    <b:Volume>101</b:Volume>
    <b:Issue>2</b:Issue>
    <b:RefOrder>34</b:RefOrder>
  </b:Source>
  <b:Source>
    <b:Tag>Ngu22</b:Tag>
    <b:SourceType>JournalArticle</b:SourceType>
    <b:Guid>{898AF47A-E2E8-4E3E-8F25-860BFD25687B}</b:Guid>
    <b:Author>
      <b:Author>
        <b:NameList>
          <b:Person>
            <b:Last>Nguyen</b:Last>
            <b:First>C.</b:First>
            <b:Middle>T.</b:Middle>
          </b:Person>
          <b:Person>
            <b:Last>Nguyen</b:Last>
            <b:First>L.</b:First>
            <b:Middle>T.</b:Middle>
          </b:Person>
          <b:Person>
            <b:Last>Nguyen</b:Last>
            <b:First>N.</b:First>
            <b:Middle>Q.</b:Middle>
          </b:Person>
          <b:Person>
            <b:Last>McMillan</b:Last>
            <b:First>D.</b:First>
          </b:Person>
        </b:NameList>
      </b:Author>
    </b:Author>
    <b:Title>Corporate social responsibility and financial performance: The case in Vietnam</b:Title>
    <b:JournalName>Cogent Economics &amp; Finance</b:JournalName>
    <b:Year>2022</b:Year>
    <b:Pages>2075600-207</b:Pages>
    <b:Volume>10</b:Volume>
    <b:Issue>1</b:Issue>
    <b:RefOrder>35</b:RefOrder>
  </b:Source>
</b:Sources>
</file>

<file path=customXml/itemProps1.xml><?xml version="1.0" encoding="utf-8"?>
<ds:datastoreItem xmlns:ds="http://schemas.openxmlformats.org/officeDocument/2006/customXml" ds:itemID="{EACB0FA1-11A5-4DF6-BE68-B17A43FAA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37</Pages>
  <Words>7504</Words>
  <Characters>47093</Characters>
  <Application>Microsoft Office Word</Application>
  <DocSecurity>0</DocSecurity>
  <Lines>989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STARK.</dc:creator>
  <cp:keywords/>
  <dc:description/>
  <cp:lastModifiedBy>t.stark42@hotmail.com</cp:lastModifiedBy>
  <cp:revision>17</cp:revision>
  <dcterms:created xsi:type="dcterms:W3CDTF">2025-10-04T10:30:00Z</dcterms:created>
  <dcterms:modified xsi:type="dcterms:W3CDTF">2025-10-29T12:19:00Z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71dc8239-f723-4210-9a9b-95ddb954d7c3</vt:lpwstr>
  </property>
</Properties>
</file>