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6CFA00" w14:textId="0B49163D" w:rsidR="00E41DE3" w:rsidRPr="00937455" w:rsidRDefault="00520D65">
      <w:pPr>
        <w:rPr>
          <w:b/>
          <w:bCs/>
          <w:sz w:val="28"/>
          <w:szCs w:val="28"/>
        </w:rPr>
      </w:pPr>
      <w:r>
        <w:rPr>
          <w:b/>
          <w:bCs/>
          <w:sz w:val="28"/>
          <w:szCs w:val="28"/>
        </w:rPr>
        <w:t>T</w:t>
      </w:r>
      <w:r w:rsidR="00BF1E8C">
        <w:rPr>
          <w:b/>
          <w:bCs/>
          <w:sz w:val="28"/>
          <w:szCs w:val="28"/>
        </w:rPr>
        <w:t>angible Fixed Assets</w:t>
      </w:r>
      <w:r>
        <w:rPr>
          <w:b/>
          <w:bCs/>
          <w:sz w:val="28"/>
          <w:szCs w:val="28"/>
        </w:rPr>
        <w:t xml:space="preserve"> (PPE)</w:t>
      </w:r>
    </w:p>
    <w:p w14:paraId="464C20AC" w14:textId="6BB9DC72" w:rsidR="00DF2E71" w:rsidRPr="008244E2" w:rsidRDefault="003F1880" w:rsidP="00DF2E71">
      <w:pPr>
        <w:jc w:val="right"/>
        <w:rPr>
          <w:sz w:val="28"/>
          <w:szCs w:val="28"/>
        </w:rPr>
      </w:pPr>
      <w:r>
        <w:rPr>
          <w:sz w:val="28"/>
          <w:szCs w:val="28"/>
        </w:rPr>
        <w:t>Answer</w:t>
      </w:r>
    </w:p>
    <w:p w14:paraId="19754268" w14:textId="544AF328" w:rsidR="00F304FE" w:rsidRDefault="003C120E">
      <w:pPr>
        <w:rPr>
          <w:b/>
          <w:bCs/>
          <w:sz w:val="28"/>
          <w:szCs w:val="28"/>
          <w:u w:val="single"/>
        </w:rPr>
      </w:pPr>
      <w:r>
        <w:rPr>
          <w:b/>
          <w:bCs/>
          <w:sz w:val="28"/>
          <w:szCs w:val="28"/>
          <w:u w:val="single"/>
        </w:rPr>
        <w:t>Gemini L</w:t>
      </w:r>
      <w:r w:rsidR="00A200B3">
        <w:rPr>
          <w:b/>
          <w:bCs/>
          <w:sz w:val="28"/>
          <w:szCs w:val="28"/>
          <w:u w:val="single"/>
        </w:rPr>
        <w:t>td - capitalised costs</w:t>
      </w:r>
      <w:r>
        <w:rPr>
          <w:b/>
          <w:bCs/>
          <w:sz w:val="28"/>
          <w:szCs w:val="28"/>
          <w:u w:val="single"/>
        </w:rPr>
        <w:t xml:space="preserve"> </w:t>
      </w:r>
    </w:p>
    <w:p w14:paraId="5A5F152E" w14:textId="77777777" w:rsidR="003F1880" w:rsidRPr="00937455" w:rsidRDefault="003F1880">
      <w:pPr>
        <w:rPr>
          <w:b/>
          <w:bCs/>
          <w:sz w:val="28"/>
          <w:szCs w:val="28"/>
          <w:u w:val="single"/>
        </w:rPr>
      </w:pPr>
    </w:p>
    <w:p w14:paraId="3D05BDA4" w14:textId="63243F1F" w:rsidR="00DD0FA2" w:rsidRDefault="00B0774C">
      <w:r>
        <w:t>The following costs can be included within the cost of PPE in accordance with FRS 102.</w:t>
      </w:r>
    </w:p>
    <w:tbl>
      <w:tblPr>
        <w:tblStyle w:val="TableGrid"/>
        <w:tblW w:w="0" w:type="auto"/>
        <w:tblLook w:val="04A0" w:firstRow="1" w:lastRow="0" w:firstColumn="1" w:lastColumn="0" w:noHBand="0" w:noVBand="1"/>
      </w:tblPr>
      <w:tblGrid>
        <w:gridCol w:w="2122"/>
        <w:gridCol w:w="1842"/>
        <w:gridCol w:w="993"/>
      </w:tblGrid>
      <w:tr w:rsidR="0080094C" w:rsidRPr="0080094C" w14:paraId="324A53C4" w14:textId="77777777" w:rsidTr="004234B8">
        <w:trPr>
          <w:trHeight w:val="540"/>
        </w:trPr>
        <w:tc>
          <w:tcPr>
            <w:tcW w:w="2122" w:type="dxa"/>
            <w:vAlign w:val="center"/>
          </w:tcPr>
          <w:p w14:paraId="1226BB2D" w14:textId="6B85876B" w:rsidR="0080094C" w:rsidRPr="0080094C" w:rsidRDefault="0080094C" w:rsidP="00AF0FAC">
            <w:pPr>
              <w:jc w:val="center"/>
              <w:rPr>
                <w:b/>
                <w:bCs/>
              </w:rPr>
            </w:pPr>
            <w:r w:rsidRPr="0080094C">
              <w:rPr>
                <w:b/>
                <w:bCs/>
              </w:rPr>
              <w:t>Description</w:t>
            </w:r>
          </w:p>
        </w:tc>
        <w:tc>
          <w:tcPr>
            <w:tcW w:w="1842" w:type="dxa"/>
            <w:vAlign w:val="center"/>
          </w:tcPr>
          <w:p w14:paraId="72E76BAF" w14:textId="697E2A07" w:rsidR="0080094C" w:rsidRPr="0080094C" w:rsidRDefault="0080094C" w:rsidP="00AF0FAC">
            <w:pPr>
              <w:jc w:val="center"/>
              <w:rPr>
                <w:b/>
                <w:bCs/>
              </w:rPr>
            </w:pPr>
            <w:r w:rsidRPr="0080094C">
              <w:rPr>
                <w:b/>
                <w:bCs/>
              </w:rPr>
              <w:t>Amount</w:t>
            </w:r>
            <w:r w:rsidR="00AF0FAC">
              <w:rPr>
                <w:b/>
                <w:bCs/>
              </w:rPr>
              <w:t xml:space="preserve"> (£)</w:t>
            </w:r>
          </w:p>
        </w:tc>
        <w:tc>
          <w:tcPr>
            <w:tcW w:w="993" w:type="dxa"/>
            <w:vAlign w:val="center"/>
          </w:tcPr>
          <w:p w14:paraId="331B1D93" w14:textId="05109C0C" w:rsidR="0080094C" w:rsidRPr="0080094C" w:rsidRDefault="0080094C" w:rsidP="00AF0FAC">
            <w:pPr>
              <w:jc w:val="center"/>
              <w:rPr>
                <w:b/>
                <w:bCs/>
              </w:rPr>
            </w:pPr>
            <w:r w:rsidRPr="0080094C">
              <w:rPr>
                <w:b/>
                <w:bCs/>
              </w:rPr>
              <w:t>Note</w:t>
            </w:r>
          </w:p>
        </w:tc>
      </w:tr>
      <w:tr w:rsidR="0080094C" w14:paraId="12179A9F" w14:textId="77777777" w:rsidTr="004234B8">
        <w:trPr>
          <w:trHeight w:val="406"/>
        </w:trPr>
        <w:tc>
          <w:tcPr>
            <w:tcW w:w="2122" w:type="dxa"/>
            <w:vAlign w:val="center"/>
          </w:tcPr>
          <w:p w14:paraId="687C44FE" w14:textId="28E3B39D" w:rsidR="00AF0FAC" w:rsidRDefault="00AF0FAC" w:rsidP="00AF0FAC">
            <w:r>
              <w:t>Purchase price</w:t>
            </w:r>
          </w:p>
        </w:tc>
        <w:tc>
          <w:tcPr>
            <w:tcW w:w="1842" w:type="dxa"/>
            <w:vAlign w:val="center"/>
          </w:tcPr>
          <w:p w14:paraId="026FA65C" w14:textId="2F5AB21E" w:rsidR="0080094C" w:rsidRDefault="00AF0FAC" w:rsidP="00AF0FAC">
            <w:pPr>
              <w:jc w:val="center"/>
            </w:pPr>
            <w:r>
              <w:t>1,100,000</w:t>
            </w:r>
          </w:p>
        </w:tc>
        <w:tc>
          <w:tcPr>
            <w:tcW w:w="993" w:type="dxa"/>
            <w:vAlign w:val="center"/>
          </w:tcPr>
          <w:p w14:paraId="104DC1FC" w14:textId="43683952" w:rsidR="0080094C" w:rsidRDefault="004234B8" w:rsidP="00AF0FAC">
            <w:pPr>
              <w:jc w:val="center"/>
            </w:pPr>
            <w:r>
              <w:t>(a)</w:t>
            </w:r>
          </w:p>
        </w:tc>
      </w:tr>
      <w:tr w:rsidR="0080094C" w14:paraId="31B0C865" w14:textId="77777777" w:rsidTr="004234B8">
        <w:trPr>
          <w:trHeight w:val="412"/>
        </w:trPr>
        <w:tc>
          <w:tcPr>
            <w:tcW w:w="2122" w:type="dxa"/>
            <w:vAlign w:val="center"/>
          </w:tcPr>
          <w:p w14:paraId="2E93877A" w14:textId="426E4AA7" w:rsidR="0080094C" w:rsidRDefault="00AF0FAC" w:rsidP="00AF0FAC">
            <w:r>
              <w:t>Construction costs</w:t>
            </w:r>
          </w:p>
        </w:tc>
        <w:tc>
          <w:tcPr>
            <w:tcW w:w="1842" w:type="dxa"/>
            <w:vAlign w:val="center"/>
          </w:tcPr>
          <w:p w14:paraId="6CC11242" w14:textId="13F8801E" w:rsidR="0080094C" w:rsidRDefault="00AF0FAC" w:rsidP="00AF0FAC">
            <w:pPr>
              <w:jc w:val="center"/>
            </w:pPr>
            <w:r>
              <w:t>900,000</w:t>
            </w:r>
          </w:p>
        </w:tc>
        <w:tc>
          <w:tcPr>
            <w:tcW w:w="993" w:type="dxa"/>
            <w:vAlign w:val="center"/>
          </w:tcPr>
          <w:p w14:paraId="45E65DFF" w14:textId="4E45D0A2" w:rsidR="0080094C" w:rsidRDefault="004234B8" w:rsidP="00AF0FAC">
            <w:pPr>
              <w:jc w:val="center"/>
            </w:pPr>
            <w:r>
              <w:t>(b)</w:t>
            </w:r>
          </w:p>
        </w:tc>
      </w:tr>
      <w:tr w:rsidR="0080094C" w14:paraId="4E36212B" w14:textId="77777777" w:rsidTr="004234B8">
        <w:trPr>
          <w:trHeight w:val="419"/>
        </w:trPr>
        <w:tc>
          <w:tcPr>
            <w:tcW w:w="2122" w:type="dxa"/>
            <w:vAlign w:val="center"/>
          </w:tcPr>
          <w:p w14:paraId="66048C7A" w14:textId="1C32C07D" w:rsidR="0080094C" w:rsidRDefault="00AF0FAC" w:rsidP="00AF0FAC">
            <w:r>
              <w:t>Professional fees</w:t>
            </w:r>
          </w:p>
        </w:tc>
        <w:tc>
          <w:tcPr>
            <w:tcW w:w="1842" w:type="dxa"/>
            <w:vAlign w:val="center"/>
          </w:tcPr>
          <w:p w14:paraId="578E1097" w14:textId="030169E4" w:rsidR="0080094C" w:rsidRDefault="00AF0FAC" w:rsidP="00AF0FAC">
            <w:pPr>
              <w:jc w:val="center"/>
            </w:pPr>
            <w:r>
              <w:t>300,000</w:t>
            </w:r>
          </w:p>
        </w:tc>
        <w:tc>
          <w:tcPr>
            <w:tcW w:w="993" w:type="dxa"/>
            <w:vAlign w:val="center"/>
          </w:tcPr>
          <w:p w14:paraId="001F5CC2" w14:textId="0005011C" w:rsidR="0080094C" w:rsidRDefault="004234B8" w:rsidP="00AF0FAC">
            <w:pPr>
              <w:jc w:val="center"/>
            </w:pPr>
            <w:r>
              <w:t>(</w:t>
            </w:r>
            <w:r w:rsidR="00CB65D1">
              <w:t>a</w:t>
            </w:r>
            <w:r>
              <w:t>)</w:t>
            </w:r>
          </w:p>
        </w:tc>
      </w:tr>
      <w:tr w:rsidR="0080094C" w14:paraId="493F3B41" w14:textId="77777777" w:rsidTr="004234B8">
        <w:trPr>
          <w:trHeight w:val="411"/>
        </w:trPr>
        <w:tc>
          <w:tcPr>
            <w:tcW w:w="2122" w:type="dxa"/>
            <w:vAlign w:val="center"/>
          </w:tcPr>
          <w:p w14:paraId="0DA34C49" w14:textId="620F2A63" w:rsidR="0080094C" w:rsidRDefault="00AF0FAC" w:rsidP="00AF0FAC">
            <w:r>
              <w:t>Interest costs</w:t>
            </w:r>
          </w:p>
        </w:tc>
        <w:tc>
          <w:tcPr>
            <w:tcW w:w="1842" w:type="dxa"/>
            <w:vAlign w:val="center"/>
          </w:tcPr>
          <w:p w14:paraId="4CB25054" w14:textId="1A82096D" w:rsidR="0080094C" w:rsidRDefault="00AF0FAC" w:rsidP="00AF0FAC">
            <w:pPr>
              <w:jc w:val="center"/>
            </w:pPr>
            <w:r>
              <w:t>80,000</w:t>
            </w:r>
          </w:p>
        </w:tc>
        <w:tc>
          <w:tcPr>
            <w:tcW w:w="993" w:type="dxa"/>
            <w:vAlign w:val="center"/>
          </w:tcPr>
          <w:p w14:paraId="6FC08F1D" w14:textId="65A15B1B" w:rsidR="0080094C" w:rsidRDefault="004234B8" w:rsidP="00AF0FAC">
            <w:pPr>
              <w:jc w:val="center"/>
            </w:pPr>
            <w:r>
              <w:t>(</w:t>
            </w:r>
            <w:r w:rsidR="00CB65D1">
              <w:t>c</w:t>
            </w:r>
            <w:r>
              <w:t>)</w:t>
            </w:r>
          </w:p>
        </w:tc>
      </w:tr>
      <w:tr w:rsidR="0080094C" w14:paraId="43AD6A06" w14:textId="77777777" w:rsidTr="004234B8">
        <w:trPr>
          <w:trHeight w:val="428"/>
        </w:trPr>
        <w:tc>
          <w:tcPr>
            <w:tcW w:w="2122" w:type="dxa"/>
            <w:vAlign w:val="center"/>
          </w:tcPr>
          <w:p w14:paraId="19D0FFDC" w14:textId="7ADA13E5" w:rsidR="0080094C" w:rsidRDefault="00AF0FAC" w:rsidP="00AF0FAC">
            <w:r>
              <w:t>Marketing costs</w:t>
            </w:r>
          </w:p>
        </w:tc>
        <w:tc>
          <w:tcPr>
            <w:tcW w:w="1842" w:type="dxa"/>
            <w:vAlign w:val="center"/>
          </w:tcPr>
          <w:p w14:paraId="01F46D32" w14:textId="09B04B88" w:rsidR="0080094C" w:rsidRDefault="00AF0FAC" w:rsidP="00AF0FAC">
            <w:pPr>
              <w:jc w:val="center"/>
            </w:pPr>
            <w:r>
              <w:t>0</w:t>
            </w:r>
          </w:p>
        </w:tc>
        <w:tc>
          <w:tcPr>
            <w:tcW w:w="993" w:type="dxa"/>
            <w:vAlign w:val="center"/>
          </w:tcPr>
          <w:p w14:paraId="190DDB94" w14:textId="486D5931" w:rsidR="0080094C" w:rsidRDefault="004234B8" w:rsidP="00AF0FAC">
            <w:pPr>
              <w:jc w:val="center"/>
            </w:pPr>
            <w:r>
              <w:t>(</w:t>
            </w:r>
            <w:r w:rsidR="00CB65D1">
              <w:t>d</w:t>
            </w:r>
            <w:r>
              <w:t>)</w:t>
            </w:r>
          </w:p>
        </w:tc>
      </w:tr>
      <w:tr w:rsidR="0080094C" w:rsidRPr="00AF0FAC" w14:paraId="6E371DCE" w14:textId="77777777" w:rsidTr="004234B8">
        <w:trPr>
          <w:trHeight w:val="421"/>
        </w:trPr>
        <w:tc>
          <w:tcPr>
            <w:tcW w:w="2122" w:type="dxa"/>
            <w:vAlign w:val="center"/>
          </w:tcPr>
          <w:p w14:paraId="6EC94DEE" w14:textId="1B3A22AB" w:rsidR="0080094C" w:rsidRPr="00AF0FAC" w:rsidRDefault="00AF0FAC" w:rsidP="00AF0FAC">
            <w:pPr>
              <w:rPr>
                <w:b/>
                <w:bCs/>
              </w:rPr>
            </w:pPr>
            <w:r w:rsidRPr="00AF0FAC">
              <w:rPr>
                <w:b/>
                <w:bCs/>
              </w:rPr>
              <w:t>Total</w:t>
            </w:r>
          </w:p>
        </w:tc>
        <w:tc>
          <w:tcPr>
            <w:tcW w:w="1842" w:type="dxa"/>
            <w:vAlign w:val="center"/>
          </w:tcPr>
          <w:p w14:paraId="3BBF96ED" w14:textId="786F93C9" w:rsidR="0080094C" w:rsidRPr="00AF0FAC" w:rsidRDefault="00AF0FAC" w:rsidP="00AF0FAC">
            <w:pPr>
              <w:jc w:val="center"/>
              <w:rPr>
                <w:b/>
                <w:bCs/>
              </w:rPr>
            </w:pPr>
            <w:r w:rsidRPr="00AF0FAC">
              <w:rPr>
                <w:b/>
                <w:bCs/>
              </w:rPr>
              <w:t>2,380,000</w:t>
            </w:r>
          </w:p>
        </w:tc>
        <w:tc>
          <w:tcPr>
            <w:tcW w:w="993" w:type="dxa"/>
            <w:vAlign w:val="center"/>
          </w:tcPr>
          <w:p w14:paraId="400DD87E" w14:textId="77777777" w:rsidR="0080094C" w:rsidRPr="00AF0FAC" w:rsidRDefault="0080094C" w:rsidP="00AF0FAC">
            <w:pPr>
              <w:jc w:val="center"/>
              <w:rPr>
                <w:b/>
                <w:bCs/>
              </w:rPr>
            </w:pPr>
          </w:p>
        </w:tc>
      </w:tr>
    </w:tbl>
    <w:p w14:paraId="2EDF7931" w14:textId="4E3034A5" w:rsidR="00DD0FA2" w:rsidRPr="00F27673" w:rsidRDefault="00F27673">
      <w:pPr>
        <w:rPr>
          <w:sz w:val="16"/>
          <w:szCs w:val="16"/>
        </w:rPr>
      </w:pPr>
      <w:r w:rsidRPr="00F27673">
        <w:rPr>
          <w:sz w:val="16"/>
          <w:szCs w:val="16"/>
        </w:rPr>
        <w:t xml:space="preserve">    </w:t>
      </w:r>
    </w:p>
    <w:p w14:paraId="6E40E758" w14:textId="7C7D65DA" w:rsidR="004434E1" w:rsidRDefault="007C7FD7">
      <w:r w:rsidRPr="007C7FD7">
        <w:rPr>
          <w:b/>
          <w:bCs/>
        </w:rPr>
        <w:t xml:space="preserve">Note </w:t>
      </w:r>
      <w:r w:rsidR="00F27673" w:rsidRPr="007C7FD7">
        <w:rPr>
          <w:b/>
          <w:bCs/>
        </w:rPr>
        <w:t>(a)</w:t>
      </w:r>
      <w:r w:rsidR="00F27673">
        <w:t xml:space="preserve"> The purchase price and any legal fees should be included within the cost of the PPE. So, the purchase price of </w:t>
      </w:r>
      <w:r w:rsidR="00F27673" w:rsidRPr="00DD6FF2">
        <w:rPr>
          <w:b/>
          <w:bCs/>
        </w:rPr>
        <w:t>£1.1 million</w:t>
      </w:r>
      <w:r w:rsidR="00F27673">
        <w:t xml:space="preserve"> and the professional fees of </w:t>
      </w:r>
      <w:r w:rsidR="00F27673" w:rsidRPr="00DD6FF2">
        <w:rPr>
          <w:b/>
          <w:bCs/>
        </w:rPr>
        <w:t>£0.3 m</w:t>
      </w:r>
      <w:bookmarkStart w:id="0" w:name="_GoBack"/>
      <w:bookmarkEnd w:id="0"/>
      <w:r w:rsidR="00F27673" w:rsidRPr="00DD6FF2">
        <w:rPr>
          <w:b/>
          <w:bCs/>
        </w:rPr>
        <w:t>illion</w:t>
      </w:r>
      <w:r w:rsidR="00F27673">
        <w:t xml:space="preserve"> are included.</w:t>
      </w:r>
    </w:p>
    <w:p w14:paraId="72B13193" w14:textId="72B1FCF9" w:rsidR="00F27673" w:rsidRDefault="007C7FD7">
      <w:r w:rsidRPr="007C7FD7">
        <w:rPr>
          <w:b/>
          <w:bCs/>
        </w:rPr>
        <w:t xml:space="preserve">Note </w:t>
      </w:r>
      <w:r w:rsidR="00F27673" w:rsidRPr="007C7FD7">
        <w:rPr>
          <w:b/>
          <w:bCs/>
        </w:rPr>
        <w:t>(b)</w:t>
      </w:r>
      <w:r w:rsidR="00F27673">
        <w:t xml:space="preserve"> </w:t>
      </w:r>
      <w:r w:rsidR="00106652">
        <w:t xml:space="preserve">FRS 102 requires any costs which are directly attributable to bringing the asset to the location and condition necessary for its intended use within the business is to be included in the costs of PPE. The construction costs of </w:t>
      </w:r>
      <w:r w:rsidR="00106652" w:rsidRPr="00DD6FF2">
        <w:rPr>
          <w:b/>
          <w:bCs/>
        </w:rPr>
        <w:t>£0.9 million</w:t>
      </w:r>
      <w:r w:rsidR="00106652">
        <w:t xml:space="preserve"> should be included, as they are costs which need to be incurred before the warehouse can be used.</w:t>
      </w:r>
    </w:p>
    <w:p w14:paraId="4C45C984" w14:textId="0A8C71A1" w:rsidR="00106652" w:rsidRDefault="007C7FD7">
      <w:r w:rsidRPr="007C7FD7">
        <w:rPr>
          <w:b/>
          <w:bCs/>
        </w:rPr>
        <w:t xml:space="preserve">Note </w:t>
      </w:r>
      <w:r w:rsidR="00106652" w:rsidRPr="007C7FD7">
        <w:rPr>
          <w:b/>
          <w:bCs/>
        </w:rPr>
        <w:t>(c)</w:t>
      </w:r>
      <w:r w:rsidR="00106652">
        <w:t xml:space="preserve"> </w:t>
      </w:r>
      <w:r w:rsidR="00FE6E47">
        <w:t>Borrowing costs may be capitalised as part of the cost of an asset, when those borrowing costs are directly attributable to the acquisition, construction or production of a qualifying asset.  The warehouse is likely to meet the definition of a qualifying asset because it is not ready for its intended use within the business when it was acquired.</w:t>
      </w:r>
    </w:p>
    <w:p w14:paraId="7AC0BEB6" w14:textId="33B3311A" w:rsidR="00FE6E47" w:rsidRDefault="00FE6E47">
      <w:r>
        <w:t>Gemini Ltd wants to maximise asset values in the balance sheet, so it will choose to capitalise borrowing costs in the balance sheet, rather than expense them to the profit &amp; loss account.</w:t>
      </w:r>
    </w:p>
    <w:p w14:paraId="7C6F7D72" w14:textId="5B749EA0" w:rsidR="00FE6E47" w:rsidRDefault="00FE6E47">
      <w:r>
        <w:t xml:space="preserve">When a company adopts a policy of capitalising borrowing costs, capitalisation should cease when substantially all of the activities which are necessary to prepare the asset for its intended use or sale are completed. Only </w:t>
      </w:r>
      <w:r w:rsidRPr="00DD6FF2">
        <w:rPr>
          <w:b/>
          <w:bCs/>
        </w:rPr>
        <w:t>£80,000</w:t>
      </w:r>
      <w:r>
        <w:t xml:space="preserve"> will be included in the cost of the asset (rather than £100,000), as this is the interest which was accrued whilst the warehouse was being constructed.</w:t>
      </w:r>
    </w:p>
    <w:p w14:paraId="6B0289FD" w14:textId="07D7B2B5" w:rsidR="00FE6E47" w:rsidRDefault="007C7FD7">
      <w:r w:rsidRPr="007C7FD7">
        <w:rPr>
          <w:b/>
          <w:bCs/>
        </w:rPr>
        <w:t>Note (d)</w:t>
      </w:r>
      <w:r>
        <w:t xml:space="preserve"> Marketing costs of </w:t>
      </w:r>
      <w:r w:rsidRPr="00DD6FF2">
        <w:rPr>
          <w:b/>
          <w:bCs/>
        </w:rPr>
        <w:t>£25,000</w:t>
      </w:r>
      <w:r>
        <w:t xml:space="preserve"> </w:t>
      </w:r>
      <w:r w:rsidR="003F1880">
        <w:t>cannot be included in the cost of PPE as they are not costs which are directly attributable to bringing the warehouse to the location and condition necessary for its intended use in the business.</w:t>
      </w:r>
    </w:p>
    <w:sectPr w:rsidR="00FE6E47" w:rsidSect="00E41DE3">
      <w:headerReference w:type="default" r:id="rId8"/>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F2487C" w14:textId="77777777" w:rsidR="00BA2181" w:rsidRDefault="00BA2181" w:rsidP="00E41DE3">
      <w:pPr>
        <w:spacing w:after="0" w:line="240" w:lineRule="auto"/>
      </w:pPr>
      <w:r>
        <w:separator/>
      </w:r>
    </w:p>
  </w:endnote>
  <w:endnote w:type="continuationSeparator" w:id="0">
    <w:p w14:paraId="10ED937A" w14:textId="77777777" w:rsidR="00BA2181" w:rsidRDefault="00BA2181" w:rsidP="00E41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3355994"/>
      <w:docPartObj>
        <w:docPartGallery w:val="Page Numbers (Bottom of Page)"/>
        <w:docPartUnique/>
      </w:docPartObj>
    </w:sdtPr>
    <w:sdtEndPr>
      <w:rPr>
        <w:noProof/>
      </w:rPr>
    </w:sdtEndPr>
    <w:sdtContent>
      <w:p w14:paraId="12231E0B" w14:textId="77777777" w:rsidR="00E41DE3" w:rsidRDefault="00E41DE3" w:rsidP="00E41DE3">
        <w:pPr>
          <w:pStyle w:val="Footer"/>
          <w:jc w:val="center"/>
        </w:pPr>
        <w:r w:rsidRPr="00E41DE3">
          <w:t>University of Wales, Trinity Saint David</w:t>
        </w:r>
      </w:p>
      <w:p w14:paraId="2B6400D7" w14:textId="674CFC70" w:rsidR="00E41DE3" w:rsidRDefault="00E41DE3" w:rsidP="00E41DE3">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D0E600" w14:textId="77777777" w:rsidR="00BA2181" w:rsidRDefault="00BA2181" w:rsidP="00E41DE3">
      <w:pPr>
        <w:spacing w:after="0" w:line="240" w:lineRule="auto"/>
      </w:pPr>
      <w:r>
        <w:separator/>
      </w:r>
    </w:p>
  </w:footnote>
  <w:footnote w:type="continuationSeparator" w:id="0">
    <w:p w14:paraId="202CE0CB" w14:textId="77777777" w:rsidR="00BA2181" w:rsidRDefault="00BA2181" w:rsidP="00E41D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9FE5C" w14:textId="7101DF95" w:rsidR="00E41DE3" w:rsidRDefault="00E41DE3">
    <w:pPr>
      <w:pStyle w:val="Header"/>
    </w:pPr>
    <w:r>
      <w:t>Financial Reporting BMBM5011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97F0B"/>
    <w:multiLevelType w:val="hybridMultilevel"/>
    <w:tmpl w:val="5A3C4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EA6F08"/>
    <w:multiLevelType w:val="hybridMultilevel"/>
    <w:tmpl w:val="B81CB1D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CA5D93"/>
    <w:multiLevelType w:val="hybridMultilevel"/>
    <w:tmpl w:val="231434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DE3"/>
    <w:rsid w:val="00050E6D"/>
    <w:rsid w:val="000B36B8"/>
    <w:rsid w:val="000B4CEE"/>
    <w:rsid w:val="000D248F"/>
    <w:rsid w:val="00106652"/>
    <w:rsid w:val="001F1B47"/>
    <w:rsid w:val="003C120E"/>
    <w:rsid w:val="003F1880"/>
    <w:rsid w:val="004234B8"/>
    <w:rsid w:val="004434E1"/>
    <w:rsid w:val="00520D65"/>
    <w:rsid w:val="0052156B"/>
    <w:rsid w:val="00575C82"/>
    <w:rsid w:val="005C51E9"/>
    <w:rsid w:val="006742E8"/>
    <w:rsid w:val="00685809"/>
    <w:rsid w:val="007C27A7"/>
    <w:rsid w:val="007C7FD7"/>
    <w:rsid w:val="0080094C"/>
    <w:rsid w:val="008244E2"/>
    <w:rsid w:val="00841102"/>
    <w:rsid w:val="008F5706"/>
    <w:rsid w:val="009231EE"/>
    <w:rsid w:val="00937455"/>
    <w:rsid w:val="00987369"/>
    <w:rsid w:val="00A200B3"/>
    <w:rsid w:val="00AA189F"/>
    <w:rsid w:val="00AF0FAC"/>
    <w:rsid w:val="00B0774C"/>
    <w:rsid w:val="00B161A0"/>
    <w:rsid w:val="00BA2181"/>
    <w:rsid w:val="00BF1E8C"/>
    <w:rsid w:val="00CB65D1"/>
    <w:rsid w:val="00DD0FA2"/>
    <w:rsid w:val="00DD6FF2"/>
    <w:rsid w:val="00DF2E71"/>
    <w:rsid w:val="00E41DE3"/>
    <w:rsid w:val="00E5401F"/>
    <w:rsid w:val="00E85F65"/>
    <w:rsid w:val="00F27673"/>
    <w:rsid w:val="00F304FE"/>
    <w:rsid w:val="00F6093A"/>
    <w:rsid w:val="00FE6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2DE5B9"/>
  <w15:chartTrackingRefBased/>
  <w15:docId w15:val="{7CDC4D76-BCC5-431A-9033-538549439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1D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1DE3"/>
  </w:style>
  <w:style w:type="paragraph" w:styleId="Footer">
    <w:name w:val="footer"/>
    <w:basedOn w:val="Normal"/>
    <w:link w:val="FooterChar"/>
    <w:uiPriority w:val="99"/>
    <w:unhideWhenUsed/>
    <w:rsid w:val="00E41D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1DE3"/>
  </w:style>
  <w:style w:type="paragraph" w:styleId="ListParagraph">
    <w:name w:val="List Paragraph"/>
    <w:basedOn w:val="Normal"/>
    <w:uiPriority w:val="34"/>
    <w:qFormat/>
    <w:rsid w:val="00937455"/>
    <w:pPr>
      <w:ind w:left="720"/>
      <w:contextualSpacing/>
    </w:pPr>
  </w:style>
  <w:style w:type="table" w:styleId="TableGrid">
    <w:name w:val="Table Grid"/>
    <w:basedOn w:val="TableNormal"/>
    <w:uiPriority w:val="39"/>
    <w:rsid w:val="000B36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858A8-C11F-4374-88EC-AF8FE2F6A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305</Words>
  <Characters>1742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Williams</dc:creator>
  <cp:keywords/>
  <dc:description/>
  <cp:lastModifiedBy>Andrew Williams</cp:lastModifiedBy>
  <cp:revision>15</cp:revision>
  <dcterms:created xsi:type="dcterms:W3CDTF">2019-08-18T19:12:00Z</dcterms:created>
  <dcterms:modified xsi:type="dcterms:W3CDTF">2019-08-18T19:51:00Z</dcterms:modified>
</cp:coreProperties>
</file>