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5438" w:rsidRDefault="00755438" w:rsidP="00755438">
      <w:pPr>
        <w:spacing w:line="360" w:lineRule="auto"/>
        <w:rPr>
          <w:rFonts w:ascii="Times New Roman" w:hAnsi="Times New Roman" w:cs="Times New Roman"/>
          <w:b/>
          <w:sz w:val="32"/>
          <w:szCs w:val="32"/>
          <w:lang w:val="en-GB"/>
        </w:rPr>
      </w:pPr>
    </w:p>
    <w:p w:rsidR="00755438" w:rsidRPr="007D5296" w:rsidRDefault="00755438" w:rsidP="00755438">
      <w:pPr>
        <w:spacing w:line="360" w:lineRule="auto"/>
        <w:jc w:val="both"/>
        <w:rPr>
          <w:rFonts w:ascii="Arial" w:hAnsi="Arial" w:cs="Arial"/>
          <w:b/>
          <w:sz w:val="24"/>
          <w:szCs w:val="24"/>
        </w:rPr>
      </w:pPr>
    </w:p>
    <w:p w:rsidR="00755438" w:rsidRPr="007D5296" w:rsidRDefault="00755438" w:rsidP="00755438">
      <w:pPr>
        <w:spacing w:line="360" w:lineRule="auto"/>
        <w:jc w:val="both"/>
        <w:rPr>
          <w:b/>
          <w:color w:val="000000" w:themeColor="text1"/>
          <w:sz w:val="40"/>
          <w:szCs w:val="40"/>
        </w:rPr>
      </w:pPr>
      <w:r>
        <w:rPr>
          <w:noProof/>
          <w:lang w:val="en-GB" w:eastAsia="en-GB"/>
        </w:rPr>
        <mc:AlternateContent>
          <mc:Choice Requires="wps">
            <w:drawing>
              <wp:anchor distT="4294967293" distB="4294967293" distL="114300" distR="114300" simplePos="0" relativeHeight="251658240" behindDoc="0" locked="0" layoutInCell="1" allowOverlap="1">
                <wp:simplePos x="0" y="0"/>
                <wp:positionH relativeFrom="column">
                  <wp:posOffset>19050</wp:posOffset>
                </wp:positionH>
                <wp:positionV relativeFrom="paragraph">
                  <wp:posOffset>742949</wp:posOffset>
                </wp:positionV>
                <wp:extent cx="5715000" cy="0"/>
                <wp:effectExtent l="0" t="0" r="19050"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75E027" id="_x0000_t32" coordsize="21600,21600" o:spt="32" o:oned="t" path="m,l21600,21600e" filled="f">
                <v:path arrowok="t" fillok="f" o:connecttype="none"/>
                <o:lock v:ext="edit" shapetype="t"/>
              </v:shapetype>
              <v:shape id="Straight Arrow Connector 5" o:spid="_x0000_s1026" type="#_x0000_t32" style="position:absolute;margin-left:1.5pt;margin-top:58.5pt;width:450pt;height:0;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4bxJQIAAEoEAAAOAAAAZHJzL2Uyb0RvYy54bWysVMFu2zAMvQ/YPwi6p7azuE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"/>
            </w:pict>
          </mc:Fallback>
        </mc:AlternateContent>
      </w:r>
      <w:r>
        <w:rPr>
          <w:noProof/>
          <w:color w:val="0000FF"/>
          <w:lang w:val="en-GB" w:eastAsia="en-GB"/>
        </w:rPr>
        <w:drawing>
          <wp:inline distT="0" distB="0" distL="0" distR="0" wp14:anchorId="2583D554" wp14:editId="4D9BAD04">
            <wp:extent cx="1325880" cy="530891"/>
            <wp:effectExtent l="0" t="0" r="7620" b="2540"/>
            <wp:docPr id="3" name="Picture 3" descr="Image result for uwtsd SMALL size pic">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SMALL size pic">
                      <a:hlinkClick r:id="rId5"/>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67752" cy="547657"/>
                    </a:xfrm>
                    <a:prstGeom prst="rect">
                      <a:avLst/>
                    </a:prstGeom>
                    <a:noFill/>
                    <a:ln>
                      <a:noFill/>
                    </a:ln>
                  </pic:spPr>
                </pic:pic>
              </a:graphicData>
            </a:graphic>
          </wp:inline>
        </w:drawing>
      </w:r>
      <w:r>
        <w:rPr>
          <w:b/>
          <w:color w:val="000000" w:themeColor="text1"/>
          <w:sz w:val="40"/>
          <w:szCs w:val="40"/>
        </w:rPr>
        <w:t xml:space="preserve">      Doctor</w:t>
      </w:r>
      <w:r w:rsidRPr="007D5296">
        <w:rPr>
          <w:b/>
          <w:color w:val="000000" w:themeColor="text1"/>
          <w:sz w:val="40"/>
          <w:szCs w:val="40"/>
        </w:rPr>
        <w:t xml:space="preserve"> of Business Administration</w:t>
      </w:r>
    </w:p>
    <w:p w:rsidR="00755438" w:rsidRPr="007D5296" w:rsidRDefault="00755438" w:rsidP="00755438">
      <w:pPr>
        <w:spacing w:line="360" w:lineRule="auto"/>
        <w:jc w:val="both"/>
        <w:rPr>
          <w:rFonts w:eastAsia="Times New Roman"/>
          <w:b/>
          <w:color w:val="000000" w:themeColor="text1"/>
          <w:sz w:val="32"/>
          <w:szCs w:val="32"/>
        </w:rPr>
      </w:pPr>
    </w:p>
    <w:p w:rsidR="00755438" w:rsidRDefault="00755438" w:rsidP="00755438">
      <w:pPr>
        <w:spacing w:line="360" w:lineRule="auto"/>
        <w:jc w:val="center"/>
        <w:rPr>
          <w:rFonts w:ascii="Arial" w:eastAsia="Times New Roman" w:hAnsi="Arial" w:cs="Arial"/>
          <w:b/>
          <w:color w:val="000000" w:themeColor="text1"/>
          <w:sz w:val="48"/>
          <w:szCs w:val="48"/>
        </w:rPr>
      </w:pPr>
    </w:p>
    <w:p w:rsidR="00755438" w:rsidRDefault="00755438" w:rsidP="00755438">
      <w:pPr>
        <w:spacing w:line="360" w:lineRule="auto"/>
        <w:jc w:val="center"/>
        <w:rPr>
          <w:rFonts w:ascii="Times New Roman" w:hAnsi="Times New Roman" w:cs="Times New Roman"/>
          <w:b/>
          <w:sz w:val="44"/>
          <w:szCs w:val="44"/>
        </w:rPr>
      </w:pPr>
    </w:p>
    <w:p w:rsidR="00755438" w:rsidRPr="00260492" w:rsidRDefault="00755438" w:rsidP="00755438">
      <w:pPr>
        <w:spacing w:line="360" w:lineRule="auto"/>
        <w:jc w:val="center"/>
        <w:rPr>
          <w:rFonts w:ascii="Times New Roman" w:hAnsi="Times New Roman" w:cs="Times New Roman"/>
          <w:sz w:val="32"/>
          <w:szCs w:val="32"/>
        </w:rPr>
      </w:pPr>
      <w:r w:rsidRPr="00600047">
        <w:rPr>
          <w:rFonts w:ascii="Times New Roman" w:hAnsi="Times New Roman" w:cs="Times New Roman"/>
          <w:b/>
          <w:sz w:val="44"/>
          <w:szCs w:val="44"/>
        </w:rPr>
        <w:br/>
      </w:r>
      <w:r w:rsidRPr="00260492">
        <w:rPr>
          <w:rFonts w:ascii="Times New Roman" w:hAnsi="Times New Roman" w:cs="Times New Roman"/>
          <w:b/>
          <w:sz w:val="32"/>
          <w:szCs w:val="32"/>
          <w:lang w:val="en-GB"/>
        </w:rPr>
        <w:t>STRATEGIC CHANGE AND ORGANISATION</w:t>
      </w:r>
    </w:p>
    <w:p w:rsidR="00755438" w:rsidRPr="00600047" w:rsidRDefault="00755438" w:rsidP="00755438">
      <w:pPr>
        <w:spacing w:line="360" w:lineRule="auto"/>
        <w:rPr>
          <w:rFonts w:ascii="Times New Roman" w:hAnsi="Times New Roman" w:cs="Times New Roman"/>
          <w:b/>
          <w:sz w:val="44"/>
          <w:szCs w:val="44"/>
        </w:rPr>
      </w:pPr>
      <w:r w:rsidRPr="00600047">
        <w:rPr>
          <w:rFonts w:ascii="Times New Roman" w:hAnsi="Times New Roman" w:cs="Times New Roman"/>
          <w:b/>
          <w:sz w:val="44"/>
          <w:szCs w:val="44"/>
        </w:rPr>
        <w:br/>
      </w:r>
      <w:r w:rsidRPr="00600047">
        <w:rPr>
          <w:rFonts w:ascii="Times New Roman" w:hAnsi="Times New Roman" w:cs="Times New Roman"/>
          <w:b/>
          <w:sz w:val="44"/>
          <w:szCs w:val="44"/>
        </w:rPr>
        <w:br/>
      </w:r>
    </w:p>
    <w:p w:rsidR="00755438" w:rsidRDefault="00755438" w:rsidP="00755438">
      <w:pPr>
        <w:spacing w:line="360" w:lineRule="auto"/>
        <w:jc w:val="both"/>
        <w:rPr>
          <w:rFonts w:ascii="Arial" w:hAnsi="Arial" w:cs="Arial"/>
          <w:b/>
          <w:color w:val="000000" w:themeColor="text1"/>
        </w:rPr>
      </w:pPr>
    </w:p>
    <w:p w:rsidR="00755438" w:rsidRPr="007D5296" w:rsidRDefault="00755438" w:rsidP="00755438">
      <w:pPr>
        <w:pStyle w:val="NoSpacing"/>
        <w:spacing w:line="360" w:lineRule="auto"/>
        <w:jc w:val="both"/>
        <w:rPr>
          <w:rFonts w:ascii="Arial" w:eastAsiaTheme="minorHAnsi" w:hAnsi="Arial" w:cs="Arial"/>
          <w:b/>
          <w:color w:val="000000" w:themeColor="text1"/>
          <w:sz w:val="22"/>
          <w:szCs w:val="22"/>
          <w:lang w:eastAsia="en-US"/>
        </w:rPr>
      </w:pPr>
    </w:p>
    <w:p w:rsidR="00755438" w:rsidRPr="007D5296" w:rsidRDefault="00755438" w:rsidP="00755438">
      <w:pPr>
        <w:pStyle w:val="NoSpacing"/>
        <w:spacing w:line="360" w:lineRule="auto"/>
        <w:jc w:val="both"/>
        <w:rPr>
          <w:rFonts w:ascii="Arial" w:hAnsi="Arial" w:cs="Arial"/>
          <w:color w:val="000000" w:themeColor="text1"/>
        </w:rPr>
      </w:pPr>
      <w:r w:rsidRPr="007D5296">
        <w:rPr>
          <w:rFonts w:ascii="Arial" w:hAnsi="Arial" w:cs="Arial"/>
          <w:color w:val="000000" w:themeColor="text1"/>
        </w:rPr>
        <w:t xml:space="preserve">  Prepared By </w:t>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p>
    <w:p w:rsidR="00755438" w:rsidRPr="007D5296" w:rsidRDefault="00755438" w:rsidP="00755438">
      <w:pPr>
        <w:pStyle w:val="NoSpacing"/>
        <w:spacing w:line="360" w:lineRule="auto"/>
        <w:jc w:val="both"/>
        <w:rPr>
          <w:rFonts w:ascii="Arial" w:hAnsi="Arial" w:cs="Arial"/>
          <w:color w:val="000000" w:themeColor="text1"/>
        </w:rPr>
      </w:pPr>
      <w:r w:rsidRPr="007D5296">
        <w:rPr>
          <w:rFonts w:ascii="Arial" w:hAnsi="Arial" w:cs="Arial"/>
          <w:color w:val="000000" w:themeColor="text1"/>
        </w:rPr>
        <w:t xml:space="preserve">  Miss yogita vishwasbhai patankar</w:t>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r w:rsidRPr="007D5296">
        <w:rPr>
          <w:rFonts w:ascii="Arial" w:hAnsi="Arial" w:cs="Arial"/>
          <w:color w:val="000000" w:themeColor="text1"/>
        </w:rPr>
        <w:tab/>
      </w:r>
    </w:p>
    <w:p w:rsidR="00755438" w:rsidRDefault="00755438" w:rsidP="00755438">
      <w:pPr>
        <w:rPr>
          <w:rFonts w:ascii="Arial" w:hAnsi="Arial" w:cs="Arial"/>
          <w:color w:val="000000" w:themeColor="text1"/>
        </w:rPr>
      </w:pPr>
      <w:r>
        <w:rPr>
          <w:rFonts w:ascii="Arial" w:hAnsi="Arial" w:cs="Arial"/>
          <w:color w:val="000000" w:themeColor="text1"/>
        </w:rPr>
        <w:t xml:space="preserve">  ID: -1704907</w:t>
      </w:r>
      <w:r>
        <w:rPr>
          <w:rFonts w:ascii="Arial" w:hAnsi="Arial" w:cs="Arial"/>
          <w:color w:val="000000" w:themeColor="text1"/>
        </w:rPr>
        <w:tab/>
      </w:r>
    </w:p>
    <w:p w:rsidR="00755438" w:rsidRDefault="00755438" w:rsidP="00755438">
      <w:pPr>
        <w:spacing w:line="360" w:lineRule="auto"/>
        <w:jc w:val="center"/>
        <w:rPr>
          <w:rFonts w:ascii="Times New Roman" w:hAnsi="Times New Roman" w:cs="Times New Roman"/>
          <w:b/>
          <w:sz w:val="32"/>
          <w:szCs w:val="32"/>
          <w:lang w:val="en-GB"/>
        </w:rPr>
      </w:pPr>
    </w:p>
    <w:p w:rsidR="00755438" w:rsidRPr="003C1463" w:rsidRDefault="00755438" w:rsidP="00755438">
      <w:pPr>
        <w:spacing w:line="360" w:lineRule="auto"/>
        <w:jc w:val="both"/>
        <w:rPr>
          <w:rFonts w:ascii="Times New Roman" w:hAnsi="Times New Roman" w:cs="Times New Roman"/>
          <w:b/>
          <w:sz w:val="24"/>
          <w:szCs w:val="24"/>
          <w:lang w:val="en-GB"/>
        </w:rPr>
      </w:pPr>
    </w:p>
    <w:p w:rsidR="00755438" w:rsidRDefault="00755438" w:rsidP="00755438">
      <w:pPr>
        <w:spacing w:line="360" w:lineRule="auto"/>
        <w:jc w:val="center"/>
        <w:rPr>
          <w:rFonts w:ascii="Times New Roman" w:hAnsi="Times New Roman" w:cs="Times New Roman"/>
          <w:b/>
          <w:sz w:val="28"/>
          <w:szCs w:val="28"/>
          <w:lang w:val="en-GB"/>
        </w:rPr>
      </w:pPr>
    </w:p>
    <w:p w:rsidR="00755438" w:rsidRDefault="00755438" w:rsidP="00755438">
      <w:pPr>
        <w:spacing w:line="360" w:lineRule="auto"/>
        <w:jc w:val="center"/>
        <w:rPr>
          <w:noProof/>
        </w:rPr>
      </w:pPr>
      <w:r w:rsidRPr="00260492">
        <w:rPr>
          <w:rFonts w:ascii="Times New Roman" w:hAnsi="Times New Roman" w:cs="Times New Roman"/>
          <w:b/>
          <w:sz w:val="28"/>
          <w:szCs w:val="28"/>
          <w:lang w:val="en-GB"/>
        </w:rPr>
        <w:t>Table of Contents</w:t>
      </w:r>
      <w:r w:rsidRPr="00260492">
        <w:rPr>
          <w:rFonts w:ascii="Times New Roman" w:hAnsi="Times New Roman" w:cs="Times New Roman"/>
          <w:b/>
          <w:sz w:val="28"/>
          <w:szCs w:val="28"/>
          <w:lang w:val="en-GB"/>
        </w:rPr>
        <w:fldChar w:fldCharType="begin"/>
      </w:r>
      <w:r w:rsidRPr="00260492">
        <w:rPr>
          <w:rFonts w:ascii="Times New Roman" w:hAnsi="Times New Roman" w:cs="Times New Roman"/>
          <w:b/>
          <w:sz w:val="28"/>
          <w:szCs w:val="28"/>
          <w:lang w:val="en-GB"/>
        </w:rPr>
        <w:instrText xml:space="preserve"> TOC \h \z \t "Heading 1" \c </w:instrText>
      </w:r>
      <w:r w:rsidRPr="00260492">
        <w:rPr>
          <w:rFonts w:ascii="Times New Roman" w:hAnsi="Times New Roman" w:cs="Times New Roman"/>
          <w:b/>
          <w:sz w:val="28"/>
          <w:szCs w:val="28"/>
          <w:lang w:val="en-GB"/>
        </w:rPr>
        <w:fldChar w:fldCharType="separate"/>
      </w:r>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0" w:history="1">
        <w:r w:rsidRPr="00C255DC">
          <w:rPr>
            <w:rStyle w:val="Hyperlink"/>
            <w:rFonts w:cs="Times New Roman"/>
            <w:noProof/>
            <w:lang w:val="en-GB"/>
          </w:rPr>
          <w:t>Introduction</w:t>
        </w:r>
        <w:r>
          <w:rPr>
            <w:noProof/>
            <w:webHidden/>
          </w:rPr>
          <w:tab/>
        </w:r>
        <w:r>
          <w:rPr>
            <w:noProof/>
            <w:webHidden/>
          </w:rPr>
          <w:fldChar w:fldCharType="begin"/>
        </w:r>
        <w:r>
          <w:rPr>
            <w:noProof/>
            <w:webHidden/>
          </w:rPr>
          <w:instrText xml:space="preserve"> PAGEREF _Toc522713910 \h </w:instrText>
        </w:r>
        <w:r>
          <w:rPr>
            <w:noProof/>
            <w:webHidden/>
          </w:rPr>
        </w:r>
        <w:r>
          <w:rPr>
            <w:noProof/>
            <w:webHidden/>
          </w:rPr>
          <w:fldChar w:fldCharType="separate"/>
        </w:r>
        <w:r w:rsidR="00EC6178">
          <w:rPr>
            <w:noProof/>
            <w:webHidden/>
          </w:rPr>
          <w:t>3</w:t>
        </w:r>
        <w:r>
          <w:rPr>
            <w:noProof/>
            <w:webHidden/>
          </w:rPr>
          <w:fldChar w:fldCharType="end"/>
        </w:r>
      </w:hyperlink>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1" w:history="1">
        <w:r w:rsidRPr="00C255DC">
          <w:rPr>
            <w:rStyle w:val="Hyperlink"/>
            <w:rFonts w:cs="Times New Roman"/>
            <w:noProof/>
            <w:lang w:val="en-GB"/>
          </w:rPr>
          <w:t>a) Carry out a strategic internal and an external analysis using any relevant analytical framework or strategic analysis tools.</w:t>
        </w:r>
        <w:r>
          <w:rPr>
            <w:noProof/>
            <w:webHidden/>
          </w:rPr>
          <w:tab/>
        </w:r>
        <w:r>
          <w:rPr>
            <w:noProof/>
            <w:webHidden/>
          </w:rPr>
          <w:fldChar w:fldCharType="begin"/>
        </w:r>
        <w:r>
          <w:rPr>
            <w:noProof/>
            <w:webHidden/>
          </w:rPr>
          <w:instrText xml:space="preserve"> PAGEREF _Toc522713911 \h </w:instrText>
        </w:r>
        <w:r>
          <w:rPr>
            <w:noProof/>
            <w:webHidden/>
          </w:rPr>
        </w:r>
        <w:r>
          <w:rPr>
            <w:noProof/>
            <w:webHidden/>
          </w:rPr>
          <w:fldChar w:fldCharType="separate"/>
        </w:r>
        <w:r w:rsidR="00EC6178">
          <w:rPr>
            <w:noProof/>
            <w:webHidden/>
          </w:rPr>
          <w:t>3</w:t>
        </w:r>
        <w:r>
          <w:rPr>
            <w:noProof/>
            <w:webHidden/>
          </w:rPr>
          <w:fldChar w:fldCharType="end"/>
        </w:r>
      </w:hyperlink>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2" w:history="1">
        <w:r w:rsidRPr="00C255DC">
          <w:rPr>
            <w:rStyle w:val="Hyperlink"/>
            <w:noProof/>
          </w:rPr>
          <w:t>b. Advise Ineos on the strategic options they should take, the barriers they may encounter in implementing these strategic options, and how they can overcome these barriers</w:t>
        </w:r>
        <w:r>
          <w:rPr>
            <w:noProof/>
            <w:webHidden/>
          </w:rPr>
          <w:tab/>
        </w:r>
        <w:r>
          <w:rPr>
            <w:noProof/>
            <w:webHidden/>
          </w:rPr>
          <w:fldChar w:fldCharType="begin"/>
        </w:r>
        <w:r>
          <w:rPr>
            <w:noProof/>
            <w:webHidden/>
          </w:rPr>
          <w:instrText xml:space="preserve"> PAGEREF _Toc522713912 \h </w:instrText>
        </w:r>
        <w:r>
          <w:rPr>
            <w:noProof/>
            <w:webHidden/>
          </w:rPr>
        </w:r>
        <w:r>
          <w:rPr>
            <w:noProof/>
            <w:webHidden/>
          </w:rPr>
          <w:fldChar w:fldCharType="separate"/>
        </w:r>
        <w:r w:rsidR="00EC6178">
          <w:rPr>
            <w:noProof/>
            <w:webHidden/>
          </w:rPr>
          <w:t>11</w:t>
        </w:r>
        <w:r>
          <w:rPr>
            <w:noProof/>
            <w:webHidden/>
          </w:rPr>
          <w:fldChar w:fldCharType="end"/>
        </w:r>
      </w:hyperlink>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3" w:history="1">
        <w:r w:rsidRPr="00C255DC">
          <w:rPr>
            <w:rStyle w:val="Hyperlink"/>
            <w:noProof/>
          </w:rPr>
          <w:t>Financial Analysis</w:t>
        </w:r>
        <w:r>
          <w:rPr>
            <w:noProof/>
            <w:webHidden/>
          </w:rPr>
          <w:tab/>
        </w:r>
        <w:r>
          <w:rPr>
            <w:noProof/>
            <w:webHidden/>
          </w:rPr>
          <w:fldChar w:fldCharType="begin"/>
        </w:r>
        <w:r>
          <w:rPr>
            <w:noProof/>
            <w:webHidden/>
          </w:rPr>
          <w:instrText xml:space="preserve"> PAGEREF _Toc522713913 \h </w:instrText>
        </w:r>
        <w:r>
          <w:rPr>
            <w:noProof/>
            <w:webHidden/>
          </w:rPr>
        </w:r>
        <w:r>
          <w:rPr>
            <w:noProof/>
            <w:webHidden/>
          </w:rPr>
          <w:fldChar w:fldCharType="separate"/>
        </w:r>
        <w:r w:rsidR="00EC6178">
          <w:rPr>
            <w:noProof/>
            <w:webHidden/>
          </w:rPr>
          <w:t>17</w:t>
        </w:r>
        <w:r>
          <w:rPr>
            <w:noProof/>
            <w:webHidden/>
          </w:rPr>
          <w:fldChar w:fldCharType="end"/>
        </w:r>
      </w:hyperlink>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4" w:history="1">
        <w:r w:rsidRPr="00C255DC">
          <w:rPr>
            <w:rStyle w:val="Hyperlink"/>
            <w:noProof/>
          </w:rPr>
          <w:t>Conclusion</w:t>
        </w:r>
        <w:r>
          <w:rPr>
            <w:noProof/>
            <w:webHidden/>
          </w:rPr>
          <w:tab/>
        </w:r>
        <w:r>
          <w:rPr>
            <w:noProof/>
            <w:webHidden/>
          </w:rPr>
          <w:fldChar w:fldCharType="begin"/>
        </w:r>
        <w:r>
          <w:rPr>
            <w:noProof/>
            <w:webHidden/>
          </w:rPr>
          <w:instrText xml:space="preserve"> PAGEREF _Toc522713914 \h </w:instrText>
        </w:r>
        <w:r>
          <w:rPr>
            <w:noProof/>
            <w:webHidden/>
          </w:rPr>
        </w:r>
        <w:r>
          <w:rPr>
            <w:noProof/>
            <w:webHidden/>
          </w:rPr>
          <w:fldChar w:fldCharType="separate"/>
        </w:r>
        <w:r w:rsidR="00EC6178">
          <w:rPr>
            <w:noProof/>
            <w:webHidden/>
          </w:rPr>
          <w:t>22</w:t>
        </w:r>
        <w:r>
          <w:rPr>
            <w:noProof/>
            <w:webHidden/>
          </w:rPr>
          <w:fldChar w:fldCharType="end"/>
        </w:r>
      </w:hyperlink>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5" w:history="1">
        <w:r w:rsidRPr="00C255DC">
          <w:rPr>
            <w:rStyle w:val="Hyperlink"/>
            <w:rFonts w:cs="Times New Roman"/>
            <w:noProof/>
            <w:lang w:val="en-GB"/>
          </w:rPr>
          <w:t>Reference List:</w:t>
        </w:r>
        <w:r>
          <w:rPr>
            <w:noProof/>
            <w:webHidden/>
          </w:rPr>
          <w:tab/>
        </w:r>
        <w:r>
          <w:rPr>
            <w:noProof/>
            <w:webHidden/>
          </w:rPr>
          <w:fldChar w:fldCharType="begin"/>
        </w:r>
        <w:r>
          <w:rPr>
            <w:noProof/>
            <w:webHidden/>
          </w:rPr>
          <w:instrText xml:space="preserve"> PAGEREF _Toc522713915 \h </w:instrText>
        </w:r>
        <w:r>
          <w:rPr>
            <w:noProof/>
            <w:webHidden/>
          </w:rPr>
        </w:r>
        <w:r>
          <w:rPr>
            <w:noProof/>
            <w:webHidden/>
          </w:rPr>
          <w:fldChar w:fldCharType="separate"/>
        </w:r>
        <w:r w:rsidR="00EC6178">
          <w:rPr>
            <w:noProof/>
            <w:webHidden/>
          </w:rPr>
          <w:t>23</w:t>
        </w:r>
        <w:r>
          <w:rPr>
            <w:noProof/>
            <w:webHidden/>
          </w:rPr>
          <w:fldChar w:fldCharType="end"/>
        </w:r>
      </w:hyperlink>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6" w:history="1">
        <w:r w:rsidRPr="00C255DC">
          <w:rPr>
            <w:rStyle w:val="Hyperlink"/>
            <w:noProof/>
          </w:rPr>
          <w:t>Appendix 1</w:t>
        </w:r>
        <w:r>
          <w:rPr>
            <w:noProof/>
            <w:webHidden/>
          </w:rPr>
          <w:tab/>
        </w:r>
        <w:r>
          <w:rPr>
            <w:noProof/>
            <w:webHidden/>
          </w:rPr>
          <w:fldChar w:fldCharType="begin"/>
        </w:r>
        <w:r>
          <w:rPr>
            <w:noProof/>
            <w:webHidden/>
          </w:rPr>
          <w:instrText xml:space="preserve"> PAGEREF _Toc522713916 \h </w:instrText>
        </w:r>
        <w:r>
          <w:rPr>
            <w:noProof/>
            <w:webHidden/>
          </w:rPr>
        </w:r>
        <w:r>
          <w:rPr>
            <w:noProof/>
            <w:webHidden/>
          </w:rPr>
          <w:fldChar w:fldCharType="separate"/>
        </w:r>
        <w:r w:rsidR="00EC6178">
          <w:rPr>
            <w:noProof/>
            <w:webHidden/>
          </w:rPr>
          <w:t>27</w:t>
        </w:r>
        <w:r>
          <w:rPr>
            <w:noProof/>
            <w:webHidden/>
          </w:rPr>
          <w:fldChar w:fldCharType="end"/>
        </w:r>
      </w:hyperlink>
    </w:p>
    <w:p w:rsidR="00755438" w:rsidRDefault="00755438" w:rsidP="00755438">
      <w:pPr>
        <w:pStyle w:val="TableofFigures"/>
        <w:tabs>
          <w:tab w:val="right" w:leader="dot" w:pos="9350"/>
        </w:tabs>
        <w:rPr>
          <w:rFonts w:asciiTheme="minorHAnsi" w:hAnsiTheme="minorHAnsi"/>
          <w:noProof/>
          <w:sz w:val="22"/>
          <w:lang w:val="en-IN" w:eastAsia="en-IN"/>
        </w:rPr>
      </w:pPr>
      <w:hyperlink w:anchor="_Toc522713917" w:history="1">
        <w:r w:rsidRPr="00C255DC">
          <w:rPr>
            <w:rStyle w:val="Hyperlink"/>
            <w:noProof/>
          </w:rPr>
          <w:t>Appendix 2</w:t>
        </w:r>
        <w:r>
          <w:rPr>
            <w:noProof/>
            <w:webHidden/>
          </w:rPr>
          <w:tab/>
        </w:r>
        <w:r>
          <w:rPr>
            <w:noProof/>
            <w:webHidden/>
          </w:rPr>
          <w:fldChar w:fldCharType="begin"/>
        </w:r>
        <w:r>
          <w:rPr>
            <w:noProof/>
            <w:webHidden/>
          </w:rPr>
          <w:instrText xml:space="preserve"> PAGEREF _Toc522713917 \h </w:instrText>
        </w:r>
        <w:r>
          <w:rPr>
            <w:noProof/>
            <w:webHidden/>
          </w:rPr>
        </w:r>
        <w:r>
          <w:rPr>
            <w:noProof/>
            <w:webHidden/>
          </w:rPr>
          <w:fldChar w:fldCharType="separate"/>
        </w:r>
        <w:r w:rsidR="00EC6178">
          <w:rPr>
            <w:noProof/>
            <w:webHidden/>
          </w:rPr>
          <w:t>28</w:t>
        </w:r>
        <w:r>
          <w:rPr>
            <w:noProof/>
            <w:webHidden/>
          </w:rPr>
          <w:fldChar w:fldCharType="end"/>
        </w:r>
      </w:hyperlink>
    </w:p>
    <w:p w:rsidR="00755438" w:rsidRPr="003C1463" w:rsidRDefault="00755438" w:rsidP="00755438">
      <w:pPr>
        <w:spacing w:line="360" w:lineRule="auto"/>
        <w:jc w:val="center"/>
        <w:rPr>
          <w:rFonts w:ascii="Times New Roman" w:hAnsi="Times New Roman" w:cs="Times New Roman"/>
          <w:b/>
          <w:sz w:val="24"/>
          <w:szCs w:val="24"/>
          <w:lang w:val="en-GB"/>
        </w:rPr>
      </w:pPr>
      <w:r w:rsidRPr="00260492">
        <w:rPr>
          <w:rFonts w:ascii="Times New Roman" w:hAnsi="Times New Roman" w:cs="Times New Roman"/>
          <w:b/>
          <w:sz w:val="28"/>
          <w:szCs w:val="28"/>
          <w:lang w:val="en-GB"/>
        </w:rPr>
        <w:fldChar w:fldCharType="end"/>
      </w:r>
    </w:p>
    <w:p w:rsidR="00755438" w:rsidRPr="003C1463" w:rsidRDefault="00755438" w:rsidP="00755438">
      <w:pPr>
        <w:spacing w:line="360" w:lineRule="auto"/>
        <w:jc w:val="both"/>
        <w:rPr>
          <w:rFonts w:ascii="Times New Roman" w:eastAsiaTheme="majorEastAsia" w:hAnsi="Times New Roman" w:cs="Times New Roman"/>
          <w:b/>
          <w:bCs/>
          <w:sz w:val="24"/>
          <w:szCs w:val="24"/>
          <w:lang w:val="en-GB"/>
        </w:rPr>
      </w:pPr>
      <w:r w:rsidRPr="003C1463">
        <w:rPr>
          <w:rFonts w:ascii="Times New Roman" w:hAnsi="Times New Roman" w:cs="Times New Roman"/>
          <w:sz w:val="24"/>
          <w:szCs w:val="24"/>
          <w:lang w:val="en-GB"/>
        </w:rPr>
        <w:br w:type="page"/>
      </w:r>
    </w:p>
    <w:p w:rsidR="00755438" w:rsidRPr="003C1463" w:rsidRDefault="00755438" w:rsidP="00755438">
      <w:pPr>
        <w:pStyle w:val="Heading1"/>
        <w:rPr>
          <w:rFonts w:cs="Times New Roman"/>
          <w:szCs w:val="24"/>
          <w:lang w:val="en-GB"/>
        </w:rPr>
      </w:pPr>
      <w:bookmarkStart w:id="0" w:name="_Toc522713910"/>
      <w:r w:rsidRPr="003C1463">
        <w:rPr>
          <w:rFonts w:cs="Times New Roman"/>
          <w:szCs w:val="24"/>
          <w:lang w:val="en-GB"/>
        </w:rPr>
        <w:lastRenderedPageBreak/>
        <w:t>Introduction</w:t>
      </w:r>
      <w:bookmarkEnd w:id="0"/>
    </w:p>
    <w:p w:rsidR="00755438" w:rsidRDefault="00755438" w:rsidP="00755438">
      <w:pPr>
        <w:spacing w:line="360" w:lineRule="auto"/>
        <w:jc w:val="both"/>
        <w:rPr>
          <w:rFonts w:ascii="Times New Roman" w:hAnsi="Times New Roman" w:cs="Times New Roman"/>
          <w:sz w:val="24"/>
          <w:szCs w:val="24"/>
          <w:lang w:val="en-GB"/>
        </w:rPr>
      </w:pPr>
    </w:p>
    <w:p w:rsidR="00755438"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The business market on a global level has been continuously evolving. With numbers of organisations operational in almost every sector, the competition is on rise like never before. In addition to this, it may also be stated that the needs and requirements of individuals have been changing at a substantial level as well. Therefore, organisations in recent times are required to adapt themselves in accordance with the market needs and requirements. This would allow them to continue holding a sustainable position in long run. However, in order to adapt to changes as such, it is essential that substantial steps are taken which are thoroughly planned and properly implemented (</w:t>
      </w:r>
      <w:r w:rsidRPr="003C1463">
        <w:rPr>
          <w:rFonts w:ascii="Times New Roman" w:hAnsi="Times New Roman" w:cs="Times New Roman"/>
          <w:sz w:val="24"/>
          <w:szCs w:val="24"/>
        </w:rPr>
        <w:t>Piercy, 2016)</w:t>
      </w:r>
      <w:r w:rsidRPr="003C1463">
        <w:rPr>
          <w:rFonts w:ascii="Times New Roman" w:hAnsi="Times New Roman" w:cs="Times New Roman"/>
          <w:sz w:val="24"/>
          <w:szCs w:val="24"/>
          <w:lang w:val="en-GB"/>
        </w:rPr>
        <w:t>. The changes which are prevalent in the business market are required to be understood in prior and accordingly strategic business plans are needed to be developed and followed by the organisations.  Strategic organisational management is regarded as the key for development and effective growth in any organisation, irrespective of the sector it is functional at. Having a detailed analysis concerning the market scenario and current position of the organisation in context to the same provide clearer picture to managers and administrators. Thus, planning for development is done accordingly that would suit the business environment in most effective manner (</w:t>
      </w:r>
      <w:r w:rsidRPr="003C1463">
        <w:rPr>
          <w:rFonts w:ascii="Times New Roman" w:hAnsi="Times New Roman" w:cs="Times New Roman"/>
          <w:sz w:val="24"/>
          <w:szCs w:val="24"/>
        </w:rPr>
        <w:t>Berry and Green, 2016)</w:t>
      </w:r>
      <w:r w:rsidRPr="003C1463">
        <w:rPr>
          <w:rFonts w:ascii="Times New Roman" w:hAnsi="Times New Roman" w:cs="Times New Roman"/>
          <w:sz w:val="24"/>
          <w:szCs w:val="24"/>
          <w:lang w:val="en-GB"/>
        </w:rPr>
        <w:t>. In this specific assignment, the requirement of implementation of strategic management within a renowned chemical organisation, INEOS have been presented. In order to progress with strategic management planning a prior analysis of the current internal and external environment has been done for recognizing the major opportunities and potential challenges for the organisation. Furthermore, discussion about the options that can be taken up by the organisation and potential barriers along with the strategies that can be adopted to mitigate those barriers have been discussed in details as well. Thus</w:t>
      </w:r>
      <w:r>
        <w:rPr>
          <w:rFonts w:ascii="Times New Roman" w:hAnsi="Times New Roman" w:cs="Times New Roman"/>
          <w:sz w:val="24"/>
          <w:szCs w:val="24"/>
          <w:lang w:val="en-GB"/>
        </w:rPr>
        <w:t>,</w:t>
      </w:r>
      <w:r w:rsidRPr="003C1463">
        <w:rPr>
          <w:rFonts w:ascii="Times New Roman" w:hAnsi="Times New Roman" w:cs="Times New Roman"/>
          <w:sz w:val="24"/>
          <w:szCs w:val="24"/>
          <w:lang w:val="en-GB"/>
        </w:rPr>
        <w:t xml:space="preserve"> a holistic approach for strategic management planning has been considered for the completion of this assignment. </w:t>
      </w:r>
    </w:p>
    <w:p w:rsidR="00755438" w:rsidRDefault="00755438" w:rsidP="00755438">
      <w:pPr>
        <w:spacing w:line="360" w:lineRule="auto"/>
        <w:jc w:val="both"/>
        <w:rPr>
          <w:rFonts w:ascii="Times New Roman" w:hAnsi="Times New Roman" w:cs="Times New Roman"/>
          <w:sz w:val="24"/>
          <w:szCs w:val="24"/>
          <w:lang w:val="en-GB"/>
        </w:rPr>
      </w:pPr>
    </w:p>
    <w:p w:rsidR="00755438" w:rsidRPr="003C1463" w:rsidRDefault="00755438" w:rsidP="00755438">
      <w:pPr>
        <w:spacing w:line="360" w:lineRule="auto"/>
        <w:jc w:val="both"/>
        <w:rPr>
          <w:rFonts w:ascii="Times New Roman" w:hAnsi="Times New Roman" w:cs="Times New Roman"/>
          <w:sz w:val="24"/>
          <w:szCs w:val="24"/>
          <w:lang w:val="en-GB"/>
        </w:rPr>
      </w:pPr>
    </w:p>
    <w:p w:rsidR="00755438" w:rsidRPr="003C1463" w:rsidRDefault="00755438" w:rsidP="00755438">
      <w:pPr>
        <w:pStyle w:val="Heading1"/>
        <w:rPr>
          <w:rFonts w:cs="Times New Roman"/>
          <w:szCs w:val="24"/>
          <w:lang w:val="en-GB"/>
        </w:rPr>
      </w:pPr>
      <w:bookmarkStart w:id="1" w:name="_Toc522713911"/>
      <w:r w:rsidRPr="003C1463">
        <w:rPr>
          <w:rFonts w:cs="Times New Roman"/>
          <w:szCs w:val="24"/>
          <w:lang w:val="en-GB"/>
        </w:rPr>
        <w:t>a) Carry out a strategic internal and an external analysis using any relevant analytical framework or strategic analysis tools.</w:t>
      </w:r>
      <w:bookmarkEnd w:id="1"/>
    </w:p>
    <w:p w:rsidR="00755438" w:rsidRPr="003C1463" w:rsidRDefault="00755438" w:rsidP="00755438">
      <w:pPr>
        <w:spacing w:line="360" w:lineRule="auto"/>
        <w:jc w:val="both"/>
        <w:rPr>
          <w:rFonts w:ascii="Times New Roman" w:hAnsi="Times New Roman" w:cs="Times New Roman"/>
          <w:sz w:val="24"/>
          <w:szCs w:val="24"/>
          <w:lang w:val="en-GB"/>
        </w:rPr>
      </w:pPr>
    </w:p>
    <w:p w:rsidR="00755438" w:rsidRPr="003C1463" w:rsidRDefault="00755438" w:rsidP="00755438">
      <w:pPr>
        <w:spacing w:line="360" w:lineRule="auto"/>
        <w:jc w:val="both"/>
        <w:rPr>
          <w:rFonts w:ascii="Times New Roman" w:hAnsi="Times New Roman" w:cs="Times New Roman"/>
          <w:b/>
          <w:i/>
          <w:sz w:val="24"/>
          <w:szCs w:val="24"/>
          <w:lang w:val="en-GB"/>
        </w:rPr>
      </w:pPr>
      <w:r w:rsidRPr="003C1463">
        <w:rPr>
          <w:rFonts w:ascii="Times New Roman" w:hAnsi="Times New Roman" w:cs="Times New Roman"/>
          <w:b/>
          <w:i/>
          <w:sz w:val="24"/>
          <w:szCs w:val="24"/>
          <w:lang w:val="en-GB"/>
        </w:rPr>
        <w:lastRenderedPageBreak/>
        <w:t xml:space="preserve">Company Overview: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Ineos Group Limited is one of the most powerful names when it comes to the chemical sectors. It is recognised as a global manufacturer of chemicals and oil products. The company is owned privately and with the headquarters located in Rolle, Switzerland (</w:t>
      </w:r>
      <w:r w:rsidRPr="003C1463">
        <w:rPr>
          <w:rFonts w:ascii="Times New Roman" w:hAnsi="Times New Roman" w:cs="Times New Roman"/>
          <w:sz w:val="24"/>
          <w:szCs w:val="24"/>
        </w:rPr>
        <w:t>Ineos.com, 2018)</w:t>
      </w:r>
      <w:r w:rsidRPr="003C1463">
        <w:rPr>
          <w:rFonts w:ascii="Times New Roman" w:hAnsi="Times New Roman" w:cs="Times New Roman"/>
          <w:sz w:val="24"/>
          <w:szCs w:val="24"/>
          <w:lang w:val="en-GB"/>
        </w:rPr>
        <w:t xml:space="preserve">. The company was founded by Jim Ratcliffe, and also holds the position of a Chairman of the company as well. The organisation holds a diversified portfolio concerning products that they produce and offer. There are wide ranges of products which are available from the part of the organisation which includes pharmaceutical, white goods, textiles, food &amp; packaging, agrochemical, fuel and lubricants, automotive &amp; transport. The ranges of products offered by the company is recognised to be helpful in improvement of health, saving life, contributing to upgrading living standards for all the consumers of the products around the world.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 xml:space="preserve">The company has been able to garner a global significance within a short span and is huge in terms of sales. The sales revenue as per 2017 was an approximate of </w:t>
      </w:r>
      <w:r w:rsidRPr="003C1463">
        <w:rPr>
          <w:rFonts w:ascii="Times New Roman" w:hAnsi="Times New Roman" w:cs="Times New Roman"/>
          <w:sz w:val="24"/>
          <w:szCs w:val="24"/>
        </w:rPr>
        <w:t>£</w:t>
      </w:r>
      <w:r w:rsidRPr="003C1463">
        <w:rPr>
          <w:rFonts w:ascii="Times New Roman" w:hAnsi="Times New Roman" w:cs="Times New Roman"/>
          <w:sz w:val="24"/>
          <w:szCs w:val="24"/>
          <w:lang w:val="en-GB"/>
        </w:rPr>
        <w:t>40 billion (</w:t>
      </w:r>
      <w:r w:rsidRPr="003C1463">
        <w:rPr>
          <w:rFonts w:ascii="Times New Roman" w:hAnsi="Times New Roman" w:cs="Times New Roman"/>
          <w:sz w:val="24"/>
          <w:szCs w:val="24"/>
        </w:rPr>
        <w:t>Ineos.com, 2018)</w:t>
      </w:r>
      <w:r w:rsidRPr="003C1463">
        <w:rPr>
          <w:rFonts w:ascii="Times New Roman" w:hAnsi="Times New Roman" w:cs="Times New Roman"/>
          <w:sz w:val="24"/>
          <w:szCs w:val="24"/>
          <w:lang w:val="en-GB"/>
        </w:rPr>
        <w:t>. The activities of the organisation are systematic as well. There are 72 site locations for the company which are operational in 16 different countries around the globe. The company, further, employs an approximate of 17,000 individuals (</w:t>
      </w:r>
      <w:r w:rsidRPr="003C1463">
        <w:rPr>
          <w:rFonts w:ascii="Times New Roman" w:hAnsi="Times New Roman" w:cs="Times New Roman"/>
          <w:sz w:val="24"/>
          <w:szCs w:val="24"/>
        </w:rPr>
        <w:t>More-nmp.eu, 2018)</w:t>
      </w:r>
      <w:r w:rsidRPr="003C1463">
        <w:rPr>
          <w:rFonts w:ascii="Times New Roman" w:hAnsi="Times New Roman" w:cs="Times New Roman"/>
          <w:sz w:val="24"/>
          <w:szCs w:val="24"/>
          <w:lang w:val="en-GB"/>
        </w:rPr>
        <w:t>. These individuals are highly professionals and have standard experiences in the mentioned field. Another main business of the organisation is licensing the technologies necessary to the petrochemical industry. The organisation also provides additives, coating and technical staffs. The INEOS technologies are referred as non-captive technology licensor for polypropylene, polyethylene, polystyrene, vinyl and chlor-alkali businesses as well. The INEOS technology is operational in 15 different locations around the world. Providing state of art technology is regarded as the key focus by the scientists and engineers employed within the organisation (</w:t>
      </w:r>
      <w:r w:rsidRPr="003C1463">
        <w:rPr>
          <w:rFonts w:ascii="Times New Roman" w:hAnsi="Times New Roman" w:cs="Times New Roman"/>
          <w:sz w:val="24"/>
          <w:szCs w:val="24"/>
        </w:rPr>
        <w:t>Ineos.com, 2018)</w:t>
      </w:r>
      <w:r w:rsidRPr="003C1463">
        <w:rPr>
          <w:rFonts w:ascii="Times New Roman" w:hAnsi="Times New Roman" w:cs="Times New Roman"/>
          <w:sz w:val="24"/>
          <w:szCs w:val="24"/>
          <w:lang w:val="en-GB"/>
        </w:rPr>
        <w:t xml:space="preserve">. There are a total of 8 Research and Development Centres of the organisation in different parts of the globe.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In order to progress with any strategic management functioning in most suitable manner, it is essential that a transparent comprehension concerning the internal and external environment of the organisation is recognised. This would provide a better scope for the managers to plan a strategic management process that would enhance the overall organisational productiveness as well as reputation (</w:t>
      </w:r>
      <w:r w:rsidRPr="003C1463">
        <w:rPr>
          <w:rFonts w:ascii="Times New Roman" w:hAnsi="Times New Roman" w:cs="Times New Roman"/>
          <w:sz w:val="24"/>
          <w:szCs w:val="24"/>
        </w:rPr>
        <w:t>More-nmp.eu, 2018)</w:t>
      </w:r>
      <w:r w:rsidRPr="003C1463">
        <w:rPr>
          <w:rFonts w:ascii="Times New Roman" w:hAnsi="Times New Roman" w:cs="Times New Roman"/>
          <w:sz w:val="24"/>
          <w:szCs w:val="24"/>
          <w:lang w:val="en-GB"/>
        </w:rPr>
        <w:t xml:space="preserve">. In order to conduct a substantial internal and external environment analysis, it is essential that different aspects are given proper consideration. This </w:t>
      </w:r>
      <w:r w:rsidRPr="003C1463">
        <w:rPr>
          <w:rFonts w:ascii="Times New Roman" w:hAnsi="Times New Roman" w:cs="Times New Roman"/>
          <w:sz w:val="24"/>
          <w:szCs w:val="24"/>
          <w:lang w:val="en-GB"/>
        </w:rPr>
        <w:lastRenderedPageBreak/>
        <w:t xml:space="preserve">would ensure that not any point is being missed out. Therefore, following certain frameworks for the internal and external analysis would be effective in maintaining that all these standards are followed to reflect the exact position of the company. </w:t>
      </w:r>
    </w:p>
    <w:p w:rsidR="00755438" w:rsidRPr="003C1463" w:rsidRDefault="00755438" w:rsidP="00755438">
      <w:pPr>
        <w:spacing w:line="360" w:lineRule="auto"/>
        <w:jc w:val="both"/>
        <w:rPr>
          <w:rFonts w:ascii="Times New Roman" w:hAnsi="Times New Roman" w:cs="Times New Roman"/>
          <w:b/>
          <w:i/>
          <w:sz w:val="24"/>
          <w:szCs w:val="24"/>
          <w:lang w:val="en-GB"/>
        </w:rPr>
      </w:pPr>
      <w:r w:rsidRPr="003C1463">
        <w:rPr>
          <w:rFonts w:ascii="Times New Roman" w:hAnsi="Times New Roman" w:cs="Times New Roman"/>
          <w:b/>
          <w:i/>
          <w:sz w:val="24"/>
          <w:szCs w:val="24"/>
          <w:lang w:val="en-GB"/>
        </w:rPr>
        <w:t xml:space="preserve">SWOT Analysis: </w:t>
      </w:r>
    </w:p>
    <w:p w:rsidR="00755438"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One of the most widely utilised tools for internal environment analysis is the SWOT framework. In order to recognise the major strengths and weaknesses of the company, the same has been utilised in this particular section. Given below is discussion of major strengths and weaknesses of INEOS, which would reflect the internal environment scenario (</w:t>
      </w:r>
      <w:r w:rsidRPr="003C1463">
        <w:rPr>
          <w:rFonts w:ascii="Times New Roman" w:hAnsi="Times New Roman" w:cs="Times New Roman"/>
          <w:sz w:val="24"/>
          <w:szCs w:val="24"/>
        </w:rPr>
        <w:t>Sheen, 2016)</w:t>
      </w:r>
      <w:r w:rsidRPr="003C1463">
        <w:rPr>
          <w:rFonts w:ascii="Times New Roman" w:hAnsi="Times New Roman" w:cs="Times New Roman"/>
          <w:sz w:val="24"/>
          <w:szCs w:val="24"/>
          <w:lang w:val="en-GB"/>
        </w:rPr>
        <w:t xml:space="preserve">. In addition to this, Opportunities and threats have been also discussed which would provide a peek to the external environment of the company as well. </w:t>
      </w:r>
    </w:p>
    <w:p w:rsidR="00EC6178" w:rsidRPr="003C1463" w:rsidRDefault="00EC6178" w:rsidP="00755438">
      <w:pPr>
        <w:spacing w:line="360" w:lineRule="auto"/>
        <w:jc w:val="both"/>
        <w:rPr>
          <w:rFonts w:ascii="Times New Roman" w:hAnsi="Times New Roman" w:cs="Times New Roman"/>
          <w:sz w:val="24"/>
          <w:szCs w:val="24"/>
          <w:lang w:val="en-GB"/>
        </w:rPr>
      </w:pP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u w:val="single"/>
          <w:lang w:val="en-GB"/>
        </w:rPr>
        <w:t>STRENGTHS</w:t>
      </w:r>
      <w:r w:rsidRPr="003C1463">
        <w:rPr>
          <w:rFonts w:ascii="Times New Roman" w:hAnsi="Times New Roman" w:cs="Times New Roman"/>
          <w:sz w:val="24"/>
          <w:szCs w:val="24"/>
          <w:lang w:val="en-GB"/>
        </w:rPr>
        <w:t>:</w:t>
      </w:r>
    </w:p>
    <w:p w:rsidR="00755438" w:rsidRPr="003C1463" w:rsidRDefault="00755438" w:rsidP="00755438">
      <w:pPr>
        <w:pStyle w:val="ListParagraph"/>
        <w:numPr>
          <w:ilvl w:val="0"/>
          <w:numId w:val="1"/>
        </w:numPr>
        <w:rPr>
          <w:rFonts w:cs="Times New Roman"/>
          <w:szCs w:val="24"/>
          <w:lang w:val="en-GB"/>
        </w:rPr>
      </w:pPr>
      <w:r w:rsidRPr="003C1463">
        <w:rPr>
          <w:rFonts w:cs="Times New Roman"/>
          <w:i/>
          <w:szCs w:val="24"/>
          <w:lang w:val="en-GB"/>
        </w:rPr>
        <w:t>Diversified products</w:t>
      </w:r>
      <w:r w:rsidRPr="003C1463">
        <w:rPr>
          <w:rFonts w:cs="Times New Roman"/>
          <w:szCs w:val="24"/>
          <w:lang w:val="en-GB"/>
        </w:rPr>
        <w:t>: One of the major strengths of the company is that it offers wide ranges of products and caters to different sections of customers. The product portfolio being diverse is an indicator towards the fact that the company is being fulfilling needs of larger segments in most efficient manner (</w:t>
      </w:r>
      <w:r w:rsidRPr="003C1463">
        <w:rPr>
          <w:rFonts w:cs="Times New Roman"/>
          <w:szCs w:val="24"/>
        </w:rPr>
        <w:t>Warner and Sullivan, 2017)</w:t>
      </w:r>
      <w:r w:rsidRPr="003C1463">
        <w:rPr>
          <w:rFonts w:cs="Times New Roman"/>
          <w:szCs w:val="24"/>
          <w:lang w:val="en-GB"/>
        </w:rPr>
        <w:t xml:space="preserve">. By suiting the preferences of larger segments, it may be inferred that a strong foot in the market has been obtained by the company.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1"/>
        </w:numPr>
        <w:rPr>
          <w:rFonts w:cs="Times New Roman"/>
          <w:szCs w:val="24"/>
          <w:lang w:val="en-GB"/>
        </w:rPr>
      </w:pPr>
      <w:r w:rsidRPr="003C1463">
        <w:rPr>
          <w:rFonts w:cs="Times New Roman"/>
          <w:i/>
          <w:szCs w:val="24"/>
          <w:lang w:val="en-GB"/>
        </w:rPr>
        <w:t>High quality end products</w:t>
      </w:r>
      <w:r w:rsidRPr="003C1463">
        <w:rPr>
          <w:rFonts w:cs="Times New Roman"/>
          <w:szCs w:val="24"/>
          <w:lang w:val="en-GB"/>
        </w:rPr>
        <w:t>: It may be witnessed that the company is being able to cater to the needs and requirements of the industry in most effective manner. In addition to this, it has been also providing attention to maintenance of substantial quality as well. High quality products are utilised and experienced scientists use their capabilities in best interest of the organisation (</w:t>
      </w:r>
      <w:r w:rsidRPr="003C1463">
        <w:rPr>
          <w:rFonts w:cs="Times New Roman"/>
          <w:szCs w:val="24"/>
        </w:rPr>
        <w:t xml:space="preserve">Benn </w:t>
      </w:r>
      <w:r w:rsidRPr="003C1463">
        <w:rPr>
          <w:rFonts w:cs="Times New Roman"/>
          <w:i/>
          <w:szCs w:val="24"/>
        </w:rPr>
        <w:t>et al</w:t>
      </w:r>
      <w:r w:rsidRPr="003C1463">
        <w:rPr>
          <w:rFonts w:cs="Times New Roman"/>
          <w:szCs w:val="24"/>
        </w:rPr>
        <w:t>. 2014)</w:t>
      </w:r>
      <w:r w:rsidRPr="003C1463">
        <w:rPr>
          <w:rFonts w:cs="Times New Roman"/>
          <w:szCs w:val="24"/>
          <w:lang w:val="en-GB"/>
        </w:rPr>
        <w:t xml:space="preserve">. Thus, the end products which are manufactured are largely high in terms of quality.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1"/>
        </w:numPr>
        <w:rPr>
          <w:rFonts w:cs="Times New Roman"/>
          <w:szCs w:val="24"/>
          <w:lang w:val="en-GB"/>
        </w:rPr>
      </w:pPr>
      <w:r w:rsidRPr="003C1463">
        <w:rPr>
          <w:rFonts w:cs="Times New Roman"/>
          <w:i/>
          <w:szCs w:val="24"/>
          <w:lang w:val="en-GB"/>
        </w:rPr>
        <w:t>Large Domestic Market</w:t>
      </w:r>
      <w:r w:rsidRPr="003C1463">
        <w:rPr>
          <w:rFonts w:cs="Times New Roman"/>
          <w:szCs w:val="24"/>
          <w:lang w:val="en-GB"/>
        </w:rPr>
        <w:t xml:space="preserve">: The domestic market in regards with chemical industry is majorly large. This, it provides the organisation better chance to utilise the available resources in most suitable manner to enhance its opportunity of growth. There are numbers of </w:t>
      </w:r>
      <w:r w:rsidRPr="003C1463">
        <w:rPr>
          <w:rFonts w:cs="Times New Roman"/>
          <w:szCs w:val="24"/>
          <w:lang w:val="en-GB"/>
        </w:rPr>
        <w:lastRenderedPageBreak/>
        <w:t xml:space="preserve">downstream industries with different segments that are explored by the said company.  In addition to this, strong export market presence is also noticeable.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1"/>
        </w:numPr>
        <w:rPr>
          <w:rFonts w:cs="Times New Roman"/>
          <w:szCs w:val="24"/>
          <w:lang w:val="en-GB"/>
        </w:rPr>
      </w:pPr>
      <w:r w:rsidRPr="003C1463">
        <w:rPr>
          <w:rFonts w:cs="Times New Roman"/>
          <w:i/>
          <w:szCs w:val="24"/>
          <w:lang w:val="en-GB"/>
        </w:rPr>
        <w:t>Strong Research and Development</w:t>
      </w:r>
      <w:r w:rsidRPr="003C1463">
        <w:rPr>
          <w:rFonts w:cs="Times New Roman"/>
          <w:szCs w:val="24"/>
          <w:lang w:val="en-GB"/>
        </w:rPr>
        <w:t>: Proper attention is given towards research and development process which enables them with better potential to adapt to the market changes in suitable manner (</w:t>
      </w:r>
      <w:r w:rsidRPr="003C1463">
        <w:rPr>
          <w:rFonts w:cs="Times New Roman"/>
          <w:szCs w:val="24"/>
        </w:rPr>
        <w:t>López and Montalvo, 2015)</w:t>
      </w:r>
      <w:r w:rsidRPr="003C1463">
        <w:rPr>
          <w:rFonts w:cs="Times New Roman"/>
          <w:szCs w:val="24"/>
          <w:lang w:val="en-GB"/>
        </w:rPr>
        <w:t xml:space="preserve">. In addition to this, substantial risks are also predicted in prior which is essential for coming up with best techniques to cope the issues as such. Thus, the strong research and development teams which are operational in different parts of the world can e regarded as major strength of the organisation.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u w:val="single"/>
          <w:lang w:val="en-GB"/>
        </w:rPr>
        <w:t>WEAKNESSES</w:t>
      </w:r>
      <w:r w:rsidRPr="003C1463">
        <w:rPr>
          <w:rFonts w:ascii="Times New Roman" w:hAnsi="Times New Roman" w:cs="Times New Roman"/>
          <w:sz w:val="24"/>
          <w:szCs w:val="24"/>
          <w:lang w:val="en-GB"/>
        </w:rPr>
        <w:t>:</w:t>
      </w:r>
    </w:p>
    <w:p w:rsidR="00755438" w:rsidRPr="003C1463" w:rsidRDefault="00755438" w:rsidP="00755438">
      <w:pPr>
        <w:pStyle w:val="ListParagraph"/>
        <w:numPr>
          <w:ilvl w:val="0"/>
          <w:numId w:val="2"/>
        </w:numPr>
        <w:rPr>
          <w:rFonts w:cs="Times New Roman"/>
          <w:szCs w:val="24"/>
          <w:lang w:val="en-GB"/>
        </w:rPr>
      </w:pPr>
      <w:r w:rsidRPr="003C1463">
        <w:rPr>
          <w:rFonts w:cs="Times New Roman"/>
          <w:i/>
          <w:szCs w:val="24"/>
          <w:lang w:val="en-GB"/>
        </w:rPr>
        <w:t>Cost of finance</w:t>
      </w:r>
      <w:r w:rsidRPr="003C1463">
        <w:rPr>
          <w:rFonts w:cs="Times New Roman"/>
          <w:szCs w:val="24"/>
          <w:lang w:val="en-GB"/>
        </w:rPr>
        <w:t xml:space="preserve">: In this specific organisation it may be seen that even though the company has been able to generate substantial sales revenue, there are significant input that are required to be invested in varied aspects of the organisation. Therefore, it might be stated that the cost of finance is more which a major weakness for the company is.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2"/>
        </w:numPr>
        <w:rPr>
          <w:rFonts w:cs="Times New Roman"/>
          <w:szCs w:val="24"/>
          <w:lang w:val="en-GB"/>
        </w:rPr>
      </w:pPr>
      <w:r w:rsidRPr="003C1463">
        <w:rPr>
          <w:rFonts w:cs="Times New Roman"/>
          <w:i/>
          <w:szCs w:val="24"/>
          <w:lang w:val="en-GB"/>
        </w:rPr>
        <w:t>Low investment on R&amp;D</w:t>
      </w:r>
      <w:r w:rsidRPr="003C1463">
        <w:rPr>
          <w:rFonts w:cs="Times New Roman"/>
          <w:szCs w:val="24"/>
          <w:lang w:val="en-GB"/>
        </w:rPr>
        <w:t>: Even though the research and development team is string, it can be stated that the major part of its overall success is credited to the capability and experiences of the employees engaged in the department. There are limited resources available which may be indicative towards the fact that the full potential of these teams are not being explored (</w:t>
      </w:r>
      <w:r w:rsidRPr="003C1463">
        <w:rPr>
          <w:rFonts w:cs="Times New Roman"/>
          <w:szCs w:val="24"/>
        </w:rPr>
        <w:t xml:space="preserve">Cespi </w:t>
      </w:r>
      <w:r w:rsidRPr="003C1463">
        <w:rPr>
          <w:rFonts w:cs="Times New Roman"/>
          <w:i/>
          <w:szCs w:val="24"/>
        </w:rPr>
        <w:t>et al</w:t>
      </w:r>
      <w:r w:rsidRPr="003C1463">
        <w:rPr>
          <w:rFonts w:cs="Times New Roman"/>
          <w:szCs w:val="24"/>
        </w:rPr>
        <w:t>. 2016)</w:t>
      </w:r>
      <w:r w:rsidRPr="003C1463">
        <w:rPr>
          <w:rFonts w:cs="Times New Roman"/>
          <w:szCs w:val="24"/>
          <w:lang w:val="en-GB"/>
        </w:rPr>
        <w:t xml:space="preserve">.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2"/>
        </w:numPr>
        <w:rPr>
          <w:rFonts w:cs="Times New Roman"/>
          <w:szCs w:val="24"/>
          <w:lang w:val="en-GB"/>
        </w:rPr>
      </w:pPr>
      <w:r w:rsidRPr="003C1463">
        <w:rPr>
          <w:rFonts w:cs="Times New Roman"/>
          <w:i/>
          <w:szCs w:val="24"/>
          <w:lang w:val="en-GB"/>
        </w:rPr>
        <w:t>Multiple taxes</w:t>
      </w:r>
      <w:r w:rsidRPr="003C1463">
        <w:rPr>
          <w:rFonts w:cs="Times New Roman"/>
          <w:szCs w:val="24"/>
          <w:lang w:val="en-GB"/>
        </w:rPr>
        <w:t xml:space="preserve">: Since the organisation is multidimensional, one of the major obligations that are required to be faced is that the taxes are needed to be paid in multiple ways as well. The numbers of downstream branches are required to provide taxes separately, which contributes to the enhancement of overall costs.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2"/>
        </w:numPr>
        <w:rPr>
          <w:rFonts w:cs="Times New Roman"/>
          <w:szCs w:val="24"/>
          <w:lang w:val="en-GB"/>
        </w:rPr>
      </w:pPr>
      <w:r w:rsidRPr="003C1463">
        <w:rPr>
          <w:rFonts w:cs="Times New Roman"/>
          <w:i/>
          <w:szCs w:val="24"/>
          <w:lang w:val="en-GB"/>
        </w:rPr>
        <w:t>Scale of production</w:t>
      </w:r>
      <w:r w:rsidRPr="003C1463">
        <w:rPr>
          <w:rFonts w:cs="Times New Roman"/>
          <w:szCs w:val="24"/>
          <w:lang w:val="en-GB"/>
        </w:rPr>
        <w:t xml:space="preserve">: The scale of production is comparatively low keeping in regards the functioning of companies existing in manufacturing industry.  It may be stated that the </w:t>
      </w:r>
      <w:r w:rsidRPr="003C1463">
        <w:rPr>
          <w:rFonts w:cs="Times New Roman"/>
          <w:szCs w:val="24"/>
          <w:lang w:val="en-GB"/>
        </w:rPr>
        <w:lastRenderedPageBreak/>
        <w:t>organisation is not able to produce in a large quantity even though products are diversified. Thus, it may be regarded as a major weakness as well (</w:t>
      </w:r>
      <w:r w:rsidRPr="003C1463">
        <w:rPr>
          <w:rFonts w:cs="Times New Roman"/>
          <w:szCs w:val="24"/>
        </w:rPr>
        <w:t>Näyhä and Pesonen, 2014)</w:t>
      </w:r>
      <w:r w:rsidRPr="003C1463">
        <w:rPr>
          <w:rFonts w:cs="Times New Roman"/>
          <w:szCs w:val="24"/>
          <w:lang w:val="en-GB"/>
        </w:rPr>
        <w:t xml:space="preserve">. </w:t>
      </w:r>
    </w:p>
    <w:p w:rsidR="00755438" w:rsidRPr="003C1463" w:rsidRDefault="00755438" w:rsidP="00755438">
      <w:pPr>
        <w:pStyle w:val="ListParagraph"/>
        <w:rPr>
          <w:rFonts w:cs="Times New Roman"/>
          <w:szCs w:val="24"/>
          <w:lang w:val="en-GB"/>
        </w:rPr>
      </w:pPr>
      <w:r w:rsidRPr="003C1463">
        <w:rPr>
          <w:rFonts w:cs="Times New Roman"/>
          <w:szCs w:val="24"/>
          <w:lang w:val="en-GB"/>
        </w:rPr>
        <w:t xml:space="preserve">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u w:val="single"/>
          <w:lang w:val="en-GB"/>
        </w:rPr>
        <w:t>OPPORTUNITIES</w:t>
      </w:r>
      <w:r w:rsidRPr="003C1463">
        <w:rPr>
          <w:rFonts w:ascii="Times New Roman" w:hAnsi="Times New Roman" w:cs="Times New Roman"/>
          <w:sz w:val="24"/>
          <w:szCs w:val="24"/>
          <w:lang w:val="en-GB"/>
        </w:rPr>
        <w:t>:</w:t>
      </w:r>
    </w:p>
    <w:p w:rsidR="00755438" w:rsidRPr="003C1463" w:rsidRDefault="00755438" w:rsidP="00755438">
      <w:pPr>
        <w:pStyle w:val="ListParagraph"/>
        <w:numPr>
          <w:ilvl w:val="0"/>
          <w:numId w:val="3"/>
        </w:numPr>
        <w:rPr>
          <w:rFonts w:cs="Times New Roman"/>
          <w:szCs w:val="24"/>
          <w:lang w:val="en-GB"/>
        </w:rPr>
      </w:pPr>
      <w:r w:rsidRPr="003C1463">
        <w:rPr>
          <w:rFonts w:cs="Times New Roman"/>
          <w:i/>
          <w:szCs w:val="24"/>
          <w:lang w:val="en-GB"/>
        </w:rPr>
        <w:t>Market expansion</w:t>
      </w:r>
      <w:r w:rsidRPr="003C1463">
        <w:rPr>
          <w:rFonts w:cs="Times New Roman"/>
          <w:szCs w:val="24"/>
          <w:lang w:val="en-GB"/>
        </w:rPr>
        <w:t xml:space="preserve">: Since the company has been operational in various parts of the world and is recognised as a global company, it may be stated that the company holds the opportunity to be functional in developing markets as well. Thus, substantial growth opportunity can be stated to persistent for the organisation in different international platforms.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3"/>
        </w:numPr>
        <w:rPr>
          <w:rFonts w:cs="Times New Roman"/>
          <w:szCs w:val="24"/>
          <w:lang w:val="en-GB"/>
        </w:rPr>
      </w:pPr>
      <w:r w:rsidRPr="003C1463">
        <w:rPr>
          <w:rFonts w:cs="Times New Roman"/>
          <w:i/>
          <w:szCs w:val="24"/>
          <w:lang w:val="en-GB"/>
        </w:rPr>
        <w:t>Competency for reutilisation of renewable resources</w:t>
      </w:r>
      <w:r w:rsidRPr="003C1463">
        <w:rPr>
          <w:rFonts w:cs="Times New Roman"/>
          <w:szCs w:val="24"/>
          <w:lang w:val="en-GB"/>
        </w:rPr>
        <w:t>: In recent times, it can be seen that appropriate attention is given towards conservation of natural resources. Being operational in this filed for a long time now, the company employs some of the most efficient scientists (</w:t>
      </w:r>
      <w:r w:rsidRPr="003C1463">
        <w:rPr>
          <w:rFonts w:cs="Times New Roman"/>
          <w:szCs w:val="24"/>
        </w:rPr>
        <w:t>Wilensky, 2015)</w:t>
      </w:r>
      <w:r w:rsidRPr="003C1463">
        <w:rPr>
          <w:rFonts w:cs="Times New Roman"/>
          <w:szCs w:val="24"/>
          <w:lang w:val="en-GB"/>
        </w:rPr>
        <w:t xml:space="preserve">. Hence, it may be assumed that the company holds the competency to reutilise natural renewable resources.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3"/>
        </w:numPr>
        <w:rPr>
          <w:rFonts w:cs="Times New Roman"/>
          <w:szCs w:val="24"/>
          <w:lang w:val="en-GB"/>
        </w:rPr>
      </w:pPr>
      <w:r w:rsidRPr="003C1463">
        <w:rPr>
          <w:rFonts w:cs="Times New Roman"/>
          <w:i/>
          <w:szCs w:val="24"/>
          <w:lang w:val="en-GB"/>
        </w:rPr>
        <w:t>Climatic conditions</w:t>
      </w:r>
      <w:r w:rsidRPr="003C1463">
        <w:rPr>
          <w:rFonts w:cs="Times New Roman"/>
          <w:szCs w:val="24"/>
          <w:lang w:val="en-GB"/>
        </w:rPr>
        <w:t xml:space="preserve">: The climatic conditions have been changing at an alarming rate in recent years. However, with proper prediction to the climatic conditions in different parts of the world the company is operational in, appropriate steps can be taken that would suit their requirement in effective manner.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u w:val="single"/>
          <w:lang w:val="en-GB"/>
        </w:rPr>
        <w:t>THREATS</w:t>
      </w:r>
      <w:r w:rsidRPr="003C1463">
        <w:rPr>
          <w:rFonts w:ascii="Times New Roman" w:hAnsi="Times New Roman" w:cs="Times New Roman"/>
          <w:sz w:val="24"/>
          <w:szCs w:val="24"/>
          <w:lang w:val="en-GB"/>
        </w:rPr>
        <w:t>:</w:t>
      </w:r>
    </w:p>
    <w:p w:rsidR="00755438" w:rsidRPr="003C1463" w:rsidRDefault="00755438" w:rsidP="00755438">
      <w:pPr>
        <w:pStyle w:val="ListParagraph"/>
        <w:numPr>
          <w:ilvl w:val="0"/>
          <w:numId w:val="4"/>
        </w:numPr>
        <w:rPr>
          <w:rFonts w:cs="Times New Roman"/>
          <w:szCs w:val="24"/>
          <w:lang w:val="en-GB"/>
        </w:rPr>
      </w:pPr>
      <w:r w:rsidRPr="003C1463">
        <w:rPr>
          <w:rFonts w:cs="Times New Roman"/>
          <w:i/>
          <w:szCs w:val="24"/>
          <w:lang w:val="en-GB"/>
        </w:rPr>
        <w:t>Lower chemical costs in developing market</w:t>
      </w:r>
      <w:r w:rsidRPr="003C1463">
        <w:rPr>
          <w:rFonts w:cs="Times New Roman"/>
          <w:szCs w:val="24"/>
          <w:lang w:val="en-GB"/>
        </w:rPr>
        <w:t xml:space="preserve">: It can be seen that the developing countries are opening up and are improving their performance in regards with the chemical industry.  The costs in these markets are comparatively lower. Thus, the chances of shift in preferences of clients may be stated to be persisting.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4"/>
        </w:numPr>
        <w:rPr>
          <w:rFonts w:cs="Times New Roman"/>
          <w:szCs w:val="24"/>
          <w:lang w:val="en-GB"/>
        </w:rPr>
      </w:pPr>
      <w:r w:rsidRPr="003C1463">
        <w:rPr>
          <w:rFonts w:cs="Times New Roman"/>
          <w:i/>
          <w:szCs w:val="24"/>
          <w:lang w:val="en-GB"/>
        </w:rPr>
        <w:t>Threat of extinction and competition</w:t>
      </w:r>
      <w:r w:rsidRPr="003C1463">
        <w:rPr>
          <w:rFonts w:cs="Times New Roman"/>
          <w:szCs w:val="24"/>
          <w:lang w:val="en-GB"/>
        </w:rPr>
        <w:t xml:space="preserve">: It may be stated that the organisation is able to obtain a significant position in the market. However, continuous improvement is needed in order to ensure sustainability. Incompetency from their part may  lead to extinction of the </w:t>
      </w:r>
      <w:r w:rsidRPr="003C1463">
        <w:rPr>
          <w:rFonts w:cs="Times New Roman"/>
          <w:szCs w:val="24"/>
          <w:lang w:val="en-GB"/>
        </w:rPr>
        <w:lastRenderedPageBreak/>
        <w:t xml:space="preserve">company eventually.  Additionally, the chances of competitive organisations attaining more distinct positions are also persistent. </w:t>
      </w:r>
    </w:p>
    <w:p w:rsidR="00755438" w:rsidRPr="003C1463" w:rsidRDefault="00755438" w:rsidP="00755438">
      <w:pPr>
        <w:pStyle w:val="ListParagraph"/>
        <w:rPr>
          <w:rFonts w:cs="Times New Roman"/>
          <w:szCs w:val="24"/>
          <w:lang w:val="en-GB"/>
        </w:rPr>
      </w:pPr>
    </w:p>
    <w:p w:rsidR="00755438" w:rsidRPr="003C1463" w:rsidRDefault="00755438" w:rsidP="00755438">
      <w:pPr>
        <w:pStyle w:val="ListParagraph"/>
        <w:numPr>
          <w:ilvl w:val="0"/>
          <w:numId w:val="4"/>
        </w:numPr>
        <w:rPr>
          <w:rFonts w:cs="Times New Roman"/>
          <w:i/>
          <w:szCs w:val="24"/>
          <w:lang w:val="en-GB"/>
        </w:rPr>
      </w:pPr>
      <w:r w:rsidRPr="003C1463">
        <w:rPr>
          <w:rFonts w:cs="Times New Roman"/>
          <w:i/>
          <w:szCs w:val="24"/>
          <w:lang w:val="en-GB"/>
        </w:rPr>
        <w:t>Reduction in import tariffs</w:t>
      </w:r>
      <w:r w:rsidRPr="003C1463">
        <w:rPr>
          <w:rFonts w:cs="Times New Roman"/>
          <w:szCs w:val="24"/>
          <w:lang w:val="en-GB"/>
        </w:rPr>
        <w:t xml:space="preserve">: The chances of reduction in import tariffs can be noted which would allow other organisations to enter the market. Thus, chances of increase in competition may stated to be prevalent as well. </w:t>
      </w:r>
    </w:p>
    <w:p w:rsidR="00755438" w:rsidRPr="003C1463" w:rsidRDefault="00755438" w:rsidP="00755438">
      <w:pPr>
        <w:spacing w:line="360" w:lineRule="auto"/>
        <w:jc w:val="both"/>
        <w:rPr>
          <w:rFonts w:ascii="Times New Roman" w:hAnsi="Times New Roman" w:cs="Times New Roman"/>
          <w:b/>
          <w:i/>
          <w:sz w:val="24"/>
          <w:szCs w:val="24"/>
          <w:lang w:val="en-GB"/>
        </w:rPr>
      </w:pPr>
      <w:r w:rsidRPr="003C1463">
        <w:rPr>
          <w:rFonts w:ascii="Times New Roman" w:hAnsi="Times New Roman" w:cs="Times New Roman"/>
          <w:b/>
          <w:i/>
          <w:sz w:val="24"/>
          <w:szCs w:val="24"/>
          <w:lang w:val="en-GB"/>
        </w:rPr>
        <w:t xml:space="preserve">PEST Analysis: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POLITICAL FACTORS: There are significant political factors which may have direct influence of Ineos Limited and its performances. One of the major factors is the common initiative that has been considered by the member states of EU concerning sustainable chemical industry in the year 2005. It can be regarded as the major factor responsible for defining the organisational objectives. In addition to this, it may also be taken into account that the political conditions in certain places where the organisation is operational is not stable (</w:t>
      </w:r>
      <w:r w:rsidRPr="003C1463">
        <w:rPr>
          <w:rFonts w:ascii="Times New Roman" w:hAnsi="Times New Roman" w:cs="Times New Roman"/>
          <w:sz w:val="24"/>
          <w:szCs w:val="24"/>
        </w:rPr>
        <w:t>Ocasio and Radoynovska, 2016)</w:t>
      </w:r>
      <w:r w:rsidRPr="003C1463">
        <w:rPr>
          <w:rFonts w:ascii="Times New Roman" w:hAnsi="Times New Roman" w:cs="Times New Roman"/>
          <w:sz w:val="24"/>
          <w:szCs w:val="24"/>
          <w:lang w:val="en-GB"/>
        </w:rPr>
        <w:t xml:space="preserve">. Differences in regulations concerning Genno-modified products are also prevalent as well as some other molecule products.  In addition to this, it may be stated that the pricing regulations are as well as taxation rates are expected to fluctuate once the Brexit comes into action. In addition to this, it may also be stated that consideration to different regulations concerning employee benefits wage and overtime as well as industrial safety maintenance is necessary to be followed as well.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ECONOMIC FACTOR: The impact of credit crisis may be stated to evident in case of the mentioned organisation and its performance as well. While the recent sales revenue has been decent, it may be stated that the same could have been substantially monitored, since the consumption of customers due to the credit crunch, has been reduced. In addition to this, another significant issue is that the energy prices have been significantly increasing. In order to remain functional, the utilisation of substantial amount of energy is necessary. However, due to rise in numbers of organisations in almost every sector, demand rise can be noticed. The stability of pounds has been confusing in recent times (</w:t>
      </w:r>
      <w:r w:rsidRPr="003C1463">
        <w:rPr>
          <w:rFonts w:ascii="Times New Roman" w:hAnsi="Times New Roman" w:cs="Times New Roman"/>
          <w:sz w:val="24"/>
          <w:szCs w:val="24"/>
        </w:rPr>
        <w:t>Han et al. 2015)</w:t>
      </w:r>
      <w:r w:rsidRPr="003C1463">
        <w:rPr>
          <w:rFonts w:ascii="Times New Roman" w:hAnsi="Times New Roman" w:cs="Times New Roman"/>
          <w:sz w:val="24"/>
          <w:szCs w:val="24"/>
          <w:lang w:val="en-GB"/>
        </w:rPr>
        <w:t xml:space="preserve">. Therefore, the exchange rates may be difficult to be established by the company while operating in foreign markets. The basic material sector is rather effective in its performances. It may be stated that the efficiency of the chemical industry in local market has been substantially increasing as well. Thus, it may be stated that by raising capital in local market, Ineos Limited can ensure sustenance for a longer time.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lastRenderedPageBreak/>
        <w:t xml:space="preserve">SOCIAL FACTOR: It can be stated that the industry is in requirement of substantial and skilled professionals who are young. There are varied experienced scientists working in different job roles at present. However, a deep look into the labour market indicates that only a limited numbers of individuals are selecting this filed as a career option. Hence, long term sustainability in the mentioned filed can stated to be questionable. The skill level of population can stated to be comparatively low (Wells and Meyer, 2014). However, the attitudes towards health consciousness and environmental preservation have been rising in the society. Therefore, it is necessary for organisations engaged in this sector to take into account that appropriate sensitivity towards issues as such are presented.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TECHNOLOGICAL FACTOR: It is evident that technology is fast disrupting almost every sector. It can be stated that the industry has been also witnessing introduction of varied innovative technology in the functioning of the organisation. These technological innovations are providing better scope for the organisations engaged in the industry to make the products better in an effective manner (</w:t>
      </w:r>
      <w:r w:rsidRPr="003C1463">
        <w:rPr>
          <w:rFonts w:ascii="Times New Roman" w:hAnsi="Times New Roman" w:cs="Times New Roman"/>
          <w:sz w:val="24"/>
          <w:szCs w:val="24"/>
        </w:rPr>
        <w:t>Alkaya and Demirer, 2015)</w:t>
      </w:r>
      <w:r w:rsidRPr="003C1463">
        <w:rPr>
          <w:rFonts w:ascii="Times New Roman" w:hAnsi="Times New Roman" w:cs="Times New Roman"/>
          <w:sz w:val="24"/>
          <w:szCs w:val="24"/>
          <w:lang w:val="en-GB"/>
        </w:rPr>
        <w:t xml:space="preserve">. In addition to this, with the help of technological implementation overall production can be managed effectively as well. However, regular upgrading may require substantial investment which may not be suitable for many organisations. However, the organisations in context have substantial availability of funds and hence engaging in such investments can be helpful for the company in the long run.  </w:t>
      </w:r>
    </w:p>
    <w:p w:rsidR="00755438" w:rsidRPr="003C1463" w:rsidRDefault="00755438" w:rsidP="00755438">
      <w:pPr>
        <w:spacing w:line="360" w:lineRule="auto"/>
        <w:jc w:val="both"/>
        <w:rPr>
          <w:rFonts w:ascii="Times New Roman" w:hAnsi="Times New Roman" w:cs="Times New Roman"/>
          <w:b/>
          <w:i/>
          <w:sz w:val="24"/>
          <w:szCs w:val="24"/>
          <w:lang w:val="en-GB"/>
        </w:rPr>
      </w:pPr>
      <w:r w:rsidRPr="003C1463">
        <w:rPr>
          <w:rFonts w:ascii="Times New Roman" w:hAnsi="Times New Roman" w:cs="Times New Roman"/>
          <w:b/>
          <w:i/>
          <w:sz w:val="24"/>
          <w:szCs w:val="24"/>
          <w:lang w:val="en-GB"/>
        </w:rPr>
        <w:t>Porter’s Five Forces:</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 xml:space="preserve">It is an evident fact that the global chemical industry has been witnessing rapid changes. The same is applicable in the case of Ineos Ltd as well. Given below is the discussion of porter’s five forces in respect to the organisation in context.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b/>
          <w:sz w:val="24"/>
          <w:szCs w:val="24"/>
          <w:lang w:val="en-GB"/>
        </w:rPr>
        <w:t>Force 1: Competitive Rivalry</w:t>
      </w:r>
      <w:r w:rsidRPr="003C1463">
        <w:rPr>
          <w:rFonts w:ascii="Times New Roman" w:hAnsi="Times New Roman" w:cs="Times New Roman"/>
          <w:sz w:val="24"/>
          <w:szCs w:val="24"/>
          <w:lang w:val="en-GB"/>
        </w:rPr>
        <w:t>: it can be seen that the chemical industry is heavily competitive. There are numbers of manufacturers on a global scale having major focus on obtaining greater market shares. In UK alone there are approximately 10,000 firms offering more than 70,000 diverse products (</w:t>
      </w:r>
      <w:r w:rsidRPr="003C1463">
        <w:rPr>
          <w:rFonts w:ascii="Times New Roman" w:hAnsi="Times New Roman" w:cs="Times New Roman"/>
          <w:sz w:val="24"/>
          <w:szCs w:val="24"/>
        </w:rPr>
        <w:t>Piercy, 2016)</w:t>
      </w:r>
      <w:r w:rsidRPr="003C1463">
        <w:rPr>
          <w:rFonts w:ascii="Times New Roman" w:hAnsi="Times New Roman" w:cs="Times New Roman"/>
          <w:sz w:val="24"/>
          <w:szCs w:val="24"/>
          <w:lang w:val="en-GB"/>
        </w:rPr>
        <w:t xml:space="preserve">. Hence, it may be stated that it is excessively difficult for companies like INEOS to differentiate themselves and their products from the heavy competition within the market.  It may be stated that applying value added services can be effective for price </w:t>
      </w:r>
      <w:r w:rsidRPr="003C1463">
        <w:rPr>
          <w:rFonts w:ascii="Times New Roman" w:hAnsi="Times New Roman" w:cs="Times New Roman"/>
          <w:sz w:val="24"/>
          <w:szCs w:val="24"/>
          <w:lang w:val="en-GB"/>
        </w:rPr>
        <w:lastRenderedPageBreak/>
        <w:t xml:space="preserve">realisation since the commodities offered by almost every competitive brands may go down. Hence, it may be stated that the competitive rivalry is high.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b/>
          <w:sz w:val="24"/>
          <w:szCs w:val="24"/>
          <w:lang w:val="en-GB"/>
        </w:rPr>
        <w:t>Force 2: Threat of new entrants</w:t>
      </w:r>
      <w:r w:rsidRPr="003C1463">
        <w:rPr>
          <w:rFonts w:ascii="Times New Roman" w:hAnsi="Times New Roman" w:cs="Times New Roman"/>
          <w:sz w:val="24"/>
          <w:szCs w:val="24"/>
          <w:lang w:val="en-GB"/>
        </w:rPr>
        <w:t>: It may be seen that over the years the chemical industry has been substantially dominated by the European countries, Japan and US. However, there have been a rise of manufacturers in areas that produce hydro-carbon. Thus, specific changes in existing patterns of the chemical industry can be noted. In the upcoming years, there are significant threats that can be imposed by the newcomer companies. However, one of the most essential points to be considered is that the organisation like Ineos already holds a strong foot in the market (</w:t>
      </w:r>
      <w:r w:rsidRPr="003C1463">
        <w:rPr>
          <w:rFonts w:ascii="Times New Roman" w:hAnsi="Times New Roman" w:cs="Times New Roman"/>
          <w:sz w:val="24"/>
          <w:szCs w:val="24"/>
        </w:rPr>
        <w:t>Sheen, 2016)</w:t>
      </w:r>
      <w:r w:rsidRPr="003C1463">
        <w:rPr>
          <w:rFonts w:ascii="Times New Roman" w:hAnsi="Times New Roman" w:cs="Times New Roman"/>
          <w:sz w:val="24"/>
          <w:szCs w:val="24"/>
          <w:lang w:val="en-GB"/>
        </w:rPr>
        <w:t xml:space="preserve">. The upcoming organisations may have to develop standard research and development capabilities and strengthen marketing networks. Requirement of effective management skills cannot be ignored wither. Therefore, it may be stated that the threats of new entrants are medium.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b/>
          <w:sz w:val="24"/>
          <w:szCs w:val="24"/>
          <w:lang w:val="en-GB"/>
        </w:rPr>
        <w:t>Force 3: Bargaining power of customers</w:t>
      </w:r>
      <w:r w:rsidRPr="003C1463">
        <w:rPr>
          <w:rFonts w:ascii="Times New Roman" w:hAnsi="Times New Roman" w:cs="Times New Roman"/>
          <w:sz w:val="24"/>
          <w:szCs w:val="24"/>
          <w:lang w:val="en-GB"/>
        </w:rPr>
        <w:t xml:space="preserve">: It may be seen that the chemical buyers have a huge range of options to choose from. Apart from diversification in products, there are numbers of suppliers that are existent in the market. In addition to the price of the products there are numbers of other options which are persistent, which includes quality, dates of delivery and so on.  Additionally, online access can stated to be effective in enhancing capabilities of bargaining of employees. The scope of comparing and interacting has effectively increased. Apart from Ineos, there are numbers of other companies to choose from. Thus, it may be stated that the buyers enjoy high bargaining power in the said industry.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b/>
          <w:sz w:val="24"/>
          <w:szCs w:val="24"/>
          <w:lang w:val="en-GB"/>
        </w:rPr>
        <w:t>Force 4: Bargaining power of suppliers</w:t>
      </w:r>
      <w:r w:rsidRPr="003C1463">
        <w:rPr>
          <w:rFonts w:ascii="Times New Roman" w:hAnsi="Times New Roman" w:cs="Times New Roman"/>
          <w:sz w:val="24"/>
          <w:szCs w:val="24"/>
          <w:lang w:val="en-GB"/>
        </w:rPr>
        <w:t>: Since there are numbers of suppliers in the market, it may be stated that the bargaining power is limited. In addition to this, with the advent of technological development, there are varied B2B and B2C options available that can be accessed by the buyers and appropriate details can be obtained. Even though it may be stated that the niche products may be extended by any company who may stick to a certain supplier, it may be assumed that the consumption volume would be comparatively low (</w:t>
      </w:r>
      <w:r w:rsidRPr="003C1463">
        <w:rPr>
          <w:rFonts w:ascii="Times New Roman" w:hAnsi="Times New Roman" w:cs="Times New Roman"/>
          <w:sz w:val="24"/>
          <w:szCs w:val="24"/>
        </w:rPr>
        <w:t xml:space="preserve">Benn </w:t>
      </w:r>
      <w:r w:rsidRPr="003C1463">
        <w:rPr>
          <w:rFonts w:ascii="Times New Roman" w:hAnsi="Times New Roman" w:cs="Times New Roman"/>
          <w:i/>
          <w:sz w:val="24"/>
          <w:szCs w:val="24"/>
        </w:rPr>
        <w:t>et al.</w:t>
      </w:r>
      <w:r w:rsidRPr="003C1463">
        <w:rPr>
          <w:rFonts w:ascii="Times New Roman" w:hAnsi="Times New Roman" w:cs="Times New Roman"/>
          <w:sz w:val="24"/>
          <w:szCs w:val="24"/>
        </w:rPr>
        <w:t xml:space="preserve"> 2014)</w:t>
      </w:r>
      <w:r w:rsidRPr="003C1463">
        <w:rPr>
          <w:rFonts w:ascii="Times New Roman" w:hAnsi="Times New Roman" w:cs="Times New Roman"/>
          <w:sz w:val="24"/>
          <w:szCs w:val="24"/>
          <w:lang w:val="en-GB"/>
        </w:rPr>
        <w:t xml:space="preserve">. Thus, it is evident that the bargaining power of suppliers will be low. </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b/>
          <w:sz w:val="24"/>
          <w:szCs w:val="24"/>
          <w:lang w:val="en-GB"/>
        </w:rPr>
        <w:t>Force 5: Substitution of products</w:t>
      </w:r>
      <w:r w:rsidRPr="003C1463">
        <w:rPr>
          <w:rFonts w:ascii="Times New Roman" w:hAnsi="Times New Roman" w:cs="Times New Roman"/>
          <w:sz w:val="24"/>
          <w:szCs w:val="24"/>
          <w:lang w:val="en-GB"/>
        </w:rPr>
        <w:t xml:space="preserve">: It can be stated that in various instances, utilisation of chemicals have been raising questions regarding the environmental suitability. Hence, demand of other alternatives may be stated to rise in recent times. Therefore, there lies a significant chance </w:t>
      </w:r>
      <w:r w:rsidRPr="003C1463">
        <w:rPr>
          <w:rFonts w:ascii="Times New Roman" w:hAnsi="Times New Roman" w:cs="Times New Roman"/>
          <w:sz w:val="24"/>
          <w:szCs w:val="24"/>
          <w:lang w:val="en-GB"/>
        </w:rPr>
        <w:lastRenderedPageBreak/>
        <w:t xml:space="preserve">that the products which are available in the market are replaced. These replacements may meet the standard needs and expectations of the customers. However, it is needed to be understood that in order to ensure that proper substitutes are developed, a strong research and development process may be required. Along with it appropriate investment on different resources including physical, financial and human resources may be evident. Therefore, it may nit be the most feasible alternative for majority of the companies. However, coming up with low-cost products can be another significant step that other competitors may take. This could replace the available products of Ineos. Hence, it may be stated that the chances of substitution are medium. </w:t>
      </w:r>
    </w:p>
    <w:p w:rsidR="00755438" w:rsidRPr="003C1463" w:rsidRDefault="00755438" w:rsidP="00755438">
      <w:pPr>
        <w:pStyle w:val="Heading1"/>
      </w:pPr>
      <w:bookmarkStart w:id="2" w:name="_Toc522713912"/>
      <w:r w:rsidRPr="003C1463">
        <w:t>b. Advise Ineos on the strategic options they should take, the barriers they may encounter in implementing these strategic options, and how they can overcome these barriers</w:t>
      </w:r>
      <w:bookmarkEnd w:id="2"/>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 xml:space="preserve">Chemistry is found to make a significant difference to the world that we live in. however, the European chemical industry is found to contribute a direct amount of €500 billion towards the </w:t>
      </w:r>
      <w:bookmarkStart w:id="3" w:name="_GoBack"/>
      <w:bookmarkEnd w:id="3"/>
      <w:r w:rsidRPr="003C1463">
        <w:rPr>
          <w:rFonts w:ascii="Times New Roman" w:hAnsi="Times New Roman" w:cs="Times New Roman"/>
          <w:sz w:val="24"/>
          <w:szCs w:val="24"/>
        </w:rPr>
        <w:t>economy in EU. An automatic question gets raised whether these European chemical industries shall be able to approach to their masters regarding their growing concerns (</w:t>
      </w:r>
      <w:r w:rsidRPr="003C1463">
        <w:rPr>
          <w:rFonts w:ascii="Times New Roman" w:hAnsi="Times New Roman" w:cs="Times New Roman"/>
          <w:color w:val="222222"/>
          <w:sz w:val="24"/>
          <w:szCs w:val="24"/>
          <w:shd w:val="clear" w:color="auto" w:fill="FFFFFF"/>
        </w:rPr>
        <w:t>Dodgson, 2018)</w:t>
      </w:r>
      <w:r w:rsidRPr="003C1463">
        <w:rPr>
          <w:rFonts w:ascii="Times New Roman" w:hAnsi="Times New Roman" w:cs="Times New Roman"/>
          <w:sz w:val="24"/>
          <w:szCs w:val="24"/>
        </w:rPr>
        <w:t>. The European chemical industry aims to project their competitive identity upon the global platform, hence listening to their concerns is necessary on their part. Although finding suitable answer to this is just a matter of time but for Ineos time seems to be running out of their hands. There is serious challenging times approaching for Ineos as the entire status of Europe is under a situation of threat. It is a matter of dread that EU economy faces enormous challenges from both within and outside. It is upon Jim Ratcliffe the strategic director to take up the appropriate decisions on encountering life threatening troubles (</w:t>
      </w:r>
      <w:r w:rsidRPr="003C1463">
        <w:rPr>
          <w:rFonts w:ascii="Times New Roman" w:hAnsi="Times New Roman" w:cs="Times New Roman"/>
          <w:color w:val="222222"/>
          <w:sz w:val="24"/>
          <w:szCs w:val="24"/>
          <w:shd w:val="clear" w:color="auto" w:fill="FFFFFF"/>
        </w:rPr>
        <w:t>Lasserre, 2017)</w:t>
      </w:r>
      <w:r w:rsidRPr="003C1463">
        <w:rPr>
          <w:rFonts w:ascii="Times New Roman" w:hAnsi="Times New Roman" w:cs="Times New Roman"/>
          <w:sz w:val="24"/>
          <w:szCs w:val="24"/>
        </w:rPr>
        <w:t xml:space="preserve">. They have a clear choice to make between a vicious circle which shall lead them to decline and a virtuous circle resulting in improvement. The choice that is made needs to be based upon the environmental policies established in EU. Such environmental policies emphasize upon actions that decarbonizes the planet and whether adequate exploitation of resources are possible or not. These exploitations are conducted to cut down the spiraling cost of the energies. Tom Crotty the group director of Ineos chemical industry states that there are majorly two issues encountered by European Union. For manufacturing and preparing petrochemicals Europe shall be considered as one of the most expensive places in today’s date. However, if the gas and oil exploitation is to be taken into account, the Middle East is still recognized as the cheapest location. America is found to follow them after. America and Middle </w:t>
      </w:r>
      <w:r w:rsidRPr="003C1463">
        <w:rPr>
          <w:rFonts w:ascii="Times New Roman" w:hAnsi="Times New Roman" w:cs="Times New Roman"/>
          <w:sz w:val="24"/>
          <w:szCs w:val="24"/>
        </w:rPr>
        <w:lastRenderedPageBreak/>
        <w:t>East seems to throw much of competitive vibes which tend to affect EU. These are the two potential trading blocks that surround them while having access upon much cheaper energy resources. In case of profitability quotient it can suggested that business getting generated from UD are much more profit oriented than those businesses generated from European origin. Businesses getting scaled from the European quarters are found to be accounting towards least profitability. In case of France Ineos Olefins and Polymers tend to expend twice as much as they do to procure products from America, as in a ton of ethylene (</w:t>
      </w:r>
      <w:r w:rsidRPr="003C1463">
        <w:rPr>
          <w:rFonts w:ascii="Times New Roman" w:hAnsi="Times New Roman" w:cs="Times New Roman"/>
          <w:color w:val="222222"/>
          <w:sz w:val="24"/>
          <w:szCs w:val="24"/>
          <w:shd w:val="clear" w:color="auto" w:fill="FFFFFF"/>
        </w:rPr>
        <w:t xml:space="preserve">Schaltegger </w:t>
      </w:r>
      <w:r w:rsidRPr="003C1463">
        <w:rPr>
          <w:rFonts w:ascii="Times New Roman" w:hAnsi="Times New Roman" w:cs="Times New Roman"/>
          <w:i/>
          <w:color w:val="222222"/>
          <w:sz w:val="24"/>
          <w:szCs w:val="24"/>
          <w:shd w:val="clear" w:color="auto" w:fill="FFFFFF"/>
        </w:rPr>
        <w:t xml:space="preserve">et al. </w:t>
      </w:r>
      <w:r w:rsidRPr="003C1463">
        <w:rPr>
          <w:rFonts w:ascii="Times New Roman" w:hAnsi="Times New Roman" w:cs="Times New Roman"/>
          <w:color w:val="222222"/>
          <w:sz w:val="24"/>
          <w:szCs w:val="24"/>
          <w:shd w:val="clear" w:color="auto" w:fill="FFFFFF"/>
        </w:rPr>
        <w:t>2017)</w:t>
      </w:r>
      <w:r w:rsidRPr="003C1463">
        <w:rPr>
          <w:rFonts w:ascii="Times New Roman" w:hAnsi="Times New Roman" w:cs="Times New Roman"/>
          <w:sz w:val="24"/>
          <w:szCs w:val="24"/>
        </w:rPr>
        <w:t xml:space="preserve">. The trade association in Brussels which has their chemical hubs operating in Europe are with the belief that the situations shall get tougher and worse in the coming years. This year shall be a turning point for such industries functioning in Europe. There is usually a modest growth of about 1.5% to be predicted to take place by the next coming annual term. As stated by Tom, Cefic board members shall enable in the process of turning the assumed growth to take place in real development.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There are certain quality measures that require to be maintained to run the global industrial operations. In case of looking for a special engineering plastic to make the prime component of a brand new model of BMW one surely shall not ask around for the cheapest in quality. They shall certainly look for which one is the best in quality and tenure. This is the basis of establishment and sustenance of the chemical industry which needs to be explored, exploited and banked upon. Hence the European petrochemical industry which is likely to be at stake and reaching risk borders shall be feeling safeguarded in nature. This is necessary to be identified as the key to Europe’s future in such specific industrial operations which is acknowledged by Tom their director in chief (</w:t>
      </w:r>
      <w:r w:rsidRPr="003C1463">
        <w:rPr>
          <w:rFonts w:ascii="Times New Roman" w:hAnsi="Times New Roman" w:cs="Times New Roman"/>
          <w:color w:val="222222"/>
          <w:sz w:val="24"/>
          <w:szCs w:val="24"/>
          <w:shd w:val="clear" w:color="auto" w:fill="FFFFFF"/>
        </w:rPr>
        <w:t>Epstein, 2018)</w:t>
      </w:r>
      <w:r w:rsidRPr="003C1463">
        <w:rPr>
          <w:rFonts w:ascii="Times New Roman" w:hAnsi="Times New Roman" w:cs="Times New Roman"/>
          <w:sz w:val="24"/>
          <w:szCs w:val="24"/>
        </w:rPr>
        <w:t xml:space="preserve">. However, it is most likely that without having these protections Europe would be flooded with the cheap chemical products. But it is increasingly important to keep highly banking upon the technical products which are usually difficult for their close competitors to copy them and manufacture at lower costs. It is through intrigued efforts made by Ineos that one such product is manufactured by them. Ineos is known to be specialist in making polymer of a special sort which is mainly used by the French to use it for milk bottles. This venture of Ineos is certainly not that huge a plant that needs to be copied by the Middle East and shall want to be copied as they are already too big to copy these strategies.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 xml:space="preserve">Following the contemporary times Cefic is found to urge towards the European Commission to control imposition of additional regulations in terms of environmental factors in isolation from the </w:t>
      </w:r>
      <w:r w:rsidRPr="003C1463">
        <w:rPr>
          <w:rFonts w:ascii="Times New Roman" w:hAnsi="Times New Roman" w:cs="Times New Roman"/>
          <w:sz w:val="24"/>
          <w:szCs w:val="24"/>
        </w:rPr>
        <w:lastRenderedPageBreak/>
        <w:t>remaining part of the world (</w:t>
      </w:r>
      <w:r w:rsidRPr="003C1463">
        <w:rPr>
          <w:rFonts w:ascii="Times New Roman" w:hAnsi="Times New Roman" w:cs="Times New Roman"/>
          <w:color w:val="222222"/>
          <w:sz w:val="24"/>
          <w:szCs w:val="24"/>
          <w:shd w:val="clear" w:color="auto" w:fill="FFFFFF"/>
        </w:rPr>
        <w:t>Charter, 2017)</w:t>
      </w:r>
      <w:r w:rsidRPr="003C1463">
        <w:rPr>
          <w:rFonts w:ascii="Times New Roman" w:hAnsi="Times New Roman" w:cs="Times New Roman"/>
          <w:sz w:val="24"/>
          <w:szCs w:val="24"/>
        </w:rPr>
        <w:t>. The environmental regulations tend to impose a warning for the petrochemical industry to control their imposition for EU persuasion. If the 2050 environmental objective shall be brought as a target to attain by driving the energy and carbon costs high up, it shall determine certain level of competitiveness. This shall result in leafage of carbons by thus resulting in reduction in the level of investment in the European Union. It therefore requires EU to exert a significant amount of check on the part of policy making generated for the sake of environment. This increasing act of regulation is likely to result in driving the prices of the products high (</w:t>
      </w:r>
      <w:r w:rsidRPr="003C1463">
        <w:rPr>
          <w:rFonts w:ascii="Times New Roman" w:hAnsi="Times New Roman" w:cs="Times New Roman"/>
          <w:color w:val="222222"/>
          <w:sz w:val="24"/>
          <w:szCs w:val="24"/>
          <w:shd w:val="clear" w:color="auto" w:fill="FFFFFF"/>
        </w:rPr>
        <w:t>Schaltegger and Wagner, M., 2017)</w:t>
      </w:r>
      <w:r w:rsidRPr="003C1463">
        <w:rPr>
          <w:rFonts w:ascii="Times New Roman" w:hAnsi="Times New Roman" w:cs="Times New Roman"/>
          <w:sz w:val="24"/>
          <w:szCs w:val="24"/>
        </w:rPr>
        <w:t xml:space="preserve">. This seems to create a huge impact upon the entire EU industrial belt.  Cefic is also found to share the same beliefs as that of the objectives of European Commission and subsequently voices for decarbonising the planet. However, although Cefic is found to agree on terms with European Commission but the means to attain decarbonised planet is unknown to them. These environmental regulations and their subsequent impositions shall cause significant barriers in the way of producing and generating petrochemical products. The chemical products produced in Europe do not necessarily lead to decarbonisation which is used by 350 million consumers. It is necessary that they shall be imported from China where additional carbon production is transported. Hence it shall result in production of increased amount of carbons along with lost jobs and wealth for the EU.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 European industries are necessary to be encouraged for making greater environmental and commercial sense. This shall encompass them to perform the right things by making use of the required amount of technical expertise for creating greener products which lack carbon content (</w:t>
      </w:r>
      <w:r w:rsidRPr="003C1463">
        <w:rPr>
          <w:rFonts w:ascii="Times New Roman" w:hAnsi="Times New Roman" w:cs="Times New Roman"/>
          <w:color w:val="222222"/>
          <w:sz w:val="24"/>
          <w:szCs w:val="24"/>
          <w:shd w:val="clear" w:color="auto" w:fill="FFFFFF"/>
        </w:rPr>
        <w:t>Gunningham  Sinclair, D., 2017)</w:t>
      </w:r>
      <w:r w:rsidRPr="003C1463">
        <w:rPr>
          <w:rFonts w:ascii="Times New Roman" w:hAnsi="Times New Roman" w:cs="Times New Roman"/>
          <w:sz w:val="24"/>
          <w:szCs w:val="24"/>
        </w:rPr>
        <w:t>. From the recent empirical research studies it has been found that ton of PVC which were made in China exploiting the energy resources generated from coal fire power station resulted in emitting seen times more CO2 in comparison to ton of PVC made in EU. This account does not include the carbon that is required to make the transportation process smooth. Taxes upon carbon shall become active only if they are imposed on a global account. One of the effective ways of encouraging the companies is by doing their tasks differently which shall be too expensive in nature (</w:t>
      </w:r>
      <w:r w:rsidRPr="003C1463">
        <w:rPr>
          <w:rFonts w:ascii="Times New Roman" w:hAnsi="Times New Roman" w:cs="Times New Roman"/>
          <w:color w:val="222222"/>
          <w:sz w:val="24"/>
          <w:szCs w:val="24"/>
          <w:shd w:val="clear" w:color="auto" w:fill="FFFFFF"/>
        </w:rPr>
        <w:t>Welford, 2016)</w:t>
      </w:r>
      <w:r w:rsidRPr="003C1463">
        <w:rPr>
          <w:rFonts w:ascii="Times New Roman" w:hAnsi="Times New Roman" w:cs="Times New Roman"/>
          <w:sz w:val="24"/>
          <w:szCs w:val="24"/>
        </w:rPr>
        <w:t xml:space="preserve">. This is the task of the carbon taxes. It is expected that the carbon taxes are imposed over a worldwide respect and should only merely take EU into action. In order to bring back the product rates to normal state for Europe about 9% growth is necessary to take place as believed by Cefic. 2008 and 2009 were found to be the stable years for European production process which was evident to find a major competitor of Ineos. It was certainly one of </w:t>
      </w:r>
      <w:r w:rsidRPr="003C1463">
        <w:rPr>
          <w:rFonts w:ascii="Times New Roman" w:hAnsi="Times New Roman" w:cs="Times New Roman"/>
          <w:sz w:val="24"/>
          <w:szCs w:val="24"/>
        </w:rPr>
        <w:lastRenderedPageBreak/>
        <w:t xml:space="preserve">the extreme situations of difficulty but certainly not the situation where the losses shall lead to termination. Ineos was successful in being able to bounce back from the downturn as like its other competitors the major reliance was not solely dependent upon cars and construction industries. Apart from the threats of the carbon taxes the chemical industries in the EU are also found to show reluctance towards unlocking the natural as trapped in the shale rocks. These are some of the areas which shall help to restore lower production costs of energy towards the industry and consumers in general.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Taking the European chemical industry of the current times into consideration it has been witnessed that competitiveness reduces costs along with demand (</w:t>
      </w:r>
      <w:r w:rsidRPr="003C1463">
        <w:rPr>
          <w:rFonts w:ascii="Times New Roman" w:hAnsi="Times New Roman" w:cs="Times New Roman"/>
          <w:color w:val="222222"/>
          <w:sz w:val="24"/>
          <w:szCs w:val="24"/>
          <w:shd w:val="clear" w:color="auto" w:fill="FFFFFF"/>
        </w:rPr>
        <w:t>Axelsson and Easton, G., 2016)</w:t>
      </w:r>
      <w:r w:rsidRPr="003C1463">
        <w:rPr>
          <w:rFonts w:ascii="Times New Roman" w:hAnsi="Times New Roman" w:cs="Times New Roman"/>
          <w:sz w:val="24"/>
          <w:szCs w:val="24"/>
        </w:rPr>
        <w:t xml:space="preserve">. A favorable business environment is likely to be offered to them. Europe is known to contribute about 25% of the entire global chemical sales in 2008. They have been losing their shares in the global platform as the Asian regions are found to be densely planted with chemical industries offering low labor costs. While the growth rates encompassing the CAGR for chemical industry accounted 7.4% from 20010 to 2015, the industry in Europe manifested merely 3% as registered by CAGR reports. On top of this the lower rates of feedstock and energy costs in both US as well as Middle East has proven to be great setbacks and areas of disadvantage for European manufacturing locations.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There is a five-point strategy which is found to be the key imperative aspect for chemical companies operating in Europe. There are certain specifications and strategic programs which are necessary to be implemented for yielding effectual outcomes. They include the following:</w:t>
      </w:r>
    </w:p>
    <w:tbl>
      <w:tblPr>
        <w:tblStyle w:val="TableGrid"/>
        <w:tblW w:w="0" w:type="auto"/>
        <w:tblLook w:val="04A0" w:firstRow="1" w:lastRow="0" w:firstColumn="1" w:lastColumn="0" w:noHBand="0" w:noVBand="1"/>
      </w:tblPr>
      <w:tblGrid>
        <w:gridCol w:w="3115"/>
        <w:gridCol w:w="3118"/>
        <w:gridCol w:w="3117"/>
      </w:tblGrid>
      <w:tr w:rsidR="00755438" w:rsidRPr="003C1463" w:rsidTr="001E7D24">
        <w:tc>
          <w:tcPr>
            <w:tcW w:w="3192" w:type="dxa"/>
          </w:tcPr>
          <w:p w:rsidR="00755438" w:rsidRPr="003C1463" w:rsidRDefault="00755438" w:rsidP="001E7D24">
            <w:pPr>
              <w:spacing w:line="360" w:lineRule="auto"/>
              <w:jc w:val="both"/>
              <w:rPr>
                <w:rFonts w:ascii="Times New Roman" w:hAnsi="Times New Roman" w:cs="Times New Roman"/>
                <w:sz w:val="24"/>
                <w:szCs w:val="24"/>
              </w:rPr>
            </w:pP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 xml:space="preserve">Commodity </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 xml:space="preserve">Specialty </w:t>
            </w:r>
          </w:p>
        </w:tc>
      </w:tr>
      <w:tr w:rsidR="00755438" w:rsidRPr="003C1463" w:rsidTr="001E7D24">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What should be the structure of the business in order to compete within the market place</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It is necessary that the business model includes value chain integrated with raw materials and feedstock</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 business model where the prime focus is paid upon the dedicated sales team, having increased level of collaboration along with clients</w:t>
            </w:r>
          </w:p>
        </w:tc>
      </w:tr>
      <w:tr w:rsidR="00755438" w:rsidRPr="003C1463" w:rsidTr="001E7D24">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lastRenderedPageBreak/>
              <w:t>In case of the given product portfolio which shall prove to be the ideal feedstock blend that can be optimal in nature</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 strategic partnership is likely to identify and acquire alternate low cost feedstock</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In order to acquire raw material with respect to chemical industry establishing partnership along with peers is necessary. This shall lead to develop supply chain model with low order size and high frequency</w:t>
            </w:r>
          </w:p>
        </w:tc>
      </w:tr>
      <w:tr w:rsidR="00755438" w:rsidRPr="003C1463" w:rsidTr="001E7D24">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In order to meet the anticipated future states which product portfolio combination shall prove to be ideal in nature</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As the growth potentials are increased there shall be an automatic increase in the share of the products</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 products having a stable renewal demand is necessary to be brought to focus</w:t>
            </w:r>
          </w:p>
        </w:tc>
      </w:tr>
      <w:tr w:rsidR="00755438" w:rsidRPr="003C1463" w:rsidTr="001E7D24">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In order to incorporate R&amp;D directed towards the business where should appropriate expenditure and innovation be incorporated</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Innovation is required to be blended for alternate technologies or even the feedstock such as coal-to-olefins, bio-based etc. this helps reduce the costs and also benefit sustainability</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Innovation shall be customer oriented in nature where new appliances shall be incorporated for the products</w:t>
            </w:r>
          </w:p>
        </w:tc>
      </w:tr>
      <w:tr w:rsidR="00755438" w:rsidRPr="003C1463" w:rsidTr="001E7D24">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How is it possible to acquire the accurate level of skill set and talent mix to make it most suitable</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Higher share of technologies and feedstock shall be hired having expertise with controlled costs</w:t>
            </w:r>
          </w:p>
        </w:tc>
        <w:tc>
          <w:tcPr>
            <w:tcW w:w="3192" w:type="dxa"/>
          </w:tcPr>
          <w:p w:rsidR="00755438" w:rsidRPr="003C1463" w:rsidRDefault="00755438" w:rsidP="001E7D24">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Product and research experts are necessary to be recruited development of the new products and applications</w:t>
            </w:r>
          </w:p>
        </w:tc>
      </w:tr>
    </w:tbl>
    <w:p w:rsidR="00755438" w:rsidRPr="003C1463" w:rsidRDefault="00755438" w:rsidP="00755438">
      <w:pPr>
        <w:spacing w:line="360" w:lineRule="auto"/>
        <w:jc w:val="both"/>
        <w:rPr>
          <w:rFonts w:ascii="Times New Roman" w:hAnsi="Times New Roman" w:cs="Times New Roman"/>
          <w:sz w:val="24"/>
          <w:szCs w:val="24"/>
        </w:rPr>
      </w:pP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 xml:space="preserve">Just as it is inevitable to encompass obstacles and barriers in the way to attain business, there is most likely that there shall be means to overcome them as well. Similarly when Ineos being a European chemical company faces adversities in establishing and maintain their business conducts there are ways to overcome those disadvantages as well.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lastRenderedPageBreak/>
        <w:t>Incorporating integrated cost-effective chemical clusters</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There is a strong competitive cluster witnessed within Europe which forms the backbone of the European chemical industry. Europe is known to have 95 active chemical clusters and hubs according to the report of the European Chemical Site Promotion Platform (</w:t>
      </w:r>
      <w:r w:rsidRPr="003C1463">
        <w:rPr>
          <w:rFonts w:ascii="Times New Roman" w:hAnsi="Times New Roman" w:cs="Times New Roman"/>
          <w:color w:val="222222"/>
          <w:sz w:val="24"/>
          <w:szCs w:val="24"/>
          <w:shd w:val="clear" w:color="auto" w:fill="FFFFFF"/>
        </w:rPr>
        <w:t>McCormack and Johnson, W.C., 2016)</w:t>
      </w:r>
      <w:r w:rsidRPr="003C1463">
        <w:rPr>
          <w:rFonts w:ascii="Times New Roman" w:hAnsi="Times New Roman" w:cs="Times New Roman"/>
          <w:sz w:val="24"/>
          <w:szCs w:val="24"/>
        </w:rPr>
        <w:t xml:space="preserve">. This is aiming at acquiring a position in the European region for the investments to be actualized for incorporating the new chemicals. A stable production condition is necessary to be established within the European chemical parks. These carried the main advantage of making well qualified personnel available in each of the levels of production.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Growing demands in European countries which are emerging in low to medium income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The annual GDP growth encountered in emerging Europe is found to be 5.8% with respect to the World Economic Outlook (</w:t>
      </w:r>
      <w:r w:rsidRPr="003C1463">
        <w:rPr>
          <w:rFonts w:ascii="Times New Roman" w:hAnsi="Times New Roman" w:cs="Times New Roman"/>
          <w:color w:val="222222"/>
          <w:sz w:val="24"/>
          <w:szCs w:val="24"/>
          <w:shd w:val="clear" w:color="auto" w:fill="FFFFFF"/>
        </w:rPr>
        <w:t>Deresky, 2017)</w:t>
      </w:r>
      <w:r w:rsidRPr="003C1463">
        <w:rPr>
          <w:rFonts w:ascii="Times New Roman" w:hAnsi="Times New Roman" w:cs="Times New Roman"/>
          <w:sz w:val="24"/>
          <w:szCs w:val="24"/>
        </w:rPr>
        <w:t xml:space="preserve">. The strong growth in the rate of GDP can be witnessed due to the demand placed for the chemicals and also among their users in the industry governing those specified regions.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Although there are shortcomings and challenges in the way for the chemical industries operating within Europe, they are findings adequate means to tackle the adverse situations. Some of those corrective measures include a range of solutions from optimization of portfolio to maintenance of the operational excellence. These are possible to be conducted through closures of plants which account for high costs and lower margins towards those products (</w:t>
      </w:r>
      <w:r w:rsidRPr="003C1463">
        <w:rPr>
          <w:rFonts w:ascii="Times New Roman" w:hAnsi="Times New Roman" w:cs="Times New Roman"/>
          <w:color w:val="222222"/>
          <w:sz w:val="24"/>
          <w:szCs w:val="24"/>
          <w:shd w:val="clear" w:color="auto" w:fill="FFFFFF"/>
        </w:rPr>
        <w:t xml:space="preserve">Song </w:t>
      </w:r>
      <w:r w:rsidRPr="003C1463">
        <w:rPr>
          <w:rFonts w:ascii="Times New Roman" w:hAnsi="Times New Roman" w:cs="Times New Roman"/>
          <w:i/>
          <w:color w:val="222222"/>
          <w:sz w:val="24"/>
          <w:szCs w:val="24"/>
          <w:shd w:val="clear" w:color="auto" w:fill="FFFFFF"/>
        </w:rPr>
        <w:t>et al.</w:t>
      </w:r>
      <w:r w:rsidRPr="003C1463">
        <w:rPr>
          <w:rFonts w:ascii="Times New Roman" w:hAnsi="Times New Roman" w:cs="Times New Roman"/>
          <w:color w:val="222222"/>
          <w:sz w:val="24"/>
          <w:szCs w:val="24"/>
          <w:shd w:val="clear" w:color="auto" w:fill="FFFFFF"/>
        </w:rPr>
        <w:t xml:space="preserve"> 2015)</w:t>
      </w:r>
      <w:r w:rsidRPr="003C1463">
        <w:rPr>
          <w:rFonts w:ascii="Times New Roman" w:hAnsi="Times New Roman" w:cs="Times New Roman"/>
          <w:sz w:val="24"/>
          <w:szCs w:val="24"/>
        </w:rPr>
        <w:t xml:space="preserve">. Each of these five solutions mentioned are tried to be incorporated in five levels. Restricting of the business operations, identifying the right feedstock, optimization of portfolio, growing and developing the capacity to innovate and moving to higher growth regions are the five solutions.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Establishing well</w:t>
      </w:r>
      <w:r>
        <w:rPr>
          <w:rFonts w:ascii="Times New Roman" w:hAnsi="Times New Roman" w:cs="Times New Roman"/>
          <w:sz w:val="24"/>
          <w:szCs w:val="24"/>
        </w:rPr>
        <w:t>-</w:t>
      </w:r>
      <w:r w:rsidRPr="003C1463">
        <w:rPr>
          <w:rFonts w:ascii="Times New Roman" w:hAnsi="Times New Roman" w:cs="Times New Roman"/>
          <w:sz w:val="24"/>
          <w:szCs w:val="24"/>
        </w:rPr>
        <w:t>formed infrastructure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 xml:space="preserve">The chemical producing companies are found to enjoy better infrastructure than those in Asia and Latin America. The areas of supply chain, transportation, logistics and energy supply for supporting the business activities are its strength points. This rating is received in context with infrastructure.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Suitable skills are required to be accessed</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lastRenderedPageBreak/>
        <w:t>The European chemical industries have increasingly focused upon the high value specialty products with regard to producing. The frequency of innovation incorporated within the products is the factor upon which the success of the chemical industry is depending (</w:t>
      </w:r>
      <w:r w:rsidRPr="003C1463">
        <w:rPr>
          <w:rFonts w:ascii="Times New Roman" w:hAnsi="Times New Roman" w:cs="Times New Roman"/>
          <w:color w:val="222222"/>
          <w:sz w:val="24"/>
          <w:szCs w:val="24"/>
          <w:shd w:val="clear" w:color="auto" w:fill="FFFFFF"/>
        </w:rPr>
        <w:t>Besi and McCormick, 2015)</w:t>
      </w:r>
      <w:r w:rsidRPr="003C1463">
        <w:rPr>
          <w:rFonts w:ascii="Times New Roman" w:hAnsi="Times New Roman" w:cs="Times New Roman"/>
          <w:sz w:val="24"/>
          <w:szCs w:val="24"/>
        </w:rPr>
        <w:t xml:space="preserve">. There needs to be suitable talent in order to incorporate the level of innovation that is expected. The accurate quotient of talent i=shall be proficient at making an innovation driven industry. The availability of researchers and scientists and engineers shall be balanced with quality of education which shall be turned into skilled labor. </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Favorable environment for innovation</w:t>
      </w:r>
    </w:p>
    <w:p w:rsidR="00755438"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European countries shall enjoy innovation in a high quality to reflect the hig</w:t>
      </w:r>
      <w:r>
        <w:rPr>
          <w:rFonts w:ascii="Times New Roman" w:hAnsi="Times New Roman" w:cs="Times New Roman"/>
          <w:sz w:val="24"/>
          <w:szCs w:val="24"/>
        </w:rPr>
        <w:t>h-</w:t>
      </w:r>
      <w:r w:rsidRPr="003C1463">
        <w:rPr>
          <w:rFonts w:ascii="Times New Roman" w:hAnsi="Times New Roman" w:cs="Times New Roman"/>
          <w:sz w:val="24"/>
          <w:szCs w:val="24"/>
        </w:rPr>
        <w:t>quality research institutes. A strong sense of Research and Development is based in Europe to provide towards the regions with favorable environment and prospects of the innovation. The political stability shall be maintained which accounts a seven out of eight score (</w:t>
      </w:r>
      <w:r w:rsidRPr="003C1463">
        <w:rPr>
          <w:rFonts w:ascii="Times New Roman" w:hAnsi="Times New Roman" w:cs="Times New Roman"/>
          <w:color w:val="222222"/>
          <w:sz w:val="24"/>
          <w:szCs w:val="24"/>
          <w:shd w:val="clear" w:color="auto" w:fill="FFFFFF"/>
        </w:rPr>
        <w:t xml:space="preserve">Honoré </w:t>
      </w:r>
      <w:r w:rsidRPr="003C1463">
        <w:rPr>
          <w:rFonts w:ascii="Times New Roman" w:hAnsi="Times New Roman" w:cs="Times New Roman"/>
          <w:i/>
          <w:color w:val="222222"/>
          <w:sz w:val="24"/>
          <w:szCs w:val="24"/>
          <w:shd w:val="clear" w:color="auto" w:fill="FFFFFF"/>
        </w:rPr>
        <w:t>et al</w:t>
      </w:r>
      <w:r w:rsidRPr="003C1463">
        <w:rPr>
          <w:rFonts w:ascii="Times New Roman" w:hAnsi="Times New Roman" w:cs="Times New Roman"/>
          <w:color w:val="222222"/>
          <w:sz w:val="24"/>
          <w:szCs w:val="24"/>
          <w:shd w:val="clear" w:color="auto" w:fill="FFFFFF"/>
        </w:rPr>
        <w:t>. 2015)</w:t>
      </w:r>
      <w:r w:rsidRPr="003C1463">
        <w:rPr>
          <w:rFonts w:ascii="Times New Roman" w:hAnsi="Times New Roman" w:cs="Times New Roman"/>
          <w:sz w:val="24"/>
          <w:szCs w:val="24"/>
        </w:rPr>
        <w:t xml:space="preserve">. The prime European chemical producers are likely to enjoy a strong level of governance to establish political stability. An approximate of 14% of the global chemical sales as indicated through the political stability index. </w:t>
      </w:r>
    </w:p>
    <w:p w:rsidR="00755438" w:rsidRDefault="00755438" w:rsidP="00755438">
      <w:pPr>
        <w:pStyle w:val="Heading1"/>
      </w:pPr>
      <w:bookmarkStart w:id="4" w:name="_Toc522713913"/>
      <w:r w:rsidRPr="007347D8">
        <w:t>Financial Analysis</w:t>
      </w:r>
      <w:bookmarkEnd w:id="4"/>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 understand the financial position of INEOS it is necessary that a ratio analysis is carried out.  Here the ratios of the company for the year 2017 has been interpreted and analyzed (Appendix 1 &amp; 2).</w:t>
      </w:r>
    </w:p>
    <w:p w:rsidR="00755438" w:rsidRPr="001F5086" w:rsidRDefault="00755438" w:rsidP="00755438">
      <w:pPr>
        <w:spacing w:line="360" w:lineRule="auto"/>
        <w:jc w:val="both"/>
        <w:rPr>
          <w:rFonts w:ascii="Times New Roman" w:hAnsi="Times New Roman" w:cs="Times New Roman"/>
          <w:i/>
          <w:sz w:val="24"/>
          <w:szCs w:val="24"/>
          <w:u w:val="single"/>
        </w:rPr>
      </w:pPr>
      <w:r w:rsidRPr="001F5086">
        <w:rPr>
          <w:rFonts w:ascii="Times New Roman" w:hAnsi="Times New Roman" w:cs="Times New Roman"/>
          <w:i/>
          <w:sz w:val="24"/>
          <w:szCs w:val="24"/>
          <w:u w:val="single"/>
        </w:rPr>
        <w:t>Profitability ratios</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ROCE (Return on Capital Employed) = Operating profit / capital employed = 2061.1/ 8846.2 = 23.23%</w:t>
      </w:r>
    </w:p>
    <w:p w:rsidR="00755438" w:rsidRPr="00E310A7" w:rsidRDefault="00755438" w:rsidP="00755438">
      <w:pPr>
        <w:rPr>
          <w:rFonts w:ascii="Times New Roman" w:hAnsi="Times New Roman" w:cs="Times New Roman"/>
          <w:i/>
          <w:sz w:val="24"/>
          <w:szCs w:val="24"/>
        </w:rPr>
      </w:pPr>
      <w:r w:rsidRPr="00E310A7">
        <w:rPr>
          <w:rFonts w:ascii="Times New Roman" w:hAnsi="Times New Roman" w:cs="Times New Roman"/>
          <w:i/>
          <w:sz w:val="24"/>
          <w:szCs w:val="24"/>
        </w:rPr>
        <w:t>*</w:t>
      </w:r>
      <w:r w:rsidRPr="00E310A7">
        <w:rPr>
          <w:rFonts w:cs="Times New Roman"/>
          <w:i/>
          <w:szCs w:val="24"/>
        </w:rPr>
        <w:t xml:space="preserve"> </w:t>
      </w:r>
      <w:r w:rsidRPr="00E310A7">
        <w:rPr>
          <w:rFonts w:ascii="Times New Roman" w:hAnsi="Times New Roman" w:cs="Times New Roman"/>
          <w:i/>
          <w:sz w:val="24"/>
          <w:szCs w:val="24"/>
        </w:rPr>
        <w:t>Capital employed = Total assets – total liabilities</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ROE (Return on Equity) = Net Income/ Shareholders’ equity = 11.80%</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Gross profit margin = (Gross profit/ sales) * 100 = (2686.2/15210.4) * 100 = 17.66%</w:t>
      </w:r>
    </w:p>
    <w:p w:rsidR="00755438" w:rsidRPr="005E5AC2"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Net profit margin = (Net profit/ Sales) * 100 = (1998.3/15210.4) * 100 = 13.14%</w:t>
      </w:r>
    </w:p>
    <w:p w:rsidR="00755438" w:rsidRPr="00CA1532" w:rsidRDefault="00755438" w:rsidP="00755438">
      <w:pPr>
        <w:spacing w:line="360" w:lineRule="auto"/>
        <w:jc w:val="both"/>
        <w:rPr>
          <w:rFonts w:ascii="Times New Roman" w:hAnsi="Times New Roman" w:cs="Times New Roman"/>
          <w:i/>
          <w:sz w:val="24"/>
          <w:szCs w:val="24"/>
          <w:u w:val="single"/>
        </w:rPr>
      </w:pPr>
      <w:r w:rsidRPr="00CA1532">
        <w:rPr>
          <w:rFonts w:ascii="Times New Roman" w:hAnsi="Times New Roman" w:cs="Times New Roman"/>
          <w:i/>
          <w:sz w:val="24"/>
          <w:szCs w:val="24"/>
          <w:u w:val="single"/>
        </w:rPr>
        <w:lastRenderedPageBreak/>
        <w:t>Interpretation</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The profitability ratios for the year 2017 has been taken here. These ratios indicate the profitability of the company for the particular year. The ROCE of the company is higher than most of the companies which indicates that the company has efficiently generated profits from the capital that they had employed in the business. These profits can be reinvested back in the company to generate benefits for the shareholders. The ROE is similar to ROCE. The only difference is that ROE indicates the profits generated from the shareholders investments in the company (Vogel, 2014). The ROE of INEOS is almost 12% which indicates the high amount of profit which the company has gained from the shareholders’ investments only. The gross and net profit margin are also positive but there are high possibilities of the profits to increase if the company plans its business processes more strategically and works on its weaknesses to improve. There are different effective strategies that can be suggested or recommended for the company so that they can improve their profitability ratios. These strategies include:</w:t>
      </w:r>
    </w:p>
    <w:p w:rsidR="00755438" w:rsidRDefault="00755438" w:rsidP="00755438">
      <w:pPr>
        <w:spacing w:line="360" w:lineRule="auto"/>
        <w:jc w:val="both"/>
        <w:rPr>
          <w:rFonts w:ascii="Times New Roman" w:hAnsi="Times New Roman" w:cs="Times New Roman"/>
          <w:sz w:val="24"/>
          <w:szCs w:val="24"/>
        </w:rPr>
      </w:pPr>
      <w:r w:rsidRPr="000E43E4">
        <w:rPr>
          <w:rFonts w:ascii="Times New Roman" w:hAnsi="Times New Roman" w:cs="Times New Roman"/>
          <w:i/>
          <w:sz w:val="24"/>
          <w:szCs w:val="24"/>
        </w:rPr>
        <w:t>Elimination of unprofitable products and services</w:t>
      </w:r>
      <w:r>
        <w:rPr>
          <w:rFonts w:ascii="Times New Roman" w:hAnsi="Times New Roman" w:cs="Times New Roman"/>
          <w:i/>
          <w:sz w:val="24"/>
          <w:szCs w:val="24"/>
        </w:rPr>
        <w:t xml:space="preserve">- </w:t>
      </w:r>
      <w:r>
        <w:rPr>
          <w:rFonts w:ascii="Times New Roman" w:hAnsi="Times New Roman" w:cs="Times New Roman"/>
          <w:sz w:val="24"/>
          <w:szCs w:val="24"/>
        </w:rPr>
        <w:t>INEOS should remove the products which does not contribute to the profitability of the company. It is the profitable products which are most important to the company, i.e. the products with highest gross and net margins, ROE and ROCE.</w:t>
      </w:r>
    </w:p>
    <w:p w:rsidR="00755438" w:rsidRDefault="00755438" w:rsidP="00755438">
      <w:pPr>
        <w:spacing w:line="360" w:lineRule="auto"/>
        <w:jc w:val="both"/>
        <w:rPr>
          <w:rFonts w:ascii="Times New Roman" w:hAnsi="Times New Roman" w:cs="Times New Roman"/>
          <w:sz w:val="24"/>
          <w:szCs w:val="24"/>
        </w:rPr>
      </w:pPr>
      <w:r w:rsidRPr="0045482F">
        <w:rPr>
          <w:rFonts w:ascii="Times New Roman" w:hAnsi="Times New Roman" w:cs="Times New Roman"/>
          <w:i/>
          <w:sz w:val="24"/>
          <w:szCs w:val="24"/>
        </w:rPr>
        <w:t>Bringing new customers to business</w:t>
      </w:r>
      <w:r>
        <w:rPr>
          <w:rFonts w:ascii="Times New Roman" w:hAnsi="Times New Roman" w:cs="Times New Roman"/>
          <w:i/>
          <w:sz w:val="24"/>
          <w:szCs w:val="24"/>
        </w:rPr>
        <w:t xml:space="preserve">- </w:t>
      </w:r>
      <w:r>
        <w:rPr>
          <w:rFonts w:ascii="Times New Roman" w:hAnsi="Times New Roman" w:cs="Times New Roman"/>
          <w:sz w:val="24"/>
          <w:szCs w:val="24"/>
        </w:rPr>
        <w:t>Bringing new customers will help the company to grow and develop.</w:t>
      </w:r>
      <w:r w:rsidRPr="0045482F">
        <w:rPr>
          <w:rFonts w:ascii="Times New Roman" w:hAnsi="Times New Roman" w:cs="Times New Roman"/>
          <w:i/>
          <w:sz w:val="24"/>
          <w:szCs w:val="24"/>
        </w:rPr>
        <w:t xml:space="preserve"> </w:t>
      </w:r>
      <w:r>
        <w:rPr>
          <w:rFonts w:ascii="Times New Roman" w:hAnsi="Times New Roman" w:cs="Times New Roman"/>
          <w:sz w:val="24"/>
          <w:szCs w:val="24"/>
        </w:rPr>
        <w:t xml:space="preserve">Though this strategy, incurs high amounts of cost, it is effective in the long run of the business (Cucchiella </w:t>
      </w:r>
      <w:r w:rsidRPr="00CA1532">
        <w:rPr>
          <w:rFonts w:ascii="Times New Roman" w:hAnsi="Times New Roman" w:cs="Times New Roman"/>
          <w:i/>
          <w:sz w:val="24"/>
          <w:szCs w:val="24"/>
        </w:rPr>
        <w:t>et al,</w:t>
      </w:r>
      <w:r>
        <w:rPr>
          <w:rFonts w:ascii="Times New Roman" w:hAnsi="Times New Roman" w:cs="Times New Roman"/>
          <w:sz w:val="24"/>
          <w:szCs w:val="24"/>
        </w:rPr>
        <w:t xml:space="preserve"> 2015).</w:t>
      </w:r>
    </w:p>
    <w:p w:rsidR="00755438" w:rsidRDefault="00755438" w:rsidP="00755438">
      <w:pPr>
        <w:spacing w:line="360" w:lineRule="auto"/>
        <w:jc w:val="both"/>
        <w:rPr>
          <w:rFonts w:ascii="Times New Roman" w:hAnsi="Times New Roman" w:cs="Times New Roman"/>
          <w:sz w:val="24"/>
          <w:szCs w:val="24"/>
        </w:rPr>
      </w:pPr>
      <w:r w:rsidRPr="0045482F">
        <w:rPr>
          <w:rFonts w:ascii="Times New Roman" w:hAnsi="Times New Roman" w:cs="Times New Roman"/>
          <w:i/>
          <w:sz w:val="24"/>
          <w:szCs w:val="24"/>
        </w:rPr>
        <w:t>Increasing sales conversion rate-</w:t>
      </w:r>
      <w:r>
        <w:rPr>
          <w:rFonts w:ascii="Times New Roman" w:hAnsi="Times New Roman" w:cs="Times New Roman"/>
          <w:i/>
          <w:sz w:val="24"/>
          <w:szCs w:val="24"/>
        </w:rPr>
        <w:t xml:space="preserve"> </w:t>
      </w:r>
      <w:r>
        <w:rPr>
          <w:rFonts w:ascii="Times New Roman" w:hAnsi="Times New Roman" w:cs="Times New Roman"/>
          <w:sz w:val="24"/>
          <w:szCs w:val="24"/>
        </w:rPr>
        <w:t>As finding new leads is important, converting these leads into actual sales is even more important.  Increasing the sales conversion is a low-cost method to boost the sales of the company.</w:t>
      </w:r>
    </w:p>
    <w:p w:rsidR="00755438" w:rsidRPr="0045482F" w:rsidRDefault="00755438" w:rsidP="00755438">
      <w:pPr>
        <w:spacing w:line="360" w:lineRule="auto"/>
        <w:jc w:val="both"/>
        <w:rPr>
          <w:rFonts w:ascii="Times New Roman" w:hAnsi="Times New Roman" w:cs="Times New Roman"/>
          <w:sz w:val="24"/>
          <w:szCs w:val="24"/>
        </w:rPr>
      </w:pPr>
      <w:r w:rsidRPr="0045482F">
        <w:rPr>
          <w:rFonts w:ascii="Times New Roman" w:hAnsi="Times New Roman" w:cs="Times New Roman"/>
          <w:i/>
          <w:sz w:val="24"/>
          <w:szCs w:val="24"/>
        </w:rPr>
        <w:t>Reviewing price structure</w:t>
      </w:r>
      <w:r>
        <w:rPr>
          <w:rFonts w:ascii="Times New Roman" w:hAnsi="Times New Roman" w:cs="Times New Roman"/>
          <w:i/>
          <w:sz w:val="24"/>
          <w:szCs w:val="24"/>
        </w:rPr>
        <w:t xml:space="preserve">- </w:t>
      </w:r>
      <w:r>
        <w:rPr>
          <w:rFonts w:ascii="Times New Roman" w:hAnsi="Times New Roman" w:cs="Times New Roman"/>
          <w:sz w:val="24"/>
          <w:szCs w:val="24"/>
        </w:rPr>
        <w:t>The current price structure of the company must be reviewed so that if necessary it can be restructured to attract more customers to the business.</w:t>
      </w:r>
    </w:p>
    <w:p w:rsidR="00755438" w:rsidRDefault="00755438" w:rsidP="00755438">
      <w:pPr>
        <w:spacing w:line="360" w:lineRule="auto"/>
        <w:jc w:val="both"/>
        <w:rPr>
          <w:rFonts w:ascii="Times New Roman" w:hAnsi="Times New Roman" w:cs="Times New Roman"/>
          <w:sz w:val="24"/>
          <w:szCs w:val="24"/>
        </w:rPr>
      </w:pPr>
      <w:r w:rsidRPr="00E57C6A">
        <w:rPr>
          <w:rFonts w:ascii="Times New Roman" w:hAnsi="Times New Roman" w:cs="Times New Roman"/>
          <w:i/>
          <w:sz w:val="24"/>
          <w:szCs w:val="24"/>
        </w:rPr>
        <w:t>Reduction of overall direct costs and overheads</w:t>
      </w:r>
      <w:r>
        <w:rPr>
          <w:rFonts w:ascii="Times New Roman" w:hAnsi="Times New Roman" w:cs="Times New Roman"/>
          <w:i/>
          <w:sz w:val="24"/>
          <w:szCs w:val="24"/>
        </w:rPr>
        <w:t xml:space="preserve">- </w:t>
      </w:r>
      <w:r>
        <w:rPr>
          <w:rFonts w:ascii="Times New Roman" w:hAnsi="Times New Roman" w:cs="Times New Roman"/>
          <w:sz w:val="24"/>
          <w:szCs w:val="24"/>
        </w:rPr>
        <w:t>If the direct costs of the company are reduced it will have a significant impact on the gross margin of the business. This can be done by reducing unnecessary purchases, negotiating better prices etc.</w:t>
      </w:r>
    </w:p>
    <w:p w:rsidR="00755438" w:rsidRDefault="00755438" w:rsidP="00755438">
      <w:pPr>
        <w:spacing w:line="360" w:lineRule="auto"/>
        <w:jc w:val="both"/>
        <w:rPr>
          <w:rFonts w:ascii="Times New Roman" w:hAnsi="Times New Roman" w:cs="Times New Roman"/>
          <w:sz w:val="24"/>
          <w:szCs w:val="24"/>
        </w:rPr>
      </w:pPr>
      <w:r w:rsidRPr="00AA29F7">
        <w:rPr>
          <w:rFonts w:ascii="Times New Roman" w:hAnsi="Times New Roman" w:cs="Times New Roman"/>
          <w:i/>
          <w:sz w:val="24"/>
          <w:szCs w:val="24"/>
        </w:rPr>
        <w:lastRenderedPageBreak/>
        <w:t>Reduction of inventory</w:t>
      </w:r>
      <w:r>
        <w:rPr>
          <w:rFonts w:ascii="Times New Roman" w:hAnsi="Times New Roman" w:cs="Times New Roman"/>
          <w:i/>
          <w:sz w:val="24"/>
          <w:szCs w:val="24"/>
        </w:rPr>
        <w:t xml:space="preserve">- </w:t>
      </w:r>
      <w:r>
        <w:rPr>
          <w:rFonts w:ascii="Times New Roman" w:hAnsi="Times New Roman" w:cs="Times New Roman"/>
          <w:sz w:val="24"/>
          <w:szCs w:val="24"/>
        </w:rPr>
        <w:t>In order to improve cashflow it is good to control the stock of the business. As the inventories tie up money the cashflow of the business often reduces impacting the growth of the business (</w:t>
      </w:r>
      <w:r w:rsidRPr="00CA1532">
        <w:rPr>
          <w:rFonts w:ascii="Times New Roman" w:hAnsi="Times New Roman" w:cs="Times New Roman"/>
          <w:sz w:val="24"/>
          <w:szCs w:val="24"/>
        </w:rPr>
        <w:t>Nesticò</w:t>
      </w:r>
      <w:r>
        <w:rPr>
          <w:rFonts w:ascii="Times New Roman" w:hAnsi="Times New Roman" w:cs="Times New Roman"/>
          <w:sz w:val="24"/>
          <w:szCs w:val="24"/>
        </w:rPr>
        <w:t xml:space="preserve"> and Pipolo, 2015).</w:t>
      </w:r>
    </w:p>
    <w:p w:rsidR="00755438" w:rsidRDefault="00755438" w:rsidP="00755438">
      <w:pPr>
        <w:spacing w:line="360" w:lineRule="auto"/>
        <w:jc w:val="both"/>
        <w:rPr>
          <w:rFonts w:ascii="Times New Roman" w:hAnsi="Times New Roman" w:cs="Times New Roman"/>
          <w:i/>
          <w:sz w:val="24"/>
          <w:szCs w:val="24"/>
          <w:u w:val="single"/>
        </w:rPr>
      </w:pPr>
      <w:r w:rsidRPr="00E32C76">
        <w:rPr>
          <w:rFonts w:ascii="Times New Roman" w:hAnsi="Times New Roman" w:cs="Times New Roman"/>
          <w:i/>
          <w:sz w:val="24"/>
          <w:szCs w:val="24"/>
          <w:u w:val="single"/>
        </w:rPr>
        <w:t>Liquidity ratios</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Current ratio = Current assets/ Current liabilities = 4325.7/ 2202 = 1.96</w:t>
      </w:r>
    </w:p>
    <w:p w:rsidR="00755438" w:rsidRPr="00E32C76"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Quick ratio = Current assets – stock/ current liabilities = 4325.7-1246.5/ 2202 = 1.40</w:t>
      </w:r>
    </w:p>
    <w:p w:rsidR="00755438" w:rsidRPr="00CA1532" w:rsidRDefault="00755438" w:rsidP="00755438">
      <w:pPr>
        <w:spacing w:line="360" w:lineRule="auto"/>
        <w:jc w:val="both"/>
        <w:rPr>
          <w:rFonts w:ascii="Times New Roman" w:hAnsi="Times New Roman" w:cs="Times New Roman"/>
          <w:i/>
          <w:sz w:val="24"/>
          <w:szCs w:val="24"/>
          <w:u w:val="single"/>
        </w:rPr>
      </w:pPr>
      <w:r w:rsidRPr="00CA1532">
        <w:rPr>
          <w:rFonts w:ascii="Times New Roman" w:hAnsi="Times New Roman" w:cs="Times New Roman"/>
          <w:i/>
          <w:sz w:val="24"/>
          <w:szCs w:val="24"/>
          <w:u w:val="single"/>
        </w:rPr>
        <w:t>Interpretation</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The current ratio and the quick ratio indicate the liquidity position of the company, i.e. how must current assets do the business have to pay off its short-term liabilities. The quick ratio is a more conservative approach of current ratio. Both the liquidity ratios in case of INEOS are more than the ideal ratio of 1. This indicates that the company has enough current assets to pay off its short-term liabilities including the inventory as well as excluding the inventory. The two ratios calculated above shows that the liquidity position of the company is at a proper level. However, there are certain recommendations on how the liquidity of the company can be improved further.</w:t>
      </w:r>
    </w:p>
    <w:p w:rsidR="00755438" w:rsidRPr="00F54068" w:rsidRDefault="00755438" w:rsidP="00755438">
      <w:pPr>
        <w:pStyle w:val="ListParagraph"/>
        <w:numPr>
          <w:ilvl w:val="0"/>
          <w:numId w:val="5"/>
        </w:numPr>
        <w:rPr>
          <w:rFonts w:cs="Times New Roman"/>
          <w:szCs w:val="24"/>
        </w:rPr>
      </w:pPr>
      <w:r w:rsidRPr="00F54068">
        <w:rPr>
          <w:rFonts w:cs="Times New Roman"/>
          <w:szCs w:val="24"/>
        </w:rPr>
        <w:t>Early submission of invoice to customers is necessary in order to collect the payments due from customers as quickly as possible. The faster the money is received from the sales the current ratio will be improved</w:t>
      </w:r>
      <w:r>
        <w:rPr>
          <w:rFonts w:cs="Times New Roman"/>
          <w:szCs w:val="24"/>
        </w:rPr>
        <w:t xml:space="preserve"> (Blum and Dacorogma, 2014)</w:t>
      </w:r>
      <w:r w:rsidRPr="00F54068">
        <w:rPr>
          <w:rFonts w:cs="Times New Roman"/>
          <w:szCs w:val="24"/>
        </w:rPr>
        <w:t>.</w:t>
      </w:r>
    </w:p>
    <w:p w:rsidR="00755438" w:rsidRPr="00F54068" w:rsidRDefault="00755438" w:rsidP="00755438">
      <w:pPr>
        <w:pStyle w:val="ListParagraph"/>
        <w:numPr>
          <w:ilvl w:val="0"/>
          <w:numId w:val="5"/>
        </w:numPr>
        <w:rPr>
          <w:rFonts w:cs="Times New Roman"/>
          <w:szCs w:val="24"/>
        </w:rPr>
      </w:pPr>
      <w:r w:rsidRPr="00F54068">
        <w:rPr>
          <w:rFonts w:cs="Times New Roman"/>
          <w:szCs w:val="24"/>
        </w:rPr>
        <w:t>Using more of long-term debt than short-term debt improves the liquidity as long-term debts provide the facility of payment in small instalments and lower interest rates.</w:t>
      </w:r>
    </w:p>
    <w:p w:rsidR="00755438" w:rsidRPr="00F54068" w:rsidRDefault="00755438" w:rsidP="00755438">
      <w:pPr>
        <w:pStyle w:val="ListParagraph"/>
        <w:numPr>
          <w:ilvl w:val="0"/>
          <w:numId w:val="5"/>
        </w:numPr>
        <w:rPr>
          <w:rFonts w:cs="Times New Roman"/>
          <w:szCs w:val="24"/>
        </w:rPr>
      </w:pPr>
      <w:r w:rsidRPr="00F54068">
        <w:rPr>
          <w:rFonts w:cs="Times New Roman"/>
          <w:szCs w:val="24"/>
        </w:rPr>
        <w:t>Elimination of useless or unproductive assets will not earn anything but may contribute to the company’s overall costs. The sale of these assets will increase the cash balance and there will be no depreciation to incur. Thus, it will help in improvement of liquidity</w:t>
      </w:r>
      <w:r>
        <w:rPr>
          <w:rFonts w:cs="Times New Roman"/>
          <w:szCs w:val="24"/>
        </w:rPr>
        <w:t xml:space="preserve"> (Osadchy </w:t>
      </w:r>
      <w:r w:rsidRPr="00BB7D20">
        <w:rPr>
          <w:rFonts w:cs="Times New Roman"/>
          <w:i/>
          <w:szCs w:val="24"/>
        </w:rPr>
        <w:t>et al,</w:t>
      </w:r>
      <w:r>
        <w:rPr>
          <w:rFonts w:cs="Times New Roman"/>
          <w:szCs w:val="24"/>
        </w:rPr>
        <w:t xml:space="preserve"> 2018)</w:t>
      </w:r>
      <w:r w:rsidRPr="00F54068">
        <w:rPr>
          <w:rFonts w:cs="Times New Roman"/>
          <w:szCs w:val="24"/>
        </w:rPr>
        <w:t>.</w:t>
      </w:r>
    </w:p>
    <w:p w:rsidR="00755438" w:rsidRDefault="00755438" w:rsidP="00755438">
      <w:pPr>
        <w:pStyle w:val="ListParagraph"/>
        <w:numPr>
          <w:ilvl w:val="0"/>
          <w:numId w:val="5"/>
        </w:numPr>
        <w:rPr>
          <w:rFonts w:cs="Times New Roman"/>
          <w:szCs w:val="24"/>
        </w:rPr>
      </w:pPr>
      <w:r w:rsidRPr="00F54068">
        <w:rPr>
          <w:rFonts w:cs="Times New Roman"/>
          <w:szCs w:val="24"/>
        </w:rPr>
        <w:t>Negotiating longer payment cycles will help in improving the liquidity of the company as for a longer time the company will be able to hold the cash. Also, the company should negotiate for discount offers which will be beneficial for the company</w:t>
      </w:r>
      <w:r>
        <w:rPr>
          <w:rFonts w:cs="Times New Roman"/>
          <w:szCs w:val="24"/>
        </w:rPr>
        <w:t xml:space="preserve"> (Revelli and Viviani, 2015)</w:t>
      </w:r>
      <w:r w:rsidRPr="00F54068">
        <w:rPr>
          <w:rFonts w:cs="Times New Roman"/>
          <w:szCs w:val="24"/>
        </w:rPr>
        <w:t>.</w:t>
      </w:r>
    </w:p>
    <w:p w:rsidR="00EC6178" w:rsidRPr="00F54068" w:rsidRDefault="00EC6178" w:rsidP="00EC6178">
      <w:pPr>
        <w:pStyle w:val="ListParagraph"/>
        <w:rPr>
          <w:rFonts w:cs="Times New Roman"/>
          <w:szCs w:val="24"/>
        </w:rPr>
      </w:pPr>
    </w:p>
    <w:p w:rsidR="00755438" w:rsidRDefault="00755438" w:rsidP="00755438">
      <w:pPr>
        <w:spacing w:line="360" w:lineRule="auto"/>
        <w:jc w:val="both"/>
        <w:rPr>
          <w:rFonts w:ascii="Times New Roman" w:hAnsi="Times New Roman" w:cs="Times New Roman"/>
          <w:i/>
          <w:sz w:val="24"/>
          <w:szCs w:val="24"/>
          <w:u w:val="single"/>
        </w:rPr>
      </w:pPr>
      <w:r w:rsidRPr="001B7B6B">
        <w:rPr>
          <w:rFonts w:ascii="Times New Roman" w:hAnsi="Times New Roman" w:cs="Times New Roman"/>
          <w:i/>
          <w:sz w:val="24"/>
          <w:szCs w:val="24"/>
          <w:u w:val="single"/>
        </w:rPr>
        <w:lastRenderedPageBreak/>
        <w:t>Activity ratios</w:t>
      </w:r>
    </w:p>
    <w:p w:rsidR="00755438" w:rsidRDefault="00755438" w:rsidP="00755438">
      <w:pPr>
        <w:spacing w:line="360" w:lineRule="auto"/>
        <w:jc w:val="both"/>
        <w:rPr>
          <w:rFonts w:ascii="Times New Roman" w:hAnsi="Times New Roman" w:cs="Times New Roman"/>
          <w:sz w:val="24"/>
          <w:szCs w:val="24"/>
        </w:rPr>
      </w:pPr>
      <w:r w:rsidRPr="001B7B6B">
        <w:rPr>
          <w:rFonts w:ascii="Times New Roman" w:hAnsi="Times New Roman" w:cs="Times New Roman"/>
          <w:sz w:val="24"/>
          <w:szCs w:val="24"/>
        </w:rPr>
        <w:t>Assets turnover = Sales/ net assets</w:t>
      </w:r>
      <w:r>
        <w:rPr>
          <w:rFonts w:ascii="Times New Roman" w:hAnsi="Times New Roman" w:cs="Times New Roman"/>
          <w:sz w:val="24"/>
          <w:szCs w:val="24"/>
        </w:rPr>
        <w:t xml:space="preserve"> = 15210.4/ 11048.2 = 1.38</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Stock holding period = 365/ inventory turnover ratio = 365/ (cost of sales/average inventory)</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365/ (12524.2/1246.5) = 36.32 days</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Credit payment period = (Trade payables/Cost of sales) * 365</w:t>
      </w:r>
    </w:p>
    <w:p w:rsidR="00755438" w:rsidRPr="00F5406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(1877.9/12524.2) * 365 = 54.73 days</w:t>
      </w:r>
    </w:p>
    <w:p w:rsidR="00755438" w:rsidRDefault="00755438" w:rsidP="00755438">
      <w:pPr>
        <w:spacing w:line="360" w:lineRule="auto"/>
        <w:jc w:val="both"/>
        <w:rPr>
          <w:rFonts w:ascii="Times New Roman" w:hAnsi="Times New Roman" w:cs="Times New Roman"/>
          <w:i/>
          <w:sz w:val="24"/>
          <w:szCs w:val="24"/>
        </w:rPr>
      </w:pPr>
      <w:r w:rsidRPr="00E07EEE">
        <w:rPr>
          <w:rFonts w:ascii="Times New Roman" w:hAnsi="Times New Roman" w:cs="Times New Roman"/>
          <w:i/>
          <w:sz w:val="24"/>
          <w:szCs w:val="24"/>
        </w:rPr>
        <w:t>Interpretation</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asset turnover ratio indicates the efficiency of the company in deploying its assets in generating sales revenue of the company. In case of INEOS, the asset turnover ratio is moderate and indicates that not many assets are deployed in generating sales. It has been observed that the companies with high profit margins have low asset turnover ratio and vice versa. In context of the stock holding period and credit payment period, both the periods are currently good for the business. However, both the periods can be reduced which will help in maintain a proper cashflow in the business. Extending credit period more than this will result in issues with the suppliers as it may reduce the company’s goodwill and trustworthiness. There are generally two ways of improving the efficiency ratios of the company. One is to increase the revenues of the company and the other is to decrease the expenses. There are a number of ways to increase the sales revenue and decrease the expenditures (Thomas </w:t>
      </w:r>
      <w:r w:rsidRPr="00BB7D20">
        <w:rPr>
          <w:rFonts w:ascii="Times New Roman" w:hAnsi="Times New Roman" w:cs="Times New Roman"/>
          <w:i/>
          <w:sz w:val="24"/>
          <w:szCs w:val="24"/>
        </w:rPr>
        <w:t>et al,</w:t>
      </w:r>
      <w:r>
        <w:rPr>
          <w:rFonts w:ascii="Times New Roman" w:hAnsi="Times New Roman" w:cs="Times New Roman"/>
          <w:sz w:val="24"/>
          <w:szCs w:val="24"/>
        </w:rPr>
        <w:t xml:space="preserve"> 2016). Hence, the company should select appropriate strategies to address the issues related to sales and the costs of the company. In order to increase the sales, the company can use different marketing techniques, revise the price structure, improvise customer services etc. To control the costs of the company, INEOS can review the production processes and cut-off the unnecessary expenses from the production process. In addition to this, using various management accounting techniques will also help the company to improve its costs structure (</w:t>
      </w:r>
      <w:r w:rsidRPr="00BB7D20">
        <w:rPr>
          <w:rFonts w:ascii="Times New Roman" w:hAnsi="Times New Roman" w:cs="Times New Roman"/>
          <w:sz w:val="24"/>
          <w:szCs w:val="24"/>
        </w:rPr>
        <w:t>Miller-Nobles</w:t>
      </w:r>
      <w:r>
        <w:rPr>
          <w:rFonts w:ascii="Times New Roman" w:hAnsi="Times New Roman" w:cs="Times New Roman"/>
          <w:sz w:val="24"/>
          <w:szCs w:val="24"/>
        </w:rPr>
        <w:t xml:space="preserve"> </w:t>
      </w:r>
      <w:r w:rsidRPr="00BB7D20">
        <w:rPr>
          <w:rFonts w:ascii="Times New Roman" w:hAnsi="Times New Roman" w:cs="Times New Roman"/>
          <w:i/>
          <w:sz w:val="24"/>
          <w:szCs w:val="24"/>
        </w:rPr>
        <w:t>et al,</w:t>
      </w:r>
      <w:r>
        <w:rPr>
          <w:rFonts w:ascii="Times New Roman" w:hAnsi="Times New Roman" w:cs="Times New Roman"/>
          <w:sz w:val="24"/>
          <w:szCs w:val="24"/>
        </w:rPr>
        <w:t xml:space="preserve"> 2016).</w:t>
      </w:r>
    </w:p>
    <w:p w:rsidR="00755438" w:rsidRDefault="00755438" w:rsidP="00755438">
      <w:pPr>
        <w:spacing w:line="360" w:lineRule="auto"/>
        <w:jc w:val="both"/>
        <w:rPr>
          <w:rFonts w:ascii="Times New Roman" w:hAnsi="Times New Roman" w:cs="Times New Roman"/>
          <w:i/>
          <w:sz w:val="24"/>
          <w:szCs w:val="24"/>
          <w:u w:val="single"/>
        </w:rPr>
      </w:pPr>
    </w:p>
    <w:p w:rsidR="00755438" w:rsidRDefault="00755438" w:rsidP="00755438">
      <w:pPr>
        <w:spacing w:line="360" w:lineRule="auto"/>
        <w:jc w:val="both"/>
        <w:rPr>
          <w:rFonts w:ascii="Times New Roman" w:hAnsi="Times New Roman" w:cs="Times New Roman"/>
          <w:i/>
          <w:sz w:val="24"/>
          <w:szCs w:val="24"/>
          <w:u w:val="single"/>
        </w:rPr>
      </w:pPr>
    </w:p>
    <w:p w:rsidR="00755438" w:rsidRDefault="00755438" w:rsidP="00755438">
      <w:pPr>
        <w:spacing w:line="360" w:lineRule="auto"/>
        <w:jc w:val="both"/>
        <w:rPr>
          <w:rFonts w:ascii="Times New Roman" w:hAnsi="Times New Roman" w:cs="Times New Roman"/>
          <w:i/>
          <w:sz w:val="24"/>
          <w:szCs w:val="24"/>
          <w:u w:val="single"/>
        </w:rPr>
      </w:pPr>
      <w:r w:rsidRPr="00E310A7">
        <w:rPr>
          <w:rFonts w:ascii="Times New Roman" w:hAnsi="Times New Roman" w:cs="Times New Roman"/>
          <w:i/>
          <w:sz w:val="24"/>
          <w:szCs w:val="24"/>
          <w:u w:val="single"/>
        </w:rPr>
        <w:lastRenderedPageBreak/>
        <w:t>Capital Gearing ratios</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Gearing ratio = Long and short-term borrowings/ Capital employed</w:t>
      </w:r>
    </w:p>
    <w:p w:rsidR="00755438" w:rsidRPr="00E310A7"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(6094.9 + 63)/ 8846.2 = 0.70</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Debt to equity ratio = Long and short-term borrowings/ shareholders’ funds</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 xml:space="preserve">        = (6094.9 + 63)/1696.8 = 3.63</w:t>
      </w:r>
    </w:p>
    <w:p w:rsidR="00755438" w:rsidRDefault="00755438" w:rsidP="00755438">
      <w:pPr>
        <w:spacing w:line="360" w:lineRule="auto"/>
        <w:jc w:val="both"/>
        <w:rPr>
          <w:rFonts w:ascii="Times New Roman" w:hAnsi="Times New Roman" w:cs="Times New Roman"/>
          <w:sz w:val="24"/>
          <w:szCs w:val="24"/>
        </w:rPr>
      </w:pPr>
      <w:r w:rsidRPr="00325988">
        <w:rPr>
          <w:rFonts w:ascii="Times New Roman" w:hAnsi="Times New Roman" w:cs="Times New Roman"/>
          <w:sz w:val="24"/>
          <w:szCs w:val="24"/>
        </w:rPr>
        <w:t>Interest Cover (IC) = Earnings Before Interest (EBIT) / Interest Charges</w:t>
      </w:r>
      <w:r>
        <w:rPr>
          <w:rFonts w:ascii="Times New Roman" w:hAnsi="Times New Roman" w:cs="Times New Roman"/>
          <w:sz w:val="24"/>
          <w:szCs w:val="24"/>
        </w:rPr>
        <w:t xml:space="preserve"> = 8.34</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The gearing ratio measures the degree of financial risk for the company. In context of INEOS, the gearing ratio is less which means they have lower amounts of debt. If the company has lower amounts of debts there is low financial risk for the company. The debt to equity ratio measures the company’s debt financing to the company’s equity financing. The debt to equity ratio is positive but not very high in case of INEOS which means the company is not utilizing or taking full advantage of the increased profits earned. Here, the company must strategize properly in order to making its profits fully utilized. As per the interest cover ratio, the company has more than sufficient funds to pay off the interest charges on the borrowings of the company. The gearing ratios can be reduced by various ways such as selling of shares, increasing the profits of the company, converting the loans, reducing debts to reduce risks, reducing the working capital etc. (Ahmad and Aljifri, 2018).</w:t>
      </w:r>
    </w:p>
    <w:p w:rsidR="00755438" w:rsidRDefault="00755438" w:rsidP="00755438">
      <w:pPr>
        <w:spacing w:line="360" w:lineRule="auto"/>
        <w:jc w:val="both"/>
        <w:rPr>
          <w:rFonts w:ascii="Times New Roman" w:hAnsi="Times New Roman" w:cs="Times New Roman"/>
          <w:i/>
          <w:sz w:val="24"/>
          <w:szCs w:val="24"/>
          <w:u w:val="single"/>
        </w:rPr>
      </w:pPr>
      <w:r w:rsidRPr="00ED6398">
        <w:rPr>
          <w:rFonts w:ascii="Times New Roman" w:hAnsi="Times New Roman" w:cs="Times New Roman"/>
          <w:i/>
          <w:sz w:val="24"/>
          <w:szCs w:val="24"/>
          <w:u w:val="single"/>
        </w:rPr>
        <w:t>Investor ratio</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Earnings per share = </w:t>
      </w:r>
      <w:r w:rsidRPr="00ED6398">
        <w:rPr>
          <w:rFonts w:ascii="Times New Roman" w:hAnsi="Times New Roman" w:cs="Times New Roman"/>
          <w:sz w:val="24"/>
          <w:szCs w:val="24"/>
        </w:rPr>
        <w:t>Net Profit / Number of ordinary shares</w:t>
      </w:r>
      <w:r>
        <w:rPr>
          <w:rFonts w:ascii="Times New Roman" w:hAnsi="Times New Roman" w:cs="Times New Roman"/>
          <w:sz w:val="24"/>
          <w:szCs w:val="24"/>
        </w:rPr>
        <w:t xml:space="preserve"> = 39.40</w:t>
      </w:r>
    </w:p>
    <w:p w:rsidR="00755438" w:rsidRPr="00ED639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Price earnings ratio = </w:t>
      </w:r>
      <w:r w:rsidRPr="00ED6398">
        <w:rPr>
          <w:rFonts w:ascii="Times New Roman" w:hAnsi="Times New Roman" w:cs="Times New Roman"/>
          <w:sz w:val="24"/>
          <w:szCs w:val="24"/>
        </w:rPr>
        <w:t>Current share market price / Earnings per share</w:t>
      </w:r>
      <w:r>
        <w:rPr>
          <w:rFonts w:ascii="Times New Roman" w:hAnsi="Times New Roman" w:cs="Times New Roman"/>
          <w:sz w:val="24"/>
          <w:szCs w:val="24"/>
        </w:rPr>
        <w:t xml:space="preserve"> = 34.19</w:t>
      </w:r>
    </w:p>
    <w:p w:rsidR="0075543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Dividend payout ratio per share = Dividend per share/ Earnings per share = 10.15</w:t>
      </w:r>
    </w:p>
    <w:p w:rsidR="00755438" w:rsidRPr="00ED6398" w:rsidRDefault="00755438" w:rsidP="0075543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earnings per share of the company indicates that the company is making a god amount of profits per outstanding share of stock. The high EPS indicates the company’s worth of stock as the investors are willing to pay more for higher profits of the company. The price earnings ratio indicates the expected price of the share of INEOS based on the earnings of the company. As per the price earnings ratio of the company, it is expected to perform positively in the market. The </w:t>
      </w:r>
      <w:r>
        <w:rPr>
          <w:rFonts w:ascii="Times New Roman" w:hAnsi="Times New Roman" w:cs="Times New Roman"/>
          <w:sz w:val="24"/>
          <w:szCs w:val="24"/>
        </w:rPr>
        <w:lastRenderedPageBreak/>
        <w:t>dividend payout ratio provides the amount of the company’s earnings that is given to the shareholders or investors in the form of dividends (</w:t>
      </w:r>
      <w:r w:rsidRPr="00BB7D20">
        <w:rPr>
          <w:rFonts w:ascii="Times New Roman" w:hAnsi="Times New Roman" w:cs="Times New Roman"/>
          <w:sz w:val="24"/>
          <w:szCs w:val="24"/>
        </w:rPr>
        <w:t>Buehlmaier</w:t>
      </w:r>
      <w:r>
        <w:rPr>
          <w:rFonts w:ascii="Times New Roman" w:hAnsi="Times New Roman" w:cs="Times New Roman"/>
          <w:sz w:val="24"/>
          <w:szCs w:val="24"/>
        </w:rPr>
        <w:t xml:space="preserve"> and Whited, 2018). Here, it can be said that INEOS gives 10.15 of its earnings per share to its investors in the form of dividends.</w:t>
      </w:r>
    </w:p>
    <w:p w:rsidR="00755438" w:rsidRPr="003C1463" w:rsidRDefault="00755438" w:rsidP="00755438">
      <w:pPr>
        <w:pStyle w:val="Heading1"/>
      </w:pPr>
      <w:bookmarkStart w:id="5" w:name="_Toc522713914"/>
      <w:r w:rsidRPr="003C1463">
        <w:t>Conclusion</w:t>
      </w:r>
      <w:bookmarkEnd w:id="5"/>
    </w:p>
    <w:p w:rsidR="00755438" w:rsidRPr="003C1463" w:rsidRDefault="00755438" w:rsidP="00755438">
      <w:pPr>
        <w:spacing w:line="360" w:lineRule="auto"/>
        <w:jc w:val="both"/>
        <w:rPr>
          <w:rFonts w:ascii="Times New Roman" w:hAnsi="Times New Roman" w:cs="Times New Roman"/>
          <w:bCs/>
          <w:sz w:val="24"/>
          <w:szCs w:val="24"/>
        </w:rPr>
      </w:pPr>
      <w:r w:rsidRPr="003C1463">
        <w:rPr>
          <w:rFonts w:ascii="Times New Roman" w:hAnsi="Times New Roman" w:cs="Times New Roman"/>
          <w:sz w:val="24"/>
          <w:szCs w:val="24"/>
        </w:rPr>
        <w:t>On taking account of the statistical estimates it can be found that both strategic as well as economic data suggest that no large economy shall be able to abandon its chemical industry. The profits made by Ineos within the boundaries of Europe have become half since the last three years while that of in the USA has accounted for triple the profit amount (</w:t>
      </w:r>
      <w:r w:rsidRPr="003C1463">
        <w:rPr>
          <w:rFonts w:ascii="Times New Roman" w:hAnsi="Times New Roman" w:cs="Times New Roman"/>
          <w:color w:val="222222"/>
          <w:sz w:val="24"/>
          <w:szCs w:val="24"/>
          <w:shd w:val="clear" w:color="auto" w:fill="FFFFFF"/>
        </w:rPr>
        <w:t>Stead and Stead, W.E., 2014)</w:t>
      </w:r>
      <w:r w:rsidRPr="003C1463">
        <w:rPr>
          <w:rFonts w:ascii="Times New Roman" w:hAnsi="Times New Roman" w:cs="Times New Roman"/>
          <w:sz w:val="24"/>
          <w:szCs w:val="24"/>
        </w:rPr>
        <w:t xml:space="preserve">. Looking into these statistical data, BASF the largest company for chemicals has announced a strategic restrain within the acts of European investments. This is taken while considering the market stagnation, expensive labor costs and expensive energy resources into account. As a result of the annual business predictions about </w:t>
      </w:r>
      <w:r w:rsidRPr="003C1463">
        <w:rPr>
          <w:rFonts w:ascii="Times New Roman" w:hAnsi="Times New Roman" w:cs="Times New Roman"/>
          <w:bCs/>
          <w:sz w:val="24"/>
          <w:szCs w:val="24"/>
        </w:rPr>
        <w:t>$71 billion worth petrochemical expansion with respect to shale gas flowing into chemicals are produced. If gone by the predictions it is believed that a growth of more than $100 billion is supposed to take place in the coming years. However, in contrast to such assumptions closures after closures are being announced by Europe. It is mostly found that the chemical industry finds a great deal of dependence upon the competitive energies and feedstock costs. Just as the fact is true to state that this industry does not merely depend upon technical aspects but also carry sufficient historical causes for Europe to become this successful at it, a simultaneous warning shall also be generated regarding the same (</w:t>
      </w:r>
      <w:r w:rsidRPr="003C1463">
        <w:rPr>
          <w:rFonts w:ascii="Times New Roman" w:hAnsi="Times New Roman" w:cs="Times New Roman"/>
          <w:color w:val="222222"/>
          <w:sz w:val="24"/>
          <w:szCs w:val="24"/>
          <w:shd w:val="clear" w:color="auto" w:fill="FFFFFF"/>
        </w:rPr>
        <w:t>Wallace, 2017)</w:t>
      </w:r>
      <w:r w:rsidRPr="003C1463">
        <w:rPr>
          <w:rFonts w:ascii="Times New Roman" w:hAnsi="Times New Roman" w:cs="Times New Roman"/>
          <w:bCs/>
          <w:sz w:val="24"/>
          <w:szCs w:val="24"/>
        </w:rPr>
        <w:t xml:space="preserve">. Just the way the European textile industry got wiped being intolerable of the competent Asian labor rates; the chemical industry is feared to face similar outcomes. This is dreaded to take the shape of yet another European dinosaur. The employment statistics of the chemical industry of Europe is indicative of having one million people directly among who five million are indirect in nature. In Europe automotive and chemicals share the billing of about $1 trillion in terms of revenue for each. However, when speaking economically, Europe’s jewel in the crown is regarded to be the chemical industry. There is s strong and real threat received from China which is all set to take the position of the largest economy of the world by the year 2020. A dreadful competition is sensed from China as the Chinese are building in a relentless manner. </w:t>
      </w:r>
    </w:p>
    <w:p w:rsidR="00755438" w:rsidRPr="003C1463" w:rsidRDefault="00755438" w:rsidP="00755438">
      <w:pPr>
        <w:spacing w:line="360" w:lineRule="auto"/>
        <w:jc w:val="both"/>
        <w:rPr>
          <w:rFonts w:ascii="Times New Roman" w:hAnsi="Times New Roman" w:cs="Times New Roman"/>
          <w:sz w:val="24"/>
          <w:szCs w:val="24"/>
        </w:rPr>
      </w:pPr>
    </w:p>
    <w:p w:rsidR="00755438" w:rsidRPr="003C1463" w:rsidRDefault="00755438" w:rsidP="00755438">
      <w:pPr>
        <w:pStyle w:val="Heading1"/>
        <w:rPr>
          <w:rFonts w:cs="Times New Roman"/>
          <w:szCs w:val="24"/>
          <w:lang w:val="en-GB"/>
        </w:rPr>
      </w:pPr>
      <w:bookmarkStart w:id="6" w:name="_Toc522713915"/>
      <w:r w:rsidRPr="003C1463">
        <w:rPr>
          <w:rFonts w:cs="Times New Roman"/>
          <w:szCs w:val="24"/>
          <w:lang w:val="en-GB"/>
        </w:rPr>
        <w:lastRenderedPageBreak/>
        <w:t>Reference List:</w:t>
      </w:r>
      <w:bookmarkEnd w:id="6"/>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Ahmad, H.I. and Aljifri, K., 2018. The Role Of Company Specific Information In Valuation Models Used In The Uae. Accounting &amp; Taxation, 10(1), pp.77-86.</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rPr>
        <w:t>Alkaya, E. and Demirer, G.N., 2015. Reducing water and energy consumption in chemical industry by sustainable production approach: a pilot study for polyethylene terephthalate production. </w:t>
      </w:r>
      <w:r w:rsidRPr="003C1463">
        <w:rPr>
          <w:rFonts w:ascii="Times New Roman" w:hAnsi="Times New Roman" w:cs="Times New Roman"/>
          <w:i/>
          <w:iCs/>
          <w:sz w:val="24"/>
          <w:szCs w:val="24"/>
        </w:rPr>
        <w:t>Journal of Cleaner Production</w:t>
      </w:r>
      <w:r w:rsidRPr="003C1463">
        <w:rPr>
          <w:rFonts w:ascii="Times New Roman" w:hAnsi="Times New Roman" w:cs="Times New Roman"/>
          <w:sz w:val="24"/>
          <w:szCs w:val="24"/>
        </w:rPr>
        <w:t>, </w:t>
      </w:r>
      <w:r w:rsidRPr="003C1463">
        <w:rPr>
          <w:rFonts w:ascii="Times New Roman" w:hAnsi="Times New Roman" w:cs="Times New Roman"/>
          <w:i/>
          <w:iCs/>
          <w:sz w:val="24"/>
          <w:szCs w:val="24"/>
        </w:rPr>
        <w:t>99</w:t>
      </w:r>
      <w:r w:rsidRPr="003C1463">
        <w:rPr>
          <w:rFonts w:ascii="Times New Roman" w:hAnsi="Times New Roman" w:cs="Times New Roman"/>
          <w:sz w:val="24"/>
          <w:szCs w:val="24"/>
        </w:rPr>
        <w:t>, pp.119-128.</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Axelsson, B. and Easton, G., 2016. </w:t>
      </w:r>
      <w:r w:rsidRPr="003C1463">
        <w:rPr>
          <w:rFonts w:ascii="Times New Roman" w:hAnsi="Times New Roman" w:cs="Times New Roman"/>
          <w:i/>
          <w:iCs/>
          <w:color w:val="222222"/>
          <w:sz w:val="24"/>
          <w:szCs w:val="24"/>
          <w:shd w:val="clear" w:color="auto" w:fill="FFFFFF"/>
        </w:rPr>
        <w:t>Industrial Networks (Routledge Revivals): A New View of Reality</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Benn, S., Edwards, M. and Williams, T., 2014. </w:t>
      </w:r>
      <w:r w:rsidRPr="003C1463">
        <w:rPr>
          <w:rFonts w:ascii="Times New Roman" w:hAnsi="Times New Roman" w:cs="Times New Roman"/>
          <w:i/>
          <w:iCs/>
          <w:sz w:val="24"/>
          <w:szCs w:val="24"/>
        </w:rPr>
        <w:t>Organizational change for corporate sustainability</w:t>
      </w:r>
      <w:r w:rsidRPr="003C1463">
        <w:rPr>
          <w:rFonts w:ascii="Times New Roman" w:hAnsi="Times New Roman" w:cs="Times New Roman"/>
          <w:sz w:val="24"/>
          <w:szCs w:val="24"/>
        </w:rPr>
        <w:t>. Routledge.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Berry, D.F. and Green, S., 2016. </w:t>
      </w:r>
      <w:r w:rsidRPr="003C1463">
        <w:rPr>
          <w:rFonts w:ascii="Times New Roman" w:hAnsi="Times New Roman" w:cs="Times New Roman"/>
          <w:i/>
          <w:iCs/>
          <w:sz w:val="24"/>
          <w:szCs w:val="24"/>
        </w:rPr>
        <w:t>Cultural, structural and strategic change in management buyouts</w:t>
      </w:r>
      <w:r w:rsidRPr="003C1463">
        <w:rPr>
          <w:rFonts w:ascii="Times New Roman" w:hAnsi="Times New Roman" w:cs="Times New Roman"/>
          <w:sz w:val="24"/>
          <w:szCs w:val="24"/>
        </w:rPr>
        <w:t>. Springer.</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Blum, P. and Dacorogna, M., 2014. DFA‐Dynamic Financial Analysis. Wiley StatsRef: Statistics Reference Online.</w:t>
      </w:r>
    </w:p>
    <w:p w:rsidR="00755438"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Buehlmaier, M.M. and Whited, T.M., 2018. Are financial constraints priced? Evidence from textual analysis. The Review of Financial Studies, 31(7), pp.2693-2728.</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Cespi, D., Passarini, F., Vassura, I. and Cavani, F., 2016. Butadiene from biomass, a life cycle perspective to address sustainability in the chemical industry. </w:t>
      </w:r>
      <w:r w:rsidRPr="003C1463">
        <w:rPr>
          <w:rFonts w:ascii="Times New Roman" w:hAnsi="Times New Roman" w:cs="Times New Roman"/>
          <w:i/>
          <w:iCs/>
          <w:sz w:val="24"/>
          <w:szCs w:val="24"/>
        </w:rPr>
        <w:t>Green Chemistry</w:t>
      </w:r>
      <w:r w:rsidRPr="003C1463">
        <w:rPr>
          <w:rFonts w:ascii="Times New Roman" w:hAnsi="Times New Roman" w:cs="Times New Roman"/>
          <w:sz w:val="24"/>
          <w:szCs w:val="24"/>
        </w:rPr>
        <w:t>, </w:t>
      </w:r>
      <w:r w:rsidRPr="003C1463">
        <w:rPr>
          <w:rFonts w:ascii="Times New Roman" w:hAnsi="Times New Roman" w:cs="Times New Roman"/>
          <w:i/>
          <w:iCs/>
          <w:sz w:val="24"/>
          <w:szCs w:val="24"/>
        </w:rPr>
        <w:t>18</w:t>
      </w:r>
      <w:r w:rsidRPr="003C1463">
        <w:rPr>
          <w:rFonts w:ascii="Times New Roman" w:hAnsi="Times New Roman" w:cs="Times New Roman"/>
          <w:sz w:val="24"/>
          <w:szCs w:val="24"/>
        </w:rPr>
        <w:t>(6), pp.1625-1638.</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Charter, M., 2017. </w:t>
      </w:r>
      <w:r w:rsidRPr="003C1463">
        <w:rPr>
          <w:rFonts w:ascii="Times New Roman" w:hAnsi="Times New Roman" w:cs="Times New Roman"/>
          <w:i/>
          <w:iCs/>
          <w:color w:val="222222"/>
          <w:sz w:val="24"/>
          <w:szCs w:val="24"/>
          <w:shd w:val="clear" w:color="auto" w:fill="FFFFFF"/>
        </w:rPr>
        <w:t>Greener marketing: A responsible approach to business</w:t>
      </w:r>
      <w:r w:rsidRPr="003C1463">
        <w:rPr>
          <w:rFonts w:ascii="Times New Roman" w:hAnsi="Times New Roman" w:cs="Times New Roman"/>
          <w:color w:val="222222"/>
          <w:sz w:val="24"/>
          <w:szCs w:val="24"/>
          <w:shd w:val="clear" w:color="auto" w:fill="FFFFFF"/>
        </w:rPr>
        <w:t>. Routledge.</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Cucchiella, F., D’Adamo, I. and Gastaldi, M., 2015. Financial analysis for investment and policy decisions in the renewable energy sector. Clean Technologies and Environmental Policy, 17(4), pp.887-904.</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de Besi, M. and McCormick, K., 2015. Towards a bioeconomy in Europe: National, regional and industrial strategies. </w:t>
      </w:r>
      <w:r w:rsidRPr="003C1463">
        <w:rPr>
          <w:rFonts w:ascii="Times New Roman" w:hAnsi="Times New Roman" w:cs="Times New Roman"/>
          <w:i/>
          <w:iCs/>
          <w:color w:val="222222"/>
          <w:sz w:val="24"/>
          <w:szCs w:val="24"/>
          <w:shd w:val="clear" w:color="auto" w:fill="FFFFFF"/>
        </w:rPr>
        <w:t>Sustainability</w:t>
      </w:r>
      <w:r w:rsidRPr="003C1463">
        <w:rPr>
          <w:rFonts w:ascii="Times New Roman" w:hAnsi="Times New Roman" w:cs="Times New Roman"/>
          <w:color w:val="222222"/>
          <w:sz w:val="24"/>
          <w:szCs w:val="24"/>
          <w:shd w:val="clear" w:color="auto" w:fill="FFFFFF"/>
        </w:rPr>
        <w:t>, </w:t>
      </w:r>
      <w:r w:rsidRPr="003C1463">
        <w:rPr>
          <w:rFonts w:ascii="Times New Roman" w:hAnsi="Times New Roman" w:cs="Times New Roman"/>
          <w:i/>
          <w:iCs/>
          <w:color w:val="222222"/>
          <w:sz w:val="24"/>
          <w:szCs w:val="24"/>
          <w:shd w:val="clear" w:color="auto" w:fill="FFFFFF"/>
        </w:rPr>
        <w:t>7</w:t>
      </w:r>
      <w:r w:rsidRPr="003C1463">
        <w:rPr>
          <w:rFonts w:ascii="Times New Roman" w:hAnsi="Times New Roman" w:cs="Times New Roman"/>
          <w:color w:val="222222"/>
          <w:sz w:val="24"/>
          <w:szCs w:val="24"/>
          <w:shd w:val="clear" w:color="auto" w:fill="FFFFFF"/>
        </w:rPr>
        <w:t>(8), pp.10461-10478.</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lastRenderedPageBreak/>
        <w:t>Deresky, H., 2017. </w:t>
      </w:r>
      <w:r w:rsidRPr="003C1463">
        <w:rPr>
          <w:rFonts w:ascii="Times New Roman" w:hAnsi="Times New Roman" w:cs="Times New Roman"/>
          <w:i/>
          <w:iCs/>
          <w:color w:val="222222"/>
          <w:sz w:val="24"/>
          <w:szCs w:val="24"/>
          <w:shd w:val="clear" w:color="auto" w:fill="FFFFFF"/>
        </w:rPr>
        <w:t>International management: Managing across borders and cultures</w:t>
      </w:r>
      <w:r w:rsidRPr="003C1463">
        <w:rPr>
          <w:rFonts w:ascii="Times New Roman" w:hAnsi="Times New Roman" w:cs="Times New Roman"/>
          <w:color w:val="222222"/>
          <w:sz w:val="24"/>
          <w:szCs w:val="24"/>
          <w:shd w:val="clear" w:color="auto" w:fill="FFFFFF"/>
        </w:rPr>
        <w:t>. Pearson Education India.</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Dodgson, M., 2018. </w:t>
      </w:r>
      <w:r w:rsidRPr="003C1463">
        <w:rPr>
          <w:rFonts w:ascii="Times New Roman" w:hAnsi="Times New Roman" w:cs="Times New Roman"/>
          <w:i/>
          <w:iCs/>
          <w:color w:val="222222"/>
          <w:sz w:val="24"/>
          <w:szCs w:val="24"/>
          <w:shd w:val="clear" w:color="auto" w:fill="FFFFFF"/>
        </w:rPr>
        <w:t>Technological collaboration in industry: strategy, policy and internationalization in innovation</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Epstein, M.J., 2018. </w:t>
      </w:r>
      <w:r w:rsidRPr="003C1463">
        <w:rPr>
          <w:rFonts w:ascii="Times New Roman" w:hAnsi="Times New Roman" w:cs="Times New Roman"/>
          <w:i/>
          <w:iCs/>
          <w:color w:val="222222"/>
          <w:sz w:val="24"/>
          <w:szCs w:val="24"/>
          <w:shd w:val="clear" w:color="auto" w:fill="FFFFFF"/>
        </w:rPr>
        <w:t>Making sustainability work: Best practices in managing and measuring corporate social, environmental and economic impacts</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Gunningham, N. and Sinclair, D., 2017. </w:t>
      </w:r>
      <w:r w:rsidRPr="003C1463">
        <w:rPr>
          <w:rFonts w:ascii="Times New Roman" w:hAnsi="Times New Roman" w:cs="Times New Roman"/>
          <w:i/>
          <w:iCs/>
          <w:color w:val="222222"/>
          <w:sz w:val="24"/>
          <w:szCs w:val="24"/>
          <w:shd w:val="clear" w:color="auto" w:fill="FFFFFF"/>
        </w:rPr>
        <w:t>Leaders and laggards: next-generation environmental regulation</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Han, Y., Geng, Z., Zhu, Q. and Qu, Y., 2015. Energy efficiency analysis method based on fuzzy DEA cross-model for ethylene production systems in chemical industry. </w:t>
      </w:r>
      <w:r w:rsidRPr="003C1463">
        <w:rPr>
          <w:rFonts w:ascii="Times New Roman" w:hAnsi="Times New Roman" w:cs="Times New Roman"/>
          <w:i/>
          <w:iCs/>
          <w:sz w:val="24"/>
          <w:szCs w:val="24"/>
        </w:rPr>
        <w:t>Energy</w:t>
      </w:r>
      <w:r w:rsidRPr="003C1463">
        <w:rPr>
          <w:rFonts w:ascii="Times New Roman" w:hAnsi="Times New Roman" w:cs="Times New Roman"/>
          <w:sz w:val="24"/>
          <w:szCs w:val="24"/>
        </w:rPr>
        <w:t>, </w:t>
      </w:r>
      <w:r w:rsidRPr="003C1463">
        <w:rPr>
          <w:rFonts w:ascii="Times New Roman" w:hAnsi="Times New Roman" w:cs="Times New Roman"/>
          <w:i/>
          <w:iCs/>
          <w:sz w:val="24"/>
          <w:szCs w:val="24"/>
        </w:rPr>
        <w:t>83</w:t>
      </w:r>
      <w:r w:rsidRPr="003C1463">
        <w:rPr>
          <w:rFonts w:ascii="Times New Roman" w:hAnsi="Times New Roman" w:cs="Times New Roman"/>
          <w:sz w:val="24"/>
          <w:szCs w:val="24"/>
        </w:rPr>
        <w:t>, pp.685-695.</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color w:val="222222"/>
          <w:sz w:val="24"/>
          <w:szCs w:val="24"/>
          <w:shd w:val="clear" w:color="auto" w:fill="FFFFFF"/>
        </w:rPr>
        <w:t>Honoré, F., Munari, F. and de La Potterie, B.V.P., 2015. Corporate governance practices and companies’ R&amp;D intensity: Evidence from European countries. </w:t>
      </w:r>
      <w:r w:rsidRPr="003C1463">
        <w:rPr>
          <w:rFonts w:ascii="Times New Roman" w:hAnsi="Times New Roman" w:cs="Times New Roman"/>
          <w:i/>
          <w:iCs/>
          <w:color w:val="222222"/>
          <w:sz w:val="24"/>
          <w:szCs w:val="24"/>
          <w:shd w:val="clear" w:color="auto" w:fill="FFFFFF"/>
        </w:rPr>
        <w:t>Research policy</w:t>
      </w:r>
      <w:r w:rsidRPr="003C1463">
        <w:rPr>
          <w:rFonts w:ascii="Times New Roman" w:hAnsi="Times New Roman" w:cs="Times New Roman"/>
          <w:color w:val="222222"/>
          <w:sz w:val="24"/>
          <w:szCs w:val="24"/>
          <w:shd w:val="clear" w:color="auto" w:fill="FFFFFF"/>
        </w:rPr>
        <w:t>, </w:t>
      </w:r>
      <w:r w:rsidRPr="003C1463">
        <w:rPr>
          <w:rFonts w:ascii="Times New Roman" w:hAnsi="Times New Roman" w:cs="Times New Roman"/>
          <w:i/>
          <w:iCs/>
          <w:color w:val="222222"/>
          <w:sz w:val="24"/>
          <w:szCs w:val="24"/>
          <w:shd w:val="clear" w:color="auto" w:fill="FFFFFF"/>
        </w:rPr>
        <w:t>44</w:t>
      </w:r>
      <w:r w:rsidRPr="003C1463">
        <w:rPr>
          <w:rFonts w:ascii="Times New Roman" w:hAnsi="Times New Roman" w:cs="Times New Roman"/>
          <w:color w:val="222222"/>
          <w:sz w:val="24"/>
          <w:szCs w:val="24"/>
          <w:shd w:val="clear" w:color="auto" w:fill="FFFFFF"/>
        </w:rPr>
        <w:t>(2), pp.533-543.</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Ineos.com. (2018). </w:t>
      </w:r>
      <w:r w:rsidRPr="003C1463">
        <w:rPr>
          <w:rFonts w:ascii="Times New Roman" w:hAnsi="Times New Roman" w:cs="Times New Roman"/>
          <w:i/>
          <w:iCs/>
          <w:sz w:val="24"/>
          <w:szCs w:val="24"/>
        </w:rPr>
        <w:t>INEOS - The Word for Chemicals</w:t>
      </w:r>
      <w:r w:rsidRPr="003C1463">
        <w:rPr>
          <w:rFonts w:ascii="Times New Roman" w:hAnsi="Times New Roman" w:cs="Times New Roman"/>
          <w:sz w:val="24"/>
          <w:szCs w:val="24"/>
        </w:rPr>
        <w:t>. [online] Available at: https://www.ineos.com/ [Accessed 21 Aug. 2018].</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Lasserre, P., 2017. </w:t>
      </w:r>
      <w:r w:rsidRPr="003C1463">
        <w:rPr>
          <w:rFonts w:ascii="Times New Roman" w:hAnsi="Times New Roman" w:cs="Times New Roman"/>
          <w:i/>
          <w:iCs/>
          <w:color w:val="222222"/>
          <w:sz w:val="24"/>
          <w:szCs w:val="24"/>
          <w:shd w:val="clear" w:color="auto" w:fill="FFFFFF"/>
        </w:rPr>
        <w:t>Global strategic management</w:t>
      </w:r>
      <w:r w:rsidRPr="003C1463">
        <w:rPr>
          <w:rFonts w:ascii="Times New Roman" w:hAnsi="Times New Roman" w:cs="Times New Roman"/>
          <w:color w:val="222222"/>
          <w:sz w:val="24"/>
          <w:szCs w:val="24"/>
          <w:shd w:val="clear" w:color="auto" w:fill="FFFFFF"/>
        </w:rPr>
        <w:t>. Macmillan International Higher Education.</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López, F.J.D. and Montalvo, C., 2015. A comprehensive review of the evolving and cumulative nature of eco-innovation in the chemical industry. </w:t>
      </w:r>
      <w:r w:rsidRPr="003C1463">
        <w:rPr>
          <w:rFonts w:ascii="Times New Roman" w:hAnsi="Times New Roman" w:cs="Times New Roman"/>
          <w:i/>
          <w:iCs/>
          <w:sz w:val="24"/>
          <w:szCs w:val="24"/>
        </w:rPr>
        <w:t>Journal of Cleaner Production</w:t>
      </w:r>
      <w:r w:rsidRPr="003C1463">
        <w:rPr>
          <w:rFonts w:ascii="Times New Roman" w:hAnsi="Times New Roman" w:cs="Times New Roman"/>
          <w:sz w:val="24"/>
          <w:szCs w:val="24"/>
        </w:rPr>
        <w:t>, </w:t>
      </w:r>
      <w:r w:rsidRPr="003C1463">
        <w:rPr>
          <w:rFonts w:ascii="Times New Roman" w:hAnsi="Times New Roman" w:cs="Times New Roman"/>
          <w:i/>
          <w:iCs/>
          <w:sz w:val="24"/>
          <w:szCs w:val="24"/>
        </w:rPr>
        <w:t>102</w:t>
      </w:r>
      <w:r w:rsidRPr="003C1463">
        <w:rPr>
          <w:rFonts w:ascii="Times New Roman" w:hAnsi="Times New Roman" w:cs="Times New Roman"/>
          <w:sz w:val="24"/>
          <w:szCs w:val="24"/>
        </w:rPr>
        <w:t>, pp.30-43.</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McCormack, K.P. and Johnson, W.C., 2016. </w:t>
      </w:r>
      <w:r w:rsidRPr="003C1463">
        <w:rPr>
          <w:rFonts w:ascii="Times New Roman" w:hAnsi="Times New Roman" w:cs="Times New Roman"/>
          <w:i/>
          <w:iCs/>
          <w:color w:val="222222"/>
          <w:sz w:val="24"/>
          <w:szCs w:val="24"/>
          <w:shd w:val="clear" w:color="auto" w:fill="FFFFFF"/>
        </w:rPr>
        <w:t>Supply chain networks and business process orientation: advanced strategies and best practices</w:t>
      </w:r>
      <w:r w:rsidRPr="003C1463">
        <w:rPr>
          <w:rFonts w:ascii="Times New Roman" w:hAnsi="Times New Roman" w:cs="Times New Roman"/>
          <w:color w:val="222222"/>
          <w:sz w:val="24"/>
          <w:szCs w:val="24"/>
          <w:shd w:val="clear" w:color="auto" w:fill="FFFFFF"/>
        </w:rPr>
        <w:t>. CRC Press.</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Miller-Nobles, T.L., Mattison, B. and Matsumura, E.M., 2016. Horngren's Financial &amp; Managerial Accounting: The Managerial Chapters. Pearson.</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More-nmp.eu. (2018). [online] Available at: http://www.more-nmp.eu/wp-content/uploads/2017/02/MORE_Final-Workshop_What_Gains_and_impact_Kraemer.pdf [Accessed 21 Aug. 2018].</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lastRenderedPageBreak/>
        <w:t>Näyhä, A. and Pesonen, H.L., 2014. Strategic change in the forest industry towards the biorefining business. </w:t>
      </w:r>
      <w:r w:rsidRPr="003C1463">
        <w:rPr>
          <w:rFonts w:ascii="Times New Roman" w:hAnsi="Times New Roman" w:cs="Times New Roman"/>
          <w:i/>
          <w:iCs/>
          <w:sz w:val="24"/>
          <w:szCs w:val="24"/>
        </w:rPr>
        <w:t>Technological Forecasting and Social Change</w:t>
      </w:r>
      <w:r w:rsidRPr="003C1463">
        <w:rPr>
          <w:rFonts w:ascii="Times New Roman" w:hAnsi="Times New Roman" w:cs="Times New Roman"/>
          <w:sz w:val="24"/>
          <w:szCs w:val="24"/>
        </w:rPr>
        <w:t>, </w:t>
      </w:r>
      <w:r w:rsidRPr="003C1463">
        <w:rPr>
          <w:rFonts w:ascii="Times New Roman" w:hAnsi="Times New Roman" w:cs="Times New Roman"/>
          <w:i/>
          <w:iCs/>
          <w:sz w:val="24"/>
          <w:szCs w:val="24"/>
        </w:rPr>
        <w:t>81</w:t>
      </w:r>
      <w:r w:rsidRPr="003C1463">
        <w:rPr>
          <w:rFonts w:ascii="Times New Roman" w:hAnsi="Times New Roman" w:cs="Times New Roman"/>
          <w:sz w:val="24"/>
          <w:szCs w:val="24"/>
        </w:rPr>
        <w:t>, pp.259-271.</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Nesticò, A. and Pipolo, O., 2015. A protocol for sustainable building interventions: financial analysis and environmental effects. International Journal of Business Intelligence and Data Mining, 10(3), pp.199-212.</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sz w:val="24"/>
          <w:szCs w:val="24"/>
        </w:rPr>
        <w:t>Ocasio, W. and Radoynovska, N., 2016. Strategy and commitments to institutional logics: Organizational heterogeneity in business models and governance. </w:t>
      </w:r>
      <w:r w:rsidRPr="003C1463">
        <w:rPr>
          <w:rFonts w:ascii="Times New Roman" w:hAnsi="Times New Roman" w:cs="Times New Roman"/>
          <w:i/>
          <w:iCs/>
          <w:sz w:val="24"/>
          <w:szCs w:val="24"/>
        </w:rPr>
        <w:t>Strategic Organization</w:t>
      </w:r>
      <w:r w:rsidRPr="003C1463">
        <w:rPr>
          <w:rFonts w:ascii="Times New Roman" w:hAnsi="Times New Roman" w:cs="Times New Roman"/>
          <w:sz w:val="24"/>
          <w:szCs w:val="24"/>
        </w:rPr>
        <w:t>, </w:t>
      </w:r>
      <w:r w:rsidRPr="003C1463">
        <w:rPr>
          <w:rFonts w:ascii="Times New Roman" w:hAnsi="Times New Roman" w:cs="Times New Roman"/>
          <w:i/>
          <w:iCs/>
          <w:sz w:val="24"/>
          <w:szCs w:val="24"/>
        </w:rPr>
        <w:t>14</w:t>
      </w:r>
      <w:r w:rsidRPr="003C1463">
        <w:rPr>
          <w:rFonts w:ascii="Times New Roman" w:hAnsi="Times New Roman" w:cs="Times New Roman"/>
          <w:sz w:val="24"/>
          <w:szCs w:val="24"/>
        </w:rPr>
        <w:t>(4), pp.287-309.</w:t>
      </w:r>
      <w:r w:rsidRPr="003C1463">
        <w:rPr>
          <w:rFonts w:ascii="Times New Roman" w:hAnsi="Times New Roman" w:cs="Times New Roman"/>
          <w:color w:val="222222"/>
          <w:sz w:val="24"/>
          <w:szCs w:val="24"/>
          <w:shd w:val="clear" w:color="auto" w:fill="FFFFFF"/>
        </w:rPr>
        <w:t xml:space="preserve"> </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Osadchy, E.A., Akhmetshin, E.M., Amirova, E.F., Bochkareva, T.N., Gazizyanova, Y. and Yumashev, A.V., 2018. Financial Statements of a Company as an Information Base for Decision-Making in a Transforming Economy. European Research Studies Journal, 21(2), pp.339-350.</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Piercy, N.F., 2016. </w:t>
      </w:r>
      <w:r w:rsidRPr="003C1463">
        <w:rPr>
          <w:rFonts w:ascii="Times New Roman" w:hAnsi="Times New Roman" w:cs="Times New Roman"/>
          <w:i/>
          <w:iCs/>
          <w:sz w:val="24"/>
          <w:szCs w:val="24"/>
        </w:rPr>
        <w:t>Market-led strategic change: Transforming the process of going to market</w:t>
      </w:r>
      <w:r w:rsidRPr="003C1463">
        <w:rPr>
          <w:rFonts w:ascii="Times New Roman" w:hAnsi="Times New Roman" w:cs="Times New Roman"/>
          <w:sz w:val="24"/>
          <w:szCs w:val="24"/>
        </w:rPr>
        <w:t>. Routledge.</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Revelli, C. and Viviani, J.L., 2015. Financial performance of socially responsible investing (SRI): what have we learned? A meta‐analysis. Business Ethics: A European Review, 24(2), pp.158-185.</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Schaltegger, S. and Wagner, M., 2017. </w:t>
      </w:r>
      <w:r w:rsidRPr="003C1463">
        <w:rPr>
          <w:rFonts w:ascii="Times New Roman" w:hAnsi="Times New Roman" w:cs="Times New Roman"/>
          <w:i/>
          <w:iCs/>
          <w:color w:val="222222"/>
          <w:sz w:val="24"/>
          <w:szCs w:val="24"/>
          <w:shd w:val="clear" w:color="auto" w:fill="FFFFFF"/>
        </w:rPr>
        <w:t>Managing the business case for sustainability: The integration of social, environmental and economic performance</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Schaltegger, S., Burritt, R. and Petersen, H., 2017. </w:t>
      </w:r>
      <w:r w:rsidRPr="003C1463">
        <w:rPr>
          <w:rFonts w:ascii="Times New Roman" w:hAnsi="Times New Roman" w:cs="Times New Roman"/>
          <w:i/>
          <w:iCs/>
          <w:color w:val="222222"/>
          <w:sz w:val="24"/>
          <w:szCs w:val="24"/>
          <w:shd w:val="clear" w:color="auto" w:fill="FFFFFF"/>
        </w:rPr>
        <w:t>An introduction to corporate environmental management: Striving for sustainability</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Sheen, A., 2016. Do public and private firms behave differently? An examination of investment in the chemical industry.</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Song, Q., Li, J. and Zeng, X., 2015. Minimizing the increasing solid waste through zero waste strategy. </w:t>
      </w:r>
      <w:r w:rsidRPr="003C1463">
        <w:rPr>
          <w:rFonts w:ascii="Times New Roman" w:hAnsi="Times New Roman" w:cs="Times New Roman"/>
          <w:i/>
          <w:iCs/>
          <w:color w:val="222222"/>
          <w:sz w:val="24"/>
          <w:szCs w:val="24"/>
          <w:shd w:val="clear" w:color="auto" w:fill="FFFFFF"/>
        </w:rPr>
        <w:t>Journal of Cleaner Production</w:t>
      </w:r>
      <w:r w:rsidRPr="003C1463">
        <w:rPr>
          <w:rFonts w:ascii="Times New Roman" w:hAnsi="Times New Roman" w:cs="Times New Roman"/>
          <w:color w:val="222222"/>
          <w:sz w:val="24"/>
          <w:szCs w:val="24"/>
          <w:shd w:val="clear" w:color="auto" w:fill="FFFFFF"/>
        </w:rPr>
        <w:t>, </w:t>
      </w:r>
      <w:r w:rsidRPr="003C1463">
        <w:rPr>
          <w:rFonts w:ascii="Times New Roman" w:hAnsi="Times New Roman" w:cs="Times New Roman"/>
          <w:i/>
          <w:iCs/>
          <w:color w:val="222222"/>
          <w:sz w:val="24"/>
          <w:szCs w:val="24"/>
          <w:shd w:val="clear" w:color="auto" w:fill="FFFFFF"/>
        </w:rPr>
        <w:t>104</w:t>
      </w:r>
      <w:r w:rsidRPr="003C1463">
        <w:rPr>
          <w:rFonts w:ascii="Times New Roman" w:hAnsi="Times New Roman" w:cs="Times New Roman"/>
          <w:color w:val="222222"/>
          <w:sz w:val="24"/>
          <w:szCs w:val="24"/>
          <w:shd w:val="clear" w:color="auto" w:fill="FFFFFF"/>
        </w:rPr>
        <w:t>, pp.199-210.</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Stead, J.G. and Stead, W.E., 2014. </w:t>
      </w:r>
      <w:r w:rsidRPr="003C1463">
        <w:rPr>
          <w:rFonts w:ascii="Times New Roman" w:hAnsi="Times New Roman" w:cs="Times New Roman"/>
          <w:i/>
          <w:iCs/>
          <w:sz w:val="24"/>
          <w:szCs w:val="24"/>
        </w:rPr>
        <w:t>Sustainable strategic management</w:t>
      </w:r>
      <w:r w:rsidRPr="003C1463">
        <w:rPr>
          <w:rFonts w:ascii="Times New Roman" w:hAnsi="Times New Roman" w:cs="Times New Roman"/>
          <w:sz w:val="24"/>
          <w:szCs w:val="24"/>
        </w:rPr>
        <w:t>. Routledge.</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Stead, J.G. and Stead, W.E., 2014. </w:t>
      </w:r>
      <w:r w:rsidRPr="003C1463">
        <w:rPr>
          <w:rFonts w:ascii="Times New Roman" w:hAnsi="Times New Roman" w:cs="Times New Roman"/>
          <w:i/>
          <w:iCs/>
          <w:color w:val="222222"/>
          <w:sz w:val="24"/>
          <w:szCs w:val="24"/>
          <w:shd w:val="clear" w:color="auto" w:fill="FFFFFF"/>
        </w:rPr>
        <w:t>Sustainable strategic management</w:t>
      </w:r>
      <w:r w:rsidRPr="003C1463">
        <w:rPr>
          <w:rFonts w:ascii="Times New Roman" w:hAnsi="Times New Roman" w:cs="Times New Roman"/>
          <w:color w:val="222222"/>
          <w:sz w:val="24"/>
          <w:szCs w:val="24"/>
          <w:shd w:val="clear" w:color="auto" w:fill="FFFFFF"/>
        </w:rPr>
        <w:t>. Routledge.</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lastRenderedPageBreak/>
        <w:t>Thomas, R.R., Van Greuning, H., Henry, E. and Michael, A.B., 2016. International financial statement analysis.</w:t>
      </w:r>
    </w:p>
    <w:p w:rsidR="00755438" w:rsidRPr="00BB7D20" w:rsidRDefault="00755438" w:rsidP="00755438">
      <w:pPr>
        <w:spacing w:line="360" w:lineRule="auto"/>
        <w:jc w:val="both"/>
        <w:rPr>
          <w:rFonts w:ascii="Times New Roman" w:hAnsi="Times New Roman" w:cs="Times New Roman"/>
          <w:sz w:val="24"/>
          <w:szCs w:val="24"/>
        </w:rPr>
      </w:pPr>
      <w:r w:rsidRPr="00BB7D20">
        <w:rPr>
          <w:rFonts w:ascii="Times New Roman" w:hAnsi="Times New Roman" w:cs="Times New Roman"/>
          <w:sz w:val="24"/>
          <w:szCs w:val="24"/>
        </w:rPr>
        <w:t>Vogel, H.L., 2014. Entertainment industry economics: A guide for financial analysis. Cambridge University Press.</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Wallace, D., 2017. </w:t>
      </w:r>
      <w:r w:rsidRPr="003C1463">
        <w:rPr>
          <w:rFonts w:ascii="Times New Roman" w:hAnsi="Times New Roman" w:cs="Times New Roman"/>
          <w:i/>
          <w:iCs/>
          <w:color w:val="222222"/>
          <w:sz w:val="24"/>
          <w:szCs w:val="24"/>
          <w:shd w:val="clear" w:color="auto" w:fill="FFFFFF"/>
        </w:rPr>
        <w:t>Environmental policy and industrial innovation: Strategies in Europe, the USA and Japan</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Warner, M. and Sullivan, R. eds., 2017. </w:t>
      </w:r>
      <w:r w:rsidRPr="003C1463">
        <w:rPr>
          <w:rFonts w:ascii="Times New Roman" w:hAnsi="Times New Roman" w:cs="Times New Roman"/>
          <w:i/>
          <w:iCs/>
          <w:sz w:val="24"/>
          <w:szCs w:val="24"/>
        </w:rPr>
        <w:t>Putting partnerships to work: Strategic alliances for development between government, the private sector and civil society</w:t>
      </w:r>
      <w:r w:rsidRPr="003C1463">
        <w:rPr>
          <w:rFonts w:ascii="Times New Roman" w:hAnsi="Times New Roman" w:cs="Times New Roman"/>
          <w:sz w:val="24"/>
          <w:szCs w:val="24"/>
        </w:rPr>
        <w:t>. Routledge.</w:t>
      </w:r>
    </w:p>
    <w:p w:rsidR="00755438" w:rsidRPr="003C1463" w:rsidRDefault="00755438" w:rsidP="00755438">
      <w:pPr>
        <w:spacing w:line="360" w:lineRule="auto"/>
        <w:jc w:val="both"/>
        <w:rPr>
          <w:rFonts w:ascii="Times New Roman" w:hAnsi="Times New Roman" w:cs="Times New Roman"/>
          <w:sz w:val="24"/>
          <w:szCs w:val="24"/>
        </w:rPr>
      </w:pPr>
      <w:r w:rsidRPr="003C1463">
        <w:rPr>
          <w:rFonts w:ascii="Times New Roman" w:hAnsi="Times New Roman" w:cs="Times New Roman"/>
          <w:sz w:val="24"/>
          <w:szCs w:val="24"/>
        </w:rPr>
        <w:t>Watts, H.D., 2018. </w:t>
      </w:r>
      <w:r w:rsidRPr="003C1463">
        <w:rPr>
          <w:rFonts w:ascii="Times New Roman" w:hAnsi="Times New Roman" w:cs="Times New Roman"/>
          <w:i/>
          <w:iCs/>
          <w:sz w:val="24"/>
          <w:szCs w:val="24"/>
        </w:rPr>
        <w:t>The large industrial enterprise: some spatial perspectives</w:t>
      </w:r>
      <w:r w:rsidRPr="003C1463">
        <w:rPr>
          <w:rFonts w:ascii="Times New Roman" w:hAnsi="Times New Roman" w:cs="Times New Roman"/>
          <w:sz w:val="24"/>
          <w:szCs w:val="24"/>
        </w:rPr>
        <w:t>. Routledge.</w:t>
      </w:r>
    </w:p>
    <w:p w:rsidR="00755438" w:rsidRPr="003C1463" w:rsidRDefault="00755438" w:rsidP="00755438">
      <w:pPr>
        <w:spacing w:line="360" w:lineRule="auto"/>
        <w:jc w:val="both"/>
        <w:rPr>
          <w:rFonts w:ascii="Times New Roman" w:hAnsi="Times New Roman" w:cs="Times New Roman"/>
          <w:color w:val="222222"/>
          <w:sz w:val="24"/>
          <w:szCs w:val="24"/>
          <w:shd w:val="clear" w:color="auto" w:fill="FFFFFF"/>
        </w:rPr>
      </w:pPr>
      <w:r w:rsidRPr="003C1463">
        <w:rPr>
          <w:rFonts w:ascii="Times New Roman" w:hAnsi="Times New Roman" w:cs="Times New Roman"/>
          <w:color w:val="222222"/>
          <w:sz w:val="24"/>
          <w:szCs w:val="24"/>
          <w:shd w:val="clear" w:color="auto" w:fill="FFFFFF"/>
        </w:rPr>
        <w:t>Welford, R., 2016. </w:t>
      </w:r>
      <w:r w:rsidRPr="003C1463">
        <w:rPr>
          <w:rFonts w:ascii="Times New Roman" w:hAnsi="Times New Roman" w:cs="Times New Roman"/>
          <w:i/>
          <w:iCs/>
          <w:color w:val="222222"/>
          <w:sz w:val="24"/>
          <w:szCs w:val="24"/>
          <w:shd w:val="clear" w:color="auto" w:fill="FFFFFF"/>
        </w:rPr>
        <w:t>Corporate environmental management 1: systems and strategies</w:t>
      </w:r>
      <w:r w:rsidRPr="003C1463">
        <w:rPr>
          <w:rFonts w:ascii="Times New Roman" w:hAnsi="Times New Roman" w:cs="Times New Roman"/>
          <w:color w:val="222222"/>
          <w:sz w:val="24"/>
          <w:szCs w:val="24"/>
          <w:shd w:val="clear" w:color="auto" w:fill="FFFFFF"/>
        </w:rPr>
        <w:t>. Routledge.</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lang w:val="en-GB"/>
        </w:rPr>
        <w:t>Wells, A. and Meyer, H.P., 2014. Biocatalysis as a strategic green technology for the chemical industry. ChemCatChem, 6(4), pp.918-920.</w:t>
      </w:r>
    </w:p>
    <w:p w:rsidR="00755438" w:rsidRPr="003C1463" w:rsidRDefault="00755438" w:rsidP="00755438">
      <w:pPr>
        <w:spacing w:line="360" w:lineRule="auto"/>
        <w:jc w:val="both"/>
        <w:rPr>
          <w:rFonts w:ascii="Times New Roman" w:hAnsi="Times New Roman" w:cs="Times New Roman"/>
          <w:sz w:val="24"/>
          <w:szCs w:val="24"/>
          <w:lang w:val="en-GB"/>
        </w:rPr>
      </w:pPr>
      <w:r w:rsidRPr="003C1463">
        <w:rPr>
          <w:rFonts w:ascii="Times New Roman" w:hAnsi="Times New Roman" w:cs="Times New Roman"/>
          <w:sz w:val="24"/>
          <w:szCs w:val="24"/>
        </w:rPr>
        <w:t>Wilensky, H.L., 2015. </w:t>
      </w:r>
      <w:r w:rsidRPr="003C1463">
        <w:rPr>
          <w:rFonts w:ascii="Times New Roman" w:hAnsi="Times New Roman" w:cs="Times New Roman"/>
          <w:i/>
          <w:iCs/>
          <w:sz w:val="24"/>
          <w:szCs w:val="24"/>
        </w:rPr>
        <w:t>Organizational intelligence: Knowledge and policy in government and industry</w:t>
      </w:r>
      <w:r w:rsidRPr="003C1463">
        <w:rPr>
          <w:rFonts w:ascii="Times New Roman" w:hAnsi="Times New Roman" w:cs="Times New Roman"/>
          <w:sz w:val="24"/>
          <w:szCs w:val="24"/>
        </w:rPr>
        <w:t> (Vol. 19). Quid Pro Books.</w:t>
      </w:r>
    </w:p>
    <w:p w:rsidR="00755438" w:rsidRDefault="00755438" w:rsidP="00755438">
      <w:pPr>
        <w:rPr>
          <w:rFonts w:ascii="Times New Roman" w:hAnsi="Times New Roman" w:cs="Times New Roman"/>
          <w:sz w:val="24"/>
          <w:szCs w:val="24"/>
        </w:rPr>
      </w:pPr>
      <w:r>
        <w:rPr>
          <w:rFonts w:ascii="Times New Roman" w:hAnsi="Times New Roman" w:cs="Times New Roman"/>
          <w:sz w:val="24"/>
          <w:szCs w:val="24"/>
        </w:rPr>
        <w:br w:type="page"/>
      </w:r>
    </w:p>
    <w:p w:rsidR="00755438" w:rsidRPr="00661D6A" w:rsidRDefault="00755438" w:rsidP="00755438">
      <w:pPr>
        <w:pStyle w:val="Heading1"/>
      </w:pPr>
      <w:bookmarkStart w:id="7" w:name="_Toc522713916"/>
      <w:r w:rsidRPr="00661D6A">
        <w:lastRenderedPageBreak/>
        <w:t>Appendix 1</w:t>
      </w:r>
      <w:bookmarkEnd w:id="7"/>
    </w:p>
    <w:p w:rsidR="00755438" w:rsidRDefault="00755438" w:rsidP="00755438">
      <w:pPr>
        <w:spacing w:line="360" w:lineRule="auto"/>
        <w:jc w:val="both"/>
        <w:rPr>
          <w:rFonts w:ascii="Times New Roman" w:hAnsi="Times New Roman" w:cs="Times New Roman"/>
          <w:sz w:val="24"/>
          <w:szCs w:val="24"/>
        </w:rPr>
      </w:pPr>
      <w:r>
        <w:rPr>
          <w:noProof/>
          <w:lang w:val="en-GB" w:eastAsia="en-GB"/>
        </w:rPr>
        <w:drawing>
          <wp:inline distT="0" distB="0" distL="0" distR="0" wp14:anchorId="68494074" wp14:editId="5D3A7F5A">
            <wp:extent cx="5943600" cy="5045710"/>
            <wp:effectExtent l="19050" t="1905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5045710"/>
                    </a:xfrm>
                    <a:prstGeom prst="rect">
                      <a:avLst/>
                    </a:prstGeom>
                    <a:ln w="6350">
                      <a:solidFill>
                        <a:schemeClr val="tx1"/>
                      </a:solidFill>
                    </a:ln>
                  </pic:spPr>
                </pic:pic>
              </a:graphicData>
            </a:graphic>
          </wp:inline>
        </w:drawing>
      </w:r>
    </w:p>
    <w:p w:rsidR="00755438" w:rsidRDefault="00755438" w:rsidP="00755438">
      <w:pPr>
        <w:spacing w:line="360" w:lineRule="auto"/>
        <w:jc w:val="both"/>
        <w:rPr>
          <w:rFonts w:ascii="Times New Roman" w:hAnsi="Times New Roman" w:cs="Times New Roman"/>
          <w:sz w:val="24"/>
          <w:szCs w:val="24"/>
        </w:rPr>
      </w:pPr>
    </w:p>
    <w:p w:rsidR="00755438" w:rsidRDefault="00755438" w:rsidP="00755438">
      <w:pPr>
        <w:spacing w:line="360" w:lineRule="auto"/>
        <w:jc w:val="both"/>
        <w:rPr>
          <w:rFonts w:ascii="Times New Roman" w:hAnsi="Times New Roman" w:cs="Times New Roman"/>
          <w:sz w:val="24"/>
          <w:szCs w:val="24"/>
        </w:rPr>
      </w:pPr>
    </w:p>
    <w:p w:rsidR="00755438" w:rsidRDefault="00755438" w:rsidP="00755438">
      <w:pPr>
        <w:spacing w:line="360" w:lineRule="auto"/>
        <w:jc w:val="both"/>
        <w:rPr>
          <w:rFonts w:ascii="Times New Roman" w:hAnsi="Times New Roman" w:cs="Times New Roman"/>
          <w:sz w:val="24"/>
          <w:szCs w:val="24"/>
        </w:rPr>
      </w:pPr>
    </w:p>
    <w:p w:rsidR="00755438" w:rsidRDefault="00755438" w:rsidP="00755438">
      <w:pPr>
        <w:spacing w:line="360" w:lineRule="auto"/>
        <w:jc w:val="both"/>
        <w:rPr>
          <w:rFonts w:ascii="Times New Roman" w:hAnsi="Times New Roman" w:cs="Times New Roman"/>
          <w:sz w:val="24"/>
          <w:szCs w:val="24"/>
        </w:rPr>
      </w:pPr>
    </w:p>
    <w:p w:rsidR="00755438" w:rsidRDefault="00755438" w:rsidP="00755438">
      <w:pPr>
        <w:spacing w:line="360" w:lineRule="auto"/>
        <w:jc w:val="both"/>
        <w:rPr>
          <w:rFonts w:ascii="Times New Roman" w:hAnsi="Times New Roman" w:cs="Times New Roman"/>
          <w:sz w:val="24"/>
          <w:szCs w:val="24"/>
        </w:rPr>
      </w:pPr>
    </w:p>
    <w:p w:rsidR="00755438" w:rsidRDefault="00755438" w:rsidP="00755438">
      <w:pPr>
        <w:spacing w:line="360" w:lineRule="auto"/>
        <w:jc w:val="both"/>
        <w:rPr>
          <w:rFonts w:ascii="Times New Roman" w:hAnsi="Times New Roman" w:cs="Times New Roman"/>
          <w:sz w:val="24"/>
          <w:szCs w:val="24"/>
        </w:rPr>
      </w:pPr>
    </w:p>
    <w:p w:rsidR="00755438" w:rsidRDefault="00755438" w:rsidP="00755438">
      <w:pPr>
        <w:spacing w:line="360" w:lineRule="auto"/>
        <w:jc w:val="both"/>
        <w:rPr>
          <w:rFonts w:ascii="Times New Roman" w:hAnsi="Times New Roman" w:cs="Times New Roman"/>
          <w:sz w:val="24"/>
          <w:szCs w:val="24"/>
        </w:rPr>
      </w:pPr>
    </w:p>
    <w:p w:rsidR="00755438" w:rsidRDefault="00755438" w:rsidP="00755438">
      <w:pPr>
        <w:pStyle w:val="Heading1"/>
      </w:pPr>
      <w:bookmarkStart w:id="8" w:name="_Toc522713917"/>
      <w:r>
        <w:lastRenderedPageBreak/>
        <w:t>Appendix 2</w:t>
      </w:r>
      <w:bookmarkEnd w:id="8"/>
    </w:p>
    <w:p w:rsidR="00755438" w:rsidRPr="001F545C" w:rsidRDefault="00755438" w:rsidP="00755438">
      <w:pPr>
        <w:spacing w:line="360" w:lineRule="auto"/>
        <w:jc w:val="center"/>
        <w:rPr>
          <w:rFonts w:ascii="Times New Roman" w:hAnsi="Times New Roman" w:cs="Times New Roman"/>
          <w:b/>
          <w:sz w:val="24"/>
          <w:szCs w:val="24"/>
        </w:rPr>
      </w:pPr>
      <w:r w:rsidRPr="001F545C">
        <w:rPr>
          <w:rFonts w:ascii="Times New Roman" w:hAnsi="Times New Roman" w:cs="Times New Roman"/>
          <w:b/>
          <w:sz w:val="24"/>
          <w:szCs w:val="24"/>
        </w:rPr>
        <w:t>INEOS Group Holdings S.A.</w:t>
      </w:r>
    </w:p>
    <w:p w:rsidR="00755438" w:rsidRDefault="00755438" w:rsidP="00755438">
      <w:pPr>
        <w:spacing w:line="360" w:lineRule="auto"/>
        <w:jc w:val="center"/>
        <w:rPr>
          <w:rFonts w:ascii="Times New Roman" w:hAnsi="Times New Roman" w:cs="Times New Roman"/>
          <w:b/>
          <w:sz w:val="24"/>
          <w:szCs w:val="24"/>
        </w:rPr>
      </w:pPr>
      <w:r w:rsidRPr="001F545C">
        <w:rPr>
          <w:rFonts w:ascii="Times New Roman" w:hAnsi="Times New Roman" w:cs="Times New Roman"/>
          <w:b/>
          <w:sz w:val="24"/>
          <w:szCs w:val="24"/>
        </w:rPr>
        <w:t>CONSOLIDATED BALANCE SHEET AS AT 31 DECEMBER 2017</w:t>
      </w:r>
    </w:p>
    <w:p w:rsidR="00755438" w:rsidRPr="001F545C" w:rsidRDefault="00755438" w:rsidP="00755438">
      <w:pPr>
        <w:spacing w:line="360" w:lineRule="auto"/>
        <w:jc w:val="both"/>
        <w:rPr>
          <w:rFonts w:ascii="Times New Roman" w:hAnsi="Times New Roman" w:cs="Times New Roman"/>
          <w:b/>
          <w:sz w:val="24"/>
          <w:szCs w:val="24"/>
        </w:rPr>
      </w:pPr>
      <w:r>
        <w:rPr>
          <w:noProof/>
          <w:lang w:val="en-GB" w:eastAsia="en-GB"/>
        </w:rPr>
        <w:drawing>
          <wp:inline distT="0" distB="0" distL="0" distR="0" wp14:anchorId="40307912" wp14:editId="1EA1765E">
            <wp:extent cx="5943600" cy="6862445"/>
            <wp:effectExtent l="19050" t="1905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6862445"/>
                    </a:xfrm>
                    <a:prstGeom prst="rect">
                      <a:avLst/>
                    </a:prstGeom>
                    <a:ln w="6350">
                      <a:solidFill>
                        <a:schemeClr val="tx1"/>
                      </a:solidFill>
                    </a:ln>
                  </pic:spPr>
                </pic:pic>
              </a:graphicData>
            </a:graphic>
          </wp:inline>
        </w:drawing>
      </w:r>
    </w:p>
    <w:sectPr w:rsidR="00755438" w:rsidRPr="001F545C" w:rsidSect="0026049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4244751"/>
      <w:docPartObj>
        <w:docPartGallery w:val="Page Numbers (Bottom of Page)"/>
        <w:docPartUnique/>
      </w:docPartObj>
    </w:sdtPr>
    <w:sdtEndPr/>
    <w:sdtContent>
      <w:p w:rsidR="00A80B37" w:rsidRDefault="00EC6178">
        <w:pPr>
          <w:pStyle w:val="Footer"/>
          <w:jc w:val="right"/>
        </w:pPr>
        <w:r>
          <w:rPr>
            <w:noProof/>
          </w:rPr>
          <w:fldChar w:fldCharType="begin"/>
        </w:r>
        <w:r>
          <w:rPr>
            <w:noProof/>
          </w:rPr>
          <w:instrText xml:space="preserve"> PAGE   \* MERGEFORMAT </w:instrText>
        </w:r>
        <w:r>
          <w:rPr>
            <w:noProof/>
          </w:rPr>
          <w:fldChar w:fldCharType="separate"/>
        </w:r>
        <w:r>
          <w:rPr>
            <w:noProof/>
          </w:rPr>
          <w:t>2</w:t>
        </w:r>
        <w:r>
          <w:rPr>
            <w:noProof/>
          </w:rPr>
          <w:fldChar w:fldCharType="end"/>
        </w:r>
      </w:p>
    </w:sdtContent>
  </w:sdt>
  <w:p w:rsidR="00A80B37" w:rsidRDefault="00EC617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4114CE"/>
    <w:multiLevelType w:val="hybridMultilevel"/>
    <w:tmpl w:val="B112B1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7387B6B"/>
    <w:multiLevelType w:val="hybridMultilevel"/>
    <w:tmpl w:val="FDBCC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E34CD0"/>
    <w:multiLevelType w:val="hybridMultilevel"/>
    <w:tmpl w:val="2CE24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813395"/>
    <w:multiLevelType w:val="hybridMultilevel"/>
    <w:tmpl w:val="4F6C4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CE249BF"/>
    <w:multiLevelType w:val="hybridMultilevel"/>
    <w:tmpl w:val="CDCA7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438"/>
    <w:rsid w:val="00166FA9"/>
    <w:rsid w:val="00354B34"/>
    <w:rsid w:val="00755438"/>
    <w:rsid w:val="00EC1666"/>
    <w:rsid w:val="00EC6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4780A"/>
  <w15:chartTrackingRefBased/>
  <w15:docId w15:val="{FEF0EA72-471B-4842-893A-660482761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438"/>
    <w:pPr>
      <w:spacing w:after="200" w:line="276" w:lineRule="auto"/>
    </w:pPr>
    <w:rPr>
      <w:lang w:val="en-US"/>
    </w:rPr>
  </w:style>
  <w:style w:type="paragraph" w:styleId="Heading1">
    <w:name w:val="heading 1"/>
    <w:basedOn w:val="Normal"/>
    <w:next w:val="Normal"/>
    <w:link w:val="Heading1Char"/>
    <w:uiPriority w:val="9"/>
    <w:qFormat/>
    <w:rsid w:val="00755438"/>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5438"/>
    <w:rPr>
      <w:rFonts w:ascii="Times New Roman" w:eastAsiaTheme="majorEastAsia" w:hAnsi="Times New Roman" w:cstheme="majorBidi"/>
      <w:b/>
      <w:bCs/>
      <w:sz w:val="24"/>
      <w:szCs w:val="28"/>
      <w:lang w:val="en-US"/>
    </w:rPr>
  </w:style>
  <w:style w:type="table" w:styleId="TableGrid">
    <w:name w:val="Table Grid"/>
    <w:basedOn w:val="TableNormal"/>
    <w:uiPriority w:val="59"/>
    <w:rsid w:val="00755438"/>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55438"/>
    <w:pPr>
      <w:spacing w:line="360" w:lineRule="auto"/>
      <w:ind w:left="720"/>
      <w:contextualSpacing/>
      <w:jc w:val="both"/>
    </w:pPr>
    <w:rPr>
      <w:rFonts w:ascii="Times New Roman" w:eastAsiaTheme="minorEastAsia" w:hAnsi="Times New Roman"/>
      <w:sz w:val="24"/>
    </w:rPr>
  </w:style>
  <w:style w:type="paragraph" w:styleId="TableofFigures">
    <w:name w:val="table of figures"/>
    <w:basedOn w:val="Normal"/>
    <w:next w:val="Normal"/>
    <w:uiPriority w:val="99"/>
    <w:unhideWhenUsed/>
    <w:rsid w:val="00755438"/>
    <w:pPr>
      <w:spacing w:after="0" w:line="360" w:lineRule="auto"/>
      <w:jc w:val="both"/>
    </w:pPr>
    <w:rPr>
      <w:rFonts w:ascii="Times New Roman" w:eastAsiaTheme="minorEastAsia" w:hAnsi="Times New Roman"/>
      <w:sz w:val="24"/>
    </w:rPr>
  </w:style>
  <w:style w:type="character" w:styleId="Hyperlink">
    <w:name w:val="Hyperlink"/>
    <w:basedOn w:val="DefaultParagraphFont"/>
    <w:uiPriority w:val="99"/>
    <w:unhideWhenUsed/>
    <w:rsid w:val="00755438"/>
    <w:rPr>
      <w:color w:val="0563C1" w:themeColor="hyperlink"/>
      <w:u w:val="single"/>
    </w:rPr>
  </w:style>
  <w:style w:type="paragraph" w:styleId="Footer">
    <w:name w:val="footer"/>
    <w:basedOn w:val="Normal"/>
    <w:link w:val="FooterChar"/>
    <w:uiPriority w:val="99"/>
    <w:unhideWhenUsed/>
    <w:rsid w:val="007554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438"/>
    <w:rPr>
      <w:lang w:val="en-US"/>
    </w:rPr>
  </w:style>
  <w:style w:type="paragraph" w:styleId="NoSpacing">
    <w:name w:val="No Spacing"/>
    <w:uiPriority w:val="1"/>
    <w:qFormat/>
    <w:rsid w:val="00755438"/>
    <w:pPr>
      <w:autoSpaceDE w:val="0"/>
      <w:autoSpaceDN w:val="0"/>
      <w:spacing w:after="0" w:line="240" w:lineRule="auto"/>
    </w:pPr>
    <w:rPr>
      <w:rFonts w:ascii="Times New Roman" w:eastAsia="Times New Roman" w:hAnsi="Times New Roman" w:cs="Times New Roma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google.co.uk/url?sa=i&amp;rct=j&amp;q=&amp;esrc=s&amp;source=images&amp;cd=&amp;cad=rja&amp;uact=8&amp;ved=0ahUKEwif4oj38srYAhUKOsAKHS_gBBgQjRwIBw&amp;url=http://studentblog.uwtsd.ac.uk/&amp;psig=AOvVaw2ObwfIotWgpFg703O56uZ0&amp;ust=151558784943557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28</Pages>
  <Words>7988</Words>
  <Characters>45534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yogita patel</dc:creator>
  <cp:keywords/>
  <dc:description/>
  <cp:lastModifiedBy>yogita patel</cp:lastModifiedBy>
  <cp:revision>1</cp:revision>
  <dcterms:created xsi:type="dcterms:W3CDTF">2018-09-04T09:27:00Z</dcterms:created>
  <dcterms:modified xsi:type="dcterms:W3CDTF">2018-09-04T09:47:00Z</dcterms:modified>
</cp:coreProperties>
</file>