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A7B007" w14:textId="77777777" w:rsidR="00CB073F" w:rsidRDefault="00000000">
      <w:pPr>
        <w:jc w:val="center"/>
      </w:pPr>
      <w:r>
        <w:rPr>
          <w:noProof/>
        </w:rPr>
        <w:drawing>
          <wp:inline distT="0" distB="0" distL="0" distR="0" wp14:anchorId="412B80D5" wp14:editId="76C12D17">
            <wp:extent cx="1508443" cy="8045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1514430" cy="807738"/>
                    </a:xfrm>
                    <a:prstGeom prst="rect">
                      <a:avLst/>
                    </a:prstGeom>
                  </pic:spPr>
                </pic:pic>
              </a:graphicData>
            </a:graphic>
          </wp:inline>
        </w:drawing>
      </w:r>
    </w:p>
    <w:p w14:paraId="2F18ADD9" w14:textId="77777777" w:rsidR="00CB073F" w:rsidRDefault="00000000">
      <w:pPr>
        <w:spacing w:before="640" w:after="280"/>
        <w:jc w:val="center"/>
      </w:pPr>
      <w:r>
        <w:rPr>
          <w:b/>
          <w:color w:val="156082"/>
          <w:sz w:val="40"/>
        </w:rPr>
        <w:t>Alzheimer’s Disease in Older People in the United Kingdom</w:t>
      </w:r>
    </w:p>
    <w:p w14:paraId="60D2253D" w14:textId="77777777" w:rsidR="00CB073F" w:rsidRDefault="00000000">
      <w:pPr>
        <w:spacing w:after="480"/>
        <w:jc w:val="center"/>
      </w:pPr>
      <w:r>
        <w:rPr>
          <w:i/>
        </w:rPr>
        <w:t>Information booklet for service users, care professionals and families</w:t>
      </w:r>
    </w:p>
    <w:tbl>
      <w:tblPr>
        <w:tblW w:w="0" w:type="auto"/>
        <w:jc w:val="center"/>
        <w:tblLayout w:type="fixed"/>
        <w:tblLook w:val="04A0" w:firstRow="1" w:lastRow="0" w:firstColumn="1" w:lastColumn="0" w:noHBand="0" w:noVBand="1"/>
      </w:tblPr>
      <w:tblGrid>
        <w:gridCol w:w="3168"/>
        <w:gridCol w:w="6048"/>
      </w:tblGrid>
      <w:tr w:rsidR="00CB073F" w:rsidRPr="00E6078C" w14:paraId="7BA67DD0" w14:textId="77777777" w:rsidTr="00E6078C">
        <w:trPr>
          <w:trHeight w:val="560"/>
          <w:jc w:val="center"/>
        </w:trPr>
        <w:tc>
          <w:tcPr>
            <w:tcW w:w="9216" w:type="dxa"/>
            <w:gridSpan w:val="2"/>
            <w:tcBorders>
              <w:top w:val="single" w:sz="4" w:space="0" w:color="4F81BD" w:themeColor="accent1"/>
              <w:left w:val="single" w:sz="4" w:space="0" w:color="4F81BD" w:themeColor="accent1"/>
              <w:bottom w:val="single" w:sz="4" w:space="0" w:color="4F81BD" w:themeColor="accent1"/>
              <w:right w:val="single" w:sz="4" w:space="0" w:color="4F81BD" w:themeColor="accent1"/>
            </w:tcBorders>
            <w:shd w:val="clear" w:color="auto" w:fill="156082"/>
            <w:vAlign w:val="center"/>
          </w:tcPr>
          <w:p w14:paraId="78EB72F8" w14:textId="77777777" w:rsidR="00CB073F" w:rsidRPr="00E6078C" w:rsidRDefault="00000000" w:rsidP="00E6078C">
            <w:pPr>
              <w:jc w:val="center"/>
            </w:pPr>
            <w:r w:rsidRPr="00E6078C">
              <w:rPr>
                <w:b/>
                <w:color w:val="FFFFFF"/>
              </w:rPr>
              <w:t>Student and Module Information</w:t>
            </w:r>
          </w:p>
        </w:tc>
      </w:tr>
      <w:tr w:rsidR="00CB073F" w:rsidRPr="00E6078C" w14:paraId="3FC8CE04" w14:textId="77777777" w:rsidTr="00E6078C">
        <w:trPr>
          <w:trHeight w:val="560"/>
          <w:jc w:val="center"/>
        </w:trPr>
        <w:tc>
          <w:tcPr>
            <w:tcW w:w="316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shd w:val="clear" w:color="auto" w:fill="D9EAF2"/>
            <w:vAlign w:val="center"/>
          </w:tcPr>
          <w:p w14:paraId="3D35A028" w14:textId="77777777" w:rsidR="00CB073F" w:rsidRPr="00E6078C" w:rsidRDefault="00000000" w:rsidP="00E6078C">
            <w:pPr>
              <w:jc w:val="left"/>
            </w:pPr>
            <w:r w:rsidRPr="00E6078C">
              <w:rPr>
                <w:b/>
              </w:rPr>
              <w:t>Audience</w:t>
            </w:r>
          </w:p>
        </w:tc>
        <w:tc>
          <w:tcPr>
            <w:tcW w:w="604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vAlign w:val="center"/>
          </w:tcPr>
          <w:p w14:paraId="4D4DE14B" w14:textId="77777777" w:rsidR="00CB073F" w:rsidRPr="00E6078C" w:rsidRDefault="00000000" w:rsidP="00E6078C">
            <w:pPr>
              <w:jc w:val="left"/>
            </w:pPr>
            <w:r w:rsidRPr="00E6078C">
              <w:t>Service users, family carers and health and care professionals</w:t>
            </w:r>
          </w:p>
        </w:tc>
      </w:tr>
      <w:tr w:rsidR="00CB073F" w:rsidRPr="00E6078C" w14:paraId="45C72F9B" w14:textId="77777777" w:rsidTr="00E6078C">
        <w:trPr>
          <w:trHeight w:val="560"/>
          <w:jc w:val="center"/>
        </w:trPr>
        <w:tc>
          <w:tcPr>
            <w:tcW w:w="316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shd w:val="clear" w:color="auto" w:fill="D9EAF2"/>
            <w:vAlign w:val="center"/>
          </w:tcPr>
          <w:p w14:paraId="15944C24" w14:textId="77777777" w:rsidR="00CB073F" w:rsidRPr="00E6078C" w:rsidRDefault="00000000" w:rsidP="00E6078C">
            <w:pPr>
              <w:jc w:val="left"/>
            </w:pPr>
            <w:r w:rsidRPr="00E6078C">
              <w:rPr>
                <w:b/>
              </w:rPr>
              <w:t>Programme</w:t>
            </w:r>
          </w:p>
        </w:tc>
        <w:tc>
          <w:tcPr>
            <w:tcW w:w="604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vAlign w:val="center"/>
          </w:tcPr>
          <w:p w14:paraId="7539CF00" w14:textId="77777777" w:rsidR="00CB073F" w:rsidRPr="00E6078C" w:rsidRDefault="00000000" w:rsidP="00E6078C">
            <w:pPr>
              <w:jc w:val="left"/>
            </w:pPr>
            <w:r w:rsidRPr="00E6078C">
              <w:t>MSc Public Health and Social Care in Practice</w:t>
            </w:r>
          </w:p>
        </w:tc>
      </w:tr>
      <w:tr w:rsidR="00CB073F" w:rsidRPr="00E6078C" w14:paraId="46E53BC6" w14:textId="77777777" w:rsidTr="00E6078C">
        <w:trPr>
          <w:trHeight w:val="560"/>
          <w:jc w:val="center"/>
        </w:trPr>
        <w:tc>
          <w:tcPr>
            <w:tcW w:w="316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shd w:val="clear" w:color="auto" w:fill="D9EAF2"/>
            <w:vAlign w:val="center"/>
          </w:tcPr>
          <w:p w14:paraId="057A29D9" w14:textId="77777777" w:rsidR="00CB073F" w:rsidRPr="00E6078C" w:rsidRDefault="00000000" w:rsidP="00E6078C">
            <w:pPr>
              <w:jc w:val="left"/>
            </w:pPr>
            <w:r w:rsidRPr="00E6078C">
              <w:rPr>
                <w:b/>
              </w:rPr>
              <w:t>Module</w:t>
            </w:r>
          </w:p>
        </w:tc>
        <w:tc>
          <w:tcPr>
            <w:tcW w:w="604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vAlign w:val="center"/>
          </w:tcPr>
          <w:p w14:paraId="3AA429D2" w14:textId="77777777" w:rsidR="00CB073F" w:rsidRPr="00E6078C" w:rsidRDefault="00000000" w:rsidP="00E6078C">
            <w:pPr>
              <w:jc w:val="left"/>
            </w:pPr>
            <w:r w:rsidRPr="00E6078C">
              <w:t>Community Care and Management of Longer-Term Conditions</w:t>
            </w:r>
          </w:p>
        </w:tc>
      </w:tr>
      <w:tr w:rsidR="00CB073F" w:rsidRPr="00E6078C" w14:paraId="146783D2" w14:textId="77777777" w:rsidTr="00E6078C">
        <w:trPr>
          <w:trHeight w:val="560"/>
          <w:jc w:val="center"/>
        </w:trPr>
        <w:tc>
          <w:tcPr>
            <w:tcW w:w="316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shd w:val="clear" w:color="auto" w:fill="D9EAF2"/>
            <w:vAlign w:val="center"/>
          </w:tcPr>
          <w:p w14:paraId="6332F6A4" w14:textId="77777777" w:rsidR="00CB073F" w:rsidRPr="00E6078C" w:rsidRDefault="00000000" w:rsidP="00E6078C">
            <w:pPr>
              <w:jc w:val="left"/>
            </w:pPr>
            <w:r w:rsidRPr="00E6078C">
              <w:rPr>
                <w:b/>
              </w:rPr>
              <w:t>Module code</w:t>
            </w:r>
          </w:p>
        </w:tc>
        <w:tc>
          <w:tcPr>
            <w:tcW w:w="604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vAlign w:val="center"/>
          </w:tcPr>
          <w:p w14:paraId="352CD802" w14:textId="77777777" w:rsidR="00CB073F" w:rsidRPr="00E6078C" w:rsidRDefault="00000000" w:rsidP="00E6078C">
            <w:pPr>
              <w:jc w:val="left"/>
            </w:pPr>
            <w:r w:rsidRPr="00E6078C">
              <w:t>LCHS7003</w:t>
            </w:r>
          </w:p>
        </w:tc>
      </w:tr>
      <w:tr w:rsidR="00CB073F" w:rsidRPr="00E6078C" w14:paraId="142BC40C" w14:textId="77777777" w:rsidTr="00E6078C">
        <w:trPr>
          <w:trHeight w:val="560"/>
          <w:jc w:val="center"/>
        </w:trPr>
        <w:tc>
          <w:tcPr>
            <w:tcW w:w="316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shd w:val="clear" w:color="auto" w:fill="D9EAF2"/>
            <w:vAlign w:val="center"/>
          </w:tcPr>
          <w:p w14:paraId="6238C084" w14:textId="77777777" w:rsidR="00CB073F" w:rsidRPr="00E6078C" w:rsidRDefault="00000000" w:rsidP="00E6078C">
            <w:pPr>
              <w:jc w:val="left"/>
            </w:pPr>
            <w:r w:rsidRPr="00E6078C">
              <w:rPr>
                <w:b/>
              </w:rPr>
              <w:t>Assignment title</w:t>
            </w:r>
          </w:p>
        </w:tc>
        <w:tc>
          <w:tcPr>
            <w:tcW w:w="604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vAlign w:val="center"/>
          </w:tcPr>
          <w:p w14:paraId="363E6EC1" w14:textId="77777777" w:rsidR="00CB073F" w:rsidRPr="00E6078C" w:rsidRDefault="00000000" w:rsidP="00E6078C">
            <w:pPr>
              <w:jc w:val="left"/>
            </w:pPr>
            <w:r w:rsidRPr="00E6078C">
              <w:t>Information booklet on long-term condition management</w:t>
            </w:r>
          </w:p>
        </w:tc>
      </w:tr>
      <w:tr w:rsidR="00CB073F" w:rsidRPr="00E6078C" w14:paraId="242C5D57" w14:textId="77777777" w:rsidTr="00E6078C">
        <w:trPr>
          <w:trHeight w:val="560"/>
          <w:jc w:val="center"/>
        </w:trPr>
        <w:tc>
          <w:tcPr>
            <w:tcW w:w="316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shd w:val="clear" w:color="auto" w:fill="D9EAF2"/>
            <w:vAlign w:val="center"/>
          </w:tcPr>
          <w:p w14:paraId="6E0CC358" w14:textId="77777777" w:rsidR="00CB073F" w:rsidRPr="00E6078C" w:rsidRDefault="00000000" w:rsidP="00E6078C">
            <w:pPr>
              <w:jc w:val="left"/>
            </w:pPr>
            <w:r w:rsidRPr="00E6078C">
              <w:rPr>
                <w:b/>
              </w:rPr>
              <w:t>Lecturer’s name</w:t>
            </w:r>
          </w:p>
        </w:tc>
        <w:tc>
          <w:tcPr>
            <w:tcW w:w="604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vAlign w:val="center"/>
          </w:tcPr>
          <w:p w14:paraId="7AAEEFA4" w14:textId="77777777" w:rsidR="00CB073F" w:rsidRPr="00E6078C" w:rsidRDefault="00000000" w:rsidP="00E6078C">
            <w:pPr>
              <w:jc w:val="left"/>
            </w:pPr>
            <w:r w:rsidRPr="00E6078C">
              <w:t>Dr Aishat Bakre</w:t>
            </w:r>
          </w:p>
        </w:tc>
      </w:tr>
      <w:tr w:rsidR="00CB073F" w:rsidRPr="00E6078C" w14:paraId="20E66DDA" w14:textId="77777777" w:rsidTr="00E6078C">
        <w:trPr>
          <w:trHeight w:val="560"/>
          <w:jc w:val="center"/>
        </w:trPr>
        <w:tc>
          <w:tcPr>
            <w:tcW w:w="316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shd w:val="clear" w:color="auto" w:fill="D9EAF2"/>
            <w:vAlign w:val="center"/>
          </w:tcPr>
          <w:p w14:paraId="5505A8B2" w14:textId="77777777" w:rsidR="00CB073F" w:rsidRPr="00E6078C" w:rsidRDefault="00000000" w:rsidP="00E6078C">
            <w:pPr>
              <w:jc w:val="left"/>
            </w:pPr>
            <w:r w:rsidRPr="00E6078C">
              <w:rPr>
                <w:b/>
              </w:rPr>
              <w:t>Student name</w:t>
            </w:r>
          </w:p>
        </w:tc>
        <w:tc>
          <w:tcPr>
            <w:tcW w:w="604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vAlign w:val="center"/>
          </w:tcPr>
          <w:p w14:paraId="5525A98D" w14:textId="77777777" w:rsidR="00CB073F" w:rsidRPr="00E6078C" w:rsidRDefault="00000000" w:rsidP="00E6078C">
            <w:pPr>
              <w:jc w:val="left"/>
            </w:pPr>
            <w:r w:rsidRPr="00E6078C">
              <w:t>Ashraf Ullah</w:t>
            </w:r>
          </w:p>
        </w:tc>
      </w:tr>
      <w:tr w:rsidR="00CB073F" w:rsidRPr="00E6078C" w14:paraId="41C34139" w14:textId="77777777" w:rsidTr="00E6078C">
        <w:trPr>
          <w:trHeight w:val="560"/>
          <w:jc w:val="center"/>
        </w:trPr>
        <w:tc>
          <w:tcPr>
            <w:tcW w:w="316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shd w:val="clear" w:color="auto" w:fill="D9EAF2"/>
            <w:vAlign w:val="center"/>
          </w:tcPr>
          <w:p w14:paraId="4310FFB0" w14:textId="77777777" w:rsidR="00CB073F" w:rsidRPr="00E6078C" w:rsidRDefault="00000000" w:rsidP="00E6078C">
            <w:pPr>
              <w:jc w:val="left"/>
            </w:pPr>
            <w:r w:rsidRPr="00E6078C">
              <w:rPr>
                <w:b/>
              </w:rPr>
              <w:t>Student ID</w:t>
            </w:r>
          </w:p>
        </w:tc>
        <w:tc>
          <w:tcPr>
            <w:tcW w:w="604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vAlign w:val="center"/>
          </w:tcPr>
          <w:p w14:paraId="7E2DE551" w14:textId="77777777" w:rsidR="00CB073F" w:rsidRPr="00E6078C" w:rsidRDefault="00000000" w:rsidP="00E6078C">
            <w:pPr>
              <w:jc w:val="left"/>
            </w:pPr>
            <w:r w:rsidRPr="00E6078C">
              <w:t>2503813</w:t>
            </w:r>
          </w:p>
        </w:tc>
      </w:tr>
      <w:tr w:rsidR="006C55D2" w:rsidRPr="00E6078C" w14:paraId="3155CB20" w14:textId="77777777" w:rsidTr="00E6078C">
        <w:trPr>
          <w:trHeight w:val="560"/>
          <w:jc w:val="center"/>
        </w:trPr>
        <w:tc>
          <w:tcPr>
            <w:tcW w:w="316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shd w:val="clear" w:color="auto" w:fill="D9EAF2"/>
            <w:vAlign w:val="center"/>
          </w:tcPr>
          <w:p w14:paraId="6778C12A" w14:textId="3AAB7582" w:rsidR="006C55D2" w:rsidRPr="00E6078C" w:rsidRDefault="006C55D2" w:rsidP="00E6078C">
            <w:pPr>
              <w:jc w:val="left"/>
              <w:rPr>
                <w:b/>
              </w:rPr>
            </w:pPr>
            <w:r>
              <w:rPr>
                <w:b/>
              </w:rPr>
              <w:t>Submission Date</w:t>
            </w:r>
          </w:p>
        </w:tc>
        <w:tc>
          <w:tcPr>
            <w:tcW w:w="604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vAlign w:val="center"/>
          </w:tcPr>
          <w:p w14:paraId="1E9766F7" w14:textId="2CCC401D" w:rsidR="006C55D2" w:rsidRPr="00E6078C" w:rsidRDefault="006C55D2" w:rsidP="00E6078C">
            <w:pPr>
              <w:jc w:val="left"/>
            </w:pPr>
            <w:r>
              <w:t>26</w:t>
            </w:r>
            <w:r w:rsidRPr="006C55D2">
              <w:rPr>
                <w:vertAlign w:val="superscript"/>
              </w:rPr>
              <w:t>th</w:t>
            </w:r>
            <w:r>
              <w:t xml:space="preserve"> June, 2026</w:t>
            </w:r>
          </w:p>
        </w:tc>
      </w:tr>
      <w:tr w:rsidR="00F66C2C" w:rsidRPr="00E6078C" w14:paraId="52E71DE3" w14:textId="77777777" w:rsidTr="00E6078C">
        <w:trPr>
          <w:trHeight w:val="560"/>
          <w:jc w:val="center"/>
        </w:trPr>
        <w:tc>
          <w:tcPr>
            <w:tcW w:w="316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shd w:val="clear" w:color="auto" w:fill="D9EAF2"/>
            <w:vAlign w:val="center"/>
          </w:tcPr>
          <w:p w14:paraId="3ED16FBC" w14:textId="28B40AD0" w:rsidR="00F66C2C" w:rsidRDefault="00F66C2C" w:rsidP="00E6078C">
            <w:pPr>
              <w:jc w:val="left"/>
              <w:rPr>
                <w:b/>
              </w:rPr>
            </w:pPr>
            <w:r>
              <w:rPr>
                <w:b/>
              </w:rPr>
              <w:t>Word Count</w:t>
            </w:r>
          </w:p>
        </w:tc>
        <w:tc>
          <w:tcPr>
            <w:tcW w:w="6048" w:type="dxa"/>
            <w:tcBorders>
              <w:top w:val="single" w:sz="4" w:space="0" w:color="4F81BD" w:themeColor="accent1"/>
              <w:left w:val="single" w:sz="4" w:space="0" w:color="4F81BD" w:themeColor="accent1"/>
              <w:bottom w:val="single" w:sz="4" w:space="0" w:color="4F81BD" w:themeColor="accent1"/>
              <w:right w:val="single" w:sz="4" w:space="0" w:color="4F81BD" w:themeColor="accent1"/>
            </w:tcBorders>
            <w:vAlign w:val="center"/>
          </w:tcPr>
          <w:p w14:paraId="03B85D7C" w14:textId="203FFBD8" w:rsidR="00F66C2C" w:rsidRDefault="00F66C2C" w:rsidP="00E6078C">
            <w:pPr>
              <w:jc w:val="left"/>
            </w:pPr>
            <w:r>
              <w:t>3208</w:t>
            </w:r>
          </w:p>
        </w:tc>
      </w:tr>
    </w:tbl>
    <w:p w14:paraId="7AA9F7A7" w14:textId="77777777" w:rsidR="00CB073F" w:rsidRDefault="00000000">
      <w:r>
        <w:br w:type="page"/>
      </w:r>
    </w:p>
    <w:p w14:paraId="658EBA9A" w14:textId="77777777" w:rsidR="00CB073F" w:rsidRDefault="00000000">
      <w:pPr>
        <w:spacing w:before="400"/>
        <w:jc w:val="center"/>
      </w:pPr>
      <w:r>
        <w:rPr>
          <w:noProof/>
        </w:rPr>
        <w:lastRenderedPageBreak/>
        <w:drawing>
          <wp:anchor distT="0" distB="0" distL="114300" distR="114300" simplePos="0" relativeHeight="251658240" behindDoc="0" locked="0" layoutInCell="1" allowOverlap="1" wp14:anchorId="6849C67F" wp14:editId="785B2598">
            <wp:simplePos x="0" y="0"/>
            <wp:positionH relativeFrom="margin">
              <wp:posOffset>-772795</wp:posOffset>
            </wp:positionH>
            <wp:positionV relativeFrom="margin">
              <wp:posOffset>-605790</wp:posOffset>
            </wp:positionV>
            <wp:extent cx="7828915" cy="10162540"/>
            <wp:effectExtent l="0" t="0" r="63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9"/>
                    <a:stretch>
                      <a:fillRect/>
                    </a:stretch>
                  </pic:blipFill>
                  <pic:spPr>
                    <a:xfrm>
                      <a:off x="0" y="0"/>
                      <a:ext cx="7828915" cy="10162540"/>
                    </a:xfrm>
                    <a:prstGeom prst="rect">
                      <a:avLst/>
                    </a:prstGeom>
                  </pic:spPr>
                </pic:pic>
              </a:graphicData>
            </a:graphic>
            <wp14:sizeRelH relativeFrom="margin">
              <wp14:pctWidth>0</wp14:pctWidth>
            </wp14:sizeRelH>
            <wp14:sizeRelV relativeFrom="margin">
              <wp14:pctHeight>0</wp14:pctHeight>
            </wp14:sizeRelV>
          </wp:anchor>
        </w:drawing>
      </w:r>
    </w:p>
    <w:sdt>
      <w:sdtPr>
        <w:rPr>
          <w:rFonts w:ascii="Arial" w:eastAsia="Arial" w:hAnsi="Arial" w:cstheme="minorBidi"/>
          <w:b w:val="0"/>
          <w:bCs w:val="0"/>
          <w:color w:val="auto"/>
          <w:sz w:val="22"/>
          <w:szCs w:val="22"/>
        </w:rPr>
        <w:id w:val="675547303"/>
        <w:docPartObj>
          <w:docPartGallery w:val="Table of Contents"/>
          <w:docPartUnique/>
        </w:docPartObj>
      </w:sdtPr>
      <w:sdtEndPr>
        <w:rPr>
          <w:noProof/>
        </w:rPr>
      </w:sdtEndPr>
      <w:sdtContent>
        <w:p w14:paraId="2046558A" w14:textId="72D3EA0B" w:rsidR="003D4AAC" w:rsidRPr="00CF0424" w:rsidRDefault="003D4AAC">
          <w:pPr>
            <w:pStyle w:val="TOCHeading"/>
            <w:rPr>
              <w:rFonts w:ascii="Arial" w:hAnsi="Arial" w:cs="Arial"/>
              <w:sz w:val="22"/>
              <w:szCs w:val="22"/>
            </w:rPr>
          </w:pPr>
          <w:r w:rsidRPr="00CF0424">
            <w:rPr>
              <w:rFonts w:ascii="Arial" w:hAnsi="Arial" w:cs="Arial"/>
              <w:sz w:val="22"/>
              <w:szCs w:val="22"/>
            </w:rPr>
            <w:t>Table of Contents</w:t>
          </w:r>
        </w:p>
        <w:p w14:paraId="46931B06" w14:textId="17CA3338" w:rsidR="00F66C2C" w:rsidRDefault="003D4AAC" w:rsidP="00F66C2C">
          <w:pPr>
            <w:pStyle w:val="TOC2"/>
            <w:tabs>
              <w:tab w:val="right" w:leader="dot" w:pos="10070"/>
            </w:tabs>
            <w:ind w:left="0"/>
            <w:rPr>
              <w:rFonts w:asciiTheme="minorHAnsi" w:eastAsiaTheme="minorEastAsia" w:hAnsiTheme="minorHAnsi"/>
              <w:noProof/>
              <w:kern w:val="2"/>
              <w:sz w:val="24"/>
              <w:szCs w:val="24"/>
              <w14:ligatures w14:val="standardContextual"/>
            </w:rPr>
          </w:pPr>
          <w:r w:rsidRPr="00CF0424">
            <w:rPr>
              <w:rFonts w:cs="Arial"/>
            </w:rPr>
            <w:fldChar w:fldCharType="begin"/>
          </w:r>
          <w:r w:rsidRPr="00CF0424">
            <w:rPr>
              <w:rFonts w:cs="Arial"/>
            </w:rPr>
            <w:instrText xml:space="preserve"> TOC \o "1-3" \h \z \u </w:instrText>
          </w:r>
          <w:r w:rsidRPr="00CF0424">
            <w:rPr>
              <w:rFonts w:cs="Arial"/>
            </w:rPr>
            <w:fldChar w:fldCharType="separate"/>
          </w:r>
          <w:hyperlink w:anchor="_Toc233382132" w:history="1">
            <w:r w:rsidR="00F66C2C" w:rsidRPr="004003B4">
              <w:rPr>
                <w:rStyle w:val="Hyperlink"/>
                <w:rFonts w:cs="Arial"/>
                <w:noProof/>
              </w:rPr>
              <w:t>Definition and focus of Alzheimer’s disease</w:t>
            </w:r>
            <w:r w:rsidR="00F66C2C">
              <w:rPr>
                <w:noProof/>
                <w:webHidden/>
              </w:rPr>
              <w:tab/>
            </w:r>
            <w:r w:rsidR="00F66C2C">
              <w:rPr>
                <w:noProof/>
                <w:webHidden/>
              </w:rPr>
              <w:fldChar w:fldCharType="begin"/>
            </w:r>
            <w:r w:rsidR="00F66C2C">
              <w:rPr>
                <w:noProof/>
                <w:webHidden/>
              </w:rPr>
              <w:instrText xml:space="preserve"> PAGEREF _Toc233382132 \h </w:instrText>
            </w:r>
            <w:r w:rsidR="00F66C2C">
              <w:rPr>
                <w:noProof/>
                <w:webHidden/>
              </w:rPr>
            </w:r>
            <w:r w:rsidR="00F66C2C">
              <w:rPr>
                <w:noProof/>
                <w:webHidden/>
              </w:rPr>
              <w:fldChar w:fldCharType="separate"/>
            </w:r>
            <w:r w:rsidR="00F66C2C">
              <w:rPr>
                <w:noProof/>
                <w:webHidden/>
              </w:rPr>
              <w:t>4</w:t>
            </w:r>
            <w:r w:rsidR="00F66C2C">
              <w:rPr>
                <w:noProof/>
                <w:webHidden/>
              </w:rPr>
              <w:fldChar w:fldCharType="end"/>
            </w:r>
          </w:hyperlink>
        </w:p>
        <w:p w14:paraId="1480873B" w14:textId="16FEC093" w:rsidR="00F66C2C" w:rsidRDefault="00F66C2C" w:rsidP="00F66C2C">
          <w:pPr>
            <w:pStyle w:val="TOC2"/>
            <w:tabs>
              <w:tab w:val="right" w:leader="dot" w:pos="10070"/>
            </w:tabs>
            <w:ind w:left="0"/>
            <w:rPr>
              <w:rFonts w:asciiTheme="minorHAnsi" w:eastAsiaTheme="minorEastAsia" w:hAnsiTheme="minorHAnsi"/>
              <w:noProof/>
              <w:kern w:val="2"/>
              <w:sz w:val="24"/>
              <w:szCs w:val="24"/>
              <w14:ligatures w14:val="standardContextual"/>
            </w:rPr>
          </w:pPr>
          <w:hyperlink w:anchor="_Toc233382133" w:history="1">
            <w:r w:rsidRPr="004003B4">
              <w:rPr>
                <w:rStyle w:val="Hyperlink"/>
                <w:rFonts w:cs="Arial"/>
                <w:noProof/>
              </w:rPr>
              <w:t>Prevalence of Alzheimer’s disease</w:t>
            </w:r>
            <w:r>
              <w:rPr>
                <w:noProof/>
                <w:webHidden/>
              </w:rPr>
              <w:tab/>
            </w:r>
            <w:r>
              <w:rPr>
                <w:noProof/>
                <w:webHidden/>
              </w:rPr>
              <w:fldChar w:fldCharType="begin"/>
            </w:r>
            <w:r>
              <w:rPr>
                <w:noProof/>
                <w:webHidden/>
              </w:rPr>
              <w:instrText xml:space="preserve"> PAGEREF _Toc233382133 \h </w:instrText>
            </w:r>
            <w:r>
              <w:rPr>
                <w:noProof/>
                <w:webHidden/>
              </w:rPr>
            </w:r>
            <w:r>
              <w:rPr>
                <w:noProof/>
                <w:webHidden/>
              </w:rPr>
              <w:fldChar w:fldCharType="separate"/>
            </w:r>
            <w:r>
              <w:rPr>
                <w:noProof/>
                <w:webHidden/>
              </w:rPr>
              <w:t>5</w:t>
            </w:r>
            <w:r>
              <w:rPr>
                <w:noProof/>
                <w:webHidden/>
              </w:rPr>
              <w:fldChar w:fldCharType="end"/>
            </w:r>
          </w:hyperlink>
        </w:p>
        <w:p w14:paraId="21D091F1" w14:textId="015AADD6" w:rsidR="00F66C2C" w:rsidRDefault="00F66C2C" w:rsidP="00F66C2C">
          <w:pPr>
            <w:pStyle w:val="TOC2"/>
            <w:tabs>
              <w:tab w:val="right" w:leader="dot" w:pos="10070"/>
            </w:tabs>
            <w:ind w:left="0"/>
            <w:rPr>
              <w:rFonts w:asciiTheme="minorHAnsi" w:eastAsiaTheme="minorEastAsia" w:hAnsiTheme="minorHAnsi"/>
              <w:noProof/>
              <w:kern w:val="2"/>
              <w:sz w:val="24"/>
              <w:szCs w:val="24"/>
              <w14:ligatures w14:val="standardContextual"/>
            </w:rPr>
          </w:pPr>
          <w:hyperlink w:anchor="_Toc233382134" w:history="1">
            <w:r w:rsidRPr="004003B4">
              <w:rPr>
                <w:rStyle w:val="Hyperlink"/>
                <w:rFonts w:cs="Arial"/>
                <w:noProof/>
              </w:rPr>
              <w:t>Symptoms and signs of Alzheimer’s disease</w:t>
            </w:r>
            <w:r>
              <w:rPr>
                <w:noProof/>
                <w:webHidden/>
              </w:rPr>
              <w:tab/>
            </w:r>
            <w:r>
              <w:rPr>
                <w:noProof/>
                <w:webHidden/>
              </w:rPr>
              <w:fldChar w:fldCharType="begin"/>
            </w:r>
            <w:r>
              <w:rPr>
                <w:noProof/>
                <w:webHidden/>
              </w:rPr>
              <w:instrText xml:space="preserve"> PAGEREF _Toc233382134 \h </w:instrText>
            </w:r>
            <w:r>
              <w:rPr>
                <w:noProof/>
                <w:webHidden/>
              </w:rPr>
            </w:r>
            <w:r>
              <w:rPr>
                <w:noProof/>
                <w:webHidden/>
              </w:rPr>
              <w:fldChar w:fldCharType="separate"/>
            </w:r>
            <w:r>
              <w:rPr>
                <w:noProof/>
                <w:webHidden/>
              </w:rPr>
              <w:t>6</w:t>
            </w:r>
            <w:r>
              <w:rPr>
                <w:noProof/>
                <w:webHidden/>
              </w:rPr>
              <w:fldChar w:fldCharType="end"/>
            </w:r>
          </w:hyperlink>
        </w:p>
        <w:p w14:paraId="597B842B" w14:textId="32D54F4A" w:rsidR="00F66C2C" w:rsidRDefault="00F66C2C" w:rsidP="00F66C2C">
          <w:pPr>
            <w:pStyle w:val="TOC2"/>
            <w:tabs>
              <w:tab w:val="right" w:leader="dot" w:pos="10070"/>
            </w:tabs>
            <w:ind w:left="0"/>
            <w:rPr>
              <w:rFonts w:asciiTheme="minorHAnsi" w:eastAsiaTheme="minorEastAsia" w:hAnsiTheme="minorHAnsi"/>
              <w:noProof/>
              <w:kern w:val="2"/>
              <w:sz w:val="24"/>
              <w:szCs w:val="24"/>
              <w14:ligatures w14:val="standardContextual"/>
            </w:rPr>
          </w:pPr>
          <w:hyperlink w:anchor="_Toc233382135" w:history="1">
            <w:r w:rsidRPr="004003B4">
              <w:rPr>
                <w:rStyle w:val="Hyperlink"/>
                <w:rFonts w:cs="Arial"/>
                <w:noProof/>
              </w:rPr>
              <w:t>Risk factors of Alzheimer’s disease</w:t>
            </w:r>
            <w:r>
              <w:rPr>
                <w:noProof/>
                <w:webHidden/>
              </w:rPr>
              <w:tab/>
            </w:r>
            <w:r>
              <w:rPr>
                <w:noProof/>
                <w:webHidden/>
              </w:rPr>
              <w:fldChar w:fldCharType="begin"/>
            </w:r>
            <w:r>
              <w:rPr>
                <w:noProof/>
                <w:webHidden/>
              </w:rPr>
              <w:instrText xml:space="preserve"> PAGEREF _Toc233382135 \h </w:instrText>
            </w:r>
            <w:r>
              <w:rPr>
                <w:noProof/>
                <w:webHidden/>
              </w:rPr>
            </w:r>
            <w:r>
              <w:rPr>
                <w:noProof/>
                <w:webHidden/>
              </w:rPr>
              <w:fldChar w:fldCharType="separate"/>
            </w:r>
            <w:r>
              <w:rPr>
                <w:noProof/>
                <w:webHidden/>
              </w:rPr>
              <w:t>6</w:t>
            </w:r>
            <w:r>
              <w:rPr>
                <w:noProof/>
                <w:webHidden/>
              </w:rPr>
              <w:fldChar w:fldCharType="end"/>
            </w:r>
          </w:hyperlink>
        </w:p>
        <w:p w14:paraId="728A599B" w14:textId="5239A0A1" w:rsidR="00F66C2C" w:rsidRDefault="00F66C2C">
          <w:pPr>
            <w:pStyle w:val="TOC1"/>
            <w:tabs>
              <w:tab w:val="right" w:leader="dot" w:pos="10070"/>
            </w:tabs>
            <w:rPr>
              <w:rFonts w:asciiTheme="minorHAnsi" w:eastAsiaTheme="minorEastAsia" w:hAnsiTheme="minorHAnsi"/>
              <w:noProof/>
              <w:kern w:val="2"/>
              <w:sz w:val="24"/>
              <w:szCs w:val="24"/>
              <w14:ligatures w14:val="standardContextual"/>
            </w:rPr>
          </w:pPr>
          <w:hyperlink w:anchor="_Toc233382136" w:history="1">
            <w:r w:rsidRPr="004003B4">
              <w:rPr>
                <w:rStyle w:val="Hyperlink"/>
                <w:rFonts w:cs="Arial"/>
                <w:noProof/>
              </w:rPr>
              <w:t>Impact of the condition</w:t>
            </w:r>
            <w:r>
              <w:rPr>
                <w:noProof/>
                <w:webHidden/>
              </w:rPr>
              <w:tab/>
            </w:r>
            <w:r>
              <w:rPr>
                <w:noProof/>
                <w:webHidden/>
              </w:rPr>
              <w:fldChar w:fldCharType="begin"/>
            </w:r>
            <w:r>
              <w:rPr>
                <w:noProof/>
                <w:webHidden/>
              </w:rPr>
              <w:instrText xml:space="preserve"> PAGEREF _Toc233382136 \h </w:instrText>
            </w:r>
            <w:r>
              <w:rPr>
                <w:noProof/>
                <w:webHidden/>
              </w:rPr>
            </w:r>
            <w:r>
              <w:rPr>
                <w:noProof/>
                <w:webHidden/>
              </w:rPr>
              <w:fldChar w:fldCharType="separate"/>
            </w:r>
            <w:r>
              <w:rPr>
                <w:noProof/>
                <w:webHidden/>
              </w:rPr>
              <w:t>8</w:t>
            </w:r>
            <w:r>
              <w:rPr>
                <w:noProof/>
                <w:webHidden/>
              </w:rPr>
              <w:fldChar w:fldCharType="end"/>
            </w:r>
          </w:hyperlink>
        </w:p>
        <w:p w14:paraId="409C9668" w14:textId="70DD24D9" w:rsidR="00F66C2C" w:rsidRDefault="00F66C2C">
          <w:pPr>
            <w:pStyle w:val="TOC1"/>
            <w:tabs>
              <w:tab w:val="right" w:leader="dot" w:pos="10070"/>
            </w:tabs>
            <w:rPr>
              <w:rFonts w:asciiTheme="minorHAnsi" w:eastAsiaTheme="minorEastAsia" w:hAnsiTheme="minorHAnsi"/>
              <w:noProof/>
              <w:kern w:val="2"/>
              <w:sz w:val="24"/>
              <w:szCs w:val="24"/>
              <w14:ligatures w14:val="standardContextual"/>
            </w:rPr>
          </w:pPr>
          <w:hyperlink w:anchor="_Toc233382137" w:history="1">
            <w:r w:rsidRPr="004003B4">
              <w:rPr>
                <w:rStyle w:val="Hyperlink"/>
                <w:rFonts w:cs="Arial"/>
                <w:noProof/>
              </w:rPr>
              <w:t>Treatment and support</w:t>
            </w:r>
            <w:r>
              <w:rPr>
                <w:noProof/>
                <w:webHidden/>
              </w:rPr>
              <w:tab/>
            </w:r>
            <w:r>
              <w:rPr>
                <w:noProof/>
                <w:webHidden/>
              </w:rPr>
              <w:fldChar w:fldCharType="begin"/>
            </w:r>
            <w:r>
              <w:rPr>
                <w:noProof/>
                <w:webHidden/>
              </w:rPr>
              <w:instrText xml:space="preserve"> PAGEREF _Toc233382137 \h </w:instrText>
            </w:r>
            <w:r>
              <w:rPr>
                <w:noProof/>
                <w:webHidden/>
              </w:rPr>
            </w:r>
            <w:r>
              <w:rPr>
                <w:noProof/>
                <w:webHidden/>
              </w:rPr>
              <w:fldChar w:fldCharType="separate"/>
            </w:r>
            <w:r>
              <w:rPr>
                <w:noProof/>
                <w:webHidden/>
              </w:rPr>
              <w:t>10</w:t>
            </w:r>
            <w:r>
              <w:rPr>
                <w:noProof/>
                <w:webHidden/>
              </w:rPr>
              <w:fldChar w:fldCharType="end"/>
            </w:r>
          </w:hyperlink>
        </w:p>
        <w:p w14:paraId="5242DA70" w14:textId="754F10D8" w:rsidR="00F66C2C" w:rsidRDefault="00F66C2C">
          <w:pPr>
            <w:pStyle w:val="TOC1"/>
            <w:tabs>
              <w:tab w:val="right" w:leader="dot" w:pos="10070"/>
            </w:tabs>
            <w:rPr>
              <w:rFonts w:asciiTheme="minorHAnsi" w:eastAsiaTheme="minorEastAsia" w:hAnsiTheme="minorHAnsi"/>
              <w:noProof/>
              <w:kern w:val="2"/>
              <w:sz w:val="24"/>
              <w:szCs w:val="24"/>
              <w14:ligatures w14:val="standardContextual"/>
            </w:rPr>
          </w:pPr>
          <w:hyperlink w:anchor="_Toc233382138" w:history="1">
            <w:r w:rsidRPr="004003B4">
              <w:rPr>
                <w:rStyle w:val="Hyperlink"/>
                <w:rFonts w:cs="Arial"/>
                <w:noProof/>
              </w:rPr>
              <w:t>Models</w:t>
            </w:r>
            <w:r>
              <w:rPr>
                <w:noProof/>
                <w:webHidden/>
              </w:rPr>
              <w:tab/>
            </w:r>
            <w:r>
              <w:rPr>
                <w:noProof/>
                <w:webHidden/>
              </w:rPr>
              <w:fldChar w:fldCharType="begin"/>
            </w:r>
            <w:r>
              <w:rPr>
                <w:noProof/>
                <w:webHidden/>
              </w:rPr>
              <w:instrText xml:space="preserve"> PAGEREF _Toc233382138 \h </w:instrText>
            </w:r>
            <w:r>
              <w:rPr>
                <w:noProof/>
                <w:webHidden/>
              </w:rPr>
            </w:r>
            <w:r>
              <w:rPr>
                <w:noProof/>
                <w:webHidden/>
              </w:rPr>
              <w:fldChar w:fldCharType="separate"/>
            </w:r>
            <w:r>
              <w:rPr>
                <w:noProof/>
                <w:webHidden/>
              </w:rPr>
              <w:t>12</w:t>
            </w:r>
            <w:r>
              <w:rPr>
                <w:noProof/>
                <w:webHidden/>
              </w:rPr>
              <w:fldChar w:fldCharType="end"/>
            </w:r>
          </w:hyperlink>
        </w:p>
        <w:p w14:paraId="69C2DF8A" w14:textId="1F9ED810" w:rsidR="00F66C2C" w:rsidRDefault="00F66C2C">
          <w:pPr>
            <w:pStyle w:val="TOC1"/>
            <w:tabs>
              <w:tab w:val="right" w:leader="dot" w:pos="10070"/>
            </w:tabs>
            <w:rPr>
              <w:rFonts w:asciiTheme="minorHAnsi" w:eastAsiaTheme="minorEastAsia" w:hAnsiTheme="minorHAnsi"/>
              <w:noProof/>
              <w:kern w:val="2"/>
              <w:sz w:val="24"/>
              <w:szCs w:val="24"/>
              <w14:ligatures w14:val="standardContextual"/>
            </w:rPr>
          </w:pPr>
          <w:hyperlink w:anchor="_Toc233382139" w:history="1">
            <w:r w:rsidRPr="004003B4">
              <w:rPr>
                <w:rStyle w:val="Hyperlink"/>
                <w:rFonts w:cs="Arial"/>
                <w:noProof/>
              </w:rPr>
              <w:t>Local and national political health and social care agendas</w:t>
            </w:r>
            <w:r>
              <w:rPr>
                <w:noProof/>
                <w:webHidden/>
              </w:rPr>
              <w:tab/>
            </w:r>
            <w:r>
              <w:rPr>
                <w:noProof/>
                <w:webHidden/>
              </w:rPr>
              <w:fldChar w:fldCharType="begin"/>
            </w:r>
            <w:r>
              <w:rPr>
                <w:noProof/>
                <w:webHidden/>
              </w:rPr>
              <w:instrText xml:space="preserve"> PAGEREF _Toc233382139 \h </w:instrText>
            </w:r>
            <w:r>
              <w:rPr>
                <w:noProof/>
                <w:webHidden/>
              </w:rPr>
            </w:r>
            <w:r>
              <w:rPr>
                <w:noProof/>
                <w:webHidden/>
              </w:rPr>
              <w:fldChar w:fldCharType="separate"/>
            </w:r>
            <w:r>
              <w:rPr>
                <w:noProof/>
                <w:webHidden/>
              </w:rPr>
              <w:t>14</w:t>
            </w:r>
            <w:r>
              <w:rPr>
                <w:noProof/>
                <w:webHidden/>
              </w:rPr>
              <w:fldChar w:fldCharType="end"/>
            </w:r>
          </w:hyperlink>
        </w:p>
        <w:p w14:paraId="74069DB3" w14:textId="7067FF4F" w:rsidR="00F66C2C" w:rsidRDefault="00F66C2C">
          <w:pPr>
            <w:pStyle w:val="TOC1"/>
            <w:tabs>
              <w:tab w:val="right" w:leader="dot" w:pos="10070"/>
            </w:tabs>
            <w:rPr>
              <w:rFonts w:asciiTheme="minorHAnsi" w:eastAsiaTheme="minorEastAsia" w:hAnsiTheme="minorHAnsi"/>
              <w:noProof/>
              <w:kern w:val="2"/>
              <w:sz w:val="24"/>
              <w:szCs w:val="24"/>
              <w14:ligatures w14:val="standardContextual"/>
            </w:rPr>
          </w:pPr>
          <w:hyperlink w:anchor="_Toc233382140" w:history="1">
            <w:r w:rsidRPr="004003B4">
              <w:rPr>
                <w:rStyle w:val="Hyperlink"/>
                <w:rFonts w:cs="Arial"/>
                <w:noProof/>
              </w:rPr>
              <w:t>Recommendations</w:t>
            </w:r>
            <w:r>
              <w:rPr>
                <w:noProof/>
                <w:webHidden/>
              </w:rPr>
              <w:tab/>
            </w:r>
            <w:r>
              <w:rPr>
                <w:noProof/>
                <w:webHidden/>
              </w:rPr>
              <w:fldChar w:fldCharType="begin"/>
            </w:r>
            <w:r>
              <w:rPr>
                <w:noProof/>
                <w:webHidden/>
              </w:rPr>
              <w:instrText xml:space="preserve"> PAGEREF _Toc233382140 \h </w:instrText>
            </w:r>
            <w:r>
              <w:rPr>
                <w:noProof/>
                <w:webHidden/>
              </w:rPr>
            </w:r>
            <w:r>
              <w:rPr>
                <w:noProof/>
                <w:webHidden/>
              </w:rPr>
              <w:fldChar w:fldCharType="separate"/>
            </w:r>
            <w:r>
              <w:rPr>
                <w:noProof/>
                <w:webHidden/>
              </w:rPr>
              <w:t>15</w:t>
            </w:r>
            <w:r>
              <w:rPr>
                <w:noProof/>
                <w:webHidden/>
              </w:rPr>
              <w:fldChar w:fldCharType="end"/>
            </w:r>
          </w:hyperlink>
        </w:p>
        <w:p w14:paraId="3CDCE3CC" w14:textId="6A14C4FE" w:rsidR="00F66C2C" w:rsidRDefault="00F66C2C">
          <w:pPr>
            <w:pStyle w:val="TOC1"/>
            <w:tabs>
              <w:tab w:val="right" w:leader="dot" w:pos="10070"/>
            </w:tabs>
            <w:rPr>
              <w:rFonts w:asciiTheme="minorHAnsi" w:eastAsiaTheme="minorEastAsia" w:hAnsiTheme="minorHAnsi"/>
              <w:noProof/>
              <w:kern w:val="2"/>
              <w:sz w:val="24"/>
              <w:szCs w:val="24"/>
              <w14:ligatures w14:val="standardContextual"/>
            </w:rPr>
          </w:pPr>
          <w:hyperlink w:anchor="_Toc233382141" w:history="1">
            <w:r w:rsidRPr="004003B4">
              <w:rPr>
                <w:rStyle w:val="Hyperlink"/>
                <w:rFonts w:cs="Arial"/>
                <w:noProof/>
              </w:rPr>
              <w:t>Closing summary</w:t>
            </w:r>
            <w:r>
              <w:rPr>
                <w:noProof/>
                <w:webHidden/>
              </w:rPr>
              <w:tab/>
            </w:r>
            <w:r>
              <w:rPr>
                <w:noProof/>
                <w:webHidden/>
              </w:rPr>
              <w:fldChar w:fldCharType="begin"/>
            </w:r>
            <w:r>
              <w:rPr>
                <w:noProof/>
                <w:webHidden/>
              </w:rPr>
              <w:instrText xml:space="preserve"> PAGEREF _Toc233382141 \h </w:instrText>
            </w:r>
            <w:r>
              <w:rPr>
                <w:noProof/>
                <w:webHidden/>
              </w:rPr>
            </w:r>
            <w:r>
              <w:rPr>
                <w:noProof/>
                <w:webHidden/>
              </w:rPr>
              <w:fldChar w:fldCharType="separate"/>
            </w:r>
            <w:r>
              <w:rPr>
                <w:noProof/>
                <w:webHidden/>
              </w:rPr>
              <w:t>16</w:t>
            </w:r>
            <w:r>
              <w:rPr>
                <w:noProof/>
                <w:webHidden/>
              </w:rPr>
              <w:fldChar w:fldCharType="end"/>
            </w:r>
          </w:hyperlink>
        </w:p>
        <w:p w14:paraId="011BE80C" w14:textId="6C332C4F" w:rsidR="00F66C2C" w:rsidRDefault="00F66C2C">
          <w:pPr>
            <w:pStyle w:val="TOC1"/>
            <w:tabs>
              <w:tab w:val="right" w:leader="dot" w:pos="10070"/>
            </w:tabs>
            <w:rPr>
              <w:rFonts w:asciiTheme="minorHAnsi" w:eastAsiaTheme="minorEastAsia" w:hAnsiTheme="minorHAnsi"/>
              <w:noProof/>
              <w:kern w:val="2"/>
              <w:sz w:val="24"/>
              <w:szCs w:val="24"/>
              <w14:ligatures w14:val="standardContextual"/>
            </w:rPr>
          </w:pPr>
          <w:hyperlink w:anchor="_Toc233382142" w:history="1">
            <w:r w:rsidRPr="004003B4">
              <w:rPr>
                <w:rStyle w:val="Hyperlink"/>
                <w:rFonts w:cs="Arial"/>
                <w:noProof/>
              </w:rPr>
              <w:t>References</w:t>
            </w:r>
            <w:r>
              <w:rPr>
                <w:noProof/>
                <w:webHidden/>
              </w:rPr>
              <w:tab/>
            </w:r>
            <w:r>
              <w:rPr>
                <w:noProof/>
                <w:webHidden/>
              </w:rPr>
              <w:fldChar w:fldCharType="begin"/>
            </w:r>
            <w:r>
              <w:rPr>
                <w:noProof/>
                <w:webHidden/>
              </w:rPr>
              <w:instrText xml:space="preserve"> PAGEREF _Toc233382142 \h </w:instrText>
            </w:r>
            <w:r>
              <w:rPr>
                <w:noProof/>
                <w:webHidden/>
              </w:rPr>
            </w:r>
            <w:r>
              <w:rPr>
                <w:noProof/>
                <w:webHidden/>
              </w:rPr>
              <w:fldChar w:fldCharType="separate"/>
            </w:r>
            <w:r>
              <w:rPr>
                <w:noProof/>
                <w:webHidden/>
              </w:rPr>
              <w:t>17</w:t>
            </w:r>
            <w:r>
              <w:rPr>
                <w:noProof/>
                <w:webHidden/>
              </w:rPr>
              <w:fldChar w:fldCharType="end"/>
            </w:r>
          </w:hyperlink>
        </w:p>
        <w:p w14:paraId="454C6141" w14:textId="26A1CD28" w:rsidR="003D4AAC" w:rsidRDefault="003D4AAC">
          <w:r w:rsidRPr="00CF0424">
            <w:rPr>
              <w:rFonts w:cs="Arial"/>
              <w:b/>
              <w:bCs/>
              <w:noProof/>
            </w:rPr>
            <w:fldChar w:fldCharType="end"/>
          </w:r>
        </w:p>
      </w:sdtContent>
    </w:sdt>
    <w:p w14:paraId="0589ADCE" w14:textId="77777777" w:rsidR="00CB073F" w:rsidRDefault="00000000">
      <w:r>
        <w:br w:type="page"/>
      </w:r>
    </w:p>
    <w:p w14:paraId="0DDD7761" w14:textId="3973A687" w:rsidR="00CB073F" w:rsidRPr="003D4AAC" w:rsidRDefault="00000000">
      <w:pPr>
        <w:pStyle w:val="Heading2"/>
        <w:rPr>
          <w:rFonts w:ascii="Arial" w:hAnsi="Arial" w:cs="Arial"/>
          <w:color w:val="000000" w:themeColor="text1"/>
          <w:sz w:val="28"/>
          <w:szCs w:val="28"/>
        </w:rPr>
      </w:pPr>
      <w:bookmarkStart w:id="0" w:name="_Toc233382132"/>
      <w:r w:rsidRPr="003D4AAC">
        <w:rPr>
          <w:rFonts w:ascii="Arial" w:hAnsi="Arial" w:cs="Arial"/>
          <w:color w:val="000000" w:themeColor="text1"/>
          <w:sz w:val="28"/>
          <w:szCs w:val="28"/>
        </w:rPr>
        <w:lastRenderedPageBreak/>
        <w:t>Definition and focus</w:t>
      </w:r>
      <w:r w:rsidR="00447440" w:rsidRPr="003D4AAC">
        <w:rPr>
          <w:rFonts w:ascii="Arial" w:hAnsi="Arial" w:cs="Arial"/>
          <w:color w:val="000000" w:themeColor="text1"/>
          <w:sz w:val="28"/>
          <w:szCs w:val="28"/>
        </w:rPr>
        <w:t xml:space="preserve"> </w:t>
      </w:r>
      <w:r w:rsidR="003D4AAC" w:rsidRPr="003D4AAC">
        <w:rPr>
          <w:rFonts w:ascii="Arial" w:hAnsi="Arial" w:cs="Arial"/>
          <w:color w:val="000000" w:themeColor="text1"/>
          <w:sz w:val="28"/>
          <w:szCs w:val="28"/>
        </w:rPr>
        <w:t>of Alzheimer’s</w:t>
      </w:r>
      <w:r w:rsidR="00447440" w:rsidRPr="003D4AAC">
        <w:rPr>
          <w:rFonts w:ascii="Arial" w:hAnsi="Arial" w:cs="Arial"/>
          <w:color w:val="000000" w:themeColor="text1"/>
          <w:sz w:val="28"/>
          <w:szCs w:val="28"/>
        </w:rPr>
        <w:t xml:space="preserve"> disease</w:t>
      </w:r>
      <w:bookmarkEnd w:id="0"/>
    </w:p>
    <w:p w14:paraId="614BB0E8" w14:textId="310B1975" w:rsidR="006C6774" w:rsidRDefault="006C6774" w:rsidP="00E6078C">
      <w:r w:rsidRPr="006C6774">
        <w:t>According to the World Health Organization (WHO), Alzheimer’s disease is a gradual neurodegenerative disorder that is marked by the gradual decline in cognitive functions, such as memory, thinking, language, and problem-solving skills (World Health Organization, 2025). Alzheimer’s disease is the chosen long-term condition for this information booklet. According to the National Health Service (NHS), the most prevalent cause of dementia in the UK is Alzheimer’s disease, which influences memory, thinking, communication, behaviour and the ability to cope with daily life (National Health Service, 2024b). Dementia is not a normal part of ageing, although the risk increases with age.</w:t>
      </w:r>
    </w:p>
    <w:p w14:paraId="2BE07716" w14:textId="77777777" w:rsidR="00E6078C" w:rsidRDefault="00E6078C" w:rsidP="00E6078C">
      <w:pPr>
        <w:jc w:val="center"/>
      </w:pPr>
      <w:r>
        <w:rPr>
          <w:noProof/>
        </w:rPr>
        <w:drawing>
          <wp:inline distT="0" distB="0" distL="0" distR="0" wp14:anchorId="4231B250" wp14:editId="69F6D959">
            <wp:extent cx="4914594" cy="3971108"/>
            <wp:effectExtent l="0" t="0" r="635" b="0"/>
            <wp:docPr id="1873727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b="10878"/>
                    <a:stretch>
                      <a:fillRect/>
                    </a:stretch>
                  </pic:blipFill>
                  <pic:spPr bwMode="auto">
                    <a:xfrm>
                      <a:off x="0" y="0"/>
                      <a:ext cx="4918394" cy="3974178"/>
                    </a:xfrm>
                    <a:prstGeom prst="rect">
                      <a:avLst/>
                    </a:prstGeom>
                    <a:noFill/>
                    <a:ln>
                      <a:noFill/>
                    </a:ln>
                    <a:extLst>
                      <a:ext uri="{53640926-AAD7-44D8-BBD7-CCE9431645EC}">
                        <a14:shadowObscured xmlns:a14="http://schemas.microsoft.com/office/drawing/2010/main"/>
                      </a:ext>
                    </a:extLst>
                  </pic:spPr>
                </pic:pic>
              </a:graphicData>
            </a:graphic>
          </wp:inline>
        </w:drawing>
      </w:r>
    </w:p>
    <w:p w14:paraId="5D4544CE" w14:textId="77777777" w:rsidR="00E6078C" w:rsidRPr="00E6078C" w:rsidRDefault="00E6078C" w:rsidP="00E6078C">
      <w:pPr>
        <w:jc w:val="center"/>
        <w:rPr>
          <w:i/>
          <w:iCs/>
        </w:rPr>
      </w:pPr>
      <w:r>
        <w:rPr>
          <w:i/>
        </w:rPr>
        <w:t>Figure 1: Brain changes associated with Alzheimer’s disease. Sources: Knopman et al. (2021) and National Institute on Aging (2023).</w:t>
      </w:r>
    </w:p>
    <w:p w14:paraId="76488C10" w14:textId="11DC67D6" w:rsidR="006C6774" w:rsidRDefault="006C6774">
      <w:r w:rsidRPr="006C6774">
        <w:t xml:space="preserve">Alzheimer’s disease is typically progressive, and can be linked to the progressive destruction of brain cells. Evaluation is also essential since depression, delirium, medicines, vascular disease, sensory impairment or mixed dementia pathology can also contribute to memory changes (Knopman et al., 2021; National Institute on Aging, 2023). </w:t>
      </w:r>
    </w:p>
    <w:p w14:paraId="16D72202" w14:textId="27D11842" w:rsidR="00CB073F" w:rsidRPr="003D4AAC" w:rsidRDefault="00F66C2C">
      <w:pPr>
        <w:pStyle w:val="Heading2"/>
        <w:rPr>
          <w:rFonts w:ascii="Arial" w:hAnsi="Arial" w:cs="Arial"/>
          <w:color w:val="000000" w:themeColor="text1"/>
          <w:sz w:val="28"/>
          <w:szCs w:val="28"/>
        </w:rPr>
      </w:pPr>
      <w:bookmarkStart w:id="1" w:name="_Toc233382133"/>
      <w:r>
        <w:rPr>
          <w:rFonts w:ascii="Arial" w:hAnsi="Arial" w:cs="Arial"/>
          <w:color w:val="000000" w:themeColor="text1"/>
          <w:sz w:val="28"/>
          <w:szCs w:val="28"/>
        </w:rPr>
        <w:lastRenderedPageBreak/>
        <w:t>P</w:t>
      </w:r>
      <w:r w:rsidR="00000000" w:rsidRPr="003D4AAC">
        <w:rPr>
          <w:rFonts w:ascii="Arial" w:hAnsi="Arial" w:cs="Arial"/>
          <w:color w:val="000000" w:themeColor="text1"/>
          <w:sz w:val="28"/>
          <w:szCs w:val="28"/>
        </w:rPr>
        <w:t>revalence</w:t>
      </w:r>
      <w:r w:rsidR="00447440" w:rsidRPr="003D4AAC">
        <w:rPr>
          <w:rFonts w:ascii="Arial" w:hAnsi="Arial" w:cs="Arial"/>
          <w:color w:val="000000" w:themeColor="text1"/>
          <w:sz w:val="28"/>
          <w:szCs w:val="28"/>
        </w:rPr>
        <w:t xml:space="preserve"> of Alzheimer’s disease</w:t>
      </w:r>
      <w:bookmarkEnd w:id="1"/>
    </w:p>
    <w:p w14:paraId="3F64F3EB" w14:textId="09AE843D" w:rsidR="006C6774" w:rsidRDefault="006C6774">
      <w:r w:rsidRPr="006C6774">
        <w:t>The worldwide burden is huge. According to WHO, it is estimated that 57 million individuals have dementia around the world in 2021, and nearly 10 million new cases occur each year (WHO, 2025). Alzheimer’s disease is estimated to account for 60 to 70% of dementia, implying that it is a significant contributor to the international health, social and family care requirements (WHO, 2025). Alzheimer’s Disease International (2024) also demonstrates that stigma and lack of understanding are also significant obstacles since most individuals still view dementia as an inevitable ageing process.</w:t>
      </w:r>
    </w:p>
    <w:p w14:paraId="02762831" w14:textId="7AFF6F0B" w:rsidR="006C6774" w:rsidRDefault="006C6774">
      <w:r w:rsidRPr="006C6774">
        <w:t>The UK has a huge burden as well. According to Dementia Statistics Hub (2024), in 2024, it is estimated there were approximately 982,000 individuals living with dementia in the UK, and will increase to an estimate of 1.4 million by 2040. According to the Office for National Statistics (ONS), England and Wales experienced 68,273 deaths in 2024 due to dementia and Alzheimer’s disease, which was the most common cause of death and accounted for 12.1% of all registered deaths (Office for National Statistics, 2025). In February 2026, the 510,339 individuals with dementia were recorded by NHS Digital in England and the proportion among individuals aged 65 and above diagnosed at 66.1% (NHS Digital, 2026).</w:t>
      </w:r>
    </w:p>
    <w:p w14:paraId="49FE02C8" w14:textId="30BD8706" w:rsidR="006C6774" w:rsidRDefault="006C6774">
      <w:r>
        <w:rPr>
          <w:noProof/>
        </w:rPr>
        <w:drawing>
          <wp:inline distT="0" distB="0" distL="0" distR="0" wp14:anchorId="71F1B13E" wp14:editId="60297CFA">
            <wp:extent cx="6217848" cy="3910148"/>
            <wp:effectExtent l="0" t="0" r="0" b="0"/>
            <wp:docPr id="5017465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41028" cy="3924725"/>
                    </a:xfrm>
                    <a:prstGeom prst="rect">
                      <a:avLst/>
                    </a:prstGeom>
                    <a:noFill/>
                  </pic:spPr>
                </pic:pic>
              </a:graphicData>
            </a:graphic>
          </wp:inline>
        </w:drawing>
      </w:r>
    </w:p>
    <w:p w14:paraId="682A178E" w14:textId="740998FA" w:rsidR="006C6774" w:rsidRDefault="006C6774" w:rsidP="006C6774">
      <w:pPr>
        <w:pStyle w:val="CaptionCustom"/>
      </w:pPr>
      <w:r>
        <w:t>Figure 2: Key statistics for dementia and Alzheimer’s disease. Sources: WHO (2025), Dementia Statistics Hub (2024), NHS Digital (2026), ONS (2025) and Alzheimer’s Society (2024a).</w:t>
      </w:r>
    </w:p>
    <w:p w14:paraId="4C3353FE" w14:textId="77777777" w:rsidR="006C6774" w:rsidRDefault="006C6774"/>
    <w:p w14:paraId="2136C1C3" w14:textId="0237C33F" w:rsidR="006C6774" w:rsidRDefault="006C6774">
      <w:r w:rsidRPr="006C6774">
        <w:lastRenderedPageBreak/>
        <w:t xml:space="preserve">These are critical figures that need to be interpreted. Better detected findings can be captured as higher rates, and under-detected need amongst those with symptoms who lack access to care and therefore cannot get an assessment, language support or specialist aid. According to Alzheimer’s Society (2024a), in 2024, dementia cost the UK approximately £42 billion and it could increase to approximately £90 billion by the year 2040. </w:t>
      </w:r>
    </w:p>
    <w:p w14:paraId="7DB5A9FD" w14:textId="4FC239D5" w:rsidR="00CB073F" w:rsidRPr="003D4AAC" w:rsidRDefault="00000000">
      <w:pPr>
        <w:pStyle w:val="Heading2"/>
        <w:rPr>
          <w:rFonts w:ascii="Arial" w:hAnsi="Arial" w:cs="Arial"/>
          <w:color w:val="000000" w:themeColor="text1"/>
          <w:sz w:val="28"/>
          <w:szCs w:val="28"/>
        </w:rPr>
      </w:pPr>
      <w:bookmarkStart w:id="2" w:name="_Toc233382134"/>
      <w:r w:rsidRPr="003D4AAC">
        <w:rPr>
          <w:rFonts w:ascii="Arial" w:hAnsi="Arial" w:cs="Arial"/>
          <w:color w:val="000000" w:themeColor="text1"/>
          <w:sz w:val="28"/>
          <w:szCs w:val="28"/>
        </w:rPr>
        <w:t>Symptoms and signs</w:t>
      </w:r>
      <w:r w:rsidR="00447440" w:rsidRPr="003D4AAC">
        <w:rPr>
          <w:rFonts w:ascii="Arial" w:hAnsi="Arial" w:cs="Arial"/>
          <w:color w:val="000000" w:themeColor="text1"/>
          <w:sz w:val="28"/>
          <w:szCs w:val="28"/>
        </w:rPr>
        <w:t xml:space="preserve"> </w:t>
      </w:r>
      <w:r w:rsidR="003D4AAC" w:rsidRPr="003D4AAC">
        <w:rPr>
          <w:rFonts w:ascii="Arial" w:hAnsi="Arial" w:cs="Arial"/>
          <w:color w:val="000000" w:themeColor="text1"/>
          <w:sz w:val="28"/>
          <w:szCs w:val="28"/>
        </w:rPr>
        <w:t>of Alzheimer’s</w:t>
      </w:r>
      <w:r w:rsidR="00447440" w:rsidRPr="003D4AAC">
        <w:rPr>
          <w:rFonts w:ascii="Arial" w:hAnsi="Arial" w:cs="Arial"/>
          <w:color w:val="000000" w:themeColor="text1"/>
          <w:sz w:val="28"/>
          <w:szCs w:val="28"/>
        </w:rPr>
        <w:t xml:space="preserve"> disease</w:t>
      </w:r>
      <w:bookmarkEnd w:id="2"/>
    </w:p>
    <w:p w14:paraId="171B39A5" w14:textId="22398CF8" w:rsidR="006C6774" w:rsidRDefault="006C6774">
      <w:r w:rsidRPr="006C6774">
        <w:t>Symptoms at the early stage can be described as a recent loss of memory, repetition of questions, inability to find words, forgetting the whereabouts of certain objects, loss of confidence in decision-making and withdrawal to older activities. According to the National Institute for Health and Care Excellence (NICE), further symptoms would manifest themselves later, such as not knowing what time it is or where to be, agitation, sleep disruption, hallucinations, appetite loss, problems with swallowing, loss of control, continence, and increasing reliance on others (NHS, 2024b; NICE, 2018). An acute alteration is to be considered differently than a slow one as per the delirium, infection, pain, dehydration/side effects of medicines need acute evaluation (Friis et al., 2016; NICE, 2018).</w:t>
      </w:r>
    </w:p>
    <w:p w14:paraId="757628E6" w14:textId="7A3BCA2B" w:rsidR="00CB073F" w:rsidRPr="003D4AAC" w:rsidRDefault="00000000">
      <w:pPr>
        <w:pStyle w:val="Heading2"/>
        <w:rPr>
          <w:rFonts w:ascii="Arial" w:hAnsi="Arial" w:cs="Arial"/>
          <w:color w:val="000000" w:themeColor="text1"/>
          <w:sz w:val="28"/>
          <w:szCs w:val="28"/>
        </w:rPr>
      </w:pPr>
      <w:bookmarkStart w:id="3" w:name="_Toc233382135"/>
      <w:r w:rsidRPr="003D4AAC">
        <w:rPr>
          <w:rFonts w:ascii="Arial" w:hAnsi="Arial" w:cs="Arial"/>
          <w:color w:val="000000" w:themeColor="text1"/>
          <w:sz w:val="28"/>
          <w:szCs w:val="28"/>
        </w:rPr>
        <w:t>Risk factors of Alzheimer’s disease</w:t>
      </w:r>
      <w:bookmarkEnd w:id="3"/>
    </w:p>
    <w:p w14:paraId="5670900F" w14:textId="77777777" w:rsidR="006C6774" w:rsidRDefault="006C6774">
      <w:r w:rsidRPr="006C6774">
        <w:t>The aetiology of Alzheimer’s disease is a multi-factorial one. Increasing age, family history, genetic susceptibility apolipoprotein E epsilon 4 (APOE-e4), are non-modifiable factors that may manifest themselves earlier in life due to rare inherited forms (Knopman et al., 2021; National Institute on Aging, 2023). All these are predisposing factors but not entirely determinant on whether an individual will develop Alzheimer’s disease and hence deterministic language will not be appropriate when informing risk to service users and families.</w:t>
      </w:r>
    </w:p>
    <w:p w14:paraId="55149F26" w14:textId="77777777" w:rsidR="00CB073F" w:rsidRDefault="000908B1">
      <w:pPr>
        <w:jc w:val="center"/>
      </w:pPr>
      <w:r>
        <w:rPr>
          <w:noProof/>
        </w:rPr>
        <w:lastRenderedPageBreak/>
        <w:drawing>
          <wp:inline distT="0" distB="0" distL="0" distR="0" wp14:anchorId="1D6829C8" wp14:editId="40179C4C">
            <wp:extent cx="2834640" cy="5725189"/>
            <wp:effectExtent l="0" t="0" r="0" b="0"/>
            <wp:docPr id="1873727912" name="Picture 1873727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2"/>
                    <a:stretch>
                      <a:fillRect/>
                    </a:stretch>
                  </pic:blipFill>
                  <pic:spPr>
                    <a:xfrm>
                      <a:off x="0" y="0"/>
                      <a:ext cx="2834640" cy="5725189"/>
                    </a:xfrm>
                    <a:prstGeom prst="rect">
                      <a:avLst/>
                    </a:prstGeom>
                  </pic:spPr>
                </pic:pic>
              </a:graphicData>
            </a:graphic>
          </wp:inline>
        </w:drawing>
      </w:r>
    </w:p>
    <w:p w14:paraId="01D5890E" w14:textId="6E3F7B8B" w:rsidR="006C6774" w:rsidRDefault="000908B1" w:rsidP="002D4BF5">
      <w:pPr>
        <w:jc w:val="center"/>
        <w:rPr>
          <w:i/>
        </w:rPr>
      </w:pPr>
      <w:r>
        <w:rPr>
          <w:i/>
        </w:rPr>
        <w:t>Figure 3: Non-modifiable risk factors. Sources: Knopman et al. (2021), National Institute on Aging (2023) and Livingston et al. (2024).</w:t>
      </w:r>
    </w:p>
    <w:p w14:paraId="2D4B6A77" w14:textId="77777777" w:rsidR="002D4BF5" w:rsidRPr="002D4BF5" w:rsidRDefault="002D4BF5" w:rsidP="002D4BF5">
      <w:pPr>
        <w:jc w:val="center"/>
        <w:rPr>
          <w:i/>
        </w:rPr>
      </w:pPr>
    </w:p>
    <w:p w14:paraId="5C735AF2" w14:textId="6144746F" w:rsidR="00962FD6" w:rsidRDefault="006C6774">
      <w:r w:rsidRPr="006C6774">
        <w:t xml:space="preserve">The modifiable risk variables relate Alzheimer’s disease with the broader public health practice. The 2024 Lancet Commission establishes 14 potentially modifiable dementia risk factors and approximates about 45 percent of dementia would either be delayed or avert provided this risk factors were meticulously managed throughout the life span (Livingston et al., 2024). They contain lowered education, hearing damage, high levels of low-density lipoprotein (LDL) cholesterol, depression, brain injury, lack of physical activity, diabetes, smoking, high blood pressure, obesity, detrimental alcoholic beverage consumption, social segregation, air pollutants and unchecked vision loss. Mid- life interventions, like blood pressure </w:t>
      </w:r>
      <w:r w:rsidRPr="006C6774">
        <w:lastRenderedPageBreak/>
        <w:t>control, exercise, smoking cessation and sensory impairment support are also stressed by the National Institute for Health and Care Excellence (NICE) (NICE, 2015).</w:t>
      </w:r>
    </w:p>
    <w:p w14:paraId="2B925974" w14:textId="77777777" w:rsidR="00962FD6" w:rsidRDefault="00962FD6">
      <w:r>
        <w:rPr>
          <w:noProof/>
        </w:rPr>
        <w:drawing>
          <wp:inline distT="0" distB="0" distL="0" distR="0" wp14:anchorId="5B4EF042" wp14:editId="757EAD48">
            <wp:extent cx="6541893" cy="3619500"/>
            <wp:effectExtent l="0" t="0" r="0" b="0"/>
            <wp:docPr id="6658027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a:extLst>
                        <a:ext uri="{28A0092B-C50C-407E-A947-70E740481C1C}">
                          <a14:useLocalDpi xmlns:a14="http://schemas.microsoft.com/office/drawing/2010/main" val="0"/>
                        </a:ext>
                      </a:extLst>
                    </a:blip>
                    <a:srcRect b="11509"/>
                    <a:stretch>
                      <a:fillRect/>
                    </a:stretch>
                  </pic:blipFill>
                  <pic:spPr bwMode="auto">
                    <a:xfrm>
                      <a:off x="0" y="0"/>
                      <a:ext cx="6572933" cy="3636674"/>
                    </a:xfrm>
                    <a:prstGeom prst="rect">
                      <a:avLst/>
                    </a:prstGeom>
                    <a:noFill/>
                    <a:ln>
                      <a:noFill/>
                    </a:ln>
                    <a:extLst>
                      <a:ext uri="{53640926-AAD7-44D8-BBD7-CCE9431645EC}">
                        <a14:shadowObscured xmlns:a14="http://schemas.microsoft.com/office/drawing/2010/main"/>
                      </a:ext>
                    </a:extLst>
                  </pic:spPr>
                </pic:pic>
              </a:graphicData>
            </a:graphic>
          </wp:inline>
        </w:drawing>
      </w:r>
    </w:p>
    <w:p w14:paraId="287E71BC" w14:textId="77777777" w:rsidR="000908B1" w:rsidRDefault="000908B1" w:rsidP="000908B1">
      <w:pPr>
        <w:pStyle w:val="CaptionCustom"/>
      </w:pPr>
      <w:r>
        <w:t>Figure 4: Modifiable dementia risk factors across the life course. Sources: Livingston et al. (2024), NICE (2015) and WHO (2019).</w:t>
      </w:r>
    </w:p>
    <w:p w14:paraId="15DE14CA" w14:textId="77777777" w:rsidR="000908B1" w:rsidRDefault="000908B1"/>
    <w:p w14:paraId="54E0E2BD" w14:textId="77777777" w:rsidR="006C6774" w:rsidRDefault="006C6774" w:rsidP="000908B1">
      <w:r w:rsidRPr="006C6774">
        <w:t>Advice on risk reduction ought to be positive moderation, as opposed to accusatory. Income, education, housing, safe environments, social connection, access to healthcare and hearing or vision aid, are among the many risks influencing them. Hence, it is not a sole matter of prevention. It is a population-level obligation, as well, which involves the availability of services, dementia-friendly communities and policies to minimise inequalities (Livingston et al., 2024; WHO, 2019).</w:t>
      </w:r>
    </w:p>
    <w:p w14:paraId="657C83F2" w14:textId="77777777" w:rsidR="00CB073F" w:rsidRPr="003D4AAC" w:rsidRDefault="00000000">
      <w:pPr>
        <w:pStyle w:val="Heading1"/>
        <w:rPr>
          <w:rFonts w:ascii="Arial" w:hAnsi="Arial" w:cs="Arial"/>
          <w:color w:val="000000" w:themeColor="text1"/>
          <w:sz w:val="28"/>
          <w:szCs w:val="24"/>
        </w:rPr>
      </w:pPr>
      <w:bookmarkStart w:id="4" w:name="_Toc233382136"/>
      <w:r w:rsidRPr="003D4AAC">
        <w:rPr>
          <w:rFonts w:ascii="Arial" w:hAnsi="Arial" w:cs="Arial"/>
          <w:color w:val="000000" w:themeColor="text1"/>
          <w:sz w:val="28"/>
          <w:szCs w:val="24"/>
        </w:rPr>
        <w:t>Impact of the condition</w:t>
      </w:r>
      <w:bookmarkEnd w:id="4"/>
    </w:p>
    <w:p w14:paraId="74DED7BE" w14:textId="77777777" w:rsidR="00CB073F" w:rsidRPr="003D4AAC" w:rsidRDefault="00000000" w:rsidP="003D4AAC">
      <w:pPr>
        <w:rPr>
          <w:b/>
          <w:bCs/>
          <w:color w:val="000000" w:themeColor="text1"/>
          <w:sz w:val="24"/>
          <w:szCs w:val="24"/>
        </w:rPr>
      </w:pPr>
      <w:r w:rsidRPr="003D4AAC">
        <w:rPr>
          <w:b/>
          <w:bCs/>
          <w:color w:val="000000" w:themeColor="text1"/>
          <w:sz w:val="24"/>
          <w:szCs w:val="24"/>
        </w:rPr>
        <w:t>Physical impact on individuals</w:t>
      </w:r>
    </w:p>
    <w:p w14:paraId="4380C75E" w14:textId="34453471" w:rsidR="006C6774" w:rsidRDefault="006C6774">
      <w:r w:rsidRPr="006C6774">
        <w:t>The physical impact of Alzheimer’s disease increases as cognition, judgement and executive function decline. Individuals can have difficulties with cooking, washing, dressing, walking safely, eating, drinking, taking medicines and identifying pain or sickness. Difficulty with memory and orientation may lead to increase</w:t>
      </w:r>
      <w:r>
        <w:t xml:space="preserve"> the risk of missed </w:t>
      </w:r>
      <w:r w:rsidRPr="006C6774">
        <w:t>appointment</w:t>
      </w:r>
      <w:r>
        <w:t xml:space="preserve">, </w:t>
      </w:r>
      <w:r w:rsidRPr="006C6774">
        <w:t xml:space="preserve">dehydration, malnutrition, drug errors, and falls and unnecessary hospitalisation. According to NICE, specific attention to pain, sleep, mobility, nutrition, </w:t>
      </w:r>
      <w:r w:rsidRPr="006C6774">
        <w:lastRenderedPageBreak/>
        <w:t>hydration, continence, oral health, sensory impairment, and medicines should be performed regularly (NICE, 2018).</w:t>
      </w:r>
    </w:p>
    <w:p w14:paraId="4F95206C" w14:textId="77777777" w:rsidR="00CB073F" w:rsidRPr="003D4AAC" w:rsidRDefault="00000000" w:rsidP="003D4AAC">
      <w:pPr>
        <w:rPr>
          <w:b/>
          <w:bCs/>
          <w:sz w:val="24"/>
          <w:szCs w:val="24"/>
        </w:rPr>
      </w:pPr>
      <w:r w:rsidRPr="003D4AAC">
        <w:rPr>
          <w:b/>
          <w:bCs/>
          <w:sz w:val="24"/>
          <w:szCs w:val="24"/>
        </w:rPr>
        <w:t>Psychological impact on individuals</w:t>
      </w:r>
    </w:p>
    <w:p w14:paraId="3C1C9689" w14:textId="0523E6E1" w:rsidR="00672C4C" w:rsidRDefault="00672C4C" w:rsidP="000908B1">
      <w:r w:rsidRPr="00672C4C">
        <w:t xml:space="preserve">The psychological impact may include fear, grief, anger, embarrassment, anxiety, depression and loss of control. The psychological and </w:t>
      </w:r>
      <w:proofErr w:type="spellStart"/>
      <w:r w:rsidRPr="00672C4C">
        <w:t>behavioural</w:t>
      </w:r>
      <w:proofErr w:type="spellEnd"/>
      <w:r w:rsidRPr="00672C4C">
        <w:t xml:space="preserve"> symptoms </w:t>
      </w:r>
      <w:r w:rsidR="00B441DB" w:rsidRPr="00672C4C">
        <w:t>Agitation</w:t>
      </w:r>
      <w:r w:rsidRPr="00672C4C">
        <w:t xml:space="preserve">, distress, apathy, wandering and sleep disruption must be interpreted with great caution due to possible underlying causes of the </w:t>
      </w:r>
      <w:proofErr w:type="spellStart"/>
      <w:r w:rsidRPr="00672C4C">
        <w:t>behaviour</w:t>
      </w:r>
      <w:proofErr w:type="spellEnd"/>
      <w:r w:rsidRPr="00672C4C">
        <w:t xml:space="preserve"> being unmet needs, pain, boredom, environmental stress, or communication problems and are not always deliberate. Kales, Gitlin and </w:t>
      </w:r>
      <w:proofErr w:type="spellStart"/>
      <w:r w:rsidRPr="00672C4C">
        <w:t>Lyketsos</w:t>
      </w:r>
      <w:proofErr w:type="spellEnd"/>
      <w:r w:rsidRPr="00672C4C">
        <w:t xml:space="preserve"> (2015) believe that an evaluation must find triggers and unmet demands prior to being dependent on the medication that sedates them. This is consistent with NICE recommendations that advise psychosocial and environmental interventions as the initial treatment options (NICE, 2018).</w:t>
      </w:r>
    </w:p>
    <w:p w14:paraId="3B2ED27A" w14:textId="77777777" w:rsidR="00742BC1" w:rsidRDefault="00742BC1" w:rsidP="00742BC1">
      <w:pPr>
        <w:jc w:val="center"/>
      </w:pPr>
      <w:r>
        <w:rPr>
          <w:noProof/>
        </w:rPr>
        <w:drawing>
          <wp:inline distT="0" distB="0" distL="0" distR="0" wp14:anchorId="2222B30F" wp14:editId="67EC4DEF">
            <wp:extent cx="6325868" cy="2781300"/>
            <wp:effectExtent l="0" t="0" r="0" b="0"/>
            <wp:docPr id="164012898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4">
                      <a:extLst>
                        <a:ext uri="{28A0092B-C50C-407E-A947-70E740481C1C}">
                          <a14:useLocalDpi xmlns:a14="http://schemas.microsoft.com/office/drawing/2010/main" val="0"/>
                        </a:ext>
                      </a:extLst>
                    </a:blip>
                    <a:srcRect b="29872"/>
                    <a:stretch>
                      <a:fillRect/>
                    </a:stretch>
                  </pic:blipFill>
                  <pic:spPr bwMode="auto">
                    <a:xfrm>
                      <a:off x="0" y="0"/>
                      <a:ext cx="6361527" cy="2796978"/>
                    </a:xfrm>
                    <a:prstGeom prst="rect">
                      <a:avLst/>
                    </a:prstGeom>
                    <a:noFill/>
                    <a:ln>
                      <a:noFill/>
                    </a:ln>
                    <a:extLst>
                      <a:ext uri="{53640926-AAD7-44D8-BBD7-CCE9431645EC}">
                        <a14:shadowObscured xmlns:a14="http://schemas.microsoft.com/office/drawing/2010/main"/>
                      </a:ext>
                    </a:extLst>
                  </pic:spPr>
                </pic:pic>
              </a:graphicData>
            </a:graphic>
          </wp:inline>
        </w:drawing>
      </w:r>
    </w:p>
    <w:p w14:paraId="0E4D6532" w14:textId="4D5CEA3A" w:rsidR="00742BC1" w:rsidRDefault="00742BC1" w:rsidP="00742BC1">
      <w:pPr>
        <w:jc w:val="center"/>
      </w:pPr>
      <w:r>
        <w:rPr>
          <w:i/>
        </w:rPr>
        <w:t>Figure 5: Psychological and mental health impacts associated with Alzheimer’s disease. Sources: Kales, Gitlin and Lyketsos (2015) and NICE (2018).</w:t>
      </w:r>
    </w:p>
    <w:p w14:paraId="4A2FDE98" w14:textId="77777777" w:rsidR="00CB073F" w:rsidRPr="003D4AAC" w:rsidRDefault="00000000" w:rsidP="003D4AAC">
      <w:pPr>
        <w:rPr>
          <w:b/>
          <w:bCs/>
          <w:color w:val="000000" w:themeColor="text1"/>
          <w:sz w:val="24"/>
          <w:szCs w:val="24"/>
        </w:rPr>
      </w:pPr>
      <w:r w:rsidRPr="003D4AAC">
        <w:rPr>
          <w:b/>
          <w:bCs/>
          <w:color w:val="000000" w:themeColor="text1"/>
          <w:sz w:val="24"/>
          <w:szCs w:val="24"/>
        </w:rPr>
        <w:t>Social impact on individuals</w:t>
      </w:r>
    </w:p>
    <w:p w14:paraId="009D4107" w14:textId="6467691F" w:rsidR="00672C4C" w:rsidRDefault="00672C4C">
      <w:r w:rsidRPr="00672C4C">
        <w:t>The social influence is great, as well. Alzheimer’s disease may decrease autonomy in work, driving, pursuits, friendships, community involvement and decision-making. The stigma might also postpone the help-seeking, as individuals are afraid of the judgement, the loss of autonomy or appearing to be a liability.</w:t>
      </w:r>
      <w:r w:rsidR="00B441DB">
        <w:t xml:space="preserve"> </w:t>
      </w:r>
      <w:r w:rsidRPr="00672C4C">
        <w:t>The availability of transport, inclusive communication and voluntary sector support, and community friendliness toward dementia can assist in the process of keeping people connected with each other and can mitigate crisis-driven use of health and social care provision (Department of Health, 2015; Buckner et al., 2019; WHO, 2017).</w:t>
      </w:r>
    </w:p>
    <w:p w14:paraId="79423D8A" w14:textId="77777777" w:rsidR="00CB073F" w:rsidRPr="003D4AAC" w:rsidRDefault="00000000" w:rsidP="003D4AAC">
      <w:pPr>
        <w:rPr>
          <w:b/>
          <w:bCs/>
          <w:color w:val="000000" w:themeColor="text1"/>
          <w:sz w:val="24"/>
          <w:szCs w:val="24"/>
        </w:rPr>
      </w:pPr>
      <w:r w:rsidRPr="003D4AAC">
        <w:rPr>
          <w:b/>
          <w:bCs/>
          <w:color w:val="000000" w:themeColor="text1"/>
          <w:sz w:val="24"/>
          <w:szCs w:val="24"/>
        </w:rPr>
        <w:lastRenderedPageBreak/>
        <w:t>Wider impact on families and carers</w:t>
      </w:r>
    </w:p>
    <w:p w14:paraId="4F1DE663" w14:textId="5DBC738A" w:rsidR="00672C4C" w:rsidRDefault="00672C4C">
      <w:r w:rsidRPr="00672C4C">
        <w:t>Experience of parallel long-term burden by families and carers is common. They can make appointments (or other arrangements), finances, medicines, meals, personal care, safety choices and emotional support. Brodaty and Donkin (2009) demonstrate that needs are relentless and fluctuate, and dementia caregiving is a burden. Pinquart and Sorensen (2003) reported that, poorer psychological and physical health were observed among carers than non-carers. Basic assessment of carers, training and respite are thus key to safe Alzheimer support as opposed to a family friendly add-on (Care Act 2014; NICE, 2018).</w:t>
      </w:r>
    </w:p>
    <w:p w14:paraId="162EE4D1" w14:textId="77777777" w:rsidR="00CB073F" w:rsidRPr="003D4AAC" w:rsidRDefault="00000000">
      <w:pPr>
        <w:pStyle w:val="Heading1"/>
        <w:rPr>
          <w:rFonts w:ascii="Arial" w:hAnsi="Arial" w:cs="Arial"/>
          <w:color w:val="000000" w:themeColor="text1"/>
          <w:sz w:val="28"/>
          <w:szCs w:val="24"/>
        </w:rPr>
      </w:pPr>
      <w:bookmarkStart w:id="5" w:name="_Toc233382137"/>
      <w:r w:rsidRPr="003D4AAC">
        <w:rPr>
          <w:rFonts w:ascii="Arial" w:hAnsi="Arial" w:cs="Arial"/>
          <w:color w:val="000000" w:themeColor="text1"/>
          <w:sz w:val="28"/>
          <w:szCs w:val="24"/>
        </w:rPr>
        <w:t>Treatment and support</w:t>
      </w:r>
      <w:bookmarkEnd w:id="5"/>
    </w:p>
    <w:p w14:paraId="200CD9B4" w14:textId="77777777" w:rsidR="00CB073F" w:rsidRPr="003D4AAC" w:rsidRDefault="00000000" w:rsidP="003D4AAC">
      <w:pPr>
        <w:rPr>
          <w:b/>
          <w:bCs/>
          <w:color w:val="000000" w:themeColor="text1"/>
          <w:sz w:val="24"/>
          <w:szCs w:val="24"/>
        </w:rPr>
      </w:pPr>
      <w:r w:rsidRPr="003D4AAC">
        <w:rPr>
          <w:b/>
          <w:bCs/>
          <w:color w:val="000000" w:themeColor="text1"/>
          <w:sz w:val="24"/>
          <w:szCs w:val="24"/>
        </w:rPr>
        <w:t>Assessment and diagnosis through the National Health Service (NHS)</w:t>
      </w:r>
    </w:p>
    <w:p w14:paraId="48ACC0DF" w14:textId="267000CE" w:rsidR="00672C4C" w:rsidRDefault="00672C4C">
      <w:r w:rsidRPr="00672C4C">
        <w:t xml:space="preserve">Evaluation typically starts with a general practitioner (GP) in the instances that memory, language, </w:t>
      </w:r>
      <w:proofErr w:type="spellStart"/>
      <w:r w:rsidRPr="00672C4C">
        <w:t>behaviour</w:t>
      </w:r>
      <w:proofErr w:type="spellEnd"/>
      <w:r w:rsidRPr="00672C4C">
        <w:t xml:space="preserve"> or daily functioning changes are chronic. The GP can also take a history of the individual and a close associate, do cognitive screening, view medicines, schedule a blood test and depressive and delirious illness and pain as well as dehydration or other reversible causes. In case of the suspected dementia, a memory assessment service may be referred to in order to evaluate the cognitive assessment in more detail, as well as brain imaging in case of necessity (NHS, 2024a; NICE, 2018). Diagnosis is important as it can be treated sooner, a good practical plan is created, social care filled and people who help carers can initiate treatment at an earlier stage (NHS, 2024b).</w:t>
      </w:r>
    </w:p>
    <w:p w14:paraId="6C5EF14E" w14:textId="77777777" w:rsidR="00CB073F" w:rsidRPr="003D4AAC" w:rsidRDefault="00000000" w:rsidP="003D4AAC">
      <w:pPr>
        <w:rPr>
          <w:rFonts w:cs="Arial"/>
          <w:b/>
          <w:bCs/>
          <w:color w:val="000000" w:themeColor="text1"/>
          <w:sz w:val="24"/>
          <w:szCs w:val="24"/>
        </w:rPr>
      </w:pPr>
      <w:r w:rsidRPr="003D4AAC">
        <w:rPr>
          <w:rFonts w:cs="Arial"/>
          <w:b/>
          <w:bCs/>
          <w:color w:val="000000" w:themeColor="text1"/>
          <w:sz w:val="24"/>
          <w:szCs w:val="24"/>
        </w:rPr>
        <w:t>Evidence-based medicines and specialist treatment</w:t>
      </w:r>
    </w:p>
    <w:p w14:paraId="07B2CD5C" w14:textId="21A94F20" w:rsidR="00672C4C" w:rsidRDefault="00672C4C">
      <w:r w:rsidRPr="00672C4C">
        <w:t>Alzheimer’s disease has no regular treatment; however, some individuals can have the symptoms assuaged with drugs. NICE suggests the following acetylcholinesterase inhibitors like donepezil, rivastigmine and galantamine to treat mild to moderate Alzheimer’s disease and memantine may be used in moderate disease cases where the aforementioned medicines are not tolerated or severe Alzheimer’s disease (NICE, 2018). Medicines are also supposed to be reviewed regularly due to a shift in both their balance between beneficial and harmful effects with progressing the condition (NICE, 2018).</w:t>
      </w:r>
    </w:p>
    <w:p w14:paraId="6EAC782E" w14:textId="2C364A8B" w:rsidR="00672C4C" w:rsidRDefault="00672C4C">
      <w:r w:rsidRPr="00672C4C">
        <w:t xml:space="preserve">The evidence-based treatment should take into account the affordability, eligibility, and safety as well, which is demonstrated by new disease-modifying drugs. Lecanemab and donanemab were licensed by the Medicines and Healthcare products Regulatory Agency (MHRA). These are used as a selective intervention in early Alzheimer’s disease in adults but these drugs necessitate specialist evaluation and monitoring due to their potential harmfulness, such as amyloid-related imaging abnormalities (Medicines and Healthcare products Regulatory Agency, 2024a; Medicines and Healthcare products Regulatory Agency, 2024b). Decisions made by NICE appraisals thus play a significant role in access within the NHS in that a licensed treatment might not be regularly suggested to be funded by the NHS where the clinical </w:t>
      </w:r>
      <w:r w:rsidRPr="00672C4C">
        <w:lastRenderedPageBreak/>
        <w:t>benefit, cost effectiveness or service implication of the treatment is not deemed satisfactory (NICE, 2025a; NICE, 2025b).</w:t>
      </w:r>
    </w:p>
    <w:p w14:paraId="0583E8FD" w14:textId="77777777" w:rsidR="00CB073F" w:rsidRPr="003D4AAC" w:rsidRDefault="00000000" w:rsidP="003D4AAC">
      <w:pPr>
        <w:rPr>
          <w:b/>
          <w:bCs/>
          <w:color w:val="000000" w:themeColor="text1"/>
          <w:sz w:val="24"/>
          <w:szCs w:val="24"/>
        </w:rPr>
      </w:pPr>
      <w:r w:rsidRPr="003D4AAC">
        <w:rPr>
          <w:b/>
          <w:bCs/>
          <w:color w:val="000000" w:themeColor="text1"/>
          <w:sz w:val="24"/>
          <w:szCs w:val="24"/>
        </w:rPr>
        <w:t>Non-pharmacological support and long-term care</w:t>
      </w:r>
    </w:p>
    <w:p w14:paraId="15AB4AB3" w14:textId="1B1FA333" w:rsidR="00672C4C" w:rsidRDefault="00672C4C">
      <w:r w:rsidRPr="00672C4C">
        <w:t>The importance of non-pharmacological support is equally important as the one of medication as Alzheimer’s disease concerns the entire person. Group cognitive stimulation therapy (CST) is an intervention that should be provided to individuals with mild to moderate dementia as it has the potential to help them with cognition, communication and quality of life (NICE, 2018; Spector et al., 2003; Woods et al., 2023). Other meaningful activities, communication aid, education and advance care planning of a carer can also be included in the practical support. This interdisciplinary stance outweighs an exclusive approach that is centred on medicines since it addresses the physical, psychological, social and family needs (NICE, 2018).</w:t>
      </w:r>
    </w:p>
    <w:p w14:paraId="50D37F8C" w14:textId="77777777" w:rsidR="00CB073F" w:rsidRPr="003D4AAC" w:rsidRDefault="00000000" w:rsidP="003D4AAC">
      <w:pPr>
        <w:rPr>
          <w:b/>
          <w:bCs/>
          <w:color w:val="000000" w:themeColor="text1"/>
          <w:sz w:val="24"/>
          <w:szCs w:val="24"/>
        </w:rPr>
      </w:pPr>
      <w:r w:rsidRPr="003D4AAC">
        <w:rPr>
          <w:b/>
          <w:bCs/>
          <w:color w:val="000000" w:themeColor="text1"/>
          <w:sz w:val="24"/>
          <w:szCs w:val="24"/>
        </w:rPr>
        <w:t>Care coordination and carer support</w:t>
      </w:r>
    </w:p>
    <w:p w14:paraId="52858E3F" w14:textId="146CC9AF" w:rsidR="00672C4C" w:rsidRDefault="00672C4C" w:rsidP="000908B1">
      <w:r w:rsidRPr="00672C4C">
        <w:t>The coordination of long-term support is possible due to the alteration of Alzheimer’s disease as time progresses and often a combination of several services is offered. An effective plan must have an identified set of contacts, medicines, review dates, social care plans, roles of the carers, how they want to be approached in the future and who they prefer to ask in case of crisis. Families should also be given very specific advice of benefits, legal planning, driving, home safety and respite options. NICE encourages inclusion of the carers where necessary and Care Act 2014 promotes formal assessment of care needs and needs of the carers (Care Act 2014; NICE, 2018).</w:t>
      </w:r>
    </w:p>
    <w:p w14:paraId="5895D5DF" w14:textId="77777777" w:rsidR="00CB073F" w:rsidRDefault="000908B1">
      <w:pPr>
        <w:spacing w:before="80"/>
        <w:jc w:val="center"/>
      </w:pPr>
      <w:r>
        <w:rPr>
          <w:noProof/>
        </w:rPr>
        <w:drawing>
          <wp:inline distT="0" distB="0" distL="0" distR="0" wp14:anchorId="24419FEE" wp14:editId="647425E7">
            <wp:extent cx="6438305" cy="2971800"/>
            <wp:effectExtent l="0" t="0" r="635" b="0"/>
            <wp:docPr id="2018312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5">
                      <a:extLst>
                        <a:ext uri="{28A0092B-C50C-407E-A947-70E740481C1C}">
                          <a14:useLocalDpi xmlns:a14="http://schemas.microsoft.com/office/drawing/2010/main" val="0"/>
                        </a:ext>
                      </a:extLst>
                    </a:blip>
                    <a:srcRect b="9185"/>
                    <a:stretch>
                      <a:fillRect/>
                    </a:stretch>
                  </pic:blipFill>
                  <pic:spPr bwMode="auto">
                    <a:xfrm>
                      <a:off x="0" y="0"/>
                      <a:ext cx="6487727" cy="2994612"/>
                    </a:xfrm>
                    <a:prstGeom prst="rect">
                      <a:avLst/>
                    </a:prstGeom>
                    <a:noFill/>
                    <a:ln>
                      <a:noFill/>
                    </a:ln>
                    <a:extLst>
                      <a:ext uri="{53640926-AAD7-44D8-BBD7-CCE9431645EC}">
                        <a14:shadowObscured xmlns:a14="http://schemas.microsoft.com/office/drawing/2010/main"/>
                      </a:ext>
                    </a:extLst>
                  </pic:spPr>
                </pic:pic>
              </a:graphicData>
            </a:graphic>
          </wp:inline>
        </w:drawing>
      </w:r>
    </w:p>
    <w:p w14:paraId="073A9F1C" w14:textId="77777777" w:rsidR="00CB073F" w:rsidRDefault="00000000">
      <w:pPr>
        <w:pStyle w:val="CaptionCustom"/>
      </w:pPr>
      <w:r>
        <w:t>Figure 6: Typical NHS assessment, treatment and support pathway. Sources: NHS (2024a), NHS (2024b), NICE (2018), Spector et al. (2003) and Woods et al. (2023).</w:t>
      </w:r>
    </w:p>
    <w:p w14:paraId="6EF6B981" w14:textId="7B991BBE" w:rsidR="00CB073F" w:rsidRPr="003D4AAC" w:rsidRDefault="00000000">
      <w:pPr>
        <w:pStyle w:val="Heading1"/>
        <w:rPr>
          <w:rFonts w:ascii="Arial" w:hAnsi="Arial" w:cs="Arial"/>
          <w:color w:val="000000" w:themeColor="text1"/>
          <w:sz w:val="28"/>
          <w:szCs w:val="24"/>
        </w:rPr>
      </w:pPr>
      <w:bookmarkStart w:id="6" w:name="_Toc233382138"/>
      <w:r w:rsidRPr="003D4AAC">
        <w:rPr>
          <w:rFonts w:ascii="Arial" w:hAnsi="Arial" w:cs="Arial"/>
          <w:color w:val="000000" w:themeColor="text1"/>
          <w:sz w:val="28"/>
          <w:szCs w:val="24"/>
        </w:rPr>
        <w:lastRenderedPageBreak/>
        <w:t>Models</w:t>
      </w:r>
      <w:bookmarkEnd w:id="6"/>
    </w:p>
    <w:p w14:paraId="0A377CE2" w14:textId="77777777" w:rsidR="00CB073F" w:rsidRPr="003D4AAC" w:rsidRDefault="00000000" w:rsidP="003D4AAC">
      <w:pPr>
        <w:rPr>
          <w:b/>
          <w:bCs/>
          <w:color w:val="000000" w:themeColor="text1"/>
          <w:sz w:val="24"/>
          <w:szCs w:val="24"/>
        </w:rPr>
      </w:pPr>
      <w:r w:rsidRPr="003D4AAC">
        <w:rPr>
          <w:b/>
          <w:bCs/>
          <w:color w:val="000000" w:themeColor="text1"/>
          <w:sz w:val="24"/>
          <w:szCs w:val="24"/>
        </w:rPr>
        <w:t>UK model: House of Care Model</w:t>
      </w:r>
    </w:p>
    <w:p w14:paraId="7034557A" w14:textId="77777777" w:rsidR="00672C4C" w:rsidRDefault="00672C4C">
      <w:r w:rsidRPr="00672C4C">
        <w:t xml:space="preserve">The UK House of Care Model fits well in the case of Alzheimer’s disease as it conceptualises long-term condition care as a collaboration and not a collection of few individual meetings. According to the British Heart Foundation (BHF), the model facilitates a care and support planning model of individuals living with long-term conditions (British Heart Foundation, 2024). Its four key elements are engaged and informed people and carers, professionals committed to partnership working, </w:t>
      </w:r>
      <w:proofErr w:type="spellStart"/>
      <w:r w:rsidRPr="00672C4C">
        <w:t>organisational</w:t>
      </w:r>
      <w:proofErr w:type="spellEnd"/>
      <w:r w:rsidRPr="00672C4C">
        <w:t xml:space="preserve"> processes, and commissioning or provider support. All these factors provide a platform of a two-way discussion on what matters to the individual (Coulter et al., 2016; The Health Foundation, 2014).</w:t>
      </w:r>
    </w:p>
    <w:p w14:paraId="2EF27C23" w14:textId="4C3340B0" w:rsidR="00742BC1" w:rsidRDefault="00672C4C" w:rsidP="00F26A4B">
      <w:r w:rsidRPr="00672C4C">
        <w:t xml:space="preserve">The House of Care Model is applicable to Alzheimer’s disease as it is effective in correlating clinical review with individual aspirations, family roles, risk planning, and community resources. As an example, it is not enough to appoint and visit to check memory scores or medicines. It is also called to talk about the home safety, nutrition, mood, social, contact, carer stress, crisis, plans and end-of-life preferences when suitable. One of the constraints is that the model is time-based as it requires staff training and the availability of local services. </w:t>
      </w:r>
    </w:p>
    <w:p w14:paraId="27911CD7" w14:textId="77777777" w:rsidR="00CB073F" w:rsidRDefault="00742BC1">
      <w:pPr>
        <w:spacing w:before="80"/>
        <w:jc w:val="center"/>
      </w:pPr>
      <w:r>
        <w:rPr>
          <w:noProof/>
        </w:rPr>
        <w:drawing>
          <wp:inline distT="0" distB="0" distL="0" distR="0" wp14:anchorId="371CC8E8" wp14:editId="3D98315C">
            <wp:extent cx="5737555" cy="3642003"/>
            <wp:effectExtent l="0" t="0" r="0" b="0"/>
            <wp:docPr id="120275440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44290" cy="3646278"/>
                    </a:xfrm>
                    <a:prstGeom prst="rect">
                      <a:avLst/>
                    </a:prstGeom>
                    <a:noFill/>
                  </pic:spPr>
                </pic:pic>
              </a:graphicData>
            </a:graphic>
          </wp:inline>
        </w:drawing>
      </w:r>
    </w:p>
    <w:p w14:paraId="050C1A95" w14:textId="77777777" w:rsidR="00CB073F" w:rsidRDefault="00000000">
      <w:pPr>
        <w:pStyle w:val="CaptionCustom"/>
      </w:pPr>
      <w:r>
        <w:t>Figure 7: House of Care Model showing the four key elements for personalised long-term condition support. Sources: Coulter et al. (2016), British Heart Foundation (2024) and The Health Foundation (2014).</w:t>
      </w:r>
    </w:p>
    <w:p w14:paraId="379F5EF9" w14:textId="77777777" w:rsidR="00F26A4B" w:rsidRDefault="00F26A4B">
      <w:pPr>
        <w:pStyle w:val="CaptionCustom"/>
      </w:pPr>
    </w:p>
    <w:p w14:paraId="619C0D3E" w14:textId="77777777" w:rsidR="00F26A4B" w:rsidRDefault="00F26A4B">
      <w:pPr>
        <w:pStyle w:val="CaptionCustom"/>
      </w:pPr>
    </w:p>
    <w:p w14:paraId="3C647BA1" w14:textId="77777777" w:rsidR="00CB073F" w:rsidRPr="003D4AAC" w:rsidRDefault="00000000" w:rsidP="003D4AAC">
      <w:pPr>
        <w:rPr>
          <w:b/>
          <w:bCs/>
          <w:color w:val="000000" w:themeColor="text1"/>
          <w:sz w:val="24"/>
          <w:szCs w:val="24"/>
        </w:rPr>
      </w:pPr>
      <w:r w:rsidRPr="003D4AAC">
        <w:rPr>
          <w:b/>
          <w:bCs/>
          <w:color w:val="000000" w:themeColor="text1"/>
          <w:sz w:val="24"/>
          <w:szCs w:val="24"/>
        </w:rPr>
        <w:lastRenderedPageBreak/>
        <w:t>International model: Chronic Care Model</w:t>
      </w:r>
    </w:p>
    <w:p w14:paraId="0B3B7751" w14:textId="77777777" w:rsidR="00672C4C" w:rsidRDefault="00672C4C">
      <w:r w:rsidRPr="00672C4C">
        <w:t xml:space="preserve">International Chronic Care Model has a broader perspective of the system in relation to the management of Alzheimer’s disease. Wagner et al. (2001) have suggested six core elements which include: community resources and policies, health system </w:t>
      </w:r>
      <w:proofErr w:type="spellStart"/>
      <w:r w:rsidRPr="00672C4C">
        <w:t>organisation</w:t>
      </w:r>
      <w:proofErr w:type="spellEnd"/>
      <w:r w:rsidRPr="00672C4C">
        <w:t>, self-management support, delivery system design, decision support and clinical information system. Coleman et al. (2009) believe that this model assists services to shift reactive acute care to planned and proactive, and population-based long-term condition management.</w:t>
      </w:r>
    </w:p>
    <w:p w14:paraId="1FBDB768" w14:textId="3AB4E468" w:rsidR="00672C4C" w:rsidRDefault="00672C4C">
      <w:r w:rsidRPr="00672C4C">
        <w:t xml:space="preserve">The Chronic Care Model is applicable in Alzheimer’s disease in the sense that effective results demand trained workers, knowledgeable households, scheduled assessments, exchanged information and connections with the neighbourhood. The model is also faulty as this demonstrates that self-management will have to be adapted. Individuals with Alzheimer’s disease might require collective self-management via family, technology and expert assistance as opposed to self-management being imposed (Hellqvist, 2021; NICE, 2018). </w:t>
      </w:r>
    </w:p>
    <w:p w14:paraId="5AF2291A" w14:textId="77777777" w:rsidR="00CB073F" w:rsidRDefault="00742BC1" w:rsidP="00742BC1">
      <w:pPr>
        <w:spacing w:before="80"/>
        <w:jc w:val="center"/>
        <w:rPr>
          <w:noProof/>
        </w:rPr>
      </w:pPr>
      <w:r>
        <w:rPr>
          <w:noProof/>
        </w:rPr>
        <w:drawing>
          <wp:inline distT="0" distB="0" distL="0" distR="0" wp14:anchorId="71F1200D" wp14:editId="425B9E76">
            <wp:extent cx="6097440" cy="4658710"/>
            <wp:effectExtent l="0" t="0" r="0" b="8890"/>
            <wp:docPr id="181097855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08545" cy="4667195"/>
                    </a:xfrm>
                    <a:prstGeom prst="rect">
                      <a:avLst/>
                    </a:prstGeom>
                    <a:noFill/>
                  </pic:spPr>
                </pic:pic>
              </a:graphicData>
            </a:graphic>
          </wp:inline>
        </w:drawing>
      </w:r>
    </w:p>
    <w:p w14:paraId="171FAA35" w14:textId="77777777" w:rsidR="00CB073F" w:rsidRDefault="00000000">
      <w:pPr>
        <w:pStyle w:val="CaptionCustom"/>
      </w:pPr>
      <w:r>
        <w:t>Figure 8: Chronic Care Model showing the six core elements of planned long-term condition care. Sources: Wagner et al. (2001) and Coleman et al. (2009).</w:t>
      </w:r>
    </w:p>
    <w:p w14:paraId="34D16BFA" w14:textId="77777777" w:rsidR="00CB073F" w:rsidRPr="003D4AAC" w:rsidRDefault="00000000">
      <w:pPr>
        <w:pStyle w:val="Heading1"/>
        <w:rPr>
          <w:rFonts w:ascii="Arial" w:hAnsi="Arial" w:cs="Arial"/>
          <w:color w:val="000000" w:themeColor="text1"/>
          <w:sz w:val="28"/>
          <w:szCs w:val="24"/>
        </w:rPr>
      </w:pPr>
      <w:bookmarkStart w:id="7" w:name="_Toc233382139"/>
      <w:r w:rsidRPr="003D4AAC">
        <w:rPr>
          <w:rFonts w:ascii="Arial" w:hAnsi="Arial" w:cs="Arial"/>
          <w:color w:val="000000" w:themeColor="text1"/>
          <w:sz w:val="28"/>
          <w:szCs w:val="24"/>
        </w:rPr>
        <w:lastRenderedPageBreak/>
        <w:t>Local and national political health and social care agendas</w:t>
      </w:r>
      <w:bookmarkEnd w:id="7"/>
    </w:p>
    <w:p w14:paraId="61281C8D" w14:textId="77777777" w:rsidR="00CB073F" w:rsidRPr="003D4AAC" w:rsidRDefault="00000000" w:rsidP="003D4AAC">
      <w:pPr>
        <w:rPr>
          <w:b/>
          <w:bCs/>
          <w:color w:val="000000" w:themeColor="text1"/>
          <w:sz w:val="24"/>
          <w:szCs w:val="24"/>
        </w:rPr>
      </w:pPr>
      <w:r w:rsidRPr="003D4AAC">
        <w:rPr>
          <w:b/>
          <w:bCs/>
          <w:color w:val="000000" w:themeColor="text1"/>
          <w:sz w:val="24"/>
          <w:szCs w:val="24"/>
        </w:rPr>
        <w:t>National policy implementation and diagnosis targets</w:t>
      </w:r>
    </w:p>
    <w:p w14:paraId="34C7486D" w14:textId="4FDAF466" w:rsidR="00672C4C" w:rsidRDefault="00672C4C">
      <w:r w:rsidRPr="00672C4C">
        <w:t>Dementia-friendly communities, research investment and improved support have been encouraged by national policy as well as earlier diagnosis and diagnosis. The Prime Minister’s Challenge on Dementia 2020 focused on raising awareness, diagnosing promptly, enhancing services and including communities (Department of Health, 2015). Dementia is also defined as a global health priority in the action plan by the WHO, in which there is a need to reduce risks, diagnose, care, support carers, research and information systems (WHO, 2017). In England, the NHS policy still monitors recovery at the end of the pandemic in diagnoses; however, the rates of recorded diagnoses are still almost at the national ambition and not at least higher than expected (NHS England, 2024; NHS Digital, 2026). This is that instead of gauging progress in terms of national strategies, access, waiting times, post-diagnosis and carer outcomes should be considered.</w:t>
      </w:r>
    </w:p>
    <w:p w14:paraId="4D854372" w14:textId="77777777" w:rsidR="00CB073F" w:rsidRPr="003D4AAC" w:rsidRDefault="00000000" w:rsidP="003D4AAC">
      <w:pPr>
        <w:rPr>
          <w:b/>
          <w:bCs/>
          <w:color w:val="000000" w:themeColor="text1"/>
          <w:sz w:val="24"/>
          <w:szCs w:val="24"/>
        </w:rPr>
      </w:pPr>
      <w:r w:rsidRPr="003D4AAC">
        <w:rPr>
          <w:b/>
          <w:bCs/>
          <w:color w:val="000000" w:themeColor="text1"/>
          <w:sz w:val="24"/>
          <w:szCs w:val="24"/>
        </w:rPr>
        <w:t>Local implementation through integrated care systems</w:t>
      </w:r>
    </w:p>
    <w:p w14:paraId="18EC57C2" w14:textId="03A4D4E5" w:rsidR="00672C4C" w:rsidRDefault="00672C4C">
      <w:r w:rsidRPr="00672C4C">
        <w:t>The implementation in the region involves local authorities, memory service, local authorities working in collaboration with GP practices, social care service and voluntary organisations. This bill is significant since it imposes responsibilities on the local authorities with regards to needs assessment, carer assessment and safeguarding. The Mental Capacity Act 2005 also takes centre-stage since the professionals should assume the presence of capacity. All of these legal obligations directly apply to the Alzheimer’s disease since the concepts of capacity, risk and support needs vary with time changes (Mental Capacity Act 2005; Care Act 2014; NICE, 2018). Practically, implementation would be most effective with a linkage between memory assessment, primary care review, social care, safeguarding and voluntary sector advice and support to the carers as opposed to services being isolated and separate.</w:t>
      </w:r>
    </w:p>
    <w:p w14:paraId="24B9AF94" w14:textId="77777777" w:rsidR="00CB073F" w:rsidRPr="003D4AAC" w:rsidRDefault="00000000" w:rsidP="003D4AAC">
      <w:pPr>
        <w:rPr>
          <w:b/>
          <w:bCs/>
          <w:color w:val="000000" w:themeColor="text1"/>
          <w:sz w:val="24"/>
          <w:szCs w:val="24"/>
        </w:rPr>
      </w:pPr>
      <w:r w:rsidRPr="003D4AAC">
        <w:rPr>
          <w:b/>
          <w:bCs/>
          <w:color w:val="000000" w:themeColor="text1"/>
          <w:sz w:val="24"/>
          <w:szCs w:val="24"/>
        </w:rPr>
        <w:t>Equity, access and service gaps</w:t>
      </w:r>
    </w:p>
    <w:p w14:paraId="28C26DF0" w14:textId="607B4094" w:rsidR="00F26A4B" w:rsidRDefault="00672C4C">
      <w:r w:rsidRPr="00672C4C">
        <w:t>A gap between local reality and the ambition of the nation is also a major policy problem. Individuals residing alone, minority ethnic groups, rural families, low-income families and individuals with sensory, digital or language constraints can experience a delayed diagnosis and poor post-diagnostic care. Measurable outcomes such as the waiting times in memory clinics, the number of carers who have undergone assessment, crisis management, preventing unnecessary hospitalisation, access to social care, the quality protection of life and palliative care must therefore be used to judge the local dementia strategies (Alzheimer’s Society, 2024b; NICE, 2018; WHO, 2017).</w:t>
      </w:r>
    </w:p>
    <w:p w14:paraId="448C96A0" w14:textId="2CA44C2D" w:rsidR="00672C4C" w:rsidRDefault="00F26A4B" w:rsidP="00F26A4B">
      <w:pPr>
        <w:spacing w:after="200" w:line="276" w:lineRule="auto"/>
        <w:jc w:val="left"/>
      </w:pPr>
      <w:r>
        <w:br w:type="page"/>
      </w:r>
    </w:p>
    <w:p w14:paraId="249A985D" w14:textId="77777777" w:rsidR="00CB073F" w:rsidRPr="003D4AAC" w:rsidRDefault="00000000">
      <w:pPr>
        <w:pStyle w:val="Heading1"/>
        <w:rPr>
          <w:rFonts w:ascii="Arial" w:hAnsi="Arial" w:cs="Arial"/>
          <w:color w:val="000000" w:themeColor="text1"/>
          <w:sz w:val="28"/>
          <w:szCs w:val="24"/>
        </w:rPr>
      </w:pPr>
      <w:bookmarkStart w:id="8" w:name="_Toc233382140"/>
      <w:r w:rsidRPr="003D4AAC">
        <w:rPr>
          <w:rFonts w:ascii="Arial" w:hAnsi="Arial" w:cs="Arial"/>
          <w:color w:val="000000" w:themeColor="text1"/>
          <w:sz w:val="28"/>
          <w:szCs w:val="24"/>
        </w:rPr>
        <w:lastRenderedPageBreak/>
        <w:t>Recommendations</w:t>
      </w:r>
      <w:bookmarkEnd w:id="8"/>
    </w:p>
    <w:p w14:paraId="59D3FDE1" w14:textId="77777777" w:rsidR="00CB073F" w:rsidRPr="003D4AAC" w:rsidRDefault="00000000" w:rsidP="003D4AAC">
      <w:pPr>
        <w:rPr>
          <w:b/>
          <w:bCs/>
          <w:color w:val="000000" w:themeColor="text1"/>
          <w:sz w:val="24"/>
          <w:szCs w:val="24"/>
        </w:rPr>
      </w:pPr>
      <w:r w:rsidRPr="003D4AAC">
        <w:rPr>
          <w:b/>
          <w:bCs/>
          <w:color w:val="000000" w:themeColor="text1"/>
          <w:sz w:val="24"/>
          <w:szCs w:val="24"/>
        </w:rPr>
        <w:t>Person-centred care</w:t>
      </w:r>
    </w:p>
    <w:p w14:paraId="328EBD44" w14:textId="00CB31B7" w:rsidR="000908B1" w:rsidRDefault="00203C05">
      <w:r w:rsidRPr="00203C05">
        <w:t xml:space="preserve">The early recognition and timely diagnosis should be reinforced through services. The general public information must provide an explanation that if there exists a consistent fluctuation of memory, language, judging, mood, orientation or daily functions then this should be communicated to GP whereas the sudden cases of confusion should be regarded as an emergency since there is the possibility of delirium (NHS, 2024a; NICE, 2018). Following diagnosis, any individual must be provided with a written post-diagnostic support plan that encompasses diagnosis, medicines, non-pharmacological support, social care, carer roles, risk planning, crisis contacts and review dates. </w:t>
      </w:r>
    </w:p>
    <w:p w14:paraId="28FF9606" w14:textId="77777777" w:rsidR="00CB073F" w:rsidRDefault="000908B1">
      <w:pPr>
        <w:jc w:val="center"/>
      </w:pPr>
      <w:r>
        <w:rPr>
          <w:noProof/>
        </w:rPr>
        <w:drawing>
          <wp:inline distT="0" distB="0" distL="0" distR="0" wp14:anchorId="64D3E3C0" wp14:editId="5D369F3B">
            <wp:extent cx="4035554" cy="5305097"/>
            <wp:effectExtent l="0" t="0" r="3175" b="0"/>
            <wp:docPr id="1873727911" name="Picture 1873727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8"/>
                    <a:stretch>
                      <a:fillRect/>
                    </a:stretch>
                  </pic:blipFill>
                  <pic:spPr>
                    <a:xfrm>
                      <a:off x="0" y="0"/>
                      <a:ext cx="4048823" cy="5322540"/>
                    </a:xfrm>
                    <a:prstGeom prst="rect">
                      <a:avLst/>
                    </a:prstGeom>
                  </pic:spPr>
                </pic:pic>
              </a:graphicData>
            </a:graphic>
          </wp:inline>
        </w:drawing>
      </w:r>
    </w:p>
    <w:p w14:paraId="702B201F" w14:textId="77777777" w:rsidR="00CB073F" w:rsidRDefault="000908B1">
      <w:pPr>
        <w:jc w:val="center"/>
      </w:pPr>
      <w:r>
        <w:rPr>
          <w:i/>
        </w:rPr>
        <w:t>Figure 9: Person-centred care and supported self-management strategies for Alzheimer’s disease. Sources: Kitwood (1997), Coulter et al. (2015), Hellqvist (2021), NICE (2018) and WHO (2019).</w:t>
      </w:r>
    </w:p>
    <w:p w14:paraId="7C8FE303" w14:textId="3495C88B" w:rsidR="00B441DB" w:rsidRDefault="00B441DB">
      <w:r w:rsidRPr="00B441DB">
        <w:lastRenderedPageBreak/>
        <w:t>Culture, communication, health literacy and personal identity should also be covered by person-</w:t>
      </w:r>
      <w:proofErr w:type="spellStart"/>
      <w:r w:rsidRPr="00B441DB">
        <w:t>centred</w:t>
      </w:r>
      <w:proofErr w:type="spellEnd"/>
      <w:r w:rsidRPr="00B441DB">
        <w:t xml:space="preserve"> care. Individuals with Alzheimer’s disease might require information in straightforward language, written summaries, interpreters, visual cues and time to engage trusted family members or carers. The person-</w:t>
      </w:r>
      <w:proofErr w:type="spellStart"/>
      <w:r w:rsidRPr="00B441DB">
        <w:t>centred</w:t>
      </w:r>
      <w:proofErr w:type="spellEnd"/>
      <w:r w:rsidRPr="00B441DB">
        <w:t xml:space="preserve"> approach by </w:t>
      </w:r>
      <w:proofErr w:type="spellStart"/>
      <w:r w:rsidRPr="00B441DB">
        <w:t>Kitwood</w:t>
      </w:r>
      <w:proofErr w:type="spellEnd"/>
      <w:r w:rsidRPr="00B441DB">
        <w:t xml:space="preserve"> is applicable in that</w:t>
      </w:r>
      <w:r w:rsidR="00F26A4B">
        <w:t xml:space="preserve"> as</w:t>
      </w:r>
      <w:r w:rsidRPr="00B441DB">
        <w:t xml:space="preserve"> it asks services to consider the history, relationships, preferences and strengths of the person and not just the cognitive decline (</w:t>
      </w:r>
      <w:proofErr w:type="spellStart"/>
      <w:r w:rsidRPr="00B441DB">
        <w:t>Kitwood</w:t>
      </w:r>
      <w:proofErr w:type="spellEnd"/>
      <w:r w:rsidRPr="00B441DB">
        <w:t xml:space="preserve">, 1997; NICE, 2018). </w:t>
      </w:r>
    </w:p>
    <w:p w14:paraId="538DE580" w14:textId="77777777" w:rsidR="00CB073F" w:rsidRPr="003D4AAC" w:rsidRDefault="00000000" w:rsidP="003D4AAC">
      <w:pPr>
        <w:rPr>
          <w:b/>
          <w:bCs/>
        </w:rPr>
      </w:pPr>
      <w:r w:rsidRPr="003D4AAC">
        <w:rPr>
          <w:b/>
          <w:bCs/>
          <w:color w:val="000000" w:themeColor="text1"/>
          <w:sz w:val="24"/>
          <w:szCs w:val="24"/>
        </w:rPr>
        <w:t>Supported self-management</w:t>
      </w:r>
    </w:p>
    <w:p w14:paraId="6DED2E3F" w14:textId="0209C88F" w:rsidR="00B441DB" w:rsidRDefault="00B441DB">
      <w:r w:rsidRPr="00B441DB">
        <w:t xml:space="preserve">Maintaining self-management </w:t>
      </w:r>
      <w:r w:rsidR="00F26A4B">
        <w:t xml:space="preserve">should </w:t>
      </w:r>
      <w:r w:rsidRPr="00B441DB">
        <w:t xml:space="preserve">be on a practical and realistic level. Social routines encompass social groups and sleep routines are among the early-stage support, since labelled cupboards, calendars, medication aids, safe cooking routines, regular activity, healthy eating, social groups and sleep routines aid in the support. </w:t>
      </w:r>
      <w:r>
        <w:t>However,</w:t>
      </w:r>
      <w:r w:rsidRPr="00B441DB">
        <w:t xml:space="preserve"> the self-management of Alzheimer’s disease </w:t>
      </w:r>
      <w:r w:rsidR="00F26A4B">
        <w:t xml:space="preserve">should </w:t>
      </w:r>
      <w:r w:rsidRPr="00B441DB">
        <w:t>be collective other than subjective since there is gradual degrading memory and executive functioning. The support system usually involves families, technology and professionals, and thus services must involve teaching the carers how to promote independence without predisposing excessively or deprive the person of their dignity (Hellqvist, 2021; NICE, 2018; WHO, 2019).</w:t>
      </w:r>
    </w:p>
    <w:p w14:paraId="6E4CB170" w14:textId="77777777" w:rsidR="00CB073F" w:rsidRPr="003D4AAC" w:rsidRDefault="00000000" w:rsidP="003D4AAC">
      <w:pPr>
        <w:rPr>
          <w:b/>
          <w:bCs/>
          <w:color w:val="000000" w:themeColor="text1"/>
          <w:sz w:val="24"/>
          <w:szCs w:val="24"/>
        </w:rPr>
      </w:pPr>
      <w:r w:rsidRPr="003D4AAC">
        <w:rPr>
          <w:b/>
          <w:bCs/>
          <w:color w:val="000000" w:themeColor="text1"/>
          <w:sz w:val="24"/>
          <w:szCs w:val="24"/>
        </w:rPr>
        <w:t>End-of-life care and safeguarding</w:t>
      </w:r>
    </w:p>
    <w:p w14:paraId="3FCC5174" w14:textId="11F5C9D1" w:rsidR="00B441DB" w:rsidRDefault="00B441DB">
      <w:r w:rsidRPr="00B441DB">
        <w:t xml:space="preserve">End-of-life care and protection must be brought up, prior to crisis. Advanced Alzheimer’s disease may involve severe communication difficulties, immobility, swallowing problems, infections, weight loss and increasing dependence. Comfort, dignity, pain management assessment, mouth care, nutrition conversation, support and preferences regarding place of care ought to be regarded as the focal points of care (NICE, 2018; Royal College of Psychiatrists, 2018). Early implementation of advance care planning is recommended when the individual can still contribute to the decision making that relates to enduring power of attorney, advance statements and preferred care settings (Mental Capacity Act 2005; Alzheimer’s Society, 2024b). </w:t>
      </w:r>
    </w:p>
    <w:p w14:paraId="2852807A" w14:textId="77777777" w:rsidR="00CB073F" w:rsidRPr="003D4AAC" w:rsidRDefault="00000000">
      <w:pPr>
        <w:pStyle w:val="Heading1"/>
        <w:rPr>
          <w:rFonts w:ascii="Arial" w:hAnsi="Arial" w:cs="Arial"/>
          <w:color w:val="000000" w:themeColor="text1"/>
          <w:sz w:val="28"/>
          <w:szCs w:val="24"/>
        </w:rPr>
      </w:pPr>
      <w:bookmarkStart w:id="9" w:name="_Toc233382141"/>
      <w:r w:rsidRPr="003D4AAC">
        <w:rPr>
          <w:rFonts w:ascii="Arial" w:hAnsi="Arial" w:cs="Arial"/>
          <w:color w:val="000000" w:themeColor="text1"/>
          <w:sz w:val="28"/>
          <w:szCs w:val="24"/>
        </w:rPr>
        <w:t>Closing summary</w:t>
      </w:r>
      <w:bookmarkEnd w:id="9"/>
    </w:p>
    <w:p w14:paraId="22989464" w14:textId="177B3F7E" w:rsidR="00CB073F" w:rsidRDefault="00B441DB">
      <w:r w:rsidRPr="00B441DB">
        <w:t>Alzheimer’s disease is a long-term progressive condition, which has significant impacts on the cognition, independence in daily living, emotional health, family life system and the broader health and social care. Diagnosis and medicines are not enough to manage it effectively. It requires an early identification, evidence-based intervention, psychosocial intervention, carer evaluation and person-</w:t>
      </w:r>
      <w:proofErr w:type="spellStart"/>
      <w:r w:rsidRPr="00B441DB">
        <w:t>centred</w:t>
      </w:r>
      <w:proofErr w:type="spellEnd"/>
      <w:r w:rsidRPr="00B441DB">
        <w:t xml:space="preserve"> care planning, coordinated service, safeguarding and end-of-life planning. Although Alzheimer’s disease cannot be treated in the NHS at present, clear information and early support can minimise unnecessary suffering and enable people to remain dignified</w:t>
      </w:r>
      <w:r w:rsidR="002D4BF5">
        <w:t>.</w:t>
      </w:r>
      <w:r>
        <w:br w:type="page"/>
      </w:r>
    </w:p>
    <w:p w14:paraId="5281905A" w14:textId="77777777" w:rsidR="00CB073F" w:rsidRPr="003D4AAC" w:rsidRDefault="00000000">
      <w:pPr>
        <w:pStyle w:val="Heading1"/>
        <w:rPr>
          <w:rFonts w:ascii="Arial" w:hAnsi="Arial" w:cs="Arial"/>
          <w:color w:val="000000" w:themeColor="text1"/>
          <w:sz w:val="28"/>
          <w:szCs w:val="24"/>
        </w:rPr>
      </w:pPr>
      <w:bookmarkStart w:id="10" w:name="_Toc233382142"/>
      <w:r w:rsidRPr="003D4AAC">
        <w:rPr>
          <w:rFonts w:ascii="Arial" w:hAnsi="Arial" w:cs="Arial"/>
          <w:color w:val="000000" w:themeColor="text1"/>
          <w:sz w:val="28"/>
          <w:szCs w:val="24"/>
        </w:rPr>
        <w:lastRenderedPageBreak/>
        <w:t>References</w:t>
      </w:r>
      <w:bookmarkEnd w:id="10"/>
    </w:p>
    <w:p w14:paraId="786C0862" w14:textId="77777777" w:rsidR="00436D2B" w:rsidRPr="00436D2B" w:rsidRDefault="00436D2B" w:rsidP="00436D2B">
      <w:pPr>
        <w:pStyle w:val="Reference"/>
        <w:spacing w:before="240" w:line="360" w:lineRule="auto"/>
        <w:ind w:left="0" w:firstLine="0"/>
      </w:pPr>
      <w:r w:rsidRPr="00436D2B">
        <w:t xml:space="preserve">Alzheimer’s Disease International (2024) </w:t>
      </w:r>
      <w:r w:rsidRPr="00436D2B">
        <w:rPr>
          <w:i/>
          <w:iCs/>
        </w:rPr>
        <w:t>World Alzheimer Report 2024: Global changes in attitudes to dementia</w:t>
      </w:r>
      <w:r w:rsidRPr="00436D2B">
        <w:t xml:space="preserve">. London: Alzheimer’s Disease International. Available at: </w:t>
      </w:r>
      <w:hyperlink r:id="rId19" w:tgtFrame="_new" w:history="1">
        <w:r w:rsidRPr="00436D2B">
          <w:rPr>
            <w:rStyle w:val="Hyperlink"/>
          </w:rPr>
          <w:t>https://www.alzint.org/resource/world-alzheimer-report-2024/</w:t>
        </w:r>
      </w:hyperlink>
      <w:r w:rsidRPr="00436D2B">
        <w:t xml:space="preserve"> (Accessed: 25 June 2026).</w:t>
      </w:r>
    </w:p>
    <w:p w14:paraId="638A99D4" w14:textId="77777777" w:rsidR="00436D2B" w:rsidRPr="00436D2B" w:rsidRDefault="00436D2B" w:rsidP="00436D2B">
      <w:pPr>
        <w:pStyle w:val="Reference"/>
        <w:spacing w:before="240" w:line="360" w:lineRule="auto"/>
        <w:ind w:left="0" w:firstLine="0"/>
      </w:pPr>
      <w:r w:rsidRPr="00436D2B">
        <w:t xml:space="preserve">Alzheimer’s Society (2024a) </w:t>
      </w:r>
      <w:r w:rsidRPr="00436D2B">
        <w:rPr>
          <w:i/>
          <w:iCs/>
        </w:rPr>
        <w:t>What are the costs of dementia diagnosis and care in the UK?</w:t>
      </w:r>
      <w:r w:rsidRPr="00436D2B">
        <w:t xml:space="preserve"> Available at: </w:t>
      </w:r>
      <w:hyperlink r:id="rId20" w:tgtFrame="_new" w:history="1">
        <w:r w:rsidRPr="00436D2B">
          <w:rPr>
            <w:rStyle w:val="Hyperlink"/>
          </w:rPr>
          <w:t>https://www.alzheimers.org.uk/what-we-do/policy-and-influencing/dementia-scale-impact-numbers</w:t>
        </w:r>
      </w:hyperlink>
      <w:r w:rsidRPr="00436D2B">
        <w:t xml:space="preserve"> (Accessed: 25 June 2026).</w:t>
      </w:r>
    </w:p>
    <w:p w14:paraId="573C3F18" w14:textId="77777777" w:rsidR="00436D2B" w:rsidRPr="00436D2B" w:rsidRDefault="00436D2B" w:rsidP="00436D2B">
      <w:pPr>
        <w:pStyle w:val="Reference"/>
        <w:spacing w:before="240" w:line="360" w:lineRule="auto"/>
        <w:ind w:left="0" w:firstLine="0"/>
      </w:pPr>
      <w:r w:rsidRPr="00436D2B">
        <w:t xml:space="preserve">Alzheimer’s Society (2024b) </w:t>
      </w:r>
      <w:r w:rsidRPr="00436D2B">
        <w:rPr>
          <w:i/>
          <w:iCs/>
        </w:rPr>
        <w:t>Improving dementia diagnosis</w:t>
      </w:r>
      <w:r w:rsidRPr="00436D2B">
        <w:t xml:space="preserve">. Available at: </w:t>
      </w:r>
      <w:hyperlink r:id="rId21" w:tgtFrame="_new" w:history="1">
        <w:r w:rsidRPr="00436D2B">
          <w:rPr>
            <w:rStyle w:val="Hyperlink"/>
          </w:rPr>
          <w:t>https://www.alzheimers.org.uk/get-involved/our-campaigns/improve-dementia-diagnosis</w:t>
        </w:r>
      </w:hyperlink>
      <w:r w:rsidRPr="00436D2B">
        <w:t xml:space="preserve"> (Accessed: 25 June 2026).</w:t>
      </w:r>
    </w:p>
    <w:p w14:paraId="3D4D56D5" w14:textId="77777777" w:rsidR="00436D2B" w:rsidRPr="00436D2B" w:rsidRDefault="00436D2B" w:rsidP="00436D2B">
      <w:pPr>
        <w:pStyle w:val="Reference"/>
        <w:spacing w:before="240" w:line="360" w:lineRule="auto"/>
        <w:ind w:left="0" w:firstLine="0"/>
      </w:pPr>
      <w:r w:rsidRPr="00436D2B">
        <w:t xml:space="preserve">British Heart Foundation (2024) </w:t>
      </w:r>
      <w:r w:rsidRPr="00436D2B">
        <w:rPr>
          <w:i/>
          <w:iCs/>
        </w:rPr>
        <w:t>Person-</w:t>
      </w:r>
      <w:proofErr w:type="spellStart"/>
      <w:r w:rsidRPr="00436D2B">
        <w:rPr>
          <w:i/>
          <w:iCs/>
        </w:rPr>
        <w:t>centred</w:t>
      </w:r>
      <w:proofErr w:type="spellEnd"/>
      <w:r w:rsidRPr="00436D2B">
        <w:rPr>
          <w:i/>
          <w:iCs/>
        </w:rPr>
        <w:t xml:space="preserve"> care and the House of Care</w:t>
      </w:r>
      <w:r w:rsidRPr="00436D2B">
        <w:t xml:space="preserve">. Available at: </w:t>
      </w:r>
      <w:hyperlink r:id="rId22" w:tgtFrame="_new" w:history="1">
        <w:r w:rsidRPr="00436D2B">
          <w:rPr>
            <w:rStyle w:val="Hyperlink"/>
          </w:rPr>
          <w:t>https://www.bhf.org.uk/for-professionals/healthcare-professionals/innovation-in-care/person-centred-care-and-the-house-of-care</w:t>
        </w:r>
      </w:hyperlink>
      <w:r w:rsidRPr="00436D2B">
        <w:t xml:space="preserve"> (Accessed: 25 June 2026).</w:t>
      </w:r>
    </w:p>
    <w:p w14:paraId="5B08FE6C" w14:textId="77777777" w:rsidR="00436D2B" w:rsidRPr="00436D2B" w:rsidRDefault="00436D2B" w:rsidP="00436D2B">
      <w:pPr>
        <w:pStyle w:val="Reference"/>
        <w:spacing w:before="240" w:line="360" w:lineRule="auto"/>
        <w:ind w:left="0" w:firstLine="0"/>
      </w:pPr>
      <w:proofErr w:type="spellStart"/>
      <w:r w:rsidRPr="00436D2B">
        <w:t>Brodaty</w:t>
      </w:r>
      <w:proofErr w:type="spellEnd"/>
      <w:r w:rsidRPr="00436D2B">
        <w:t xml:space="preserve">, H. and Donkin, M. (2009) ‘Family caregivers of people with dementia’, </w:t>
      </w:r>
      <w:r w:rsidRPr="00436D2B">
        <w:rPr>
          <w:i/>
          <w:iCs/>
        </w:rPr>
        <w:t>Dialogues in Clinical Neuroscience</w:t>
      </w:r>
      <w:r w:rsidRPr="00436D2B">
        <w:t xml:space="preserve">, 11(2), pp. 217-228. Available at: </w:t>
      </w:r>
      <w:hyperlink r:id="rId23" w:tgtFrame="_new" w:history="1">
        <w:r w:rsidRPr="00436D2B">
          <w:rPr>
            <w:rStyle w:val="Hyperlink"/>
          </w:rPr>
          <w:t>https://doi.org/10.31887/DCNS.2009.11.2/hbrodaty</w:t>
        </w:r>
      </w:hyperlink>
    </w:p>
    <w:p w14:paraId="0315554C" w14:textId="77777777" w:rsidR="00436D2B" w:rsidRPr="00436D2B" w:rsidRDefault="00436D2B" w:rsidP="00436D2B">
      <w:pPr>
        <w:pStyle w:val="Reference"/>
        <w:spacing w:before="240" w:line="360" w:lineRule="auto"/>
        <w:ind w:left="0" w:firstLine="0"/>
      </w:pPr>
      <w:r w:rsidRPr="00436D2B">
        <w:t xml:space="preserve">Buckner, S., Darlington, N., Woodward, M., Buswell, M., Mathie, E., Arthur, A., Lafortune, L., Killett, A., Mayrhofer, A., Thurman, J. and Goodman, C. (2019) ‘Dementia friendly communities in England: A scoping study’, </w:t>
      </w:r>
      <w:r w:rsidRPr="00436D2B">
        <w:rPr>
          <w:i/>
          <w:iCs/>
        </w:rPr>
        <w:t>International Journal of Geriatric Psychiatry</w:t>
      </w:r>
      <w:r w:rsidRPr="00436D2B">
        <w:t xml:space="preserve">, 34(8), pp. 1235-1243. Available at: </w:t>
      </w:r>
      <w:hyperlink r:id="rId24" w:tgtFrame="_new" w:history="1">
        <w:r w:rsidRPr="00436D2B">
          <w:rPr>
            <w:rStyle w:val="Hyperlink"/>
          </w:rPr>
          <w:t>https://doi.org/10.1002/gps.5123</w:t>
        </w:r>
      </w:hyperlink>
    </w:p>
    <w:p w14:paraId="6475F2D7" w14:textId="77777777" w:rsidR="00436D2B" w:rsidRPr="00436D2B" w:rsidRDefault="00436D2B" w:rsidP="00436D2B">
      <w:pPr>
        <w:pStyle w:val="Reference"/>
        <w:spacing w:before="240" w:line="360" w:lineRule="auto"/>
        <w:ind w:left="0" w:firstLine="0"/>
      </w:pPr>
      <w:r w:rsidRPr="00436D2B">
        <w:t xml:space="preserve">Care Act 2014, c. 23. Available at: </w:t>
      </w:r>
      <w:hyperlink r:id="rId25" w:tgtFrame="_new" w:history="1">
        <w:r w:rsidRPr="00436D2B">
          <w:rPr>
            <w:rStyle w:val="Hyperlink"/>
          </w:rPr>
          <w:t>https://www.legislation.gov.uk/ukpga/2014/23/contents</w:t>
        </w:r>
      </w:hyperlink>
      <w:r w:rsidRPr="00436D2B">
        <w:t xml:space="preserve"> (Accessed: 25 June 2026).</w:t>
      </w:r>
    </w:p>
    <w:p w14:paraId="1BF1FEB9" w14:textId="77777777" w:rsidR="00436D2B" w:rsidRPr="00436D2B" w:rsidRDefault="00436D2B" w:rsidP="00436D2B">
      <w:pPr>
        <w:pStyle w:val="Reference"/>
        <w:spacing w:before="240" w:line="360" w:lineRule="auto"/>
        <w:ind w:left="0" w:firstLine="0"/>
      </w:pPr>
      <w:r w:rsidRPr="00436D2B">
        <w:t xml:space="preserve">Coleman, K., Austin, B.T., Brach, C. and Wagner, E.H. (2009) ‘Evidence on the Chronic Care Model in the new millennium’, </w:t>
      </w:r>
      <w:r w:rsidRPr="00436D2B">
        <w:rPr>
          <w:i/>
          <w:iCs/>
        </w:rPr>
        <w:t>Health Affairs</w:t>
      </w:r>
      <w:r w:rsidRPr="00436D2B">
        <w:t xml:space="preserve">, 28(1), pp. 75-85. Available at: </w:t>
      </w:r>
      <w:hyperlink r:id="rId26" w:tgtFrame="_new" w:history="1">
        <w:r w:rsidRPr="00436D2B">
          <w:rPr>
            <w:rStyle w:val="Hyperlink"/>
          </w:rPr>
          <w:t>https://doi.org/10.1377/hlthaff.28.1.75</w:t>
        </w:r>
      </w:hyperlink>
    </w:p>
    <w:p w14:paraId="2DC5B6CE" w14:textId="77777777" w:rsidR="00436D2B" w:rsidRPr="00436D2B" w:rsidRDefault="00436D2B" w:rsidP="00436D2B">
      <w:pPr>
        <w:pStyle w:val="Reference"/>
        <w:spacing w:before="240" w:line="360" w:lineRule="auto"/>
        <w:ind w:left="0" w:firstLine="0"/>
      </w:pPr>
      <w:r w:rsidRPr="00436D2B">
        <w:t>Coulter, A., Entwistle, V.A., Eccles, A., Ryan, S., Shepperd, S. and Perera, R. (2015) ‘</w:t>
      </w:r>
      <w:proofErr w:type="spellStart"/>
      <w:r w:rsidRPr="00436D2B">
        <w:t>Personalised</w:t>
      </w:r>
      <w:proofErr w:type="spellEnd"/>
      <w:r w:rsidRPr="00436D2B">
        <w:t xml:space="preserve"> care planning for adults with chronic or long-term health conditions’, </w:t>
      </w:r>
      <w:r w:rsidRPr="00436D2B">
        <w:rPr>
          <w:i/>
          <w:iCs/>
        </w:rPr>
        <w:t>Cochrane Database of Systematic Reviews</w:t>
      </w:r>
      <w:r w:rsidRPr="00436D2B">
        <w:t xml:space="preserve">, 2015(3), CD010523. Available at: </w:t>
      </w:r>
      <w:hyperlink r:id="rId27" w:tgtFrame="_new" w:history="1">
        <w:r w:rsidRPr="00436D2B">
          <w:rPr>
            <w:rStyle w:val="Hyperlink"/>
          </w:rPr>
          <w:t>https://doi.org/10.1002/14651858.CD010523.pub2</w:t>
        </w:r>
      </w:hyperlink>
    </w:p>
    <w:p w14:paraId="1502CE23" w14:textId="77777777" w:rsidR="00436D2B" w:rsidRPr="00436D2B" w:rsidRDefault="00436D2B" w:rsidP="00436D2B">
      <w:pPr>
        <w:pStyle w:val="Reference"/>
        <w:spacing w:before="240" w:line="360" w:lineRule="auto"/>
        <w:ind w:left="0" w:firstLine="0"/>
      </w:pPr>
      <w:r w:rsidRPr="00436D2B">
        <w:t xml:space="preserve">Coulter, A., Kramer, G., Warren, T. and Salisbury, C. (2016) ‘Building the House of Care for people with long-term conditions: The foundation of the House of Care framework’, </w:t>
      </w:r>
      <w:r w:rsidRPr="00436D2B">
        <w:rPr>
          <w:i/>
          <w:iCs/>
        </w:rPr>
        <w:t>British Journal of General Practice</w:t>
      </w:r>
      <w:r w:rsidRPr="00436D2B">
        <w:t xml:space="preserve">, 66(645), pp. e288-e290. Available at: </w:t>
      </w:r>
      <w:hyperlink r:id="rId28" w:tgtFrame="_new" w:history="1">
        <w:r w:rsidRPr="00436D2B">
          <w:rPr>
            <w:rStyle w:val="Hyperlink"/>
          </w:rPr>
          <w:t>https://doi.org/10.3399/bjgp16X684745</w:t>
        </w:r>
      </w:hyperlink>
    </w:p>
    <w:p w14:paraId="27AACB44" w14:textId="77777777" w:rsidR="00436D2B" w:rsidRPr="00436D2B" w:rsidRDefault="00436D2B" w:rsidP="00436D2B">
      <w:pPr>
        <w:pStyle w:val="Reference"/>
        <w:spacing w:before="240" w:line="360" w:lineRule="auto"/>
        <w:ind w:left="0" w:firstLine="0"/>
      </w:pPr>
      <w:r w:rsidRPr="00436D2B">
        <w:t xml:space="preserve">Dementia Statistics Hub (2024) </w:t>
      </w:r>
      <w:r w:rsidRPr="00436D2B">
        <w:rPr>
          <w:i/>
          <w:iCs/>
        </w:rPr>
        <w:t>Prevalence and incidence</w:t>
      </w:r>
      <w:r w:rsidRPr="00436D2B">
        <w:t xml:space="preserve">. Available at: </w:t>
      </w:r>
      <w:hyperlink r:id="rId29" w:tgtFrame="_new" w:history="1">
        <w:r w:rsidRPr="00436D2B">
          <w:rPr>
            <w:rStyle w:val="Hyperlink"/>
          </w:rPr>
          <w:t>https://dementiastatistics.org/about-dementia/prevalence-and-incidence/</w:t>
        </w:r>
      </w:hyperlink>
      <w:r w:rsidRPr="00436D2B">
        <w:t xml:space="preserve"> (Accessed: 25 June 2026).</w:t>
      </w:r>
    </w:p>
    <w:p w14:paraId="5E44AC2B" w14:textId="77777777" w:rsidR="00436D2B" w:rsidRPr="00436D2B" w:rsidRDefault="00436D2B" w:rsidP="00436D2B">
      <w:pPr>
        <w:pStyle w:val="Reference"/>
        <w:spacing w:before="240" w:line="360" w:lineRule="auto"/>
        <w:ind w:left="0" w:firstLine="0"/>
      </w:pPr>
      <w:r w:rsidRPr="00436D2B">
        <w:lastRenderedPageBreak/>
        <w:t xml:space="preserve">Department of Health (2015) </w:t>
      </w:r>
      <w:r w:rsidRPr="00436D2B">
        <w:rPr>
          <w:i/>
          <w:iCs/>
        </w:rPr>
        <w:t>Prime Minister’s Challenge on Dementia 2020</w:t>
      </w:r>
      <w:r w:rsidRPr="00436D2B">
        <w:t xml:space="preserve">. London: Department of Health. Available at: </w:t>
      </w:r>
      <w:hyperlink r:id="rId30" w:tgtFrame="_new" w:history="1">
        <w:r w:rsidRPr="00436D2B">
          <w:rPr>
            <w:rStyle w:val="Hyperlink"/>
          </w:rPr>
          <w:t>https://www.gov.uk/government/publications/prime-ministers-challenge-on-dementia-2020</w:t>
        </w:r>
      </w:hyperlink>
      <w:r w:rsidRPr="00436D2B">
        <w:t xml:space="preserve"> (Accessed: 25 June 2026).</w:t>
      </w:r>
    </w:p>
    <w:p w14:paraId="0B8DDDDE" w14:textId="77777777" w:rsidR="00436D2B" w:rsidRPr="00436D2B" w:rsidRDefault="00436D2B" w:rsidP="00436D2B">
      <w:pPr>
        <w:pStyle w:val="Reference"/>
        <w:spacing w:before="240" w:line="360" w:lineRule="auto"/>
        <w:ind w:left="0" w:firstLine="0"/>
      </w:pPr>
      <w:r w:rsidRPr="00436D2B">
        <w:t xml:space="preserve">Friis, K., </w:t>
      </w:r>
      <w:proofErr w:type="spellStart"/>
      <w:r w:rsidRPr="00436D2B">
        <w:t>Lasgaard</w:t>
      </w:r>
      <w:proofErr w:type="spellEnd"/>
      <w:r w:rsidRPr="00436D2B">
        <w:t xml:space="preserve">, M., Osborne, R.H. and Maindal, H.T. (2016) ‘Gaps in understanding health and engagement with healthcare providers across common long-term conditions’, </w:t>
      </w:r>
      <w:r w:rsidRPr="00436D2B">
        <w:rPr>
          <w:i/>
          <w:iCs/>
        </w:rPr>
        <w:t>BMJ Open</w:t>
      </w:r>
      <w:r w:rsidRPr="00436D2B">
        <w:t xml:space="preserve">, 6(1), e009627. Available at: </w:t>
      </w:r>
      <w:hyperlink r:id="rId31" w:tgtFrame="_new" w:history="1">
        <w:r w:rsidRPr="00436D2B">
          <w:rPr>
            <w:rStyle w:val="Hyperlink"/>
          </w:rPr>
          <w:t>https://doi.org/10.1136/bmjopen-2015-009627</w:t>
        </w:r>
      </w:hyperlink>
    </w:p>
    <w:p w14:paraId="5C8544DF" w14:textId="77777777" w:rsidR="00436D2B" w:rsidRPr="00436D2B" w:rsidRDefault="00436D2B" w:rsidP="00436D2B">
      <w:pPr>
        <w:pStyle w:val="Reference"/>
        <w:spacing w:before="240" w:line="360" w:lineRule="auto"/>
        <w:ind w:left="0" w:firstLine="0"/>
      </w:pPr>
      <w:r w:rsidRPr="00436D2B">
        <w:t xml:space="preserve">Hellqvist, C. (2021) ‘Promoting self-care in nursing encounters with persons affected by long-term conditions’, </w:t>
      </w:r>
      <w:r w:rsidRPr="00436D2B">
        <w:rPr>
          <w:i/>
          <w:iCs/>
        </w:rPr>
        <w:t>International Journal of Environmental Research and Public Health</w:t>
      </w:r>
      <w:r w:rsidRPr="00436D2B">
        <w:t xml:space="preserve">, 18(5), 2223. Available at: </w:t>
      </w:r>
      <w:hyperlink r:id="rId32" w:tgtFrame="_new" w:history="1">
        <w:r w:rsidRPr="00436D2B">
          <w:rPr>
            <w:rStyle w:val="Hyperlink"/>
          </w:rPr>
          <w:t>https://doi.org/10.3390/ijerph18052223</w:t>
        </w:r>
      </w:hyperlink>
    </w:p>
    <w:p w14:paraId="7FAFF3D4" w14:textId="77777777" w:rsidR="00436D2B" w:rsidRPr="00436D2B" w:rsidRDefault="00436D2B" w:rsidP="00436D2B">
      <w:pPr>
        <w:pStyle w:val="Reference"/>
        <w:spacing w:before="240" w:line="360" w:lineRule="auto"/>
        <w:ind w:left="0" w:firstLine="0"/>
      </w:pPr>
      <w:r w:rsidRPr="00436D2B">
        <w:t xml:space="preserve">Kales, H.C., Gitlin, L.N. and </w:t>
      </w:r>
      <w:proofErr w:type="spellStart"/>
      <w:r w:rsidRPr="00436D2B">
        <w:t>Lyketsos</w:t>
      </w:r>
      <w:proofErr w:type="spellEnd"/>
      <w:r w:rsidRPr="00436D2B">
        <w:t xml:space="preserve">, C.G. (2015) ‘Assessment and management of </w:t>
      </w:r>
      <w:proofErr w:type="spellStart"/>
      <w:r w:rsidRPr="00436D2B">
        <w:t>behavioural</w:t>
      </w:r>
      <w:proofErr w:type="spellEnd"/>
      <w:r w:rsidRPr="00436D2B">
        <w:t xml:space="preserve"> and psychological symptoms of dementia’, </w:t>
      </w:r>
      <w:r w:rsidRPr="00436D2B">
        <w:rPr>
          <w:i/>
          <w:iCs/>
        </w:rPr>
        <w:t>BMJ</w:t>
      </w:r>
      <w:r w:rsidRPr="00436D2B">
        <w:t xml:space="preserve">, 350, h369. Available at: </w:t>
      </w:r>
      <w:hyperlink r:id="rId33" w:tgtFrame="_new" w:history="1">
        <w:r w:rsidRPr="00436D2B">
          <w:rPr>
            <w:rStyle w:val="Hyperlink"/>
          </w:rPr>
          <w:t>https://doi.org/10.1136/bmj.h369</w:t>
        </w:r>
      </w:hyperlink>
    </w:p>
    <w:p w14:paraId="1C29FD89" w14:textId="77777777" w:rsidR="00436D2B" w:rsidRPr="00436D2B" w:rsidRDefault="00436D2B" w:rsidP="00436D2B">
      <w:pPr>
        <w:pStyle w:val="Reference"/>
        <w:spacing w:before="240" w:line="360" w:lineRule="auto"/>
        <w:ind w:left="0" w:firstLine="0"/>
      </w:pPr>
      <w:proofErr w:type="spellStart"/>
      <w:r w:rsidRPr="00436D2B">
        <w:t>Kitwood</w:t>
      </w:r>
      <w:proofErr w:type="spellEnd"/>
      <w:r w:rsidRPr="00436D2B">
        <w:t xml:space="preserve">, T. (1997) </w:t>
      </w:r>
      <w:r w:rsidRPr="00436D2B">
        <w:rPr>
          <w:i/>
          <w:iCs/>
        </w:rPr>
        <w:t>Dementia reconsidered: The person comes first</w:t>
      </w:r>
      <w:r w:rsidRPr="00436D2B">
        <w:t>. Buckingham: Open University Press.</w:t>
      </w:r>
    </w:p>
    <w:p w14:paraId="11F02B71" w14:textId="77777777" w:rsidR="00436D2B" w:rsidRPr="00436D2B" w:rsidRDefault="00436D2B" w:rsidP="00436D2B">
      <w:pPr>
        <w:pStyle w:val="Reference"/>
        <w:spacing w:before="240" w:line="360" w:lineRule="auto"/>
        <w:ind w:left="0" w:firstLine="0"/>
      </w:pPr>
      <w:proofErr w:type="spellStart"/>
      <w:r w:rsidRPr="00436D2B">
        <w:t>Knopman</w:t>
      </w:r>
      <w:proofErr w:type="spellEnd"/>
      <w:r w:rsidRPr="00436D2B">
        <w:t xml:space="preserve">, D.S., Amieva, H., Petersen, R.C., Chetelat, G., Holtzman, D.M., Hyman, B.T., Nixon, R.A. and Jones, D.T. (2021) ‘Alzheimer disease’, </w:t>
      </w:r>
      <w:r w:rsidRPr="00436D2B">
        <w:rPr>
          <w:i/>
          <w:iCs/>
        </w:rPr>
        <w:t>Nature Reviews Disease Primers</w:t>
      </w:r>
      <w:r w:rsidRPr="00436D2B">
        <w:t xml:space="preserve">, 7, 33. Available at: </w:t>
      </w:r>
      <w:hyperlink r:id="rId34" w:tgtFrame="_new" w:history="1">
        <w:r w:rsidRPr="00436D2B">
          <w:rPr>
            <w:rStyle w:val="Hyperlink"/>
          </w:rPr>
          <w:t>https://doi.org/10.1038/s41572-021-00269-y</w:t>
        </w:r>
      </w:hyperlink>
    </w:p>
    <w:p w14:paraId="45BF4A25" w14:textId="77777777" w:rsidR="00436D2B" w:rsidRPr="00436D2B" w:rsidRDefault="00436D2B" w:rsidP="00436D2B">
      <w:pPr>
        <w:pStyle w:val="Reference"/>
        <w:spacing w:before="240" w:line="360" w:lineRule="auto"/>
        <w:ind w:left="0" w:firstLine="0"/>
      </w:pPr>
      <w:r w:rsidRPr="00436D2B">
        <w:t xml:space="preserve">Livingston, G., Huntley, J., Liu, K.Y., </w:t>
      </w:r>
      <w:proofErr w:type="spellStart"/>
      <w:r w:rsidRPr="00436D2B">
        <w:t>Costafreda</w:t>
      </w:r>
      <w:proofErr w:type="spellEnd"/>
      <w:r w:rsidRPr="00436D2B">
        <w:t xml:space="preserve">, S.G., </w:t>
      </w:r>
      <w:proofErr w:type="spellStart"/>
      <w:r w:rsidRPr="00436D2B">
        <w:t>Selbaek</w:t>
      </w:r>
      <w:proofErr w:type="spellEnd"/>
      <w:r w:rsidRPr="00436D2B">
        <w:t xml:space="preserve">, G., Alladi, S., Ames, D., Banerjee, S., Burns, A. </w:t>
      </w:r>
      <w:r w:rsidRPr="00436D2B">
        <w:rPr>
          <w:i/>
          <w:iCs/>
        </w:rPr>
        <w:t>et al.</w:t>
      </w:r>
      <w:r w:rsidRPr="00436D2B">
        <w:t xml:space="preserve"> (2024) ‘Dementia prevention, intervention, and care: 2024 report of the Lancet Commission’, </w:t>
      </w:r>
      <w:r w:rsidRPr="00436D2B">
        <w:rPr>
          <w:i/>
          <w:iCs/>
        </w:rPr>
        <w:t>The Lancet</w:t>
      </w:r>
      <w:r w:rsidRPr="00436D2B">
        <w:t xml:space="preserve">, 404(10452), pp. 572-628. Available at: </w:t>
      </w:r>
      <w:hyperlink r:id="rId35" w:tgtFrame="_new" w:history="1">
        <w:r w:rsidRPr="00436D2B">
          <w:rPr>
            <w:rStyle w:val="Hyperlink"/>
          </w:rPr>
          <w:t>https://doi.org/10.1016/S0140-6736(24)01296-0</w:t>
        </w:r>
      </w:hyperlink>
    </w:p>
    <w:p w14:paraId="568C3AD7" w14:textId="77777777" w:rsidR="00436D2B" w:rsidRPr="00436D2B" w:rsidRDefault="00436D2B" w:rsidP="00436D2B">
      <w:pPr>
        <w:pStyle w:val="Reference"/>
        <w:spacing w:before="240" w:line="360" w:lineRule="auto"/>
        <w:ind w:left="0" w:firstLine="0"/>
      </w:pPr>
      <w:r w:rsidRPr="00436D2B">
        <w:t xml:space="preserve">Mental Capacity Act 2005, c. 9. Available at: </w:t>
      </w:r>
      <w:hyperlink r:id="rId36" w:tgtFrame="_new" w:history="1">
        <w:r w:rsidRPr="00436D2B">
          <w:rPr>
            <w:rStyle w:val="Hyperlink"/>
          </w:rPr>
          <w:t>https://www.legislation.gov.uk/ukpga/2005/9/contents</w:t>
        </w:r>
      </w:hyperlink>
      <w:r w:rsidRPr="00436D2B">
        <w:t xml:space="preserve"> (Accessed: 25 June 2026).</w:t>
      </w:r>
    </w:p>
    <w:p w14:paraId="5CBA3C4B" w14:textId="77777777" w:rsidR="00436D2B" w:rsidRPr="00436D2B" w:rsidRDefault="00436D2B" w:rsidP="00436D2B">
      <w:pPr>
        <w:pStyle w:val="Reference"/>
        <w:spacing w:before="240" w:line="360" w:lineRule="auto"/>
        <w:ind w:left="0" w:firstLine="0"/>
      </w:pPr>
      <w:r w:rsidRPr="00436D2B">
        <w:t xml:space="preserve">Medicines and Healthcare products Regulatory Agency (2024a) </w:t>
      </w:r>
      <w:r w:rsidRPr="00436D2B">
        <w:rPr>
          <w:i/>
          <w:iCs/>
        </w:rPr>
        <w:t>Lecanemab licensed for adult patients in the early stages of Alzheimer’s disease</w:t>
      </w:r>
      <w:r w:rsidRPr="00436D2B">
        <w:t xml:space="preserve">. Available at: </w:t>
      </w:r>
      <w:hyperlink r:id="rId37" w:tgtFrame="_new" w:history="1">
        <w:r w:rsidRPr="00436D2B">
          <w:rPr>
            <w:rStyle w:val="Hyperlink"/>
          </w:rPr>
          <w:t>https://www.gov.uk/government/news/lecanemab-licensed-for-adult-patients-in-the-early-stages-of-alzheimers-disease</w:t>
        </w:r>
      </w:hyperlink>
      <w:r w:rsidRPr="00436D2B">
        <w:t xml:space="preserve"> (Accessed: 25 June 2026).</w:t>
      </w:r>
    </w:p>
    <w:p w14:paraId="6FA8028D" w14:textId="77777777" w:rsidR="00436D2B" w:rsidRPr="00436D2B" w:rsidRDefault="00436D2B" w:rsidP="00436D2B">
      <w:pPr>
        <w:pStyle w:val="Reference"/>
        <w:spacing w:before="240" w:line="360" w:lineRule="auto"/>
        <w:ind w:left="0" w:firstLine="0"/>
      </w:pPr>
      <w:r w:rsidRPr="00436D2B">
        <w:t xml:space="preserve">Medicines and Healthcare products Regulatory Agency (2024b) </w:t>
      </w:r>
      <w:r w:rsidRPr="00436D2B">
        <w:rPr>
          <w:i/>
          <w:iCs/>
        </w:rPr>
        <w:t>Donanemab licensed for early stages of Alzheimer’s disease in adult patients who have one or no copies of apolipoprotein E4 gene</w:t>
      </w:r>
      <w:r w:rsidRPr="00436D2B">
        <w:t xml:space="preserve">. Available at: </w:t>
      </w:r>
      <w:hyperlink r:id="rId38" w:tgtFrame="_new" w:history="1">
        <w:r w:rsidRPr="00436D2B">
          <w:rPr>
            <w:rStyle w:val="Hyperlink"/>
          </w:rPr>
          <w:t>https://www.gov.uk/government/news/donanemab-licensed-for-early-stages-of-alzheimers-disease-in-adult-patients-who-have-one-or-no-copies-of-apolipoprotein-e4-gene</w:t>
        </w:r>
      </w:hyperlink>
      <w:r w:rsidRPr="00436D2B">
        <w:t xml:space="preserve"> (Accessed: 25 June 2026).</w:t>
      </w:r>
    </w:p>
    <w:p w14:paraId="1B76DE5A" w14:textId="77777777" w:rsidR="00436D2B" w:rsidRPr="00436D2B" w:rsidRDefault="00436D2B" w:rsidP="00436D2B">
      <w:pPr>
        <w:pStyle w:val="Reference"/>
        <w:spacing w:before="240" w:line="360" w:lineRule="auto"/>
        <w:ind w:left="0" w:firstLine="0"/>
      </w:pPr>
      <w:r w:rsidRPr="00436D2B">
        <w:t xml:space="preserve">National Health Service (2024a) </w:t>
      </w:r>
      <w:r w:rsidRPr="00436D2B">
        <w:rPr>
          <w:i/>
          <w:iCs/>
        </w:rPr>
        <w:t>Dementia</w:t>
      </w:r>
      <w:r w:rsidRPr="00436D2B">
        <w:t xml:space="preserve">. Available at: </w:t>
      </w:r>
      <w:hyperlink r:id="rId39" w:tgtFrame="_new" w:history="1">
        <w:r w:rsidRPr="00436D2B">
          <w:rPr>
            <w:rStyle w:val="Hyperlink"/>
          </w:rPr>
          <w:t>https://www.nhs.uk/conditions/dementia/</w:t>
        </w:r>
      </w:hyperlink>
      <w:r w:rsidRPr="00436D2B">
        <w:t xml:space="preserve"> (Accessed: 25 June 2026).</w:t>
      </w:r>
    </w:p>
    <w:p w14:paraId="3A3CD160" w14:textId="77777777" w:rsidR="00436D2B" w:rsidRPr="00436D2B" w:rsidRDefault="00436D2B" w:rsidP="00436D2B">
      <w:pPr>
        <w:pStyle w:val="Reference"/>
        <w:spacing w:before="240" w:line="360" w:lineRule="auto"/>
        <w:ind w:left="0" w:firstLine="0"/>
      </w:pPr>
      <w:r w:rsidRPr="00436D2B">
        <w:t xml:space="preserve">National Health Service (2024b) </w:t>
      </w:r>
      <w:r w:rsidRPr="00436D2B">
        <w:rPr>
          <w:i/>
          <w:iCs/>
        </w:rPr>
        <w:t>Alzheimer’s disease</w:t>
      </w:r>
      <w:r w:rsidRPr="00436D2B">
        <w:t xml:space="preserve">. Available at: </w:t>
      </w:r>
      <w:hyperlink r:id="rId40" w:tgtFrame="_new" w:history="1">
        <w:r w:rsidRPr="00436D2B">
          <w:rPr>
            <w:rStyle w:val="Hyperlink"/>
          </w:rPr>
          <w:t>https://www.nhs.uk/conditions/alzheimers-disease/</w:t>
        </w:r>
      </w:hyperlink>
      <w:r w:rsidRPr="00436D2B">
        <w:t xml:space="preserve"> (Accessed: 25 June 2026).</w:t>
      </w:r>
    </w:p>
    <w:p w14:paraId="4A392FEF" w14:textId="77777777" w:rsidR="00436D2B" w:rsidRPr="00436D2B" w:rsidRDefault="00436D2B" w:rsidP="00436D2B">
      <w:pPr>
        <w:pStyle w:val="Reference"/>
        <w:spacing w:before="240" w:line="360" w:lineRule="auto"/>
        <w:ind w:left="0" w:firstLine="0"/>
      </w:pPr>
      <w:r w:rsidRPr="00436D2B">
        <w:lastRenderedPageBreak/>
        <w:t xml:space="preserve">National Institute for Health and Care Excellence (2015) </w:t>
      </w:r>
      <w:r w:rsidRPr="00436D2B">
        <w:rPr>
          <w:i/>
          <w:iCs/>
        </w:rPr>
        <w:t>Dementia, disability and frailty in later life: Mid-life approaches to delay or prevent onset</w:t>
      </w:r>
      <w:r w:rsidRPr="00436D2B">
        <w:t xml:space="preserve"> (NG16). Available at: </w:t>
      </w:r>
      <w:hyperlink r:id="rId41" w:tgtFrame="_new" w:history="1">
        <w:r w:rsidRPr="00436D2B">
          <w:rPr>
            <w:rStyle w:val="Hyperlink"/>
          </w:rPr>
          <w:t>https://www.nice.org.uk/guidance/ng16</w:t>
        </w:r>
      </w:hyperlink>
      <w:r w:rsidRPr="00436D2B">
        <w:t xml:space="preserve"> (Accessed: 25 June 2026).</w:t>
      </w:r>
    </w:p>
    <w:p w14:paraId="0EF0B86C" w14:textId="77777777" w:rsidR="00436D2B" w:rsidRPr="00436D2B" w:rsidRDefault="00436D2B" w:rsidP="00436D2B">
      <w:pPr>
        <w:pStyle w:val="Reference"/>
        <w:spacing w:before="240" w:line="360" w:lineRule="auto"/>
        <w:ind w:left="0" w:firstLine="0"/>
      </w:pPr>
      <w:r w:rsidRPr="00436D2B">
        <w:t xml:space="preserve">National Institute for Health and Care Excellence (2018) </w:t>
      </w:r>
      <w:r w:rsidRPr="00436D2B">
        <w:rPr>
          <w:i/>
          <w:iCs/>
        </w:rPr>
        <w:t>Dementia: Assessment, management and support for people living with dementia and their carers</w:t>
      </w:r>
      <w:r w:rsidRPr="00436D2B">
        <w:t xml:space="preserve"> (NG97). Available at: </w:t>
      </w:r>
      <w:hyperlink r:id="rId42" w:tgtFrame="_new" w:history="1">
        <w:r w:rsidRPr="00436D2B">
          <w:rPr>
            <w:rStyle w:val="Hyperlink"/>
          </w:rPr>
          <w:t>https://www.nice.org.uk/guidance/ng97</w:t>
        </w:r>
      </w:hyperlink>
      <w:r w:rsidRPr="00436D2B">
        <w:t xml:space="preserve"> (Accessed: 25 June 2026).</w:t>
      </w:r>
    </w:p>
    <w:p w14:paraId="43DFBD7C" w14:textId="77777777" w:rsidR="00436D2B" w:rsidRPr="00436D2B" w:rsidRDefault="00436D2B" w:rsidP="00436D2B">
      <w:pPr>
        <w:pStyle w:val="Reference"/>
        <w:spacing w:before="240" w:line="360" w:lineRule="auto"/>
        <w:ind w:left="0" w:firstLine="0"/>
      </w:pPr>
      <w:r w:rsidRPr="00436D2B">
        <w:t xml:space="preserve">National Institute for Health and Care Excellence (2025a) </w:t>
      </w:r>
      <w:r w:rsidRPr="00436D2B">
        <w:rPr>
          <w:i/>
          <w:iCs/>
        </w:rPr>
        <w:t>Lecanemab for treating mild cognitive impairment or mild dementia caused by Alzheimer’s disease</w:t>
      </w:r>
      <w:r w:rsidRPr="00436D2B">
        <w:t xml:space="preserve"> [ID4043]. Available at: </w:t>
      </w:r>
      <w:hyperlink r:id="rId43" w:tgtFrame="_new" w:history="1">
        <w:r w:rsidRPr="00436D2B">
          <w:rPr>
            <w:rStyle w:val="Hyperlink"/>
          </w:rPr>
          <w:t>https://www.nice.org.uk/guidance/indevelopment/gid-ta11220</w:t>
        </w:r>
      </w:hyperlink>
      <w:r w:rsidRPr="00436D2B">
        <w:t xml:space="preserve"> (Accessed: 25 June 2026).</w:t>
      </w:r>
    </w:p>
    <w:p w14:paraId="79750500" w14:textId="77777777" w:rsidR="00436D2B" w:rsidRPr="00436D2B" w:rsidRDefault="00436D2B" w:rsidP="00436D2B">
      <w:pPr>
        <w:pStyle w:val="Reference"/>
        <w:spacing w:before="240" w:line="360" w:lineRule="auto"/>
        <w:ind w:left="0" w:firstLine="0"/>
      </w:pPr>
      <w:r w:rsidRPr="00436D2B">
        <w:t xml:space="preserve">National Institute for Health and Care Excellence (2025b) </w:t>
      </w:r>
      <w:r w:rsidRPr="00436D2B">
        <w:rPr>
          <w:i/>
          <w:iCs/>
        </w:rPr>
        <w:t>Donanemab for treating mild cognitive impairment or mild dementia caused by Alzheimer’s disease</w:t>
      </w:r>
      <w:r w:rsidRPr="00436D2B">
        <w:t xml:space="preserve"> [ID6222]. Available at: </w:t>
      </w:r>
      <w:hyperlink r:id="rId44" w:tgtFrame="_new" w:history="1">
        <w:r w:rsidRPr="00436D2B">
          <w:rPr>
            <w:rStyle w:val="Hyperlink"/>
          </w:rPr>
          <w:t>https://www.nice.org.uk/guidance/indevelopment/gid-ta11221</w:t>
        </w:r>
      </w:hyperlink>
      <w:r w:rsidRPr="00436D2B">
        <w:t xml:space="preserve"> (Accessed: 25 June 2026).</w:t>
      </w:r>
    </w:p>
    <w:p w14:paraId="194DD1BB" w14:textId="77777777" w:rsidR="00436D2B" w:rsidRPr="00436D2B" w:rsidRDefault="00436D2B" w:rsidP="00436D2B">
      <w:pPr>
        <w:pStyle w:val="Reference"/>
        <w:spacing w:before="240" w:line="360" w:lineRule="auto"/>
        <w:ind w:left="0" w:firstLine="0"/>
      </w:pPr>
      <w:r w:rsidRPr="00436D2B">
        <w:t xml:space="preserve">National Institute on Aging (2023) </w:t>
      </w:r>
      <w:r w:rsidRPr="00436D2B">
        <w:rPr>
          <w:i/>
          <w:iCs/>
        </w:rPr>
        <w:t>What causes Alzheimer’s disease?</w:t>
      </w:r>
      <w:r w:rsidRPr="00436D2B">
        <w:t xml:space="preserve"> Available at: </w:t>
      </w:r>
      <w:hyperlink r:id="rId45" w:tgtFrame="_new" w:history="1">
        <w:r w:rsidRPr="00436D2B">
          <w:rPr>
            <w:rStyle w:val="Hyperlink"/>
          </w:rPr>
          <w:t>https://www.nia.nih.gov/health/alzheimers-causes-and-risk-factors/what-causes-alzheimers-disease</w:t>
        </w:r>
      </w:hyperlink>
      <w:r w:rsidRPr="00436D2B">
        <w:t xml:space="preserve"> (Accessed: 25 June 2026).</w:t>
      </w:r>
    </w:p>
    <w:p w14:paraId="5973A8CE" w14:textId="77777777" w:rsidR="00436D2B" w:rsidRPr="00436D2B" w:rsidRDefault="00436D2B" w:rsidP="00436D2B">
      <w:pPr>
        <w:pStyle w:val="Reference"/>
        <w:spacing w:before="240" w:line="360" w:lineRule="auto"/>
        <w:ind w:left="0" w:firstLine="0"/>
      </w:pPr>
      <w:r w:rsidRPr="00436D2B">
        <w:t xml:space="preserve">NHS Digital (2026) </w:t>
      </w:r>
      <w:r w:rsidRPr="00436D2B">
        <w:rPr>
          <w:i/>
          <w:iCs/>
        </w:rPr>
        <w:t>Primary Care Dementia Data, February 2026</w:t>
      </w:r>
      <w:r w:rsidRPr="00436D2B">
        <w:t xml:space="preserve">. Available at: </w:t>
      </w:r>
      <w:hyperlink r:id="rId46" w:tgtFrame="_new" w:history="1">
        <w:r w:rsidRPr="00436D2B">
          <w:rPr>
            <w:rStyle w:val="Hyperlink"/>
          </w:rPr>
          <w:t>https://digital.nhs.uk/data-and-information/publications/statistical/primary-care-dementia-data/february-2026</w:t>
        </w:r>
      </w:hyperlink>
      <w:r w:rsidRPr="00436D2B">
        <w:t xml:space="preserve"> (Accessed: 25 June 2026).</w:t>
      </w:r>
    </w:p>
    <w:p w14:paraId="451FD7AE" w14:textId="77777777" w:rsidR="00436D2B" w:rsidRPr="00436D2B" w:rsidRDefault="00436D2B" w:rsidP="00436D2B">
      <w:pPr>
        <w:pStyle w:val="Reference"/>
        <w:spacing w:before="240" w:line="360" w:lineRule="auto"/>
        <w:ind w:left="0" w:firstLine="0"/>
      </w:pPr>
      <w:r w:rsidRPr="00436D2B">
        <w:t xml:space="preserve">NHS England (2024) </w:t>
      </w:r>
      <w:r w:rsidRPr="00436D2B">
        <w:rPr>
          <w:i/>
          <w:iCs/>
        </w:rPr>
        <w:t>Dementia diagnoses in England at record high</w:t>
      </w:r>
      <w:r w:rsidRPr="00436D2B">
        <w:t xml:space="preserve">. Available at: </w:t>
      </w:r>
      <w:hyperlink r:id="rId47" w:tgtFrame="_new" w:history="1">
        <w:r w:rsidRPr="00436D2B">
          <w:rPr>
            <w:rStyle w:val="Hyperlink"/>
          </w:rPr>
          <w:t>https://www.england.nhs.uk/2024/07/dementia-diagnoses-in-england-at-record-high/</w:t>
        </w:r>
      </w:hyperlink>
      <w:r w:rsidRPr="00436D2B">
        <w:t xml:space="preserve"> (Accessed: 25 June 2026).</w:t>
      </w:r>
    </w:p>
    <w:p w14:paraId="71A1F6D0" w14:textId="77777777" w:rsidR="00436D2B" w:rsidRPr="00436D2B" w:rsidRDefault="00436D2B" w:rsidP="00436D2B">
      <w:pPr>
        <w:pStyle w:val="Reference"/>
        <w:spacing w:before="240" w:line="360" w:lineRule="auto"/>
        <w:ind w:left="0" w:firstLine="0"/>
      </w:pPr>
      <w:r w:rsidRPr="00436D2B">
        <w:t xml:space="preserve">Office for National Statistics (2025) </w:t>
      </w:r>
      <w:r w:rsidRPr="00436D2B">
        <w:rPr>
          <w:i/>
          <w:iCs/>
        </w:rPr>
        <w:t>Deaths registered in England and Wales: 2024</w:t>
      </w:r>
      <w:r w:rsidRPr="00436D2B">
        <w:t xml:space="preserve">. Available at: </w:t>
      </w:r>
      <w:hyperlink r:id="rId48" w:tgtFrame="_new" w:history="1">
        <w:r w:rsidRPr="00436D2B">
          <w:rPr>
            <w:rStyle w:val="Hyperlink"/>
          </w:rPr>
          <w:t>https://www.ons.gov.uk/peoplepopulationandcommunity/birthsdeathsandmarriages/deaths/bulletins/deathsregistrationsummarytables/2024</w:t>
        </w:r>
      </w:hyperlink>
      <w:r w:rsidRPr="00436D2B">
        <w:t xml:space="preserve"> (Accessed: 25 June 2026).</w:t>
      </w:r>
    </w:p>
    <w:p w14:paraId="6D868A23" w14:textId="77777777" w:rsidR="00436D2B" w:rsidRPr="00436D2B" w:rsidRDefault="00436D2B" w:rsidP="00436D2B">
      <w:pPr>
        <w:pStyle w:val="Reference"/>
        <w:spacing w:before="240" w:line="360" w:lineRule="auto"/>
        <w:ind w:left="0" w:firstLine="0"/>
      </w:pPr>
      <w:proofErr w:type="spellStart"/>
      <w:r w:rsidRPr="00436D2B">
        <w:t>Pinquart</w:t>
      </w:r>
      <w:proofErr w:type="spellEnd"/>
      <w:r w:rsidRPr="00436D2B">
        <w:t xml:space="preserve">, M. and Sorensen, S. (2003) ‘Differences between caregivers and </w:t>
      </w:r>
      <w:proofErr w:type="spellStart"/>
      <w:r w:rsidRPr="00436D2B">
        <w:t>noncaregivers</w:t>
      </w:r>
      <w:proofErr w:type="spellEnd"/>
      <w:r w:rsidRPr="00436D2B">
        <w:t xml:space="preserve"> in psychological health and physical health: A meta-analysis’, </w:t>
      </w:r>
      <w:r w:rsidRPr="00436D2B">
        <w:rPr>
          <w:i/>
          <w:iCs/>
        </w:rPr>
        <w:t>Psychology and Aging</w:t>
      </w:r>
      <w:r w:rsidRPr="00436D2B">
        <w:t xml:space="preserve">, 18(2), pp. 250-267. Available at: </w:t>
      </w:r>
      <w:hyperlink r:id="rId49" w:tgtFrame="_new" w:history="1">
        <w:r w:rsidRPr="00436D2B">
          <w:rPr>
            <w:rStyle w:val="Hyperlink"/>
          </w:rPr>
          <w:t>https://doi.org/10.1037/0882-7974.18.2.250</w:t>
        </w:r>
      </w:hyperlink>
    </w:p>
    <w:p w14:paraId="5D6E553A" w14:textId="77777777" w:rsidR="00436D2B" w:rsidRPr="00436D2B" w:rsidRDefault="00436D2B" w:rsidP="00436D2B">
      <w:pPr>
        <w:pStyle w:val="Reference"/>
        <w:spacing w:before="240" w:line="360" w:lineRule="auto"/>
        <w:ind w:left="0" w:firstLine="0"/>
      </w:pPr>
      <w:r w:rsidRPr="00436D2B">
        <w:t xml:space="preserve">Royal College of Psychiatrists (2018) </w:t>
      </w:r>
      <w:r w:rsidRPr="00436D2B">
        <w:rPr>
          <w:i/>
          <w:iCs/>
        </w:rPr>
        <w:t>National Audit of Dementia care in general hospitals</w:t>
      </w:r>
      <w:r w:rsidRPr="00436D2B">
        <w:t xml:space="preserve">. London: Royal College of Psychiatrists. Available at: </w:t>
      </w:r>
      <w:hyperlink r:id="rId50" w:tgtFrame="_new" w:history="1">
        <w:r w:rsidRPr="00436D2B">
          <w:rPr>
            <w:rStyle w:val="Hyperlink"/>
          </w:rPr>
          <w:t>https://www.rcpsych.ac.uk/improving-care/ccqi/national-clinical-audits/national-audit-of-dementia</w:t>
        </w:r>
      </w:hyperlink>
      <w:r w:rsidRPr="00436D2B">
        <w:t xml:space="preserve"> (Accessed: 25 June 2026).</w:t>
      </w:r>
    </w:p>
    <w:p w14:paraId="6CC87D4A" w14:textId="77777777" w:rsidR="00436D2B" w:rsidRPr="00436D2B" w:rsidRDefault="00436D2B" w:rsidP="00436D2B">
      <w:pPr>
        <w:pStyle w:val="Reference"/>
        <w:spacing w:before="240" w:line="360" w:lineRule="auto"/>
        <w:ind w:left="0" w:firstLine="0"/>
      </w:pPr>
      <w:r w:rsidRPr="00436D2B">
        <w:t xml:space="preserve">Spector, A., Thorgrimsen, L., Woods, B., Royan, L., Davies, S., Butterworth, M. and Orrell, M. (2003) ‘Efficacy of an evidence-based cognitive stimulation therapy </w:t>
      </w:r>
      <w:proofErr w:type="spellStart"/>
      <w:r w:rsidRPr="00436D2B">
        <w:t>programme</w:t>
      </w:r>
      <w:proofErr w:type="spellEnd"/>
      <w:r w:rsidRPr="00436D2B">
        <w:t xml:space="preserve"> for people with dementia’, </w:t>
      </w:r>
      <w:r w:rsidRPr="00436D2B">
        <w:rPr>
          <w:i/>
          <w:iCs/>
        </w:rPr>
        <w:t>British Journal of Psychiatry</w:t>
      </w:r>
      <w:r w:rsidRPr="00436D2B">
        <w:t xml:space="preserve">, 183(3), pp. 248-254. Available at: </w:t>
      </w:r>
      <w:hyperlink r:id="rId51" w:tgtFrame="_new" w:history="1">
        <w:r w:rsidRPr="00436D2B">
          <w:rPr>
            <w:rStyle w:val="Hyperlink"/>
          </w:rPr>
          <w:t>https://doi.org/10.1192/bjp.183.3.248</w:t>
        </w:r>
      </w:hyperlink>
    </w:p>
    <w:p w14:paraId="627B7D50" w14:textId="77777777" w:rsidR="00436D2B" w:rsidRPr="00436D2B" w:rsidRDefault="00436D2B" w:rsidP="00436D2B">
      <w:pPr>
        <w:pStyle w:val="Reference"/>
        <w:spacing w:before="240" w:line="360" w:lineRule="auto"/>
        <w:ind w:left="0" w:firstLine="0"/>
      </w:pPr>
      <w:r w:rsidRPr="00436D2B">
        <w:lastRenderedPageBreak/>
        <w:t xml:space="preserve">The Health Foundation (2014) </w:t>
      </w:r>
      <w:r w:rsidRPr="00436D2B">
        <w:rPr>
          <w:i/>
          <w:iCs/>
        </w:rPr>
        <w:t>Person-</w:t>
      </w:r>
      <w:proofErr w:type="spellStart"/>
      <w:r w:rsidRPr="00436D2B">
        <w:rPr>
          <w:i/>
          <w:iCs/>
        </w:rPr>
        <w:t>centred</w:t>
      </w:r>
      <w:proofErr w:type="spellEnd"/>
      <w:r w:rsidRPr="00436D2B">
        <w:rPr>
          <w:i/>
          <w:iCs/>
        </w:rPr>
        <w:t xml:space="preserve"> care made simple</w:t>
      </w:r>
      <w:r w:rsidRPr="00436D2B">
        <w:t xml:space="preserve">. London: The Health Foundation. Available at: </w:t>
      </w:r>
      <w:hyperlink r:id="rId52" w:tgtFrame="_new" w:history="1">
        <w:r w:rsidRPr="00436D2B">
          <w:rPr>
            <w:rStyle w:val="Hyperlink"/>
          </w:rPr>
          <w:t>https://www.health.org.uk/resources-and-toolkits/quick-guides/person-centred-care-made-simple</w:t>
        </w:r>
      </w:hyperlink>
      <w:r w:rsidRPr="00436D2B">
        <w:t xml:space="preserve"> (Accessed: 25 June 2026).</w:t>
      </w:r>
    </w:p>
    <w:p w14:paraId="3683429A" w14:textId="77777777" w:rsidR="00436D2B" w:rsidRPr="00436D2B" w:rsidRDefault="00436D2B" w:rsidP="00436D2B">
      <w:pPr>
        <w:pStyle w:val="Reference"/>
        <w:spacing w:before="240" w:line="360" w:lineRule="auto"/>
        <w:ind w:left="0" w:firstLine="0"/>
      </w:pPr>
      <w:r w:rsidRPr="00436D2B">
        <w:t xml:space="preserve">Wagner, E.H., Austin, B.T., Davis, C., Hindmarsh, M., Schaefer, J. and Bonomi, A. (2001) ‘Improving chronic illness care: Translating evidence into action’, </w:t>
      </w:r>
      <w:r w:rsidRPr="00436D2B">
        <w:rPr>
          <w:i/>
          <w:iCs/>
        </w:rPr>
        <w:t>Health Affairs</w:t>
      </w:r>
      <w:r w:rsidRPr="00436D2B">
        <w:t xml:space="preserve">, 20(6), pp. 64-78. Available at: </w:t>
      </w:r>
      <w:hyperlink r:id="rId53" w:tgtFrame="_new" w:history="1">
        <w:r w:rsidRPr="00436D2B">
          <w:rPr>
            <w:rStyle w:val="Hyperlink"/>
          </w:rPr>
          <w:t>https://doi.org/10.1377/hlthaff.20.6.64</w:t>
        </w:r>
      </w:hyperlink>
    </w:p>
    <w:p w14:paraId="649ECDEF" w14:textId="77777777" w:rsidR="00436D2B" w:rsidRPr="00436D2B" w:rsidRDefault="00436D2B" w:rsidP="00436D2B">
      <w:pPr>
        <w:pStyle w:val="Reference"/>
        <w:spacing w:before="240" w:line="360" w:lineRule="auto"/>
        <w:ind w:left="0" w:firstLine="0"/>
      </w:pPr>
      <w:r w:rsidRPr="00436D2B">
        <w:t xml:space="preserve">Woods, B., Aguirre, E., Spector, A.E. and Orrell, M. (2023) ‘Cognitive stimulation to improve cognitive functioning in people with dementia’, </w:t>
      </w:r>
      <w:r w:rsidRPr="00436D2B">
        <w:rPr>
          <w:i/>
          <w:iCs/>
        </w:rPr>
        <w:t>Cochrane Database of Systematic Reviews</w:t>
      </w:r>
      <w:r w:rsidRPr="00436D2B">
        <w:t xml:space="preserve">, 2023(1), CD005562. Available at: </w:t>
      </w:r>
      <w:hyperlink r:id="rId54" w:tgtFrame="_new" w:history="1">
        <w:r w:rsidRPr="00436D2B">
          <w:rPr>
            <w:rStyle w:val="Hyperlink"/>
          </w:rPr>
          <w:t>https://doi.org/10.1002/14651858.CD005562.pub3</w:t>
        </w:r>
      </w:hyperlink>
    </w:p>
    <w:p w14:paraId="3B4F284F" w14:textId="77777777" w:rsidR="00436D2B" w:rsidRPr="00436D2B" w:rsidRDefault="00436D2B" w:rsidP="00436D2B">
      <w:pPr>
        <w:pStyle w:val="Reference"/>
        <w:spacing w:before="240" w:line="360" w:lineRule="auto"/>
        <w:ind w:left="0" w:firstLine="0"/>
      </w:pPr>
      <w:r w:rsidRPr="00436D2B">
        <w:t xml:space="preserve">World Health Organization (2017) </w:t>
      </w:r>
      <w:r w:rsidRPr="00436D2B">
        <w:rPr>
          <w:i/>
          <w:iCs/>
        </w:rPr>
        <w:t>Global action plan on the public health response to dementia 2017-2025</w:t>
      </w:r>
      <w:r w:rsidRPr="00436D2B">
        <w:t xml:space="preserve">. Geneva: World Health Organization. Available at: </w:t>
      </w:r>
      <w:hyperlink r:id="rId55" w:tgtFrame="_new" w:history="1">
        <w:r w:rsidRPr="00436D2B">
          <w:rPr>
            <w:rStyle w:val="Hyperlink"/>
          </w:rPr>
          <w:t>https://www.who.int/publications/i/item/global-action-plan-on-the-public-health-response-to-dementia-2017---2025</w:t>
        </w:r>
      </w:hyperlink>
      <w:r w:rsidRPr="00436D2B">
        <w:t xml:space="preserve"> (Accessed: 25 June 2026).</w:t>
      </w:r>
    </w:p>
    <w:p w14:paraId="66CA3A69" w14:textId="77777777" w:rsidR="00436D2B" w:rsidRPr="00436D2B" w:rsidRDefault="00436D2B" w:rsidP="00436D2B">
      <w:pPr>
        <w:pStyle w:val="Reference"/>
        <w:spacing w:before="240" w:line="360" w:lineRule="auto"/>
        <w:ind w:left="0" w:firstLine="0"/>
      </w:pPr>
      <w:r w:rsidRPr="00436D2B">
        <w:t xml:space="preserve">World Health Organization (2019) </w:t>
      </w:r>
      <w:r w:rsidRPr="00436D2B">
        <w:rPr>
          <w:i/>
          <w:iCs/>
        </w:rPr>
        <w:t>Risk reduction of cognitive decline and dementia: WHO guidelines</w:t>
      </w:r>
      <w:r w:rsidRPr="00436D2B">
        <w:t xml:space="preserve">. Geneva: World Health Organization. Available at: </w:t>
      </w:r>
      <w:hyperlink r:id="rId56" w:tgtFrame="_new" w:history="1">
        <w:r w:rsidRPr="00436D2B">
          <w:rPr>
            <w:rStyle w:val="Hyperlink"/>
          </w:rPr>
          <w:t>https://www.who.int/publications/i/item/9789241550543</w:t>
        </w:r>
      </w:hyperlink>
      <w:r w:rsidRPr="00436D2B">
        <w:t xml:space="preserve"> (Accessed: 25 June 2026).</w:t>
      </w:r>
    </w:p>
    <w:p w14:paraId="772FB492" w14:textId="77777777" w:rsidR="00436D2B" w:rsidRPr="00436D2B" w:rsidRDefault="00436D2B" w:rsidP="00436D2B">
      <w:pPr>
        <w:pStyle w:val="Reference"/>
        <w:spacing w:before="240" w:line="360" w:lineRule="auto"/>
        <w:ind w:left="0" w:firstLine="0"/>
      </w:pPr>
      <w:r w:rsidRPr="00436D2B">
        <w:t xml:space="preserve">World Health Organization (2025) </w:t>
      </w:r>
      <w:r w:rsidRPr="00436D2B">
        <w:rPr>
          <w:i/>
          <w:iCs/>
        </w:rPr>
        <w:t>Dementia</w:t>
      </w:r>
      <w:r w:rsidRPr="00436D2B">
        <w:t xml:space="preserve">. Available at: </w:t>
      </w:r>
      <w:hyperlink r:id="rId57" w:tgtFrame="_new" w:history="1">
        <w:r w:rsidRPr="00436D2B">
          <w:rPr>
            <w:rStyle w:val="Hyperlink"/>
          </w:rPr>
          <w:t>https://www.who.int/news-room/fact-sheets/detail/dementia</w:t>
        </w:r>
      </w:hyperlink>
      <w:r w:rsidRPr="00436D2B">
        <w:t xml:space="preserve"> (Accessed: 25 June 2026).</w:t>
      </w:r>
    </w:p>
    <w:p w14:paraId="179A8189" w14:textId="34B7253A" w:rsidR="00CB073F" w:rsidRDefault="00CB073F">
      <w:pPr>
        <w:pStyle w:val="Reference"/>
      </w:pPr>
    </w:p>
    <w:sectPr w:rsidR="00CB073F" w:rsidSect="00034616">
      <w:footerReference w:type="default" r:id="rId58"/>
      <w:pgSz w:w="12240" w:h="15840"/>
      <w:pgMar w:top="1008" w:right="1080" w:bottom="1008"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4CAB99" w14:textId="77777777" w:rsidR="007F2FDF" w:rsidRDefault="007F2FDF">
      <w:pPr>
        <w:spacing w:after="0" w:line="240" w:lineRule="auto"/>
      </w:pPr>
      <w:r>
        <w:separator/>
      </w:r>
    </w:p>
  </w:endnote>
  <w:endnote w:type="continuationSeparator" w:id="0">
    <w:p w14:paraId="3E1251B2" w14:textId="77777777" w:rsidR="007F2FDF" w:rsidRDefault="007F2F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6985232"/>
      <w:docPartObj>
        <w:docPartGallery w:val="Page Numbers (Bottom of Page)"/>
        <w:docPartUnique/>
      </w:docPartObj>
    </w:sdtPr>
    <w:sdtEndPr>
      <w:rPr>
        <w:noProof/>
      </w:rPr>
    </w:sdtEndPr>
    <w:sdtContent>
      <w:p w14:paraId="5A3C34F9" w14:textId="45D73F1E" w:rsidR="003D4AAC" w:rsidRDefault="003D4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D34BAC" w14:textId="03E74484" w:rsidR="00CB073F" w:rsidRDefault="00CB073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9C0EF" w14:textId="77777777" w:rsidR="007F2FDF" w:rsidRDefault="007F2FDF">
      <w:pPr>
        <w:spacing w:after="0" w:line="240" w:lineRule="auto"/>
      </w:pPr>
      <w:r>
        <w:separator/>
      </w:r>
    </w:p>
  </w:footnote>
  <w:footnote w:type="continuationSeparator" w:id="0">
    <w:p w14:paraId="793A30EB" w14:textId="77777777" w:rsidR="007F2FDF" w:rsidRDefault="007F2F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10867579">
    <w:abstractNumId w:val="8"/>
  </w:num>
  <w:num w:numId="2" w16cid:durableId="1930576728">
    <w:abstractNumId w:val="6"/>
  </w:num>
  <w:num w:numId="3" w16cid:durableId="149641050">
    <w:abstractNumId w:val="5"/>
  </w:num>
  <w:num w:numId="4" w16cid:durableId="1609194971">
    <w:abstractNumId w:val="4"/>
  </w:num>
  <w:num w:numId="5" w16cid:durableId="352616316">
    <w:abstractNumId w:val="7"/>
  </w:num>
  <w:num w:numId="6" w16cid:durableId="476187605">
    <w:abstractNumId w:val="3"/>
  </w:num>
  <w:num w:numId="7" w16cid:durableId="1700546718">
    <w:abstractNumId w:val="2"/>
  </w:num>
  <w:num w:numId="8" w16cid:durableId="1283028311">
    <w:abstractNumId w:val="1"/>
  </w:num>
  <w:num w:numId="9" w16cid:durableId="15202399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2357"/>
    <w:rsid w:val="00034616"/>
    <w:rsid w:val="0006063C"/>
    <w:rsid w:val="000908B1"/>
    <w:rsid w:val="0015074B"/>
    <w:rsid w:val="001E7C1D"/>
    <w:rsid w:val="00203C05"/>
    <w:rsid w:val="00265BBB"/>
    <w:rsid w:val="0029639D"/>
    <w:rsid w:val="002D4BF5"/>
    <w:rsid w:val="00326F90"/>
    <w:rsid w:val="003D4AAC"/>
    <w:rsid w:val="00403E4C"/>
    <w:rsid w:val="00436D2B"/>
    <w:rsid w:val="00447440"/>
    <w:rsid w:val="004D1A90"/>
    <w:rsid w:val="004D6686"/>
    <w:rsid w:val="00672C4C"/>
    <w:rsid w:val="006B141E"/>
    <w:rsid w:val="006C55D2"/>
    <w:rsid w:val="006C6774"/>
    <w:rsid w:val="00742BC1"/>
    <w:rsid w:val="00756A22"/>
    <w:rsid w:val="007F2FDF"/>
    <w:rsid w:val="0082118A"/>
    <w:rsid w:val="00962FD6"/>
    <w:rsid w:val="0096405E"/>
    <w:rsid w:val="00AA1D8D"/>
    <w:rsid w:val="00B441DB"/>
    <w:rsid w:val="00B47730"/>
    <w:rsid w:val="00B9733B"/>
    <w:rsid w:val="00C74E7D"/>
    <w:rsid w:val="00CB0664"/>
    <w:rsid w:val="00CB073F"/>
    <w:rsid w:val="00CF0424"/>
    <w:rsid w:val="00D84FBB"/>
    <w:rsid w:val="00E0158D"/>
    <w:rsid w:val="00E33C7F"/>
    <w:rsid w:val="00E6078C"/>
    <w:rsid w:val="00E953A2"/>
    <w:rsid w:val="00EF3CFA"/>
    <w:rsid w:val="00EF7EE9"/>
    <w:rsid w:val="00F26A4B"/>
    <w:rsid w:val="00F66C2C"/>
    <w:rsid w:val="00FA3D0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82D1A6E"/>
  <w14:defaultImageDpi w14:val="300"/>
  <w15:docId w15:val="{AF79034C-D17F-4E4A-9D5A-53ADB488E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eastAsia="Arial" w:hAnsi="Arial"/>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156082"/>
      <w:sz w:val="32"/>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color w:val="156082"/>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aptionCustom">
    <w:name w:val="CaptionCustom"/>
    <w:pPr>
      <w:spacing w:after="160" w:line="240" w:lineRule="auto"/>
      <w:jc w:val="center"/>
    </w:pPr>
    <w:rPr>
      <w:rFonts w:ascii="Arial" w:eastAsia="Arial" w:hAnsi="Arial"/>
      <w:i/>
      <w:sz w:val="18"/>
    </w:rPr>
  </w:style>
  <w:style w:type="paragraph" w:customStyle="1" w:styleId="Reference">
    <w:name w:val="Reference"/>
    <w:pPr>
      <w:spacing w:after="80"/>
      <w:ind w:left="504" w:hanging="504"/>
    </w:pPr>
    <w:rPr>
      <w:rFonts w:ascii="Arial" w:eastAsia="Arial" w:hAnsi="Arial"/>
      <w:sz w:val="20"/>
    </w:rPr>
  </w:style>
  <w:style w:type="character" w:styleId="Hyperlink">
    <w:name w:val="Hyperlink"/>
    <w:basedOn w:val="DefaultParagraphFont"/>
    <w:uiPriority w:val="99"/>
    <w:unhideWhenUsed/>
    <w:rsid w:val="00436D2B"/>
    <w:rPr>
      <w:color w:val="0000FF" w:themeColor="hyperlink"/>
      <w:u w:val="single"/>
    </w:rPr>
  </w:style>
  <w:style w:type="character" w:styleId="UnresolvedMention">
    <w:name w:val="Unresolved Mention"/>
    <w:basedOn w:val="DefaultParagraphFont"/>
    <w:uiPriority w:val="99"/>
    <w:semiHidden/>
    <w:unhideWhenUsed/>
    <w:rsid w:val="00436D2B"/>
    <w:rPr>
      <w:color w:val="605E5C"/>
      <w:shd w:val="clear" w:color="auto" w:fill="E1DFDD"/>
    </w:rPr>
  </w:style>
  <w:style w:type="paragraph" w:styleId="TOC2">
    <w:name w:val="toc 2"/>
    <w:basedOn w:val="Normal"/>
    <w:next w:val="Normal"/>
    <w:autoRedefine/>
    <w:uiPriority w:val="39"/>
    <w:unhideWhenUsed/>
    <w:rsid w:val="003D4AAC"/>
    <w:pPr>
      <w:spacing w:after="100"/>
      <w:ind w:left="220"/>
    </w:pPr>
  </w:style>
  <w:style w:type="paragraph" w:styleId="TOC1">
    <w:name w:val="toc 1"/>
    <w:basedOn w:val="Normal"/>
    <w:next w:val="Normal"/>
    <w:autoRedefine/>
    <w:uiPriority w:val="39"/>
    <w:unhideWhenUsed/>
    <w:rsid w:val="003D4AA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377/hlthaff.28.1.75" TargetMode="External"/><Relationship Id="rId39" Type="http://schemas.openxmlformats.org/officeDocument/2006/relationships/hyperlink" Target="https://www.nhs.uk/conditions/dementia/?utm_source=chatgpt.com" TargetMode="External"/><Relationship Id="rId21" Type="http://schemas.openxmlformats.org/officeDocument/2006/relationships/hyperlink" Target="https://www.alzheimers.org.uk/get-involved/our-campaigns/improve-dementia-diagnosis?utm_source=chatgpt.com" TargetMode="External"/><Relationship Id="rId34" Type="http://schemas.openxmlformats.org/officeDocument/2006/relationships/hyperlink" Target="https://doi.org/10.1038/s41572-021-00269-y" TargetMode="External"/><Relationship Id="rId42" Type="http://schemas.openxmlformats.org/officeDocument/2006/relationships/hyperlink" Target="https://www.nice.org.uk/guidance/ng97?utm_source=chatgpt.com" TargetMode="External"/><Relationship Id="rId47" Type="http://schemas.openxmlformats.org/officeDocument/2006/relationships/hyperlink" Target="https://www.england.nhs.uk/2024/07/dementia-diagnoses-in-england-at-record-high/?utm_source=chatgpt.com" TargetMode="External"/><Relationship Id="rId50" Type="http://schemas.openxmlformats.org/officeDocument/2006/relationships/hyperlink" Target="https://www.rcpsych.ac.uk/improving-care/ccqi/national-clinical-audits/national-audit-of-dementia" TargetMode="External"/><Relationship Id="rId55" Type="http://schemas.openxmlformats.org/officeDocument/2006/relationships/hyperlink" Target="https://www.who.int/publications/i/item/global-action-plan-on-the-public-health-response-to-dementia-2017---2025?utm_source=chatgpt.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ementiastatistics.org/about-dementia/prevalence-and-incidence/?utm_source=chatgpt.com" TargetMode="External"/><Relationship Id="rId11" Type="http://schemas.openxmlformats.org/officeDocument/2006/relationships/image" Target="media/image4.png"/><Relationship Id="rId24" Type="http://schemas.openxmlformats.org/officeDocument/2006/relationships/hyperlink" Target="https://doi.org/10.1002/gps.5123" TargetMode="External"/><Relationship Id="rId32" Type="http://schemas.openxmlformats.org/officeDocument/2006/relationships/hyperlink" Target="https://doi.org/10.3390/ijerph18052223" TargetMode="External"/><Relationship Id="rId37" Type="http://schemas.openxmlformats.org/officeDocument/2006/relationships/hyperlink" Target="https://www.gov.uk/government/news/lecanemab-licensed-for-adult-patients-in-the-early-stages-of-alzheimers-disease?utm_source=chatgpt.com" TargetMode="External"/><Relationship Id="rId40" Type="http://schemas.openxmlformats.org/officeDocument/2006/relationships/hyperlink" Target="https://www.nhs.uk/conditions/alzheimers-disease/?utm_source=chatgpt.com" TargetMode="External"/><Relationship Id="rId45" Type="http://schemas.openxmlformats.org/officeDocument/2006/relationships/hyperlink" Target="https://www.nia.nih.gov/health/alzheimers-causes-and-risk-factors/what-causes-alzheimers-disease?utm_source=chatgpt.com" TargetMode="External"/><Relationship Id="rId53" Type="http://schemas.openxmlformats.org/officeDocument/2006/relationships/hyperlink" Target="https://doi.org/10.1377/hlthaff.20.6.64" TargetMode="External"/><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hyperlink" Target="https://www.alzint.org/resource/world-alzheimer-report-2024/?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hf.org.uk/for-professionals/healthcare-professionals/innovation-in-care/person-centred-care-and-the-house-of-care?utm_source=chatgpt.com" TargetMode="External"/><Relationship Id="rId27" Type="http://schemas.openxmlformats.org/officeDocument/2006/relationships/hyperlink" Target="https://doi.org/10.1002/14651858.CD010523.pub2" TargetMode="External"/><Relationship Id="rId30" Type="http://schemas.openxmlformats.org/officeDocument/2006/relationships/hyperlink" Target="https://www.gov.uk/government/publications/prime-ministers-challenge-on-dementia-2020?utm_source=chatgpt.com" TargetMode="External"/><Relationship Id="rId35" Type="http://schemas.openxmlformats.org/officeDocument/2006/relationships/hyperlink" Target="https://doi.org/10.1016/S0140-6736(24)01296-0" TargetMode="External"/><Relationship Id="rId43" Type="http://schemas.openxmlformats.org/officeDocument/2006/relationships/hyperlink" Target="https://www.nice.org.uk/guidance/indevelopment/gid-ta11220?utm_source=chatgpt.com" TargetMode="External"/><Relationship Id="rId48" Type="http://schemas.openxmlformats.org/officeDocument/2006/relationships/hyperlink" Target="https://www.ons.gov.uk/peoplepopulationandcommunity/birthsdeathsandmarriages/deaths/bulletins/deathsregistrationsummarytables/2024?utm_source=chatgpt.com" TargetMode="External"/><Relationship Id="rId56" Type="http://schemas.openxmlformats.org/officeDocument/2006/relationships/hyperlink" Target="https://www.who.int/publications/i/item/9789241550543" TargetMode="External"/><Relationship Id="rId8" Type="http://schemas.openxmlformats.org/officeDocument/2006/relationships/image" Target="media/image1.png"/><Relationship Id="rId51" Type="http://schemas.openxmlformats.org/officeDocument/2006/relationships/hyperlink" Target="https://doi.org/10.1192/bjp.183.3.248"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legislation.gov.uk/ukpga/2014/23/contents?utm_source=chatgpt.com" TargetMode="External"/><Relationship Id="rId33" Type="http://schemas.openxmlformats.org/officeDocument/2006/relationships/hyperlink" Target="https://doi.org/10.1136/bmj.h369" TargetMode="External"/><Relationship Id="rId38" Type="http://schemas.openxmlformats.org/officeDocument/2006/relationships/hyperlink" Target="https://www.gov.uk/government/news/donanemab-licensed-for-early-stages-of-alzheimers-disease-in-adult-patients-who-have-one-or-no-copies-of-apolipoprotein-e4-gene?utm_source=chatgpt.com" TargetMode="External"/><Relationship Id="rId46" Type="http://schemas.openxmlformats.org/officeDocument/2006/relationships/hyperlink" Target="https://digital.nhs.uk/data-and-information/publications/statistical/primary-care-dementia-data/february-2026?utm_source=chatgpt.com" TargetMode="External"/><Relationship Id="rId59" Type="http://schemas.openxmlformats.org/officeDocument/2006/relationships/fontTable" Target="fontTable.xml"/><Relationship Id="rId20" Type="http://schemas.openxmlformats.org/officeDocument/2006/relationships/hyperlink" Target="https://www.alzheimers.org.uk/what-we-do/policy-and-influencing/dementia-scale-impact-numbers?utm_source=chatgpt.com" TargetMode="External"/><Relationship Id="rId41" Type="http://schemas.openxmlformats.org/officeDocument/2006/relationships/hyperlink" Target="https://www.nice.org.uk/guidance/ng16?utm_source=chatgpt.com" TargetMode="External"/><Relationship Id="rId54" Type="http://schemas.openxmlformats.org/officeDocument/2006/relationships/hyperlink" Target="https://doi.org/10.1002/14651858.CD005562.pub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31887/DCNS.2009.11.2/hbrodaty" TargetMode="External"/><Relationship Id="rId28" Type="http://schemas.openxmlformats.org/officeDocument/2006/relationships/hyperlink" Target="https://doi.org/10.3399/bjgp16X684745" TargetMode="External"/><Relationship Id="rId36" Type="http://schemas.openxmlformats.org/officeDocument/2006/relationships/hyperlink" Target="https://www.legislation.gov.uk/ukpga/2005/9/contents?utm_source=chatgpt.com" TargetMode="External"/><Relationship Id="rId49" Type="http://schemas.openxmlformats.org/officeDocument/2006/relationships/hyperlink" Target="https://doi.org/10.1037/0882-7974.18.2.250" TargetMode="External"/><Relationship Id="rId57" Type="http://schemas.openxmlformats.org/officeDocument/2006/relationships/hyperlink" Target="https://www.who.int/news-room/fact-sheets/detail/dementia?utm_source=chatgpt.com" TargetMode="External"/><Relationship Id="rId10" Type="http://schemas.openxmlformats.org/officeDocument/2006/relationships/image" Target="media/image3.png"/><Relationship Id="rId31" Type="http://schemas.openxmlformats.org/officeDocument/2006/relationships/hyperlink" Target="https://doi.org/10.1136/bmjopen-2015-009627" TargetMode="External"/><Relationship Id="rId44" Type="http://schemas.openxmlformats.org/officeDocument/2006/relationships/hyperlink" Target="https://www.nice.org.uk/guidance/indevelopment/gid-ta11221?utm_source=chatgpt.com" TargetMode="External"/><Relationship Id="rId52" Type="http://schemas.openxmlformats.org/officeDocument/2006/relationships/hyperlink" Target="https://www.health.org.uk/resources-and-toolkits/quick-guides/person-centred-care-made-simple?utm_source=chatgpt.com"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5586</Words>
  <Characters>31843</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Alzheimer’s Disease in Older People in the United Kingdom</vt:lpstr>
    </vt:vector>
  </TitlesOfParts>
  <Manager/>
  <Company/>
  <LinksUpToDate>false</LinksUpToDate>
  <CharactersWithSpaces>37355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Alzheimer’s Disease in Older People in the United Kingdom</dc:title>
  <dc:subject>LCHS7003 information booklet</dc:subject>
  <dc:creator>Ashraf Ullah</dc:creator>
  <cp:keywords>Alzheimer’s disease; dementia; long-term condition management</cp:keywords>
  <cp:lastModifiedBy>Ritu Panna Saha</cp:lastModifiedBy>
  <cp:revision>3</cp:revision>
  <dcterms:created xsi:type="dcterms:W3CDTF">2026-06-26T06:20:00Z</dcterms:created>
  <dcterms:modified xsi:type="dcterms:W3CDTF">2026-06-26T10:03:00Z</dcterms:modified>
  <cp:category/>
</cp:coreProperties>
</file>