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52621E" w:rsidR="00283DFA" w:rsidP="581AC2FF" w:rsidRDefault="00283DFA" w14:paraId="107BE998" w14:textId="0EA978C6">
      <w:pPr>
        <w:pStyle w:val="Normal"/>
        <w:spacing w:line="240" w:lineRule="auto"/>
        <w:jc w:val="center"/>
        <w:rPr>
          <w:rFonts w:ascii="Times New Roman" w:hAnsi="Times New Roman" w:cs="Times New Roman"/>
          <w:sz w:val="24"/>
          <w:szCs w:val="24"/>
        </w:rPr>
      </w:pPr>
    </w:p>
    <w:p w:rsidRPr="0052621E" w:rsidR="00283DFA" w:rsidP="00152DE0" w:rsidRDefault="00283DFA" w14:paraId="7CBD20F7" w14:textId="3B9A8770">
      <w:pPr>
        <w:spacing w:line="240" w:lineRule="auto"/>
        <w:jc w:val="center"/>
      </w:pPr>
    </w:p>
    <w:p w:rsidRPr="0052621E" w:rsidR="00283DFA" w:rsidP="00152DE0" w:rsidRDefault="00283DFA" w14:paraId="7EA69F22" w14:textId="31097CAC">
      <w:pPr>
        <w:spacing w:line="240" w:lineRule="auto"/>
        <w:jc w:val="center"/>
        <w:rPr>
          <w:rFonts w:ascii="Times New Roman" w:hAnsi="Times New Roman" w:cs="Times New Roman"/>
          <w:sz w:val="24"/>
          <w:szCs w:val="24"/>
        </w:rPr>
      </w:pPr>
      <w:r>
        <w:drawing>
          <wp:inline wp14:editId="2A2D7047" wp14:anchorId="4C4D5DC6">
            <wp:extent cx="5943600" cy="3590925"/>
            <wp:effectExtent l="0" t="0" r="0" b="0"/>
            <wp:docPr id="597362143" name="" title=""/>
            <wp:cNvGraphicFramePr>
              <a:graphicFrameLocks noChangeAspect="1"/>
            </wp:cNvGraphicFramePr>
            <a:graphic>
              <a:graphicData uri="http://schemas.openxmlformats.org/drawingml/2006/picture">
                <pic:pic>
                  <pic:nvPicPr>
                    <pic:cNvPr id="0" name=""/>
                    <pic:cNvPicPr/>
                  </pic:nvPicPr>
                  <pic:blipFill>
                    <a:blip r:embed="Rff8a4d73ca4f4f18">
                      <a:extLst>
                        <a:ext xmlns:a="http://schemas.openxmlformats.org/drawingml/2006/main" uri="{28A0092B-C50C-407E-A947-70E740481C1C}">
                          <a14:useLocalDpi val="0"/>
                        </a:ext>
                      </a:extLst>
                    </a:blip>
                    <a:stretch>
                      <a:fillRect/>
                    </a:stretch>
                  </pic:blipFill>
                  <pic:spPr>
                    <a:xfrm>
                      <a:off x="0" y="0"/>
                      <a:ext cx="5943600" cy="3590925"/>
                    </a:xfrm>
                    <a:prstGeom prst="rect">
                      <a:avLst/>
                    </a:prstGeom>
                  </pic:spPr>
                </pic:pic>
              </a:graphicData>
            </a:graphic>
          </wp:inline>
        </w:drawing>
      </w:r>
    </w:p>
    <w:p w:rsidRPr="0052621E" w:rsidR="0061032C" w:rsidP="00152DE0" w:rsidRDefault="0061032C" w14:paraId="5933E1D9" w14:textId="77777777">
      <w:pPr>
        <w:spacing w:line="240" w:lineRule="auto"/>
        <w:jc w:val="center"/>
        <w:rPr>
          <w:rFonts w:ascii="Times New Roman" w:hAnsi="Times New Roman" w:cs="Times New Roman"/>
          <w:sz w:val="24"/>
          <w:szCs w:val="24"/>
        </w:rPr>
      </w:pPr>
    </w:p>
    <w:p w:rsidRPr="0052621E" w:rsidR="0061032C" w:rsidP="00152DE0" w:rsidRDefault="0061032C" w14:paraId="366C1D78" w14:textId="77777777">
      <w:pPr>
        <w:spacing w:line="240" w:lineRule="auto"/>
        <w:jc w:val="center"/>
        <w:rPr>
          <w:rFonts w:ascii="Times New Roman" w:hAnsi="Times New Roman" w:cs="Times New Roman"/>
          <w:sz w:val="24"/>
          <w:szCs w:val="24"/>
        </w:rPr>
      </w:pPr>
    </w:p>
    <w:p w:rsidR="3B385D4E" w:rsidP="3B385D4E" w:rsidRDefault="3B385D4E" w14:paraId="14A2A9F1" w14:textId="5F4B47F4">
      <w:pPr>
        <w:pStyle w:val="Header"/>
        <w:suppressLineNumbers w:val="0"/>
        <w:bidi w:val="0"/>
        <w:spacing w:before="0" w:beforeAutospacing="off" w:after="0" w:afterAutospacing="off" w:line="240" w:lineRule="auto"/>
        <w:ind w:left="0" w:right="0"/>
        <w:contextualSpacing/>
        <w:jc w:val="center"/>
      </w:pPr>
      <w:r w:rsidRPr="3B385D4E" w:rsidR="3B385D4E">
        <w:rPr>
          <w:rFonts w:ascii="Calibri" w:hAnsi="Calibri" w:eastAsia="Calibri" w:cs="Calibri" w:asciiTheme="minorAscii" w:hAnsiTheme="minorAscii" w:eastAsiaTheme="minorAscii" w:cstheme="minorAscii"/>
          <w:b w:val="1"/>
          <w:bCs w:val="1"/>
          <w:sz w:val="40"/>
          <w:szCs w:val="40"/>
        </w:rPr>
        <w:t>Concept of Dishonesty</w:t>
      </w:r>
    </w:p>
    <w:p w:rsidR="3B385D4E" w:rsidP="3B385D4E" w:rsidRDefault="3B385D4E" w14:paraId="0EEE88DA" w14:textId="17FD6FE2">
      <w:pPr>
        <w:pStyle w:val="Header"/>
        <w:suppressLineNumbers w:val="0"/>
        <w:bidi w:val="0"/>
        <w:spacing w:before="0" w:beforeAutospacing="off" w:after="0" w:afterAutospacing="off" w:line="240" w:lineRule="auto"/>
        <w:ind w:left="0" w:right="0"/>
        <w:contextualSpacing/>
        <w:jc w:val="center"/>
        <w:rPr>
          <w:rFonts w:ascii="Calibri" w:hAnsi="Calibri" w:eastAsia="Calibri" w:cs="Calibri" w:asciiTheme="minorAscii" w:hAnsiTheme="minorAscii" w:eastAsiaTheme="minorAscii" w:cstheme="minorAscii"/>
          <w:b w:val="1"/>
          <w:bCs w:val="1"/>
          <w:sz w:val="40"/>
          <w:szCs w:val="40"/>
        </w:rPr>
      </w:pPr>
    </w:p>
    <w:p w:rsidRPr="004401B5" w:rsidR="00C021D9" w:rsidP="581AC2FF" w:rsidRDefault="001820FC" w14:paraId="3E785CA5" w14:textId="43FDC53F">
      <w:pPr>
        <w:pStyle w:val="Header"/>
        <w:spacing w:line="480" w:lineRule="auto"/>
        <w:contextualSpacing/>
        <w:jc w:val="center"/>
        <w:rPr>
          <w:rFonts w:ascii="Times New Roman" w:hAnsi="Times New Roman" w:cs="Times New Roman"/>
          <w:b w:val="1"/>
          <w:bCs w:val="1"/>
          <w:sz w:val="24"/>
          <w:szCs w:val="24"/>
        </w:rPr>
      </w:pPr>
    </w:p>
    <w:p w:rsidRPr="004401B5" w:rsidR="00C021D9" w:rsidP="581AC2FF" w:rsidRDefault="001820FC" w14:paraId="217B564D" w14:textId="0262B7FA">
      <w:pPr>
        <w:pStyle w:val="Header"/>
        <w:spacing w:line="480" w:lineRule="auto"/>
        <w:ind w:left="3600" w:firstLine="0"/>
        <w:contextualSpacing/>
        <w:jc w:val="left"/>
        <w:rPr>
          <w:rFonts w:ascii="Calibri" w:hAnsi="Calibri" w:eastAsia="Calibri" w:cs="Calibri" w:asciiTheme="minorAscii" w:hAnsiTheme="minorAscii" w:eastAsiaTheme="minorAscii" w:cstheme="minorAscii"/>
          <w:b w:val="0"/>
          <w:bCs w:val="0"/>
          <w:sz w:val="24"/>
          <w:szCs w:val="24"/>
        </w:rPr>
      </w:pPr>
    </w:p>
    <w:p w:rsidR="581AC2FF" w:rsidP="581AC2FF" w:rsidRDefault="581AC2FF" w14:paraId="30527ACA" w14:textId="007F039F">
      <w:pPr>
        <w:pStyle w:val="Header"/>
        <w:spacing w:line="480" w:lineRule="auto"/>
        <w:ind w:left="5040" w:firstLine="0"/>
        <w:contextualSpacing/>
        <w:jc w:val="left"/>
        <w:rPr>
          <w:rFonts w:ascii="Calibri" w:hAnsi="Calibri" w:eastAsia="Calibri" w:cs="Calibri" w:asciiTheme="minorAscii" w:hAnsiTheme="minorAscii" w:eastAsiaTheme="minorAscii" w:cstheme="minorAscii"/>
          <w:b w:val="0"/>
          <w:bCs w:val="0"/>
          <w:sz w:val="24"/>
          <w:szCs w:val="24"/>
        </w:rPr>
      </w:pPr>
    </w:p>
    <w:p w:rsidR="581AC2FF" w:rsidP="581AC2FF" w:rsidRDefault="581AC2FF" w14:paraId="47683302" w14:textId="41D087BB">
      <w:pPr>
        <w:pStyle w:val="Header"/>
        <w:spacing w:line="480" w:lineRule="auto"/>
        <w:ind w:left="5760" w:firstLine="0"/>
        <w:contextualSpacing/>
        <w:jc w:val="left"/>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397A79F5" w14:textId="56470454">
      <w:pPr>
        <w:pStyle w:val="Header"/>
        <w:spacing w:line="480" w:lineRule="auto"/>
        <w:ind w:left="6480" w:firstLine="720"/>
        <w:contextualSpacing/>
        <w:jc w:val="left"/>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2451F3EC" w14:textId="0A5A20A7">
      <w:pPr>
        <w:pStyle w:val="Header"/>
        <w:spacing w:line="480" w:lineRule="auto"/>
        <w:ind w:left="6480" w:firstLine="720"/>
        <w:contextualSpacing/>
        <w:jc w:val="left"/>
        <w:rPr>
          <w:rFonts w:ascii="Calibri" w:hAnsi="Calibri" w:eastAsia="Calibri" w:cs="Calibri" w:asciiTheme="minorAscii" w:hAnsiTheme="minorAscii" w:eastAsiaTheme="minorAscii" w:cstheme="minorAscii"/>
          <w:b w:val="0"/>
          <w:bCs w:val="0"/>
          <w:sz w:val="24"/>
          <w:szCs w:val="24"/>
        </w:rPr>
      </w:pPr>
      <w:r w:rsidRPr="14F27F53" w:rsidR="14F27F53">
        <w:rPr>
          <w:rFonts w:ascii="Calibri" w:hAnsi="Calibri" w:eastAsia="Calibri" w:cs="Calibri" w:asciiTheme="minorAscii" w:hAnsiTheme="minorAscii" w:eastAsiaTheme="minorAscii" w:cstheme="minorAscii"/>
          <w:b w:val="0"/>
          <w:bCs w:val="0"/>
          <w:sz w:val="24"/>
          <w:szCs w:val="24"/>
        </w:rPr>
        <w:t>Catalin Teodorescu</w:t>
      </w:r>
    </w:p>
    <w:p w:rsidRPr="004401B5" w:rsidR="00C021D9" w:rsidP="14F27F53" w:rsidRDefault="001820FC" w14:paraId="662FDCC6" w14:textId="1E477BC0">
      <w:pPr>
        <w:pStyle w:val="Header"/>
        <w:spacing w:line="480" w:lineRule="auto"/>
        <w:ind w:left="6480" w:firstLine="720"/>
        <w:contextualSpacing/>
        <w:jc w:val="left"/>
        <w:rPr>
          <w:rFonts w:ascii="Calibri" w:hAnsi="Calibri" w:eastAsia="Calibri" w:cs="Calibri" w:asciiTheme="minorAscii" w:hAnsiTheme="minorAscii" w:eastAsiaTheme="minorAscii" w:cstheme="minorAscii"/>
          <w:b w:val="0"/>
          <w:bCs w:val="0"/>
          <w:sz w:val="24"/>
          <w:szCs w:val="24"/>
        </w:rPr>
      </w:pPr>
      <w:r w:rsidRPr="14F27F53" w:rsidR="14F27F53">
        <w:rPr>
          <w:rFonts w:ascii="Calibri" w:hAnsi="Calibri" w:eastAsia="Calibri" w:cs="Calibri" w:asciiTheme="minorAscii" w:hAnsiTheme="minorAscii" w:eastAsiaTheme="minorAscii" w:cstheme="minorAscii"/>
          <w:b w:val="0"/>
          <w:bCs w:val="0"/>
          <w:sz w:val="24"/>
          <w:szCs w:val="24"/>
        </w:rPr>
        <w:t>2313940</w:t>
      </w:r>
    </w:p>
    <w:p w:rsidRPr="004401B5" w:rsidR="00C021D9" w:rsidP="14F27F53" w:rsidRDefault="001820FC" w14:paraId="10105954" w14:textId="1136975C">
      <w:pPr>
        <w:pStyle w:val="Header"/>
        <w:spacing w:line="480" w:lineRule="auto"/>
        <w:ind w:left="7200" w:firstLine="0"/>
        <w:contextualSpacing/>
        <w:jc w:val="left"/>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0116B3AC" w14:textId="28E55DFF">
      <w:pPr>
        <w:pStyle w:val="Header"/>
        <w:spacing w:line="480" w:lineRule="auto"/>
        <w:ind w:left="7200" w:firstLine="0"/>
        <w:contextualSpacing/>
        <w:jc w:val="left"/>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1D09B9CA" w14:textId="04CFEB0D">
      <w:pPr>
        <w:pStyle w:val="Header"/>
        <w:spacing w:line="480" w:lineRule="auto"/>
        <w:ind w:left="720" w:firstLine="0"/>
        <w:contextualSpacing/>
        <w:jc w:val="left"/>
        <w:rPr>
          <w:rFonts w:ascii="Calibri" w:hAnsi="Calibri" w:eastAsia="Calibri" w:cs="Calibri" w:asciiTheme="minorAscii" w:hAnsiTheme="minorAscii" w:eastAsiaTheme="minorAscii" w:cstheme="minorAscii"/>
          <w:b w:val="0"/>
          <w:bCs w:val="0"/>
          <w:sz w:val="24"/>
          <w:szCs w:val="24"/>
        </w:rPr>
      </w:pPr>
      <w:r w:rsidRPr="14F27F53" w:rsidR="14F27F53">
        <w:rPr>
          <w:rFonts w:ascii="Calibri" w:hAnsi="Calibri" w:eastAsia="Calibri" w:cs="Calibri" w:asciiTheme="minorAscii" w:hAnsiTheme="minorAscii" w:eastAsiaTheme="minorAscii" w:cstheme="minorAscii"/>
          <w:b w:val="0"/>
          <w:bCs w:val="0"/>
          <w:sz w:val="24"/>
          <w:szCs w:val="24"/>
        </w:rPr>
        <w:t>Contents Page</w:t>
      </w:r>
    </w:p>
    <w:p w:rsidRPr="004401B5" w:rsidR="00C021D9" w:rsidP="14F27F53" w:rsidRDefault="001820FC" w14:paraId="4C3F5F53" w14:textId="06C236D9">
      <w:pPr>
        <w:pStyle w:val="Header"/>
        <w:spacing w:line="480" w:lineRule="auto"/>
        <w:ind w:left="0" w:firstLine="0"/>
        <w:contextualSpacing/>
        <w:jc w:val="left"/>
        <w:rPr>
          <w:rFonts w:ascii="Calibri" w:hAnsi="Calibri" w:eastAsia="Calibri" w:cs="Calibri" w:asciiTheme="minorAscii" w:hAnsiTheme="minorAscii" w:eastAsiaTheme="minorAscii" w:cstheme="minorAscii"/>
          <w:b w:val="0"/>
          <w:bCs w:val="0"/>
          <w:sz w:val="24"/>
          <w:szCs w:val="24"/>
        </w:rPr>
      </w:pPr>
      <w:r w:rsidRPr="14F27F53" w:rsidR="14F27F53">
        <w:rPr>
          <w:rFonts w:ascii="Calibri" w:hAnsi="Calibri" w:eastAsia="Calibri" w:cs="Calibri" w:asciiTheme="minorAscii" w:hAnsiTheme="minorAscii" w:eastAsiaTheme="minorAscii" w:cstheme="minorAscii"/>
          <w:b w:val="0"/>
          <w:bCs w:val="0"/>
          <w:sz w:val="24"/>
          <w:szCs w:val="24"/>
        </w:rPr>
        <w:t>Introduction . . .. Page 3</w:t>
      </w:r>
      <w:r>
        <w:tab/>
      </w:r>
    </w:p>
    <w:p w:rsidRPr="004401B5" w:rsidR="00C021D9" w:rsidP="14F27F53" w:rsidRDefault="001820FC" w14:paraId="5F62A00A" w14:textId="1268310C">
      <w:pPr>
        <w:pStyle w:val="Header"/>
        <w:spacing w:line="480" w:lineRule="auto"/>
        <w:ind w:left="0" w:firstLine="0"/>
        <w:contextualSpacing/>
        <w:jc w:val="left"/>
        <w:rPr>
          <w:rFonts w:ascii="Calibri" w:hAnsi="Calibri" w:eastAsia="Calibri" w:cs="Calibri" w:asciiTheme="minorAscii" w:hAnsiTheme="minorAscii" w:eastAsiaTheme="minorAscii" w:cstheme="minorAscii"/>
          <w:b w:val="0"/>
          <w:bCs w:val="0"/>
          <w:sz w:val="24"/>
          <w:szCs w:val="24"/>
        </w:rPr>
      </w:pPr>
      <w:r w:rsidRPr="14F27F53" w:rsidR="14F27F53">
        <w:rPr>
          <w:rFonts w:ascii="Calibri" w:hAnsi="Calibri" w:eastAsia="Calibri" w:cs="Calibri" w:asciiTheme="minorAscii" w:hAnsiTheme="minorAscii" w:eastAsiaTheme="minorAscii" w:cstheme="minorAscii"/>
          <w:b w:val="0"/>
          <w:bCs w:val="0"/>
          <w:sz w:val="24"/>
          <w:szCs w:val="24"/>
        </w:rPr>
        <w:t>Main Body . . . . . Page 4</w:t>
      </w:r>
      <w:r>
        <w:tab/>
      </w:r>
    </w:p>
    <w:p w:rsidRPr="004401B5" w:rsidR="00C021D9" w:rsidP="14F27F53" w:rsidRDefault="001820FC" w14:paraId="6FF63E0F" w14:textId="63EEF097">
      <w:pPr>
        <w:pStyle w:val="Header"/>
        <w:spacing w:line="480" w:lineRule="auto"/>
        <w:ind w:left="0" w:firstLine="0"/>
        <w:contextualSpacing/>
        <w:jc w:val="left"/>
      </w:pPr>
      <w:r w:rsidRPr="14F27F53" w:rsidR="14F27F53">
        <w:rPr>
          <w:rFonts w:ascii="Calibri" w:hAnsi="Calibri" w:eastAsia="Calibri" w:cs="Calibri" w:asciiTheme="minorAscii" w:hAnsiTheme="minorAscii" w:eastAsiaTheme="minorAscii" w:cstheme="minorAscii"/>
          <w:b w:val="0"/>
          <w:bCs w:val="0"/>
          <w:sz w:val="24"/>
          <w:szCs w:val="24"/>
        </w:rPr>
        <w:t xml:space="preserve">Conclusion </w:t>
      </w:r>
      <w:r w:rsidRPr="14F27F53" w:rsidR="14F27F53">
        <w:rPr>
          <w:rFonts w:ascii="Calibri" w:hAnsi="Calibri" w:eastAsia="Calibri" w:cs="Calibri" w:asciiTheme="minorAscii" w:hAnsiTheme="minorAscii" w:eastAsiaTheme="minorAscii" w:cstheme="minorAscii"/>
          <w:b w:val="0"/>
          <w:bCs w:val="0"/>
          <w:sz w:val="24"/>
          <w:szCs w:val="24"/>
        </w:rPr>
        <w:t>. . . .</w:t>
      </w:r>
      <w:r w:rsidRPr="14F27F53" w:rsidR="14F27F53">
        <w:rPr>
          <w:rFonts w:ascii="Calibri" w:hAnsi="Calibri" w:eastAsia="Calibri" w:cs="Calibri" w:asciiTheme="minorAscii" w:hAnsiTheme="minorAscii" w:eastAsiaTheme="minorAscii" w:cstheme="minorAscii"/>
          <w:b w:val="0"/>
          <w:bCs w:val="0"/>
          <w:sz w:val="24"/>
          <w:szCs w:val="24"/>
        </w:rPr>
        <w:t xml:space="preserve"> . Page 8</w:t>
      </w:r>
    </w:p>
    <w:p w:rsidRPr="004401B5" w:rsidR="00C021D9" w:rsidP="14F27F53" w:rsidRDefault="001820FC" w14:paraId="10E5A6CB" w14:textId="31A3EF6A">
      <w:pPr>
        <w:pStyle w:val="Header"/>
        <w:suppressLineNumbers w:val="0"/>
        <w:bidi w:val="0"/>
        <w:spacing w:before="0" w:beforeAutospacing="off" w:after="0" w:afterAutospacing="off" w:line="480" w:lineRule="auto"/>
        <w:ind w:left="0" w:right="0"/>
        <w:contextualSpacing/>
        <w:jc w:val="left"/>
      </w:pPr>
      <w:r w:rsidRPr="14F27F53" w:rsidR="14F27F53">
        <w:rPr>
          <w:rFonts w:ascii="Calibri" w:hAnsi="Calibri" w:eastAsia="Calibri" w:cs="Calibri" w:asciiTheme="minorAscii" w:hAnsiTheme="minorAscii" w:eastAsiaTheme="minorAscii" w:cstheme="minorAscii"/>
          <w:b w:val="0"/>
          <w:bCs w:val="0"/>
          <w:sz w:val="24"/>
          <w:szCs w:val="24"/>
        </w:rPr>
        <w:t>Reference List . . .Page 9</w:t>
      </w:r>
    </w:p>
    <w:p w:rsidRPr="004401B5" w:rsidR="00C021D9" w:rsidP="14F27F53" w:rsidRDefault="001820FC" w14:paraId="1B85FAFB" w14:textId="5E44B6BD">
      <w:pPr>
        <w:pStyle w:val="Header"/>
        <w:spacing w:line="480" w:lineRule="auto"/>
        <w:ind w:left="7200" w:firstLine="0"/>
        <w:contextualSpacing/>
        <w:jc w:val="left"/>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2687D60B" w14:textId="099D0949">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6AEA4D35" w14:textId="2B8FA63D">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251D49A2" w14:textId="5B882A17">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7BA881FB" w14:textId="4F6EAFAB">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167701D1" w14:textId="463A1FC3">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72B9195C" w14:textId="67E47E7A">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441DBDF4" w14:textId="0D0183AB">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4775BCD6" w14:textId="700970F5">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79655E9F" w14:textId="0D32A4C8">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67EB0323" w14:textId="227473DC">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6D43F114" w14:textId="7F9DB5C6">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529AB202" w14:textId="35E1ED53">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24EA5901" w14:textId="0DC80FB0">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3EBB8356" w14:textId="062369B2">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2FB16AC9" w14:textId="4DD57F47">
      <w:pPr>
        <w:pStyle w:val="Header"/>
        <w:spacing w:line="480" w:lineRule="auto"/>
        <w:ind w:left="648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1891D969" w14:textId="1B04D59E">
      <w:pPr>
        <w:pStyle w:val="Header"/>
        <w:spacing w:line="480" w:lineRule="auto"/>
        <w:contextualSpacing/>
        <w:jc w:val="center"/>
        <w:rPr>
          <w:rFonts w:ascii="Times New Roman" w:hAnsi="Times New Roman" w:cs="Times New Roman"/>
          <w:b w:val="1"/>
          <w:bCs w:val="1"/>
          <w:sz w:val="24"/>
          <w:szCs w:val="24"/>
        </w:rPr>
      </w:pPr>
    </w:p>
    <w:p w:rsidRPr="004401B5" w:rsidR="00C021D9" w:rsidP="14F27F53" w:rsidRDefault="001820FC" w14:paraId="4F4207E1" w14:textId="3304ECE7">
      <w:pPr>
        <w:pStyle w:val="Header"/>
        <w:spacing w:line="480" w:lineRule="auto"/>
        <w:contextualSpacing/>
        <w:jc w:val="center"/>
        <w:rPr>
          <w:rFonts w:ascii="Times New Roman" w:hAnsi="Times New Roman" w:cs="Times New Roman"/>
          <w:b w:val="1"/>
          <w:bCs w:val="1"/>
          <w:sz w:val="24"/>
          <w:szCs w:val="24"/>
        </w:rPr>
      </w:pPr>
    </w:p>
    <w:p w:rsidR="3B385D4E" w:rsidP="3B385D4E" w:rsidRDefault="3B385D4E" w14:paraId="08CAD7A4" w14:textId="2EA20151">
      <w:pPr>
        <w:pStyle w:val="Header"/>
        <w:spacing w:line="480" w:lineRule="auto"/>
        <w:ind w:firstLine="720"/>
        <w:contextualSpacing/>
        <w:jc w:val="left"/>
        <w:rPr>
          <w:rFonts w:ascii="Calibri" w:hAnsi="Calibri" w:eastAsia="Calibri" w:cs="Calibri" w:asciiTheme="minorAscii" w:hAnsiTheme="minorAscii" w:eastAsiaTheme="minorAscii" w:cstheme="minorAscii"/>
          <w:b w:val="1"/>
          <w:bCs w:val="1"/>
          <w:sz w:val="24"/>
          <w:szCs w:val="24"/>
        </w:rPr>
      </w:pPr>
      <w:r w:rsidRPr="3B385D4E" w:rsidR="3B385D4E">
        <w:rPr>
          <w:rFonts w:ascii="Calibri" w:hAnsi="Calibri" w:eastAsia="Calibri" w:cs="Calibri" w:asciiTheme="minorAscii" w:hAnsiTheme="minorAscii" w:eastAsiaTheme="minorAscii" w:cstheme="minorAscii"/>
          <w:b w:val="1"/>
          <w:bCs w:val="1"/>
          <w:sz w:val="24"/>
          <w:szCs w:val="24"/>
        </w:rPr>
        <w:t>Concept of Dishonesty</w:t>
      </w:r>
    </w:p>
    <w:p w:rsidR="3B385D4E" w:rsidP="3B385D4E" w:rsidRDefault="3B385D4E" w14:paraId="337924E4" w14:textId="715E7D20">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3B385D4E" w:rsidR="3B385D4E">
        <w:rPr>
          <w:rFonts w:ascii="Calibri" w:hAnsi="Calibri" w:eastAsia="Calibri" w:cs="Calibri" w:asciiTheme="minorAscii" w:hAnsiTheme="minorAscii" w:eastAsiaTheme="minorAscii" w:cstheme="minorAscii"/>
          <w:b w:val="0"/>
          <w:bCs w:val="0"/>
          <w:sz w:val="24"/>
          <w:szCs w:val="24"/>
        </w:rPr>
        <w:t xml:space="preserve">Many criminal offences in the UK are built around the principle of dishonesty, making it a fundamental principle to define for legal purposes. The standards that are used to </w:t>
      </w:r>
      <w:r w:rsidRPr="3B385D4E" w:rsidR="3B385D4E">
        <w:rPr>
          <w:rFonts w:ascii="Calibri" w:hAnsi="Calibri" w:eastAsia="Calibri" w:cs="Calibri" w:asciiTheme="minorAscii" w:hAnsiTheme="minorAscii" w:eastAsiaTheme="minorAscii" w:cstheme="minorAscii"/>
          <w:b w:val="0"/>
          <w:bCs w:val="0"/>
          <w:sz w:val="24"/>
          <w:szCs w:val="24"/>
        </w:rPr>
        <w:t>determine</w:t>
      </w:r>
      <w:r w:rsidRPr="3B385D4E" w:rsidR="3B385D4E">
        <w:rPr>
          <w:rFonts w:ascii="Calibri" w:hAnsi="Calibri" w:eastAsia="Calibri" w:cs="Calibri" w:asciiTheme="minorAscii" w:hAnsiTheme="minorAscii" w:eastAsiaTheme="minorAscii" w:cstheme="minorAscii"/>
          <w:b w:val="0"/>
          <w:bCs w:val="0"/>
          <w:sz w:val="24"/>
          <w:szCs w:val="24"/>
        </w:rPr>
        <w:t xml:space="preserve"> the meaning of dishonesty in UK law are those of ordinary people. The test for dishonesty is applied to </w:t>
      </w:r>
      <w:r w:rsidRPr="3B385D4E" w:rsidR="3B385D4E">
        <w:rPr>
          <w:rFonts w:ascii="Calibri" w:hAnsi="Calibri" w:eastAsia="Calibri" w:cs="Calibri" w:asciiTheme="minorAscii" w:hAnsiTheme="minorAscii" w:eastAsiaTheme="minorAscii" w:cstheme="minorAscii"/>
          <w:b w:val="0"/>
          <w:bCs w:val="0"/>
          <w:sz w:val="24"/>
          <w:szCs w:val="24"/>
        </w:rPr>
        <w:t>determine</w:t>
      </w:r>
      <w:r w:rsidRPr="3B385D4E" w:rsidR="3B385D4E">
        <w:rPr>
          <w:rFonts w:ascii="Calibri" w:hAnsi="Calibri" w:eastAsia="Calibri" w:cs="Calibri" w:asciiTheme="minorAscii" w:hAnsiTheme="minorAscii" w:eastAsiaTheme="minorAscii" w:cstheme="minorAscii"/>
          <w:b w:val="0"/>
          <w:bCs w:val="0"/>
          <w:sz w:val="24"/>
          <w:szCs w:val="24"/>
        </w:rPr>
        <w:t xml:space="preserve"> whether dishonesty was present in a case or interaction between people. The instances of 'Ivey v Genting Casinos [2018] 2 All ER 406’ in the Supreme Court and the ‘R v Barton &amp; Booth [2020] EWCA Crim 575’ that took place in the Court of Appeal found that the test for dishonesty is the same for criminal and civil cases. To </w:t>
      </w:r>
      <w:r w:rsidRPr="3B385D4E" w:rsidR="3B385D4E">
        <w:rPr>
          <w:rFonts w:ascii="Calibri" w:hAnsi="Calibri" w:eastAsia="Calibri" w:cs="Calibri" w:asciiTheme="minorAscii" w:hAnsiTheme="minorAscii" w:eastAsiaTheme="minorAscii" w:cstheme="minorAscii"/>
          <w:b w:val="0"/>
          <w:bCs w:val="0"/>
          <w:sz w:val="24"/>
          <w:szCs w:val="24"/>
        </w:rPr>
        <w:t>determine</w:t>
      </w:r>
      <w:r w:rsidRPr="3B385D4E" w:rsidR="3B385D4E">
        <w:rPr>
          <w:rFonts w:ascii="Calibri" w:hAnsi="Calibri" w:eastAsia="Calibri" w:cs="Calibri" w:asciiTheme="minorAscii" w:hAnsiTheme="minorAscii" w:eastAsiaTheme="minorAscii" w:cstheme="minorAscii"/>
          <w:b w:val="0"/>
          <w:bCs w:val="0"/>
          <w:sz w:val="24"/>
          <w:szCs w:val="24"/>
        </w:rPr>
        <w:t xml:space="preserve"> the existence of it, the following two questions are critical:</w:t>
      </w:r>
    </w:p>
    <w:p w:rsidR="3B385D4E" w:rsidP="3B385D4E" w:rsidRDefault="3B385D4E" w14:paraId="1F2D455B" w14:textId="3AC80078">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3B385D4E" w:rsidR="3B385D4E">
        <w:rPr>
          <w:rFonts w:ascii="Calibri" w:hAnsi="Calibri" w:eastAsia="Calibri" w:cs="Calibri" w:asciiTheme="minorAscii" w:hAnsiTheme="minorAscii" w:eastAsiaTheme="minorAscii" w:cstheme="minorAscii"/>
          <w:b w:val="0"/>
          <w:bCs w:val="0"/>
          <w:sz w:val="24"/>
          <w:szCs w:val="24"/>
        </w:rPr>
        <w:t>‘What was the defendant’s actual state of knowledge in relation to the facts?’</w:t>
      </w:r>
    </w:p>
    <w:p w:rsidR="3B385D4E" w:rsidP="3B385D4E" w:rsidRDefault="3B385D4E" w14:paraId="3CBFC1A8" w14:textId="3DF5AF4E">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3B385D4E" w:rsidR="3B385D4E">
        <w:rPr>
          <w:rFonts w:ascii="Calibri" w:hAnsi="Calibri" w:eastAsia="Calibri" w:cs="Calibri" w:asciiTheme="minorAscii" w:hAnsiTheme="minorAscii" w:eastAsiaTheme="minorAscii" w:cstheme="minorAscii"/>
          <w:b w:val="0"/>
          <w:bCs w:val="0"/>
          <w:sz w:val="24"/>
          <w:szCs w:val="24"/>
        </w:rPr>
        <w:t>‘Was the defendant’s conduct dishonest based on the standards of ordinary and decent people?’ (Ivey v Genting Casinos UK Ltd (</w:t>
      </w:r>
      <w:r w:rsidRPr="3B385D4E" w:rsidR="3B385D4E">
        <w:rPr>
          <w:rFonts w:ascii="Calibri" w:hAnsi="Calibri" w:eastAsia="Calibri" w:cs="Calibri" w:asciiTheme="minorAscii" w:hAnsiTheme="minorAscii" w:eastAsiaTheme="minorAscii" w:cstheme="minorAscii"/>
          <w:b w:val="0"/>
          <w:bCs w:val="0"/>
          <w:sz w:val="24"/>
          <w:szCs w:val="24"/>
        </w:rPr>
        <w:t>t/</w:t>
      </w:r>
      <w:r w:rsidRPr="3B385D4E" w:rsidR="3B385D4E">
        <w:rPr>
          <w:rFonts w:ascii="Calibri" w:hAnsi="Calibri" w:eastAsia="Calibri" w:cs="Calibri" w:asciiTheme="minorAscii" w:hAnsiTheme="minorAscii" w:eastAsiaTheme="minorAscii" w:cstheme="minorAscii"/>
          <w:b w:val="0"/>
          <w:bCs w:val="0"/>
          <w:sz w:val="24"/>
          <w:szCs w:val="24"/>
        </w:rPr>
        <w:t>a Crockfords Club) 2017).</w:t>
      </w:r>
    </w:p>
    <w:p w:rsidR="3B385D4E" w:rsidP="3B385D4E" w:rsidRDefault="3B385D4E" w14:paraId="126B8B3E" w14:textId="746E530E">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3B385D4E" w:rsidR="3B385D4E">
        <w:rPr>
          <w:rFonts w:ascii="Calibri" w:hAnsi="Calibri" w:eastAsia="Calibri" w:cs="Calibri" w:asciiTheme="minorAscii" w:hAnsiTheme="minorAscii" w:eastAsiaTheme="minorAscii" w:cstheme="minorAscii"/>
          <w:b w:val="0"/>
          <w:bCs w:val="0"/>
          <w:sz w:val="24"/>
          <w:szCs w:val="24"/>
        </w:rPr>
        <w:t xml:space="preserve">This means that during the determination of cases that involve dishonesty, it is crucial to get an understanding of the defendant's state of knowledge in relation to the facts. They </w:t>
      </w:r>
      <w:r w:rsidRPr="3B385D4E" w:rsidR="3B385D4E">
        <w:rPr>
          <w:rFonts w:ascii="Calibri" w:hAnsi="Calibri" w:eastAsia="Calibri" w:cs="Calibri" w:asciiTheme="minorAscii" w:hAnsiTheme="minorAscii" w:eastAsiaTheme="minorAscii" w:cstheme="minorAscii"/>
          <w:b w:val="0"/>
          <w:bCs w:val="0"/>
          <w:sz w:val="24"/>
          <w:szCs w:val="24"/>
        </w:rPr>
        <w:t>must</w:t>
      </w:r>
      <w:r w:rsidRPr="3B385D4E" w:rsidR="3B385D4E">
        <w:rPr>
          <w:rFonts w:ascii="Calibri" w:hAnsi="Calibri" w:eastAsia="Calibri" w:cs="Calibri" w:asciiTheme="minorAscii" w:hAnsiTheme="minorAscii" w:eastAsiaTheme="minorAscii" w:cstheme="minorAscii"/>
          <w:b w:val="0"/>
          <w:bCs w:val="0"/>
          <w:sz w:val="24"/>
          <w:szCs w:val="24"/>
        </w:rPr>
        <w:t xml:space="preserve"> be aware of the actual truth and that they willfully convey the </w:t>
      </w:r>
      <w:r w:rsidRPr="3B385D4E" w:rsidR="3B385D4E">
        <w:rPr>
          <w:rFonts w:ascii="Calibri" w:hAnsi="Calibri" w:eastAsia="Calibri" w:cs="Calibri" w:asciiTheme="minorAscii" w:hAnsiTheme="minorAscii" w:eastAsiaTheme="minorAscii" w:cstheme="minorAscii"/>
          <w:b w:val="0"/>
          <w:bCs w:val="0"/>
          <w:sz w:val="24"/>
          <w:szCs w:val="24"/>
        </w:rPr>
        <w:t>wrong information</w:t>
      </w:r>
      <w:r w:rsidRPr="3B385D4E" w:rsidR="3B385D4E">
        <w:rPr>
          <w:rFonts w:ascii="Calibri" w:hAnsi="Calibri" w:eastAsia="Calibri" w:cs="Calibri" w:asciiTheme="minorAscii" w:hAnsiTheme="minorAscii" w:eastAsiaTheme="minorAscii" w:cstheme="minorAscii"/>
          <w:b w:val="0"/>
          <w:bCs w:val="0"/>
          <w:sz w:val="24"/>
          <w:szCs w:val="24"/>
        </w:rPr>
        <w:t xml:space="preserve"> to the other person (Stephan, 2023). These standards are a departure from the case that first </w:t>
      </w:r>
      <w:r w:rsidRPr="3B385D4E" w:rsidR="3B385D4E">
        <w:rPr>
          <w:rFonts w:ascii="Calibri" w:hAnsi="Calibri" w:eastAsia="Calibri" w:cs="Calibri" w:asciiTheme="minorAscii" w:hAnsiTheme="minorAscii" w:eastAsiaTheme="minorAscii" w:cstheme="minorAscii"/>
          <w:b w:val="0"/>
          <w:bCs w:val="0"/>
          <w:sz w:val="24"/>
          <w:szCs w:val="24"/>
        </w:rPr>
        <w:t>established</w:t>
      </w:r>
      <w:r w:rsidRPr="3B385D4E" w:rsidR="3B385D4E">
        <w:rPr>
          <w:rFonts w:ascii="Calibri" w:hAnsi="Calibri" w:eastAsia="Calibri" w:cs="Calibri" w:asciiTheme="minorAscii" w:hAnsiTheme="minorAscii" w:eastAsiaTheme="minorAscii" w:cstheme="minorAscii"/>
          <w:b w:val="0"/>
          <w:bCs w:val="0"/>
          <w:sz w:val="24"/>
          <w:szCs w:val="24"/>
        </w:rPr>
        <w:t xml:space="preserve"> the test for dishonesty. This test was first created in the case of ‘R v Ghosh [1982] EWCA Crim 2,’ which took place in the country’s Supreme Court and </w:t>
      </w:r>
      <w:r w:rsidRPr="3B385D4E" w:rsidR="3B385D4E">
        <w:rPr>
          <w:rFonts w:ascii="Calibri" w:hAnsi="Calibri" w:eastAsia="Calibri" w:cs="Calibri" w:asciiTheme="minorAscii" w:hAnsiTheme="minorAscii" w:eastAsiaTheme="minorAscii" w:cstheme="minorAscii"/>
          <w:b w:val="0"/>
          <w:bCs w:val="0"/>
          <w:sz w:val="24"/>
          <w:szCs w:val="24"/>
        </w:rPr>
        <w:t>established</w:t>
      </w:r>
      <w:r w:rsidRPr="3B385D4E" w:rsidR="3B385D4E">
        <w:rPr>
          <w:rFonts w:ascii="Calibri" w:hAnsi="Calibri" w:eastAsia="Calibri" w:cs="Calibri" w:asciiTheme="minorAscii" w:hAnsiTheme="minorAscii" w:eastAsiaTheme="minorAscii" w:cstheme="minorAscii"/>
          <w:b w:val="0"/>
          <w:bCs w:val="0"/>
          <w:sz w:val="24"/>
          <w:szCs w:val="24"/>
        </w:rPr>
        <w:t xml:space="preserve"> the test based on the two questions </w:t>
      </w:r>
      <w:r w:rsidRPr="3B385D4E" w:rsidR="3B385D4E">
        <w:rPr>
          <w:rFonts w:ascii="Calibri" w:hAnsi="Calibri" w:eastAsia="Calibri" w:cs="Calibri" w:asciiTheme="minorAscii" w:hAnsiTheme="minorAscii" w:eastAsiaTheme="minorAscii" w:cstheme="minorAscii"/>
          <w:b w:val="0"/>
          <w:bCs w:val="0"/>
          <w:sz w:val="24"/>
          <w:szCs w:val="24"/>
        </w:rPr>
        <w:t>stated</w:t>
      </w:r>
      <w:r w:rsidRPr="3B385D4E" w:rsidR="3B385D4E">
        <w:rPr>
          <w:rFonts w:ascii="Calibri" w:hAnsi="Calibri" w:eastAsia="Calibri" w:cs="Calibri" w:asciiTheme="minorAscii" w:hAnsiTheme="minorAscii" w:eastAsiaTheme="minorAscii" w:cstheme="minorAscii"/>
          <w:b w:val="0"/>
          <w:bCs w:val="0"/>
          <w:sz w:val="24"/>
          <w:szCs w:val="24"/>
        </w:rPr>
        <w:t xml:space="preserve"> below:</w:t>
      </w:r>
    </w:p>
    <w:p w:rsidR="3B385D4E" w:rsidP="3B385D4E" w:rsidRDefault="3B385D4E" w14:paraId="1835FEB0" w14:textId="7EC9ECD2">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3B385D4E" w:rsidR="3B385D4E">
        <w:rPr>
          <w:rFonts w:ascii="Calibri" w:hAnsi="Calibri" w:eastAsia="Calibri" w:cs="Calibri" w:asciiTheme="minorAscii" w:hAnsiTheme="minorAscii" w:eastAsiaTheme="minorAscii" w:cstheme="minorAscii"/>
          <w:b w:val="0"/>
          <w:bCs w:val="0"/>
          <w:sz w:val="24"/>
          <w:szCs w:val="24"/>
        </w:rPr>
        <w:t>‘Was the defendant’s conduct dishonest by standards of reasonable/honest people?’</w:t>
      </w:r>
    </w:p>
    <w:p w:rsidR="3B385D4E" w:rsidP="3B385D4E" w:rsidRDefault="3B385D4E" w14:paraId="33D67892" w14:textId="37116024">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3B385D4E" w:rsidR="3B385D4E">
        <w:rPr>
          <w:rFonts w:ascii="Calibri" w:hAnsi="Calibri" w:eastAsia="Calibri" w:cs="Calibri" w:asciiTheme="minorAscii" w:hAnsiTheme="minorAscii" w:eastAsiaTheme="minorAscii" w:cstheme="minorAscii"/>
          <w:b w:val="0"/>
          <w:bCs w:val="0"/>
          <w:sz w:val="24"/>
          <w:szCs w:val="24"/>
        </w:rPr>
        <w:t xml:space="preserve">‘If so, did the defendant </w:t>
      </w:r>
      <w:r w:rsidRPr="3B385D4E" w:rsidR="3B385D4E">
        <w:rPr>
          <w:rFonts w:ascii="Calibri" w:hAnsi="Calibri" w:eastAsia="Calibri" w:cs="Calibri" w:asciiTheme="minorAscii" w:hAnsiTheme="minorAscii" w:eastAsiaTheme="minorAscii" w:cstheme="minorAscii"/>
          <w:b w:val="0"/>
          <w:bCs w:val="0"/>
          <w:sz w:val="24"/>
          <w:szCs w:val="24"/>
        </w:rPr>
        <w:t>realize</w:t>
      </w:r>
      <w:r w:rsidRPr="3B385D4E" w:rsidR="3B385D4E">
        <w:rPr>
          <w:rFonts w:ascii="Calibri" w:hAnsi="Calibri" w:eastAsia="Calibri" w:cs="Calibri" w:asciiTheme="minorAscii" w:hAnsiTheme="minorAscii" w:eastAsiaTheme="minorAscii" w:cstheme="minorAscii"/>
          <w:b w:val="0"/>
          <w:bCs w:val="0"/>
          <w:sz w:val="24"/>
          <w:szCs w:val="24"/>
        </w:rPr>
        <w:t xml:space="preserve"> that their conduct was dishonest by those standards?’ (Leggett, 2019).</w:t>
      </w:r>
    </w:p>
    <w:p w:rsidR="3B385D4E" w:rsidP="3B385D4E" w:rsidRDefault="3B385D4E" w14:paraId="76C01DD2" w14:textId="352779D8">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3B385D4E" w:rsidR="3B385D4E">
        <w:rPr>
          <w:rFonts w:ascii="Calibri" w:hAnsi="Calibri" w:eastAsia="Calibri" w:cs="Calibri" w:asciiTheme="minorAscii" w:hAnsiTheme="minorAscii" w:eastAsiaTheme="minorAscii" w:cstheme="minorAscii"/>
          <w:b w:val="0"/>
          <w:bCs w:val="0"/>
          <w:sz w:val="24"/>
          <w:szCs w:val="24"/>
        </w:rPr>
        <w:t xml:space="preserve">Under the Ghosh test, dishonesty was measured by examining the person's actions and </w:t>
      </w:r>
      <w:r w:rsidRPr="3B385D4E" w:rsidR="3B385D4E">
        <w:rPr>
          <w:rFonts w:ascii="Calibri" w:hAnsi="Calibri" w:eastAsia="Calibri" w:cs="Calibri" w:asciiTheme="minorAscii" w:hAnsiTheme="minorAscii" w:eastAsiaTheme="minorAscii" w:cstheme="minorAscii"/>
          <w:b w:val="0"/>
          <w:bCs w:val="0"/>
          <w:sz w:val="24"/>
          <w:szCs w:val="24"/>
        </w:rPr>
        <w:t>determining</w:t>
      </w:r>
      <w:r w:rsidRPr="3B385D4E" w:rsidR="3B385D4E">
        <w:rPr>
          <w:rFonts w:ascii="Calibri" w:hAnsi="Calibri" w:eastAsia="Calibri" w:cs="Calibri" w:asciiTheme="minorAscii" w:hAnsiTheme="minorAscii" w:eastAsiaTheme="minorAscii" w:cstheme="minorAscii"/>
          <w:b w:val="0"/>
          <w:bCs w:val="0"/>
          <w:sz w:val="24"/>
          <w:szCs w:val="24"/>
        </w:rPr>
        <w:t xml:space="preserve"> whether they were dishonest by the standards of reasonable people. The court also considered whether the defendant </w:t>
      </w:r>
      <w:r w:rsidRPr="3B385D4E" w:rsidR="3B385D4E">
        <w:rPr>
          <w:rFonts w:ascii="Calibri" w:hAnsi="Calibri" w:eastAsia="Calibri" w:cs="Calibri" w:asciiTheme="minorAscii" w:hAnsiTheme="minorAscii" w:eastAsiaTheme="minorAscii" w:cstheme="minorAscii"/>
          <w:b w:val="0"/>
          <w:bCs w:val="0"/>
          <w:sz w:val="24"/>
          <w:szCs w:val="24"/>
        </w:rPr>
        <w:t>realized</w:t>
      </w:r>
      <w:r w:rsidRPr="3B385D4E" w:rsidR="3B385D4E">
        <w:rPr>
          <w:rFonts w:ascii="Calibri" w:hAnsi="Calibri" w:eastAsia="Calibri" w:cs="Calibri" w:asciiTheme="minorAscii" w:hAnsiTheme="minorAscii" w:eastAsiaTheme="minorAscii" w:cstheme="minorAscii"/>
          <w:b w:val="0"/>
          <w:bCs w:val="0"/>
          <w:sz w:val="24"/>
          <w:szCs w:val="24"/>
        </w:rPr>
        <w:t xml:space="preserve"> that their conduct was dishonest based on the standards of ordinary people (Jiang, 2020). However, the common factor in both tests is that dishonesty </w:t>
      </w:r>
      <w:r w:rsidRPr="3B385D4E" w:rsidR="3B385D4E">
        <w:rPr>
          <w:rFonts w:ascii="Calibri" w:hAnsi="Calibri" w:eastAsia="Calibri" w:cs="Calibri" w:asciiTheme="minorAscii" w:hAnsiTheme="minorAscii" w:eastAsiaTheme="minorAscii" w:cstheme="minorAscii"/>
          <w:b w:val="0"/>
          <w:bCs w:val="0"/>
          <w:sz w:val="24"/>
          <w:szCs w:val="24"/>
        </w:rPr>
        <w:t>remains</w:t>
      </w:r>
      <w:r w:rsidRPr="3B385D4E" w:rsidR="3B385D4E">
        <w:rPr>
          <w:rFonts w:ascii="Calibri" w:hAnsi="Calibri" w:eastAsia="Calibri" w:cs="Calibri" w:asciiTheme="minorAscii" w:hAnsiTheme="minorAscii" w:eastAsiaTheme="minorAscii" w:cstheme="minorAscii"/>
          <w:b w:val="0"/>
          <w:bCs w:val="0"/>
          <w:sz w:val="24"/>
          <w:szCs w:val="24"/>
        </w:rPr>
        <w:t xml:space="preserve"> a test of the defendant's mind based on the knowledge and truth that is held to the standards of ordinary and decent people.</w:t>
      </w:r>
    </w:p>
    <w:p w:rsidR="3B385D4E" w:rsidP="3B385D4E" w:rsidRDefault="3B385D4E" w14:paraId="7B079548" w14:textId="74F6114C">
      <w:pPr>
        <w:pStyle w:val="Header"/>
        <w:spacing w:line="480" w:lineRule="auto"/>
        <w:ind w:firstLine="720"/>
        <w:contextualSpacing/>
        <w:jc w:val="left"/>
        <w:rPr>
          <w:rFonts w:ascii="Calibri" w:hAnsi="Calibri" w:eastAsia="Calibri" w:cs="Calibri" w:asciiTheme="minorAscii" w:hAnsiTheme="minorAscii" w:eastAsiaTheme="minorAscii" w:cstheme="minorAscii"/>
          <w:b w:val="1"/>
          <w:bCs w:val="1"/>
          <w:sz w:val="24"/>
          <w:szCs w:val="24"/>
        </w:rPr>
      </w:pPr>
    </w:p>
    <w:p w:rsidR="14F27F53" w:rsidP="14F27F53" w:rsidRDefault="14F27F53" w14:paraId="6D7FFF9C" w14:textId="50A41818">
      <w:pPr>
        <w:pStyle w:val="Header"/>
        <w:spacing w:line="480" w:lineRule="auto"/>
        <w:contextualSpacing/>
        <w:jc w:val="left"/>
        <w:rPr>
          <w:rFonts w:ascii="Calibri" w:hAnsi="Calibri" w:eastAsia="Calibri" w:cs="Calibri" w:asciiTheme="minorAscii" w:hAnsiTheme="minorAscii" w:eastAsiaTheme="minorAscii" w:cstheme="minorAscii"/>
          <w:b w:val="1"/>
          <w:bCs w:val="1"/>
          <w:sz w:val="24"/>
          <w:szCs w:val="24"/>
        </w:rPr>
      </w:pPr>
    </w:p>
    <w:p w:rsidR="14F27F53" w:rsidP="14F27F53" w:rsidRDefault="14F27F53" w14:paraId="0974DAA8" w14:textId="1E347C58">
      <w:pPr>
        <w:pStyle w:val="Header"/>
        <w:spacing w:line="480" w:lineRule="auto"/>
        <w:ind w:firstLine="720"/>
        <w:contextualSpacing/>
        <w:jc w:val="left"/>
        <w:rPr>
          <w:rFonts w:ascii="Calibri" w:hAnsi="Calibri" w:eastAsia="Calibri" w:cs="Calibri" w:asciiTheme="minorAscii" w:hAnsiTheme="minorAscii" w:eastAsiaTheme="minorAscii" w:cstheme="minorAscii"/>
          <w:b w:val="1"/>
          <w:bCs w:val="1"/>
          <w:sz w:val="24"/>
          <w:szCs w:val="24"/>
        </w:rPr>
      </w:pPr>
    </w:p>
    <w:p w:rsidR="14F27F53" w:rsidP="14F27F53" w:rsidRDefault="14F27F53" w14:paraId="31F8158E" w14:textId="13D7CF9E">
      <w:pPr>
        <w:pStyle w:val="Header"/>
        <w:spacing w:line="480" w:lineRule="auto"/>
        <w:ind w:firstLine="720"/>
        <w:contextualSpacing/>
        <w:jc w:val="left"/>
        <w:rPr>
          <w:rFonts w:ascii="Calibri" w:hAnsi="Calibri" w:eastAsia="Calibri" w:cs="Calibri" w:asciiTheme="minorAscii" w:hAnsiTheme="minorAscii" w:eastAsiaTheme="minorAscii" w:cstheme="minorAscii"/>
          <w:b w:val="1"/>
          <w:bCs w:val="1"/>
          <w:sz w:val="24"/>
          <w:szCs w:val="24"/>
        </w:rPr>
      </w:pPr>
    </w:p>
    <w:p w:rsidR="3B385D4E" w:rsidP="3B385D4E" w:rsidRDefault="3B385D4E" w14:paraId="04C7244D" w14:textId="60E07960">
      <w:pPr>
        <w:pStyle w:val="Header"/>
        <w:spacing w:line="480" w:lineRule="auto"/>
        <w:ind w:firstLine="720"/>
        <w:contextualSpacing/>
        <w:jc w:val="left"/>
        <w:rPr>
          <w:rFonts w:ascii="Calibri" w:hAnsi="Calibri" w:eastAsia="Calibri" w:cs="Calibri" w:asciiTheme="minorAscii" w:hAnsiTheme="minorAscii" w:eastAsiaTheme="minorAscii" w:cstheme="minorAscii"/>
          <w:b w:val="1"/>
          <w:bCs w:val="1"/>
          <w:sz w:val="24"/>
          <w:szCs w:val="24"/>
        </w:rPr>
      </w:pPr>
      <w:r w:rsidRPr="3B385D4E" w:rsidR="3B385D4E">
        <w:rPr>
          <w:rFonts w:ascii="Calibri" w:hAnsi="Calibri" w:eastAsia="Calibri" w:cs="Calibri" w:asciiTheme="minorAscii" w:hAnsiTheme="minorAscii" w:eastAsiaTheme="minorAscii" w:cstheme="minorAscii"/>
          <w:b w:val="1"/>
          <w:bCs w:val="1"/>
          <w:sz w:val="24"/>
          <w:szCs w:val="24"/>
        </w:rPr>
        <w:t>The Concept of Dishonesty and its Role in Offences of Theft</w:t>
      </w:r>
    </w:p>
    <w:p w:rsidR="581AC2FF" w:rsidP="3B385D4E" w:rsidRDefault="581AC2FF" w14:paraId="037B9F98" w14:textId="6DA0E149">
      <w:pPr>
        <w:pStyle w:val="Header"/>
        <w:spacing w:line="480" w:lineRule="auto"/>
        <w:ind w:firstLine="720"/>
        <w:contextualSpacing/>
        <w:jc w:val="both"/>
        <w:rPr>
          <w:rFonts w:ascii="Calibri" w:hAnsi="Calibri" w:eastAsia="Calibri" w:cs="Calibri" w:asciiTheme="minorAscii" w:hAnsiTheme="minorAscii" w:eastAsiaTheme="minorAscii" w:cstheme="minorAscii"/>
          <w:b w:val="0"/>
          <w:bCs w:val="0"/>
          <w:sz w:val="24"/>
          <w:szCs w:val="24"/>
        </w:rPr>
      </w:pPr>
      <w:r w:rsidRPr="3B385D4E" w:rsidR="3B385D4E">
        <w:rPr>
          <w:rFonts w:ascii="Calibri" w:hAnsi="Calibri" w:eastAsia="Calibri" w:cs="Calibri" w:asciiTheme="minorAscii" w:hAnsiTheme="minorAscii" w:eastAsiaTheme="minorAscii" w:cstheme="minorAscii"/>
          <w:b w:val="0"/>
          <w:bCs w:val="0"/>
          <w:sz w:val="24"/>
          <w:szCs w:val="24"/>
        </w:rPr>
        <w:t xml:space="preserve">In theft offences, dishonesty is assessed using subjective and objective tests. The objective test involves </w:t>
      </w:r>
      <w:r w:rsidRPr="3B385D4E" w:rsidR="3B385D4E">
        <w:rPr>
          <w:rFonts w:ascii="Calibri" w:hAnsi="Calibri" w:eastAsia="Calibri" w:cs="Calibri" w:asciiTheme="minorAscii" w:hAnsiTheme="minorAscii" w:eastAsiaTheme="minorAscii" w:cstheme="minorAscii"/>
          <w:b w:val="0"/>
          <w:bCs w:val="0"/>
          <w:sz w:val="24"/>
          <w:szCs w:val="24"/>
        </w:rPr>
        <w:t>identifying</w:t>
      </w:r>
      <w:r w:rsidRPr="3B385D4E" w:rsidR="3B385D4E">
        <w:rPr>
          <w:rFonts w:ascii="Calibri" w:hAnsi="Calibri" w:eastAsia="Calibri" w:cs="Calibri" w:asciiTheme="minorAscii" w:hAnsiTheme="minorAscii" w:eastAsiaTheme="minorAscii" w:cstheme="minorAscii"/>
          <w:b w:val="0"/>
          <w:bCs w:val="0"/>
          <w:sz w:val="24"/>
          <w:szCs w:val="24"/>
        </w:rPr>
        <w:t xml:space="preserve"> whether an ordinary person would view the actions of the defendant as being dishonest based on the prevailing circumstances (Wang, 2021). This means the judge would consider the societal norms and standards of behavior to </w:t>
      </w:r>
      <w:r w:rsidRPr="3B385D4E" w:rsidR="3B385D4E">
        <w:rPr>
          <w:rFonts w:ascii="Calibri" w:hAnsi="Calibri" w:eastAsia="Calibri" w:cs="Calibri" w:asciiTheme="minorAscii" w:hAnsiTheme="minorAscii" w:eastAsiaTheme="minorAscii" w:cstheme="minorAscii"/>
          <w:b w:val="0"/>
          <w:bCs w:val="0"/>
          <w:sz w:val="24"/>
          <w:szCs w:val="24"/>
        </w:rPr>
        <w:t>determine</w:t>
      </w:r>
      <w:r w:rsidRPr="3B385D4E" w:rsidR="3B385D4E">
        <w:rPr>
          <w:rFonts w:ascii="Calibri" w:hAnsi="Calibri" w:eastAsia="Calibri" w:cs="Calibri" w:asciiTheme="minorAscii" w:hAnsiTheme="minorAscii" w:eastAsiaTheme="minorAscii" w:cstheme="minorAscii"/>
          <w:b w:val="0"/>
          <w:bCs w:val="0"/>
          <w:sz w:val="24"/>
          <w:szCs w:val="24"/>
        </w:rPr>
        <w:t xml:space="preserve"> whether the actions of the individual violate what everyone else considers amounting to honest actions. In a situation where one individual takes a vehicle belonging to another person without their express or implied permission, such an act would be considered dishonesty </w:t>
      </w:r>
      <w:r w:rsidRPr="3B385D4E" w:rsidR="3B385D4E">
        <w:rPr>
          <w:rFonts w:ascii="Calibri" w:hAnsi="Calibri" w:eastAsia="Calibri" w:cs="Calibri" w:asciiTheme="minorAscii" w:hAnsiTheme="minorAscii" w:eastAsiaTheme="minorAscii" w:cstheme="minorAscii"/>
          <w:b w:val="0"/>
          <w:bCs w:val="0"/>
          <w:sz w:val="24"/>
          <w:szCs w:val="24"/>
        </w:rPr>
        <w:t>and</w:t>
      </w:r>
      <w:r w:rsidRPr="3B385D4E" w:rsidR="3B385D4E">
        <w:rPr>
          <w:rFonts w:ascii="Calibri" w:hAnsi="Calibri" w:eastAsia="Calibri" w:cs="Calibri" w:asciiTheme="minorAscii" w:hAnsiTheme="minorAscii" w:eastAsiaTheme="minorAscii" w:cstheme="minorAscii"/>
          <w:b w:val="0"/>
          <w:bCs w:val="0"/>
          <w:sz w:val="24"/>
          <w:szCs w:val="24"/>
        </w:rPr>
        <w:t xml:space="preserve"> amount to theft. The concept of dishonesty is defined by the subjective test, which examines the state of mind of the defendant. It evaluates whether the defendant knew that their actions would be considered dishonest by the standards of the ordinary person (Wang, 2021). The subjective test evaluates the level of knowledge of the defendant, their state of mind, and their intentions during the time they were committing the offence to </w:t>
      </w:r>
      <w:r w:rsidRPr="3B385D4E" w:rsidR="3B385D4E">
        <w:rPr>
          <w:rFonts w:ascii="Calibri" w:hAnsi="Calibri" w:eastAsia="Calibri" w:cs="Calibri" w:asciiTheme="minorAscii" w:hAnsiTheme="minorAscii" w:eastAsiaTheme="minorAscii" w:cstheme="minorAscii"/>
          <w:b w:val="0"/>
          <w:bCs w:val="0"/>
          <w:sz w:val="24"/>
          <w:szCs w:val="24"/>
        </w:rPr>
        <w:t>determine</w:t>
      </w:r>
      <w:r w:rsidRPr="3B385D4E" w:rsidR="3B385D4E">
        <w:rPr>
          <w:rFonts w:ascii="Calibri" w:hAnsi="Calibri" w:eastAsia="Calibri" w:cs="Calibri" w:asciiTheme="minorAscii" w:hAnsiTheme="minorAscii" w:eastAsiaTheme="minorAscii" w:cstheme="minorAscii"/>
          <w:b w:val="0"/>
          <w:bCs w:val="0"/>
          <w:sz w:val="24"/>
          <w:szCs w:val="24"/>
        </w:rPr>
        <w:t xml:space="preserve"> whether they were aware they were being dishonest. </w:t>
      </w:r>
    </w:p>
    <w:p w:rsidR="581AC2FF" w:rsidP="3B385D4E" w:rsidRDefault="581AC2FF" w14:paraId="34F6BCE2" w14:textId="784335B1">
      <w:pPr>
        <w:pStyle w:val="Header"/>
        <w:spacing w:line="480" w:lineRule="auto"/>
        <w:ind w:firstLine="720"/>
        <w:contextualSpacing/>
        <w:jc w:val="both"/>
        <w:rPr>
          <w:rFonts w:ascii="Calibri" w:hAnsi="Calibri" w:eastAsia="Calibri" w:cs="Calibri" w:asciiTheme="minorAscii" w:hAnsiTheme="minorAscii" w:eastAsiaTheme="minorAscii" w:cstheme="minorAscii"/>
          <w:b w:val="0"/>
          <w:bCs w:val="0"/>
          <w:sz w:val="24"/>
          <w:szCs w:val="24"/>
        </w:rPr>
      </w:pPr>
      <w:r w:rsidRPr="3B385D4E" w:rsidR="3B385D4E">
        <w:rPr>
          <w:rFonts w:ascii="Calibri" w:hAnsi="Calibri" w:eastAsia="Calibri" w:cs="Calibri" w:asciiTheme="minorAscii" w:hAnsiTheme="minorAscii" w:eastAsiaTheme="minorAscii" w:cstheme="minorAscii"/>
          <w:b w:val="0"/>
          <w:bCs w:val="0"/>
          <w:sz w:val="24"/>
          <w:szCs w:val="24"/>
        </w:rPr>
        <w:t xml:space="preserve">One of the impacts of the concept of dishonesty and the Ivey test is that it makes it easier to prove offences of theft. The Tom Hayes case is a perfect example of how the concept of dishonesty plays into cases related to theft (Gemmell, 2024). Tom Hayes was a former trader for the companies UBS and Citigroup and was convicted for conspiring to defraud clients by manipulating the London Interbank Offered Rate, forming a significant part of the Libor scandal (Gemmell, 2024). During his </w:t>
      </w:r>
      <w:r w:rsidRPr="3B385D4E" w:rsidR="3B385D4E">
        <w:rPr>
          <w:rFonts w:ascii="Calibri" w:hAnsi="Calibri" w:eastAsia="Calibri" w:cs="Calibri" w:asciiTheme="minorAscii" w:hAnsiTheme="minorAscii" w:eastAsiaTheme="minorAscii" w:cstheme="minorAscii"/>
          <w:b w:val="0"/>
          <w:bCs w:val="0"/>
          <w:sz w:val="24"/>
          <w:szCs w:val="24"/>
        </w:rPr>
        <w:t>defense</w:t>
      </w:r>
      <w:r w:rsidRPr="3B385D4E" w:rsidR="3B385D4E">
        <w:rPr>
          <w:rFonts w:ascii="Calibri" w:hAnsi="Calibri" w:eastAsia="Calibri" w:cs="Calibri" w:asciiTheme="minorAscii" w:hAnsiTheme="minorAscii" w:eastAsiaTheme="minorAscii" w:cstheme="minorAscii"/>
          <w:b w:val="0"/>
          <w:bCs w:val="0"/>
          <w:sz w:val="24"/>
          <w:szCs w:val="24"/>
        </w:rPr>
        <w:t xml:space="preserve"> against the accusations levelled against him, he </w:t>
      </w:r>
      <w:r w:rsidRPr="3B385D4E" w:rsidR="3B385D4E">
        <w:rPr>
          <w:rFonts w:ascii="Calibri" w:hAnsi="Calibri" w:eastAsia="Calibri" w:cs="Calibri" w:asciiTheme="minorAscii" w:hAnsiTheme="minorAscii" w:eastAsiaTheme="minorAscii" w:cstheme="minorAscii"/>
          <w:b w:val="0"/>
          <w:bCs w:val="0"/>
          <w:sz w:val="24"/>
          <w:szCs w:val="24"/>
        </w:rPr>
        <w:t>stated</w:t>
      </w:r>
      <w:r w:rsidRPr="3B385D4E" w:rsidR="3B385D4E">
        <w:rPr>
          <w:rFonts w:ascii="Calibri" w:hAnsi="Calibri" w:eastAsia="Calibri" w:cs="Calibri" w:asciiTheme="minorAscii" w:hAnsiTheme="minorAscii" w:eastAsiaTheme="minorAscii" w:cstheme="minorAscii"/>
          <w:b w:val="0"/>
          <w:bCs w:val="0"/>
          <w:sz w:val="24"/>
          <w:szCs w:val="24"/>
        </w:rPr>
        <w:t xml:space="preserve"> that the managers were aware of his actions and supported their implementation. </w:t>
      </w:r>
    </w:p>
    <w:p w:rsidR="581AC2FF" w:rsidP="3B385D4E" w:rsidRDefault="581AC2FF" w14:paraId="44227EF8" w14:textId="0AC3B580">
      <w:pPr>
        <w:pStyle w:val="Header"/>
        <w:spacing w:line="480" w:lineRule="auto"/>
        <w:ind w:firstLine="720"/>
        <w:contextualSpacing/>
        <w:jc w:val="both"/>
        <w:rPr>
          <w:rFonts w:ascii="Calibri" w:hAnsi="Calibri" w:eastAsia="Calibri" w:cs="Calibri" w:asciiTheme="minorAscii" w:hAnsiTheme="minorAscii" w:eastAsiaTheme="minorAscii" w:cstheme="minorAscii"/>
          <w:b w:val="0"/>
          <w:bCs w:val="0"/>
          <w:sz w:val="24"/>
          <w:szCs w:val="24"/>
        </w:rPr>
      </w:pPr>
      <w:r w:rsidRPr="3B385D4E" w:rsidR="3B385D4E">
        <w:rPr>
          <w:rFonts w:ascii="Calibri" w:hAnsi="Calibri" w:eastAsia="Calibri" w:cs="Calibri" w:asciiTheme="minorAscii" w:hAnsiTheme="minorAscii" w:eastAsiaTheme="minorAscii" w:cstheme="minorAscii"/>
          <w:b w:val="0"/>
          <w:bCs w:val="0"/>
          <w:sz w:val="24"/>
          <w:szCs w:val="24"/>
        </w:rPr>
        <w:t xml:space="preserve">Cooke J, in his direction to the jury, followed the 'Ghosh' test by </w:t>
      </w:r>
      <w:r w:rsidRPr="3B385D4E" w:rsidR="3B385D4E">
        <w:rPr>
          <w:rFonts w:ascii="Calibri" w:hAnsi="Calibri" w:eastAsia="Calibri" w:cs="Calibri" w:asciiTheme="minorAscii" w:hAnsiTheme="minorAscii" w:eastAsiaTheme="minorAscii" w:cstheme="minorAscii"/>
          <w:b w:val="0"/>
          <w:bCs w:val="0"/>
          <w:sz w:val="24"/>
          <w:szCs w:val="24"/>
        </w:rPr>
        <w:t>stating</w:t>
      </w:r>
      <w:r w:rsidRPr="3B385D4E" w:rsidR="3B385D4E">
        <w:rPr>
          <w:rFonts w:ascii="Calibri" w:hAnsi="Calibri" w:eastAsia="Calibri" w:cs="Calibri" w:asciiTheme="minorAscii" w:hAnsiTheme="minorAscii" w:eastAsiaTheme="minorAscii" w:cstheme="minorAscii"/>
          <w:b w:val="0"/>
          <w:bCs w:val="0"/>
          <w:sz w:val="24"/>
          <w:szCs w:val="24"/>
        </w:rPr>
        <w:t xml:space="preserve"> that dishonesty was the central element in the case as the counsels focused on it during their closing speeches during the trial (Macey-Dare, 2024). He ordered the jury to ask themselves two questions to ensure that they were aware Mr. Hayes was guilty and acting dishonestly. First, the jury had to assess whether the actions of Mr. Hayes were dishonest based on the standards of the ordinary person (Macey-Dare, 2024). They were not to base it off the everyday industry practices, not the standards held by </w:t>
      </w:r>
      <w:r w:rsidRPr="3B385D4E" w:rsidR="3B385D4E">
        <w:rPr>
          <w:rFonts w:ascii="Calibri" w:hAnsi="Calibri" w:eastAsia="Calibri" w:cs="Calibri" w:asciiTheme="minorAscii" w:hAnsiTheme="minorAscii" w:eastAsiaTheme="minorAscii" w:cstheme="minorAscii"/>
          <w:b w:val="0"/>
          <w:bCs w:val="0"/>
          <w:sz w:val="24"/>
          <w:szCs w:val="24"/>
        </w:rPr>
        <w:t>their</w:t>
      </w:r>
      <w:r w:rsidRPr="3B385D4E" w:rsidR="3B385D4E">
        <w:rPr>
          <w:rFonts w:ascii="Calibri" w:hAnsi="Calibri" w:eastAsia="Calibri" w:cs="Calibri" w:asciiTheme="minorAscii" w:hAnsiTheme="minorAscii" w:eastAsiaTheme="minorAscii" w:cstheme="minorAscii"/>
          <w:b w:val="0"/>
          <w:bCs w:val="0"/>
          <w:sz w:val="24"/>
          <w:szCs w:val="24"/>
        </w:rPr>
        <w:t xml:space="preserve"> employers, or the brokers and the bankers that exist in the market. </w:t>
      </w:r>
    </w:p>
    <w:p w:rsidR="581AC2FF" w:rsidP="3B385D4E" w:rsidRDefault="581AC2FF" w14:paraId="0E91921F" w14:textId="4ACCFB4F">
      <w:pPr>
        <w:pStyle w:val="Header"/>
        <w:spacing w:line="480" w:lineRule="auto"/>
        <w:ind w:firstLine="720"/>
        <w:contextualSpacing/>
        <w:jc w:val="both"/>
        <w:rPr>
          <w:rFonts w:ascii="Calibri" w:hAnsi="Calibri" w:eastAsia="Calibri" w:cs="Calibri" w:asciiTheme="minorAscii" w:hAnsiTheme="minorAscii" w:eastAsiaTheme="minorAscii" w:cstheme="minorAscii"/>
          <w:b w:val="0"/>
          <w:bCs w:val="0"/>
          <w:sz w:val="24"/>
          <w:szCs w:val="24"/>
        </w:rPr>
      </w:pPr>
      <w:r w:rsidRPr="3B385D4E" w:rsidR="3B385D4E">
        <w:rPr>
          <w:rFonts w:ascii="Calibri" w:hAnsi="Calibri" w:eastAsia="Calibri" w:cs="Calibri" w:asciiTheme="minorAscii" w:hAnsiTheme="minorAscii" w:eastAsiaTheme="minorAscii" w:cstheme="minorAscii"/>
          <w:b w:val="0"/>
          <w:bCs w:val="0"/>
          <w:sz w:val="24"/>
          <w:szCs w:val="24"/>
        </w:rPr>
        <w:t xml:space="preserve">Second, they had to </w:t>
      </w:r>
      <w:r w:rsidRPr="3B385D4E" w:rsidR="3B385D4E">
        <w:rPr>
          <w:rFonts w:ascii="Calibri" w:hAnsi="Calibri" w:eastAsia="Calibri" w:cs="Calibri" w:asciiTheme="minorAscii" w:hAnsiTheme="minorAscii" w:eastAsiaTheme="minorAscii" w:cstheme="minorAscii"/>
          <w:b w:val="0"/>
          <w:bCs w:val="0"/>
          <w:sz w:val="24"/>
          <w:szCs w:val="24"/>
        </w:rPr>
        <w:t>determine</w:t>
      </w:r>
      <w:r w:rsidRPr="3B385D4E" w:rsidR="3B385D4E">
        <w:rPr>
          <w:rFonts w:ascii="Calibri" w:hAnsi="Calibri" w:eastAsia="Calibri" w:cs="Calibri" w:asciiTheme="minorAscii" w:hAnsiTheme="minorAscii" w:eastAsiaTheme="minorAscii" w:cstheme="minorAscii"/>
          <w:b w:val="0"/>
          <w:bCs w:val="0"/>
          <w:sz w:val="24"/>
          <w:szCs w:val="24"/>
        </w:rPr>
        <w:t xml:space="preserve"> whether Mr. Hayes realized that whatever he was doing was dishonest based on those standards. The agreement that the jury </w:t>
      </w:r>
      <w:r w:rsidRPr="3B385D4E" w:rsidR="3B385D4E">
        <w:rPr>
          <w:rFonts w:ascii="Calibri" w:hAnsi="Calibri" w:eastAsia="Calibri" w:cs="Calibri" w:asciiTheme="minorAscii" w:hAnsiTheme="minorAscii" w:eastAsiaTheme="minorAscii" w:cstheme="minorAscii"/>
          <w:b w:val="0"/>
          <w:bCs w:val="0"/>
          <w:sz w:val="24"/>
          <w:szCs w:val="24"/>
        </w:rPr>
        <w:t>came up with</w:t>
      </w:r>
      <w:r w:rsidRPr="3B385D4E" w:rsidR="3B385D4E">
        <w:rPr>
          <w:rFonts w:ascii="Calibri" w:hAnsi="Calibri" w:eastAsia="Calibri" w:cs="Calibri" w:asciiTheme="minorAscii" w:hAnsiTheme="minorAscii" w:eastAsiaTheme="minorAscii" w:cstheme="minorAscii"/>
          <w:b w:val="0"/>
          <w:bCs w:val="0"/>
          <w:sz w:val="24"/>
          <w:szCs w:val="24"/>
        </w:rPr>
        <w:t xml:space="preserve"> following this statement is that Mr. Hayes acted dishonestly because he knew that an average person would consider his action to be dishonest (Macey-Dare, 2024). The only thing that seems to have motivated his actions is the fact that such a practice was common in the market, following the lack of proper ethics to guide the actions of brokers in the market. Therefore, regardless of whether his mates or employer encouraged him to engage in the act, he was aware that his action was wrong. The jury also had to consider the state of mind of Mr. Hayes during the trial, and if yes was the answer to the questions, then he was guilty of the actions levelled against him (Macey-Dare, 2024). If there </w:t>
      </w:r>
      <w:r w:rsidRPr="3B385D4E" w:rsidR="3B385D4E">
        <w:rPr>
          <w:rFonts w:ascii="Calibri" w:hAnsi="Calibri" w:eastAsia="Calibri" w:cs="Calibri" w:asciiTheme="minorAscii" w:hAnsiTheme="minorAscii" w:eastAsiaTheme="minorAscii" w:cstheme="minorAscii"/>
          <w:b w:val="0"/>
          <w:bCs w:val="0"/>
          <w:sz w:val="24"/>
          <w:szCs w:val="24"/>
        </w:rPr>
        <w:t>had been</w:t>
      </w:r>
      <w:r w:rsidRPr="3B385D4E" w:rsidR="3B385D4E">
        <w:rPr>
          <w:rFonts w:ascii="Calibri" w:hAnsi="Calibri" w:eastAsia="Calibri" w:cs="Calibri" w:asciiTheme="minorAscii" w:hAnsiTheme="minorAscii" w:eastAsiaTheme="minorAscii" w:cstheme="minorAscii"/>
          <w:b w:val="0"/>
          <w:bCs w:val="0"/>
          <w:sz w:val="24"/>
          <w:szCs w:val="24"/>
        </w:rPr>
        <w:t xml:space="preserve"> a </w:t>
      </w:r>
      <w:r w:rsidRPr="3B385D4E" w:rsidR="3B385D4E">
        <w:rPr>
          <w:rFonts w:ascii="Calibri" w:hAnsi="Calibri" w:eastAsia="Calibri" w:cs="Calibri" w:asciiTheme="minorAscii" w:hAnsiTheme="minorAscii" w:eastAsiaTheme="minorAscii" w:cstheme="minorAscii"/>
          <w:b w:val="0"/>
          <w:bCs w:val="0"/>
          <w:sz w:val="24"/>
          <w:szCs w:val="24"/>
        </w:rPr>
        <w:t>no</w:t>
      </w:r>
      <w:r w:rsidRPr="3B385D4E" w:rsidR="3B385D4E">
        <w:rPr>
          <w:rFonts w:ascii="Calibri" w:hAnsi="Calibri" w:eastAsia="Calibri" w:cs="Calibri" w:asciiTheme="minorAscii" w:hAnsiTheme="minorAscii" w:eastAsiaTheme="minorAscii" w:cstheme="minorAscii"/>
          <w:b w:val="0"/>
          <w:bCs w:val="0"/>
          <w:sz w:val="24"/>
          <w:szCs w:val="24"/>
        </w:rPr>
        <w:t xml:space="preserve"> to the questions provided, then he would not have acted dishonestly in manipulating the market rates. </w:t>
      </w:r>
    </w:p>
    <w:p w:rsidR="581AC2FF" w:rsidP="3B385D4E" w:rsidRDefault="581AC2FF" w14:paraId="322B37A1" w14:textId="304B291C">
      <w:pPr>
        <w:pStyle w:val="Header"/>
        <w:spacing w:line="480" w:lineRule="auto"/>
        <w:ind w:firstLine="720"/>
        <w:contextualSpacing/>
        <w:jc w:val="both"/>
        <w:rPr>
          <w:rFonts w:ascii="Calibri" w:hAnsi="Calibri" w:eastAsia="Calibri" w:cs="Calibri" w:asciiTheme="minorAscii" w:hAnsiTheme="minorAscii" w:eastAsiaTheme="minorAscii" w:cstheme="minorAscii"/>
          <w:b w:val="0"/>
          <w:bCs w:val="0"/>
          <w:sz w:val="24"/>
          <w:szCs w:val="24"/>
        </w:rPr>
      </w:pPr>
      <w:r w:rsidRPr="3B385D4E" w:rsidR="3B385D4E">
        <w:rPr>
          <w:rFonts w:ascii="Calibri" w:hAnsi="Calibri" w:eastAsia="Calibri" w:cs="Calibri" w:asciiTheme="minorAscii" w:hAnsiTheme="minorAscii" w:eastAsiaTheme="minorAscii" w:cstheme="minorAscii"/>
          <w:b w:val="0"/>
          <w:bCs w:val="0"/>
          <w:sz w:val="24"/>
          <w:szCs w:val="24"/>
        </w:rPr>
        <w:t xml:space="preserve">In doing so, the court made it clear that the standards of honesty are not </w:t>
      </w:r>
      <w:r w:rsidRPr="3B385D4E" w:rsidR="3B385D4E">
        <w:rPr>
          <w:rFonts w:ascii="Calibri" w:hAnsi="Calibri" w:eastAsia="Calibri" w:cs="Calibri" w:asciiTheme="minorAscii" w:hAnsiTheme="minorAscii" w:eastAsiaTheme="minorAscii" w:cstheme="minorAscii"/>
          <w:b w:val="0"/>
          <w:bCs w:val="0"/>
          <w:sz w:val="24"/>
          <w:szCs w:val="24"/>
        </w:rPr>
        <w:t>established</w:t>
      </w:r>
      <w:r w:rsidRPr="3B385D4E" w:rsidR="3B385D4E">
        <w:rPr>
          <w:rFonts w:ascii="Calibri" w:hAnsi="Calibri" w:eastAsia="Calibri" w:cs="Calibri" w:asciiTheme="minorAscii" w:hAnsiTheme="minorAscii" w:eastAsiaTheme="minorAscii" w:cstheme="minorAscii"/>
          <w:b w:val="0"/>
          <w:bCs w:val="0"/>
          <w:sz w:val="24"/>
          <w:szCs w:val="24"/>
        </w:rPr>
        <w:t xml:space="preserve"> by the markets but by the principles that ordinary people hold </w:t>
      </w:r>
      <w:r w:rsidRPr="3B385D4E" w:rsidR="3B385D4E">
        <w:rPr>
          <w:rFonts w:ascii="Calibri" w:hAnsi="Calibri" w:eastAsia="Calibri" w:cs="Calibri" w:asciiTheme="minorAscii" w:hAnsiTheme="minorAscii" w:eastAsiaTheme="minorAscii" w:cstheme="minorAscii"/>
          <w:b w:val="0"/>
          <w:bCs w:val="0"/>
          <w:sz w:val="24"/>
          <w:szCs w:val="24"/>
        </w:rPr>
        <w:t>regarding</w:t>
      </w:r>
      <w:r w:rsidRPr="3B385D4E" w:rsidR="3B385D4E">
        <w:rPr>
          <w:rFonts w:ascii="Calibri" w:hAnsi="Calibri" w:eastAsia="Calibri" w:cs="Calibri" w:asciiTheme="minorAscii" w:hAnsiTheme="minorAscii" w:eastAsiaTheme="minorAscii" w:cstheme="minorAscii"/>
          <w:b w:val="0"/>
          <w:bCs w:val="0"/>
          <w:sz w:val="24"/>
          <w:szCs w:val="24"/>
        </w:rPr>
        <w:t xml:space="preserve"> such a topic. The court explained that markets adopt standards that are considered 'dishonest' by normal people in actions where it can be taken as the industry abandoning the usual standards of holding people accountable (Macey-Dare, 2024). The courts </w:t>
      </w:r>
      <w:r w:rsidRPr="3B385D4E" w:rsidR="3B385D4E">
        <w:rPr>
          <w:rFonts w:ascii="Calibri" w:hAnsi="Calibri" w:eastAsia="Calibri" w:cs="Calibri" w:asciiTheme="minorAscii" w:hAnsiTheme="minorAscii" w:eastAsiaTheme="minorAscii" w:cstheme="minorAscii"/>
          <w:b w:val="0"/>
          <w:bCs w:val="0"/>
          <w:sz w:val="24"/>
          <w:szCs w:val="24"/>
        </w:rPr>
        <w:t>stated</w:t>
      </w:r>
      <w:r w:rsidRPr="3B385D4E" w:rsidR="3B385D4E">
        <w:rPr>
          <w:rFonts w:ascii="Calibri" w:hAnsi="Calibri" w:eastAsia="Calibri" w:cs="Calibri" w:asciiTheme="minorAscii" w:hAnsiTheme="minorAscii" w:eastAsiaTheme="minorAscii" w:cstheme="minorAscii"/>
          <w:b w:val="0"/>
          <w:bCs w:val="0"/>
          <w:sz w:val="24"/>
          <w:szCs w:val="24"/>
        </w:rPr>
        <w:t xml:space="preserve"> that when markets are left to </w:t>
      </w:r>
      <w:r w:rsidRPr="3B385D4E" w:rsidR="3B385D4E">
        <w:rPr>
          <w:rFonts w:ascii="Calibri" w:hAnsi="Calibri" w:eastAsia="Calibri" w:cs="Calibri" w:asciiTheme="minorAscii" w:hAnsiTheme="minorAscii" w:eastAsiaTheme="minorAscii" w:cstheme="minorAscii"/>
          <w:b w:val="0"/>
          <w:bCs w:val="0"/>
          <w:sz w:val="24"/>
          <w:szCs w:val="24"/>
        </w:rPr>
        <w:t>determine</w:t>
      </w:r>
      <w:r w:rsidRPr="3B385D4E" w:rsidR="3B385D4E">
        <w:rPr>
          <w:rFonts w:ascii="Calibri" w:hAnsi="Calibri" w:eastAsia="Calibri" w:cs="Calibri" w:asciiTheme="minorAscii" w:hAnsiTheme="minorAscii" w:eastAsiaTheme="minorAscii" w:cstheme="minorAscii"/>
          <w:b w:val="0"/>
          <w:bCs w:val="0"/>
          <w:sz w:val="24"/>
          <w:szCs w:val="24"/>
        </w:rPr>
        <w:t xml:space="preserve"> their standards of dishonesty, it is the people who get hurt most of the time. A market will always look to adopt practices that promote its well-being rather than </w:t>
      </w:r>
      <w:r w:rsidRPr="3B385D4E" w:rsidR="3B385D4E">
        <w:rPr>
          <w:rFonts w:ascii="Calibri" w:hAnsi="Calibri" w:eastAsia="Calibri" w:cs="Calibri" w:asciiTheme="minorAscii" w:hAnsiTheme="minorAscii" w:eastAsiaTheme="minorAscii" w:cstheme="minorAscii"/>
          <w:b w:val="0"/>
          <w:bCs w:val="0"/>
          <w:sz w:val="24"/>
          <w:szCs w:val="24"/>
        </w:rPr>
        <w:t>maintaining</w:t>
      </w:r>
      <w:r w:rsidRPr="3B385D4E" w:rsidR="3B385D4E">
        <w:rPr>
          <w:rFonts w:ascii="Calibri" w:hAnsi="Calibri" w:eastAsia="Calibri" w:cs="Calibri" w:asciiTheme="minorAscii" w:hAnsiTheme="minorAscii" w:eastAsiaTheme="minorAscii" w:cstheme="minorAscii"/>
          <w:b w:val="0"/>
          <w:bCs w:val="0"/>
          <w:sz w:val="24"/>
          <w:szCs w:val="24"/>
        </w:rPr>
        <w:t xml:space="preserve"> the standards of integrity and honesty, which are essential to the way businesses are being run. </w:t>
      </w:r>
    </w:p>
    <w:p w:rsidR="581AC2FF" w:rsidP="3B385D4E" w:rsidRDefault="581AC2FF" w14:paraId="334C6B5B" w14:textId="5587114A">
      <w:pPr>
        <w:pStyle w:val="Header"/>
        <w:spacing w:line="480" w:lineRule="auto"/>
        <w:ind w:firstLine="720"/>
        <w:contextualSpacing/>
        <w:jc w:val="both"/>
        <w:rPr>
          <w:rFonts w:ascii="Calibri" w:hAnsi="Calibri" w:eastAsia="Calibri" w:cs="Calibri" w:asciiTheme="minorAscii" w:hAnsiTheme="minorAscii" w:eastAsiaTheme="minorAscii" w:cstheme="minorAscii"/>
          <w:b w:val="0"/>
          <w:bCs w:val="0"/>
          <w:sz w:val="24"/>
          <w:szCs w:val="24"/>
        </w:rPr>
      </w:pPr>
      <w:r w:rsidRPr="3B385D4E" w:rsidR="3B385D4E">
        <w:rPr>
          <w:rFonts w:ascii="Calibri" w:hAnsi="Calibri" w:eastAsia="Calibri" w:cs="Calibri" w:asciiTheme="minorAscii" w:hAnsiTheme="minorAscii" w:eastAsiaTheme="minorAscii" w:cstheme="minorAscii"/>
          <w:b w:val="0"/>
          <w:bCs w:val="0"/>
          <w:sz w:val="24"/>
          <w:szCs w:val="24"/>
        </w:rPr>
        <w:t xml:space="preserve">Deontological ethics emphasizes that the morality of an action is based on whether the action is wrong or right based on the principles that guide human actions. According to this principle, what is good and right should be </w:t>
      </w:r>
      <w:r w:rsidRPr="3B385D4E" w:rsidR="3B385D4E">
        <w:rPr>
          <w:rFonts w:ascii="Calibri" w:hAnsi="Calibri" w:eastAsia="Calibri" w:cs="Calibri" w:asciiTheme="minorAscii" w:hAnsiTheme="minorAscii" w:eastAsiaTheme="minorAscii" w:cstheme="minorAscii"/>
          <w:b w:val="0"/>
          <w:bCs w:val="0"/>
          <w:sz w:val="24"/>
          <w:szCs w:val="24"/>
        </w:rPr>
        <w:t>determined</w:t>
      </w:r>
      <w:r w:rsidRPr="3B385D4E" w:rsidR="3B385D4E">
        <w:rPr>
          <w:rFonts w:ascii="Calibri" w:hAnsi="Calibri" w:eastAsia="Calibri" w:cs="Calibri" w:asciiTheme="minorAscii" w:hAnsiTheme="minorAscii" w:eastAsiaTheme="minorAscii" w:cstheme="minorAscii"/>
          <w:b w:val="0"/>
          <w:bCs w:val="0"/>
          <w:sz w:val="24"/>
          <w:szCs w:val="24"/>
        </w:rPr>
        <w:t xml:space="preserve"> by the principles that human beings hold </w:t>
      </w:r>
      <w:r w:rsidRPr="3B385D4E" w:rsidR="3B385D4E">
        <w:rPr>
          <w:rFonts w:ascii="Calibri" w:hAnsi="Calibri" w:eastAsia="Calibri" w:cs="Calibri" w:asciiTheme="minorAscii" w:hAnsiTheme="minorAscii" w:eastAsiaTheme="minorAscii" w:cstheme="minorAscii"/>
          <w:b w:val="0"/>
          <w:bCs w:val="0"/>
          <w:sz w:val="24"/>
          <w:szCs w:val="24"/>
        </w:rPr>
        <w:t>with regard to</w:t>
      </w:r>
      <w:r w:rsidRPr="3B385D4E" w:rsidR="3B385D4E">
        <w:rPr>
          <w:rFonts w:ascii="Calibri" w:hAnsi="Calibri" w:eastAsia="Calibri" w:cs="Calibri" w:asciiTheme="minorAscii" w:hAnsiTheme="minorAscii" w:eastAsiaTheme="minorAscii" w:cstheme="minorAscii"/>
          <w:b w:val="0"/>
          <w:bCs w:val="0"/>
          <w:sz w:val="24"/>
          <w:szCs w:val="24"/>
        </w:rPr>
        <w:t xml:space="preserve"> what governs their conduct (</w:t>
      </w:r>
      <w:r w:rsidRPr="3B385D4E" w:rsidR="3B385D4E">
        <w:rPr>
          <w:rFonts w:ascii="Calibri" w:hAnsi="Calibri" w:eastAsia="Calibri" w:cs="Calibri" w:asciiTheme="minorAscii" w:hAnsiTheme="minorAscii" w:eastAsiaTheme="minorAscii" w:cstheme="minorAscii"/>
          <w:b w:val="0"/>
          <w:bCs w:val="0"/>
          <w:sz w:val="24"/>
          <w:szCs w:val="24"/>
        </w:rPr>
        <w:t>Megías</w:t>
      </w:r>
      <w:r w:rsidRPr="3B385D4E" w:rsidR="3B385D4E">
        <w:rPr>
          <w:rFonts w:ascii="Calibri" w:hAnsi="Calibri" w:eastAsia="Calibri" w:cs="Calibri" w:asciiTheme="minorAscii" w:hAnsiTheme="minorAscii" w:eastAsiaTheme="minorAscii" w:cstheme="minorAscii"/>
          <w:b w:val="0"/>
          <w:bCs w:val="0"/>
          <w:sz w:val="24"/>
          <w:szCs w:val="24"/>
        </w:rPr>
        <w:t xml:space="preserve"> et al., 2023). In this case, the 'Ivey' test is crucial in </w:t>
      </w:r>
      <w:r w:rsidRPr="3B385D4E" w:rsidR="3B385D4E">
        <w:rPr>
          <w:rFonts w:ascii="Calibri" w:hAnsi="Calibri" w:eastAsia="Calibri" w:cs="Calibri" w:asciiTheme="minorAscii" w:hAnsiTheme="minorAscii" w:eastAsiaTheme="minorAscii" w:cstheme="minorAscii"/>
          <w:b w:val="0"/>
          <w:bCs w:val="0"/>
          <w:sz w:val="24"/>
          <w:szCs w:val="24"/>
        </w:rPr>
        <w:t>establishing</w:t>
      </w:r>
      <w:r w:rsidRPr="3B385D4E" w:rsidR="3B385D4E">
        <w:rPr>
          <w:rFonts w:ascii="Calibri" w:hAnsi="Calibri" w:eastAsia="Calibri" w:cs="Calibri" w:asciiTheme="minorAscii" w:hAnsiTheme="minorAscii" w:eastAsiaTheme="minorAscii" w:cstheme="minorAscii"/>
          <w:b w:val="0"/>
          <w:bCs w:val="0"/>
          <w:sz w:val="24"/>
          <w:szCs w:val="24"/>
        </w:rPr>
        <w:t xml:space="preserve"> the importance of looking at the perspective of dishonesty from a human perspective and not the one set by the industry. Any financial industry will develop principles that protect its interests, regardless of whether it is moral or not (Griffiths, 2020). Therefore, the application of the concept of dishonesty bases integrity on the overall human principles rather than the standards of a market or its operators. </w:t>
      </w:r>
    </w:p>
    <w:p w:rsidR="581AC2FF" w:rsidP="3B385D4E" w:rsidRDefault="581AC2FF" w14:paraId="1FF394AE" w14:textId="353C7F8E">
      <w:pPr>
        <w:pStyle w:val="Header"/>
        <w:spacing w:line="480" w:lineRule="auto"/>
        <w:ind w:firstLine="720"/>
        <w:contextualSpacing/>
        <w:jc w:val="both"/>
        <w:rPr>
          <w:rFonts w:ascii="Calibri" w:hAnsi="Calibri" w:eastAsia="Calibri" w:cs="Calibri" w:asciiTheme="minorAscii" w:hAnsiTheme="minorAscii" w:eastAsiaTheme="minorAscii" w:cstheme="minorAscii"/>
          <w:b w:val="0"/>
          <w:bCs w:val="0"/>
          <w:sz w:val="24"/>
          <w:szCs w:val="24"/>
        </w:rPr>
      </w:pPr>
      <w:r w:rsidRPr="3B385D4E" w:rsidR="3B385D4E">
        <w:rPr>
          <w:rFonts w:ascii="Calibri" w:hAnsi="Calibri" w:eastAsia="Calibri" w:cs="Calibri" w:asciiTheme="minorAscii" w:hAnsiTheme="minorAscii" w:eastAsiaTheme="minorAscii" w:cstheme="minorAscii"/>
          <w:b w:val="0"/>
          <w:bCs w:val="0"/>
          <w:sz w:val="24"/>
          <w:szCs w:val="24"/>
        </w:rPr>
        <w:t xml:space="preserve">Additionally, the application of the concept of dishonesty has made it easier to prove theft cases against individuals, especially where the issue relates to financial markets. However, while it might have become more accessible to prove theft offences against individuals, it becomes challenging to use the same test when addressing large companies and departments (Jackson, 2017). In companies where the actions of the </w:t>
      </w:r>
      <w:r w:rsidRPr="3B385D4E" w:rsidR="3B385D4E">
        <w:rPr>
          <w:rFonts w:ascii="Calibri" w:hAnsi="Calibri" w:eastAsia="Calibri" w:cs="Calibri" w:asciiTheme="minorAscii" w:hAnsiTheme="minorAscii" w:eastAsiaTheme="minorAscii" w:cstheme="minorAscii"/>
          <w:b w:val="0"/>
          <w:bCs w:val="0"/>
          <w:sz w:val="24"/>
          <w:szCs w:val="24"/>
        </w:rPr>
        <w:t>organization</w:t>
      </w:r>
      <w:r w:rsidRPr="3B385D4E" w:rsidR="3B385D4E">
        <w:rPr>
          <w:rFonts w:ascii="Calibri" w:hAnsi="Calibri" w:eastAsia="Calibri" w:cs="Calibri" w:asciiTheme="minorAscii" w:hAnsiTheme="minorAscii" w:eastAsiaTheme="minorAscii" w:cstheme="minorAscii"/>
          <w:b w:val="0"/>
          <w:bCs w:val="0"/>
          <w:sz w:val="24"/>
          <w:szCs w:val="24"/>
        </w:rPr>
        <w:t xml:space="preserve"> are decided by the directors and the overall will of the company, it becomes difficult to use the 'Ghosh' or 'Ivey' test because it will be hard for the prosecutors to </w:t>
      </w:r>
      <w:r w:rsidRPr="3B385D4E" w:rsidR="3B385D4E">
        <w:rPr>
          <w:rFonts w:ascii="Calibri" w:hAnsi="Calibri" w:eastAsia="Calibri" w:cs="Calibri" w:asciiTheme="minorAscii" w:hAnsiTheme="minorAscii" w:eastAsiaTheme="minorAscii" w:cstheme="minorAscii"/>
          <w:b w:val="0"/>
          <w:bCs w:val="0"/>
          <w:sz w:val="24"/>
          <w:szCs w:val="24"/>
        </w:rPr>
        <w:t>establish</w:t>
      </w:r>
      <w:r w:rsidRPr="3B385D4E" w:rsidR="3B385D4E">
        <w:rPr>
          <w:rFonts w:ascii="Calibri" w:hAnsi="Calibri" w:eastAsia="Calibri" w:cs="Calibri" w:asciiTheme="minorAscii" w:hAnsiTheme="minorAscii" w:eastAsiaTheme="minorAscii" w:cstheme="minorAscii"/>
          <w:b w:val="0"/>
          <w:bCs w:val="0"/>
          <w:sz w:val="24"/>
          <w:szCs w:val="24"/>
        </w:rPr>
        <w:t xml:space="preserve"> to whom the offence should be ascribed (Griffiths, 2020). In situations of theft, the police may have a problem </w:t>
      </w:r>
      <w:r w:rsidRPr="3B385D4E" w:rsidR="3B385D4E">
        <w:rPr>
          <w:rFonts w:ascii="Calibri" w:hAnsi="Calibri" w:eastAsia="Calibri" w:cs="Calibri" w:asciiTheme="minorAscii" w:hAnsiTheme="minorAscii" w:eastAsiaTheme="minorAscii" w:cstheme="minorAscii"/>
          <w:b w:val="0"/>
          <w:bCs w:val="0"/>
          <w:sz w:val="24"/>
          <w:szCs w:val="24"/>
        </w:rPr>
        <w:t>identifying</w:t>
      </w:r>
      <w:r w:rsidRPr="3B385D4E" w:rsidR="3B385D4E">
        <w:rPr>
          <w:rFonts w:ascii="Calibri" w:hAnsi="Calibri" w:eastAsia="Calibri" w:cs="Calibri" w:asciiTheme="minorAscii" w:hAnsiTheme="minorAscii" w:eastAsiaTheme="minorAscii" w:cstheme="minorAscii"/>
          <w:b w:val="0"/>
          <w:bCs w:val="0"/>
          <w:sz w:val="24"/>
          <w:szCs w:val="24"/>
        </w:rPr>
        <w:t xml:space="preserve"> the right person to pile the charges on since the test requires the concept to be applied to a single individual.</w:t>
      </w:r>
    </w:p>
    <w:p w:rsidR="581AC2FF" w:rsidP="581AC2FF" w:rsidRDefault="581AC2FF" w14:paraId="4D936F80" w14:textId="0951A0CE">
      <w:pPr>
        <w:pStyle w:val="Header"/>
        <w:spacing w:line="480" w:lineRule="auto"/>
        <w:ind w:firstLine="720"/>
        <w:contextualSpacing/>
        <w:jc w:val="both"/>
        <w:rPr>
          <w:rFonts w:ascii="Calibri" w:hAnsi="Calibri" w:eastAsia="Calibri" w:cs="Calibri" w:asciiTheme="minorAscii" w:hAnsiTheme="minorAscii" w:eastAsiaTheme="minorAscii" w:cstheme="minorAscii"/>
          <w:b w:val="1"/>
          <w:bCs w:val="1"/>
          <w:sz w:val="24"/>
          <w:szCs w:val="24"/>
        </w:rPr>
      </w:pPr>
    </w:p>
    <w:p w:rsidR="3B385D4E" w:rsidP="3B385D4E" w:rsidRDefault="3B385D4E" w14:paraId="20CDD5DB" w14:textId="7A9003EA">
      <w:pPr>
        <w:pStyle w:val="Header"/>
        <w:suppressLineNumbers w:val="0"/>
        <w:bidi w:val="0"/>
        <w:spacing w:before="0" w:beforeAutospacing="off" w:after="0" w:afterAutospacing="off" w:line="480" w:lineRule="auto"/>
        <w:ind w:left="0" w:right="0" w:firstLine="720"/>
        <w:contextualSpacing/>
        <w:jc w:val="both"/>
        <w:rPr>
          <w:rFonts w:ascii="Calibri" w:hAnsi="Calibri" w:eastAsia="Calibri" w:cs="Calibri" w:asciiTheme="minorAscii" w:hAnsiTheme="minorAscii" w:eastAsiaTheme="minorAscii" w:cstheme="minorAscii"/>
          <w:b w:val="1"/>
          <w:bCs w:val="1"/>
          <w:sz w:val="24"/>
          <w:szCs w:val="24"/>
        </w:rPr>
      </w:pPr>
      <w:r w:rsidRPr="3B385D4E" w:rsidR="3B385D4E">
        <w:rPr>
          <w:rFonts w:ascii="Calibri" w:hAnsi="Calibri" w:eastAsia="Calibri" w:cs="Calibri" w:asciiTheme="minorAscii" w:hAnsiTheme="minorAscii" w:eastAsiaTheme="minorAscii" w:cstheme="minorAscii"/>
          <w:b w:val="1"/>
          <w:bCs w:val="1"/>
          <w:sz w:val="24"/>
          <w:szCs w:val="24"/>
        </w:rPr>
        <w:t>Conclusion</w:t>
      </w:r>
    </w:p>
    <w:p w:rsidR="3B385D4E" w:rsidP="3B385D4E" w:rsidRDefault="3B385D4E" w14:paraId="27901DF2" w14:textId="7EA0EA95">
      <w:pPr>
        <w:pStyle w:val="Header"/>
        <w:suppressLineNumbers w:val="0"/>
        <w:bidi w:val="0"/>
        <w:spacing w:before="0" w:beforeAutospacing="off" w:after="0" w:afterAutospacing="off" w:line="480" w:lineRule="auto"/>
        <w:ind w:left="0" w:right="0" w:firstLine="720"/>
        <w:contextualSpacing/>
        <w:jc w:val="both"/>
        <w:rPr>
          <w:rFonts w:ascii="Calibri" w:hAnsi="Calibri" w:eastAsia="Calibri" w:cs="Calibri" w:asciiTheme="minorAscii" w:hAnsiTheme="minorAscii" w:eastAsiaTheme="minorAscii" w:cstheme="minorAscii"/>
          <w:b w:val="0"/>
          <w:bCs w:val="0"/>
          <w:sz w:val="24"/>
          <w:szCs w:val="24"/>
        </w:rPr>
      </w:pPr>
      <w:r w:rsidRPr="3B385D4E" w:rsidR="3B385D4E">
        <w:rPr>
          <w:rFonts w:ascii="Calibri" w:hAnsi="Calibri" w:eastAsia="Calibri" w:cs="Calibri" w:asciiTheme="minorAscii" w:hAnsiTheme="minorAscii" w:eastAsiaTheme="minorAscii" w:cstheme="minorAscii"/>
          <w:b w:val="0"/>
          <w:bCs w:val="0"/>
          <w:sz w:val="24"/>
          <w:szCs w:val="24"/>
        </w:rPr>
        <w:t xml:space="preserve">Overall, the ‘Ghosh’ and ‘Ivey’ tests have made it easier for prosecutors to take to court people who have performed acts of theft. It has made it easier for them to </w:t>
      </w:r>
      <w:r w:rsidRPr="3B385D4E" w:rsidR="3B385D4E">
        <w:rPr>
          <w:rFonts w:ascii="Calibri" w:hAnsi="Calibri" w:eastAsia="Calibri" w:cs="Calibri" w:asciiTheme="minorAscii" w:hAnsiTheme="minorAscii" w:eastAsiaTheme="minorAscii" w:cstheme="minorAscii"/>
          <w:b w:val="0"/>
          <w:bCs w:val="0"/>
          <w:sz w:val="24"/>
          <w:szCs w:val="24"/>
        </w:rPr>
        <w:t>identify</w:t>
      </w:r>
      <w:r w:rsidRPr="3B385D4E" w:rsidR="3B385D4E">
        <w:rPr>
          <w:rFonts w:ascii="Calibri" w:hAnsi="Calibri" w:eastAsia="Calibri" w:cs="Calibri" w:asciiTheme="minorAscii" w:hAnsiTheme="minorAscii" w:eastAsiaTheme="minorAscii" w:cstheme="minorAscii"/>
          <w:b w:val="0"/>
          <w:bCs w:val="0"/>
          <w:sz w:val="24"/>
          <w:szCs w:val="24"/>
        </w:rPr>
        <w:t xml:space="preserve"> the people who </w:t>
      </w:r>
      <w:r w:rsidRPr="3B385D4E" w:rsidR="3B385D4E">
        <w:rPr>
          <w:rFonts w:ascii="Calibri" w:hAnsi="Calibri" w:eastAsia="Calibri" w:cs="Calibri" w:asciiTheme="minorAscii" w:hAnsiTheme="minorAscii" w:eastAsiaTheme="minorAscii" w:cstheme="minorAscii"/>
          <w:b w:val="0"/>
          <w:bCs w:val="0"/>
          <w:sz w:val="24"/>
          <w:szCs w:val="24"/>
        </w:rPr>
        <w:t>are responsible for</w:t>
      </w:r>
      <w:r w:rsidRPr="3B385D4E" w:rsidR="3B385D4E">
        <w:rPr>
          <w:rFonts w:ascii="Calibri" w:hAnsi="Calibri" w:eastAsia="Calibri" w:cs="Calibri" w:asciiTheme="minorAscii" w:hAnsiTheme="minorAscii" w:eastAsiaTheme="minorAscii" w:cstheme="minorAscii"/>
          <w:b w:val="0"/>
          <w:bCs w:val="0"/>
          <w:sz w:val="24"/>
          <w:szCs w:val="24"/>
        </w:rPr>
        <w:t xml:space="preserve"> promoting theft and holding them accountable for their actions. Although it is easier to prove cases related to theft, the decision-making process has been made easier following the application of the tests, especially for the jury in cases where the crime is not so obvious. However, the tests have made it challenging to prove theft cases in a situation where many parties were involved in the process. Apportioning the charges to the correct party continues to remain a challenge as the test does not have a specific process that it follows in the determination of the people that caused the action in question. Therefore, while prosecuting theft cases among individuals has been made easier, handling the same situation for a group of people or when it involves corporations has become increasingly difficult.</w:t>
      </w:r>
    </w:p>
    <w:p w:rsidR="3B385D4E" w:rsidP="3B385D4E" w:rsidRDefault="3B385D4E" w14:paraId="7241298E" w14:textId="0CC194D9">
      <w:pPr>
        <w:pStyle w:val="Header"/>
        <w:suppressLineNumbers w:val="0"/>
        <w:bidi w:val="0"/>
        <w:spacing w:before="0" w:beforeAutospacing="off" w:after="0" w:afterAutospacing="off" w:line="480" w:lineRule="auto"/>
        <w:ind w:left="0" w:right="0" w:firstLine="720"/>
        <w:contextualSpacing/>
        <w:jc w:val="both"/>
        <w:rPr>
          <w:rFonts w:ascii="Calibri" w:hAnsi="Calibri" w:eastAsia="Calibri" w:cs="Calibri" w:asciiTheme="minorAscii" w:hAnsiTheme="minorAscii" w:eastAsiaTheme="minorAscii" w:cstheme="minorAscii"/>
          <w:b w:val="1"/>
          <w:bCs w:val="1"/>
          <w:sz w:val="24"/>
          <w:szCs w:val="24"/>
        </w:rPr>
      </w:pPr>
    </w:p>
    <w:p w:rsidR="581AC2FF" w:rsidP="581AC2FF" w:rsidRDefault="581AC2FF" w14:paraId="28C5971F" w14:textId="07DFB64A">
      <w:pPr>
        <w:pStyle w:val="Header"/>
        <w:spacing w:line="480" w:lineRule="auto"/>
        <w:ind w:firstLine="720"/>
        <w:contextualSpacing/>
        <w:rPr>
          <w:rFonts w:ascii="Calibri" w:hAnsi="Calibri" w:eastAsia="Calibri" w:cs="Calibri" w:asciiTheme="minorAscii" w:hAnsiTheme="minorAscii" w:eastAsiaTheme="minorAscii" w:cstheme="minorAscii"/>
          <w:b w:val="1"/>
          <w:bCs w:val="1"/>
          <w:sz w:val="24"/>
          <w:szCs w:val="24"/>
        </w:rPr>
      </w:pPr>
    </w:p>
    <w:p w:rsidR="581AC2FF" w:rsidP="581AC2FF" w:rsidRDefault="581AC2FF" w14:paraId="628A50C6" w14:textId="4470E913">
      <w:pPr>
        <w:pStyle w:val="Header"/>
        <w:spacing w:line="480" w:lineRule="auto"/>
        <w:ind w:firstLine="720"/>
        <w:contextualSpacing/>
        <w:rPr>
          <w:rFonts w:ascii="Times New Roman" w:hAnsi="Times New Roman" w:cs="Times New Roman"/>
          <w:b w:val="1"/>
          <w:bCs w:val="1"/>
          <w:sz w:val="24"/>
          <w:szCs w:val="24"/>
        </w:rPr>
      </w:pPr>
    </w:p>
    <w:p w:rsidR="004401B5" w:rsidP="00FC1A65" w:rsidRDefault="004401B5" w14:paraId="20362D09" w14:textId="77777777" w14:noSpellErr="1">
      <w:pPr>
        <w:pStyle w:val="Header"/>
        <w:jc w:val="center"/>
        <w:rPr>
          <w:rFonts w:ascii="Times New Roman" w:hAnsi="Times New Roman" w:cs="Times New Roman"/>
          <w:sz w:val="24"/>
          <w:szCs w:val="24"/>
        </w:rPr>
      </w:pPr>
    </w:p>
    <w:p w:rsidRPr="00364E6A" w:rsidR="009A798D" w:rsidP="14F27F53" w:rsidRDefault="001820FC" w14:paraId="7AEBF734" w14:textId="206EBFAC">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32535993" w14:textId="5527BC9C">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27F62EEB" w14:textId="77E37903">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725518E3" w14:textId="533BF193">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76655725" w14:textId="59FDEF61">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3193E211" w14:textId="3C10100A">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60D823D1" w14:textId="4E4FCC30">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5EBBF005" w14:textId="467465E3">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6F082B2B" w14:textId="20F993FD">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2D934368" w14:textId="3A07CA9C">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7BBF84B9" w14:textId="69B79D97">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7A2D7EE1" w14:textId="370C69A5">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695489EF" w14:textId="08575455">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5ACEC0B3" w14:textId="38D89618">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36E875DB" w14:textId="5598C64A">
      <w:pPr>
        <w:pStyle w:val="Header"/>
        <w:spacing w:line="480" w:lineRule="auto"/>
        <w:contextualSpacing/>
        <w:jc w:val="center"/>
        <w:rPr>
          <w:rFonts w:ascii="Times New Roman" w:hAnsi="Times New Roman" w:cs="Times New Roman"/>
          <w:sz w:val="24"/>
          <w:szCs w:val="24"/>
        </w:rPr>
      </w:pPr>
    </w:p>
    <w:p w:rsidRPr="00364E6A" w:rsidR="009A798D" w:rsidP="3B385D4E" w:rsidRDefault="001820FC" w14:paraId="6F427B07" w14:textId="69BDB6D3">
      <w:pPr>
        <w:pStyle w:val="Header"/>
        <w:spacing w:line="480" w:lineRule="auto"/>
        <w:ind/>
        <w:contextualSpacing/>
        <w:jc w:val="center"/>
        <w:rPr>
          <w:rFonts w:ascii="Calibri" w:hAnsi="Calibri" w:eastAsia="Calibri" w:cs="Calibri" w:asciiTheme="minorAscii" w:hAnsiTheme="minorAscii" w:eastAsiaTheme="minorAscii" w:cstheme="minorAscii"/>
          <w:b w:val="1"/>
          <w:bCs w:val="1"/>
          <w:sz w:val="24"/>
          <w:szCs w:val="24"/>
        </w:rPr>
      </w:pPr>
    </w:p>
    <w:p w:rsidRPr="00364E6A" w:rsidR="009A798D" w:rsidP="14F27F53" w:rsidRDefault="001820FC" w14:paraId="6BAEDDDC" w14:textId="58D7634F">
      <w:pPr>
        <w:pStyle w:val="Header"/>
        <w:spacing w:line="480" w:lineRule="auto"/>
        <w:ind w:firstLine="720"/>
        <w:contextualSpacing/>
        <w:jc w:val="left"/>
        <w:rPr>
          <w:rFonts w:ascii="Calibri" w:hAnsi="Calibri" w:eastAsia="Calibri" w:cs="Calibri" w:asciiTheme="minorAscii" w:hAnsiTheme="minorAscii" w:eastAsiaTheme="minorAscii" w:cstheme="minorAscii"/>
          <w:b w:val="1"/>
          <w:bCs w:val="1"/>
          <w:sz w:val="24"/>
          <w:szCs w:val="24"/>
        </w:rPr>
      </w:pPr>
      <w:r w:rsidRPr="3B385D4E" w:rsidR="3B385D4E">
        <w:rPr>
          <w:rFonts w:ascii="Calibri" w:hAnsi="Calibri" w:eastAsia="Calibri" w:cs="Calibri" w:asciiTheme="minorAscii" w:hAnsiTheme="minorAscii" w:eastAsiaTheme="minorAscii" w:cstheme="minorAscii"/>
          <w:b w:val="1"/>
          <w:bCs w:val="1"/>
          <w:sz w:val="24"/>
          <w:szCs w:val="24"/>
        </w:rPr>
        <w:t>References</w:t>
      </w:r>
    </w:p>
    <w:p w:rsidR="3B385D4E" w:rsidP="3B385D4E" w:rsidRDefault="3B385D4E" w14:paraId="159021CE" w14:textId="562DACE5">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3B385D4E" w:rsidR="3B385D4E">
        <w:rPr>
          <w:rFonts w:ascii="Calibri" w:hAnsi="Calibri" w:eastAsia="Calibri" w:cs="Calibri" w:asciiTheme="minorAscii" w:hAnsiTheme="minorAscii" w:eastAsiaTheme="minorAscii" w:cstheme="minorAscii"/>
          <w:b w:val="0"/>
          <w:bCs w:val="0"/>
          <w:sz w:val="24"/>
          <w:szCs w:val="24"/>
        </w:rPr>
        <w:t xml:space="preserve">Gemmell, K. (2024, March 27). Ex-UBS trader Tom Hayes loses UK appeal over Libor Crimes. Bloomberg.com. </w:t>
      </w:r>
      <w:r w:rsidRPr="3B385D4E" w:rsidR="3B385D4E">
        <w:rPr>
          <w:rFonts w:ascii="Calibri" w:hAnsi="Calibri" w:eastAsia="Calibri" w:cs="Calibri" w:asciiTheme="minorAscii" w:hAnsiTheme="minorAscii" w:eastAsiaTheme="minorAscii" w:cstheme="minorAscii"/>
          <w:b w:val="0"/>
          <w:bCs w:val="0"/>
          <w:sz w:val="24"/>
          <w:szCs w:val="24"/>
        </w:rPr>
        <w:t>https://www.bloomberg.com/news/articles/2024-03-27/tom-hayes-loses-appeal-against-criminal-libor-conviction</w:t>
      </w:r>
      <w:r w:rsidRPr="3B385D4E" w:rsidR="3B385D4E">
        <w:rPr>
          <w:rFonts w:ascii="Calibri" w:hAnsi="Calibri" w:eastAsia="Calibri" w:cs="Calibri" w:asciiTheme="minorAscii" w:hAnsiTheme="minorAscii" w:eastAsiaTheme="minorAscii" w:cstheme="minorAscii"/>
          <w:b w:val="0"/>
          <w:bCs w:val="0"/>
          <w:sz w:val="24"/>
          <w:szCs w:val="24"/>
        </w:rPr>
        <w:t xml:space="preserve"> </w:t>
      </w:r>
    </w:p>
    <w:p w:rsidR="3B385D4E" w:rsidP="3B385D4E" w:rsidRDefault="3B385D4E" w14:paraId="67E10000" w14:textId="11444EFF">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3B385D4E" w:rsidR="3B385D4E">
        <w:rPr>
          <w:rFonts w:ascii="Calibri" w:hAnsi="Calibri" w:eastAsia="Calibri" w:cs="Calibri" w:asciiTheme="minorAscii" w:hAnsiTheme="minorAscii" w:eastAsiaTheme="minorAscii" w:cstheme="minorAscii"/>
          <w:b w:val="0"/>
          <w:bCs w:val="0"/>
          <w:sz w:val="24"/>
          <w:szCs w:val="24"/>
        </w:rPr>
        <w:t xml:space="preserve">Griffiths, C. (2020). The honest cheat: </w:t>
      </w:r>
      <w:r w:rsidRPr="3B385D4E" w:rsidR="3B385D4E">
        <w:rPr>
          <w:rFonts w:ascii="Calibri" w:hAnsi="Calibri" w:eastAsia="Calibri" w:cs="Calibri" w:asciiTheme="minorAscii" w:hAnsiTheme="minorAscii" w:eastAsiaTheme="minorAscii" w:cstheme="minorAscii"/>
          <w:b w:val="0"/>
          <w:bCs w:val="0"/>
          <w:sz w:val="24"/>
          <w:szCs w:val="24"/>
        </w:rPr>
        <w:t>A timely</w:t>
      </w:r>
      <w:r w:rsidRPr="3B385D4E" w:rsidR="3B385D4E">
        <w:rPr>
          <w:rFonts w:ascii="Calibri" w:hAnsi="Calibri" w:eastAsia="Calibri" w:cs="Calibri" w:asciiTheme="minorAscii" w:hAnsiTheme="minorAscii" w:eastAsiaTheme="minorAscii" w:cstheme="minorAscii"/>
          <w:b w:val="0"/>
          <w:bCs w:val="0"/>
          <w:sz w:val="24"/>
          <w:szCs w:val="24"/>
        </w:rPr>
        <w:t xml:space="preserve"> history of cheating and fraud following Ivey v Genting Casinos (UK) Ltd t/a Crockfords [2017] UKSC 67. Legal Studies, 40(2), 252–268. </w:t>
      </w:r>
      <w:r w:rsidRPr="3B385D4E" w:rsidR="3B385D4E">
        <w:rPr>
          <w:rFonts w:ascii="Calibri" w:hAnsi="Calibri" w:eastAsia="Calibri" w:cs="Calibri" w:asciiTheme="minorAscii" w:hAnsiTheme="minorAscii" w:eastAsiaTheme="minorAscii" w:cstheme="minorAscii"/>
          <w:b w:val="0"/>
          <w:bCs w:val="0"/>
          <w:sz w:val="24"/>
          <w:szCs w:val="24"/>
        </w:rPr>
        <w:t>https://doi.org/10.1017/lst.2019.30</w:t>
      </w:r>
      <w:r w:rsidRPr="3B385D4E" w:rsidR="3B385D4E">
        <w:rPr>
          <w:rFonts w:ascii="Calibri" w:hAnsi="Calibri" w:eastAsia="Calibri" w:cs="Calibri" w:asciiTheme="minorAscii" w:hAnsiTheme="minorAscii" w:eastAsiaTheme="minorAscii" w:cstheme="minorAscii"/>
          <w:b w:val="0"/>
          <w:bCs w:val="0"/>
          <w:sz w:val="24"/>
          <w:szCs w:val="24"/>
        </w:rPr>
        <w:t xml:space="preserve"> </w:t>
      </w:r>
    </w:p>
    <w:p w:rsidR="3B385D4E" w:rsidP="3B385D4E" w:rsidRDefault="3B385D4E" w14:paraId="7CDAB7D5" w14:textId="43FE43DD">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3B385D4E" w:rsidR="3B385D4E">
        <w:rPr>
          <w:rFonts w:ascii="Calibri" w:hAnsi="Calibri" w:eastAsia="Calibri" w:cs="Calibri" w:asciiTheme="minorAscii" w:hAnsiTheme="minorAscii" w:eastAsiaTheme="minorAscii" w:cstheme="minorAscii"/>
          <w:b w:val="0"/>
          <w:bCs w:val="0"/>
          <w:sz w:val="24"/>
          <w:szCs w:val="24"/>
        </w:rPr>
        <w:t>Ivey v Genting Casinos UK Ltd (</w:t>
      </w:r>
      <w:r w:rsidRPr="3B385D4E" w:rsidR="3B385D4E">
        <w:rPr>
          <w:rFonts w:ascii="Calibri" w:hAnsi="Calibri" w:eastAsia="Calibri" w:cs="Calibri" w:asciiTheme="minorAscii" w:hAnsiTheme="minorAscii" w:eastAsiaTheme="minorAscii" w:cstheme="minorAscii"/>
          <w:b w:val="0"/>
          <w:bCs w:val="0"/>
          <w:sz w:val="24"/>
          <w:szCs w:val="24"/>
        </w:rPr>
        <w:t>t/</w:t>
      </w:r>
      <w:r w:rsidRPr="3B385D4E" w:rsidR="3B385D4E">
        <w:rPr>
          <w:rFonts w:ascii="Calibri" w:hAnsi="Calibri" w:eastAsia="Calibri" w:cs="Calibri" w:asciiTheme="minorAscii" w:hAnsiTheme="minorAscii" w:eastAsiaTheme="minorAscii" w:cstheme="minorAscii"/>
          <w:b w:val="0"/>
          <w:bCs w:val="0"/>
          <w:sz w:val="24"/>
          <w:szCs w:val="24"/>
        </w:rPr>
        <w:t xml:space="preserve">a Crockfords Club) (IPSA LOQUITUR 2017). </w:t>
      </w:r>
    </w:p>
    <w:p w:rsidR="3B385D4E" w:rsidP="3B385D4E" w:rsidRDefault="3B385D4E" w14:paraId="400B7DF0" w14:textId="5E914E44">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3B385D4E" w:rsidR="3B385D4E">
        <w:rPr>
          <w:rFonts w:ascii="Calibri" w:hAnsi="Calibri" w:eastAsia="Calibri" w:cs="Calibri" w:asciiTheme="minorAscii" w:hAnsiTheme="minorAscii" w:eastAsiaTheme="minorAscii" w:cstheme="minorAscii"/>
          <w:b w:val="0"/>
          <w:bCs w:val="0"/>
          <w:sz w:val="24"/>
          <w:szCs w:val="24"/>
        </w:rPr>
        <w:t xml:space="preserve">Jackson, A. (2017). Supreme Court. The Journal of Criminal Law, 81(6), 448–450. </w:t>
      </w:r>
      <w:r w:rsidRPr="3B385D4E" w:rsidR="3B385D4E">
        <w:rPr>
          <w:rFonts w:ascii="Calibri" w:hAnsi="Calibri" w:eastAsia="Calibri" w:cs="Calibri" w:asciiTheme="minorAscii" w:hAnsiTheme="minorAscii" w:eastAsiaTheme="minorAscii" w:cstheme="minorAscii"/>
          <w:b w:val="0"/>
          <w:bCs w:val="0"/>
          <w:sz w:val="24"/>
          <w:szCs w:val="24"/>
        </w:rPr>
        <w:t>https://doi.org/10.1177/0022018317746833</w:t>
      </w:r>
      <w:r w:rsidRPr="3B385D4E" w:rsidR="3B385D4E">
        <w:rPr>
          <w:rFonts w:ascii="Calibri" w:hAnsi="Calibri" w:eastAsia="Calibri" w:cs="Calibri" w:asciiTheme="minorAscii" w:hAnsiTheme="minorAscii" w:eastAsiaTheme="minorAscii" w:cstheme="minorAscii"/>
          <w:b w:val="0"/>
          <w:bCs w:val="0"/>
          <w:sz w:val="24"/>
          <w:szCs w:val="24"/>
        </w:rPr>
        <w:t xml:space="preserve"> </w:t>
      </w:r>
    </w:p>
    <w:p w:rsidR="3B385D4E" w:rsidP="3B385D4E" w:rsidRDefault="3B385D4E" w14:paraId="7157B4F8" w14:textId="358D4564">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3B385D4E" w:rsidR="3B385D4E">
        <w:rPr>
          <w:rFonts w:ascii="Calibri" w:hAnsi="Calibri" w:eastAsia="Calibri" w:cs="Calibri" w:asciiTheme="minorAscii" w:hAnsiTheme="minorAscii" w:eastAsiaTheme="minorAscii" w:cstheme="minorAscii"/>
          <w:b w:val="0"/>
          <w:bCs w:val="0"/>
          <w:sz w:val="24"/>
          <w:szCs w:val="24"/>
        </w:rPr>
        <w:t xml:space="preserve">Jiang, Z. (2020). Unifying and defining ‘dishonesty’ in the law of trusts. Trusts &amp;amp; Trustees, 26(5), 429–444. </w:t>
      </w:r>
      <w:r w:rsidRPr="3B385D4E" w:rsidR="3B385D4E">
        <w:rPr>
          <w:rFonts w:ascii="Calibri" w:hAnsi="Calibri" w:eastAsia="Calibri" w:cs="Calibri" w:asciiTheme="minorAscii" w:hAnsiTheme="minorAscii" w:eastAsiaTheme="minorAscii" w:cstheme="minorAscii"/>
          <w:b w:val="0"/>
          <w:bCs w:val="0"/>
          <w:sz w:val="24"/>
          <w:szCs w:val="24"/>
        </w:rPr>
        <w:t>https://doi.org/10.1093/tandt/ttaa021</w:t>
      </w:r>
      <w:r w:rsidRPr="3B385D4E" w:rsidR="3B385D4E">
        <w:rPr>
          <w:rFonts w:ascii="Calibri" w:hAnsi="Calibri" w:eastAsia="Calibri" w:cs="Calibri" w:asciiTheme="minorAscii" w:hAnsiTheme="minorAscii" w:eastAsiaTheme="minorAscii" w:cstheme="minorAscii"/>
          <w:b w:val="0"/>
          <w:bCs w:val="0"/>
          <w:sz w:val="24"/>
          <w:szCs w:val="24"/>
        </w:rPr>
        <w:t xml:space="preserve"> </w:t>
      </w:r>
    </w:p>
    <w:p w:rsidR="3B385D4E" w:rsidP="3B385D4E" w:rsidRDefault="3B385D4E" w14:paraId="63D05FAE" w14:textId="6BA9DF9F">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3B385D4E" w:rsidR="3B385D4E">
        <w:rPr>
          <w:rFonts w:ascii="Calibri" w:hAnsi="Calibri" w:eastAsia="Calibri" w:cs="Calibri" w:asciiTheme="minorAscii" w:hAnsiTheme="minorAscii" w:eastAsiaTheme="minorAscii" w:cstheme="minorAscii"/>
          <w:b w:val="0"/>
          <w:bCs w:val="0"/>
          <w:sz w:val="24"/>
          <w:szCs w:val="24"/>
        </w:rPr>
        <w:t xml:space="preserve">Leggett, Z. (2019). The new test for dishonesty in criminal law—lessons from the courts of equity? The Journal of Criminal Law, 84(1), 37–48. </w:t>
      </w:r>
      <w:r w:rsidRPr="3B385D4E" w:rsidR="3B385D4E">
        <w:rPr>
          <w:rFonts w:ascii="Calibri" w:hAnsi="Calibri" w:eastAsia="Calibri" w:cs="Calibri" w:asciiTheme="minorAscii" w:hAnsiTheme="minorAscii" w:eastAsiaTheme="minorAscii" w:cstheme="minorAscii"/>
          <w:b w:val="0"/>
          <w:bCs w:val="0"/>
          <w:sz w:val="24"/>
          <w:szCs w:val="24"/>
        </w:rPr>
        <w:t>https://doi.org/10.1177/0022018319879847</w:t>
      </w:r>
      <w:r w:rsidRPr="3B385D4E" w:rsidR="3B385D4E">
        <w:rPr>
          <w:rFonts w:ascii="Calibri" w:hAnsi="Calibri" w:eastAsia="Calibri" w:cs="Calibri" w:asciiTheme="minorAscii" w:hAnsiTheme="minorAscii" w:eastAsiaTheme="minorAscii" w:cstheme="minorAscii"/>
          <w:b w:val="0"/>
          <w:bCs w:val="0"/>
          <w:sz w:val="24"/>
          <w:szCs w:val="24"/>
        </w:rPr>
        <w:t xml:space="preserve"> </w:t>
      </w:r>
    </w:p>
    <w:p w:rsidR="3B385D4E" w:rsidP="3B385D4E" w:rsidRDefault="3B385D4E" w14:paraId="6606C7B2" w14:textId="4F7248D9">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3B385D4E" w:rsidR="3B385D4E">
        <w:rPr>
          <w:rFonts w:ascii="Calibri" w:hAnsi="Calibri" w:eastAsia="Calibri" w:cs="Calibri" w:asciiTheme="minorAscii" w:hAnsiTheme="minorAscii" w:eastAsiaTheme="minorAscii" w:cstheme="minorAscii"/>
          <w:b w:val="0"/>
          <w:bCs w:val="0"/>
          <w:sz w:val="24"/>
          <w:szCs w:val="24"/>
        </w:rPr>
        <w:t xml:space="preserve">Macey-Dare, R. (2024). Fatal Flaws at the Heart of all UK LIBOR &amp; EURIBOR Criminal Convictions. SSRN Electronic Journal. </w:t>
      </w:r>
      <w:r w:rsidRPr="3B385D4E" w:rsidR="3B385D4E">
        <w:rPr>
          <w:rFonts w:ascii="Calibri" w:hAnsi="Calibri" w:eastAsia="Calibri" w:cs="Calibri" w:asciiTheme="minorAscii" w:hAnsiTheme="minorAscii" w:eastAsiaTheme="minorAscii" w:cstheme="minorAscii"/>
          <w:b w:val="0"/>
          <w:bCs w:val="0"/>
          <w:sz w:val="24"/>
          <w:szCs w:val="24"/>
        </w:rPr>
        <w:t>https://doi.org/10.2139/ssrn.4671292</w:t>
      </w:r>
      <w:r w:rsidRPr="3B385D4E" w:rsidR="3B385D4E">
        <w:rPr>
          <w:rFonts w:ascii="Calibri" w:hAnsi="Calibri" w:eastAsia="Calibri" w:cs="Calibri" w:asciiTheme="minorAscii" w:hAnsiTheme="minorAscii" w:eastAsiaTheme="minorAscii" w:cstheme="minorAscii"/>
          <w:b w:val="0"/>
          <w:bCs w:val="0"/>
          <w:sz w:val="24"/>
          <w:szCs w:val="24"/>
        </w:rPr>
        <w:t xml:space="preserve"> </w:t>
      </w:r>
    </w:p>
    <w:p w:rsidR="3B385D4E" w:rsidP="3B385D4E" w:rsidRDefault="3B385D4E" w14:paraId="7E11748E" w14:textId="0DBFA31F">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3B385D4E" w:rsidR="3B385D4E">
        <w:rPr>
          <w:rFonts w:ascii="Calibri" w:hAnsi="Calibri" w:eastAsia="Calibri" w:cs="Calibri" w:asciiTheme="minorAscii" w:hAnsiTheme="minorAscii" w:eastAsiaTheme="minorAscii" w:cstheme="minorAscii"/>
          <w:b w:val="0"/>
          <w:bCs w:val="0"/>
          <w:sz w:val="24"/>
          <w:szCs w:val="24"/>
        </w:rPr>
        <w:t>Megías</w:t>
      </w:r>
      <w:r w:rsidRPr="3B385D4E" w:rsidR="3B385D4E">
        <w:rPr>
          <w:rFonts w:ascii="Calibri" w:hAnsi="Calibri" w:eastAsia="Calibri" w:cs="Calibri" w:asciiTheme="minorAscii" w:hAnsiTheme="minorAscii" w:eastAsiaTheme="minorAscii" w:cstheme="minorAscii"/>
          <w:b w:val="0"/>
          <w:bCs w:val="0"/>
          <w:sz w:val="24"/>
          <w:szCs w:val="24"/>
        </w:rPr>
        <w:t xml:space="preserve">, A., de Sousa, L., &amp; Jiménez-Sánchez, F. (2023). Deontological and consequentialist ethics and attitudes towards corruption: A survey data analysis. Social Indicators Research, 170(2), 507–541. </w:t>
      </w:r>
      <w:r w:rsidRPr="3B385D4E" w:rsidR="3B385D4E">
        <w:rPr>
          <w:rFonts w:ascii="Calibri" w:hAnsi="Calibri" w:eastAsia="Calibri" w:cs="Calibri" w:asciiTheme="minorAscii" w:hAnsiTheme="minorAscii" w:eastAsiaTheme="minorAscii" w:cstheme="minorAscii"/>
          <w:b w:val="0"/>
          <w:bCs w:val="0"/>
          <w:sz w:val="24"/>
          <w:szCs w:val="24"/>
        </w:rPr>
        <w:t>https://doi.org/10.1007/s11205-023-03199-2</w:t>
      </w:r>
      <w:r w:rsidRPr="3B385D4E" w:rsidR="3B385D4E">
        <w:rPr>
          <w:rFonts w:ascii="Calibri" w:hAnsi="Calibri" w:eastAsia="Calibri" w:cs="Calibri" w:asciiTheme="minorAscii" w:hAnsiTheme="minorAscii" w:eastAsiaTheme="minorAscii" w:cstheme="minorAscii"/>
          <w:b w:val="0"/>
          <w:bCs w:val="0"/>
          <w:sz w:val="24"/>
          <w:szCs w:val="24"/>
        </w:rPr>
        <w:t xml:space="preserve"> </w:t>
      </w:r>
    </w:p>
    <w:p w:rsidR="3B385D4E" w:rsidP="3B385D4E" w:rsidRDefault="3B385D4E" w14:paraId="5AC679A5" w14:textId="7B282C78">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3B385D4E" w:rsidR="3B385D4E">
        <w:rPr>
          <w:rFonts w:ascii="Calibri" w:hAnsi="Calibri" w:eastAsia="Calibri" w:cs="Calibri" w:asciiTheme="minorAscii" w:hAnsiTheme="minorAscii" w:eastAsiaTheme="minorAscii" w:cstheme="minorAscii"/>
          <w:b w:val="0"/>
          <w:bCs w:val="0"/>
          <w:sz w:val="24"/>
          <w:szCs w:val="24"/>
        </w:rPr>
        <w:t xml:space="preserve">Stephan, A. (2023). The cartel trial: Issues of dishonesty and jury nullification. Journal of Competition Law &amp;amp; Economics, 19(2), 312–332. </w:t>
      </w:r>
      <w:r w:rsidRPr="3B385D4E" w:rsidR="3B385D4E">
        <w:rPr>
          <w:rFonts w:ascii="Calibri" w:hAnsi="Calibri" w:eastAsia="Calibri" w:cs="Calibri" w:asciiTheme="minorAscii" w:hAnsiTheme="minorAscii" w:eastAsiaTheme="minorAscii" w:cstheme="minorAscii"/>
          <w:b w:val="0"/>
          <w:bCs w:val="0"/>
          <w:sz w:val="24"/>
          <w:szCs w:val="24"/>
        </w:rPr>
        <w:t>https://doi.org/10.1093/joclec/nhad005</w:t>
      </w:r>
      <w:r w:rsidRPr="3B385D4E" w:rsidR="3B385D4E">
        <w:rPr>
          <w:rFonts w:ascii="Calibri" w:hAnsi="Calibri" w:eastAsia="Calibri" w:cs="Calibri" w:asciiTheme="minorAscii" w:hAnsiTheme="minorAscii" w:eastAsiaTheme="minorAscii" w:cstheme="minorAscii"/>
          <w:b w:val="0"/>
          <w:bCs w:val="0"/>
          <w:sz w:val="24"/>
          <w:szCs w:val="24"/>
        </w:rPr>
        <w:t xml:space="preserve"> </w:t>
      </w:r>
    </w:p>
    <w:p w:rsidR="3B385D4E" w:rsidP="3B385D4E" w:rsidRDefault="3B385D4E" w14:paraId="2172C756" w14:textId="2D0BFCEC">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3B385D4E" w:rsidR="3B385D4E">
        <w:rPr>
          <w:rFonts w:ascii="Calibri" w:hAnsi="Calibri" w:eastAsia="Calibri" w:cs="Calibri" w:asciiTheme="minorAscii" w:hAnsiTheme="minorAscii" w:eastAsiaTheme="minorAscii" w:cstheme="minorAscii"/>
          <w:b w:val="0"/>
          <w:bCs w:val="0"/>
          <w:sz w:val="24"/>
          <w:szCs w:val="24"/>
        </w:rPr>
        <w:t xml:space="preserve">Wang, B. (2021). Mistaking theft: Dishonesty ‘turns over a new leaf.’ The Journal of Criminal Law, 86(1), 3–17. </w:t>
      </w:r>
      <w:r w:rsidRPr="3B385D4E" w:rsidR="3B385D4E">
        <w:rPr>
          <w:rFonts w:ascii="Calibri" w:hAnsi="Calibri" w:eastAsia="Calibri" w:cs="Calibri" w:asciiTheme="minorAscii" w:hAnsiTheme="minorAscii" w:eastAsiaTheme="minorAscii" w:cstheme="minorAscii"/>
          <w:b w:val="0"/>
          <w:bCs w:val="0"/>
          <w:sz w:val="24"/>
          <w:szCs w:val="24"/>
        </w:rPr>
        <w:t>https://doi.org/10.1177/00220183211028702</w:t>
      </w:r>
    </w:p>
    <w:p w:rsidR="3B385D4E" w:rsidP="3B385D4E" w:rsidRDefault="3B385D4E" w14:paraId="412A27FC" w14:textId="65D07C73">
      <w:pPr>
        <w:pStyle w:val="Header"/>
        <w:spacing w:line="480" w:lineRule="auto"/>
        <w:ind w:firstLine="720"/>
        <w:contextualSpacing/>
        <w:jc w:val="left"/>
        <w:rPr>
          <w:rFonts w:ascii="Calibri" w:hAnsi="Calibri" w:eastAsia="Calibri" w:cs="Calibri" w:asciiTheme="minorAscii" w:hAnsiTheme="minorAscii" w:eastAsiaTheme="minorAscii" w:cstheme="minorAscii"/>
          <w:b w:val="1"/>
          <w:bCs w:val="1"/>
          <w:sz w:val="24"/>
          <w:szCs w:val="24"/>
        </w:rPr>
      </w:pPr>
    </w:p>
    <w:p w:rsidR="581AC2FF" w:rsidP="581AC2FF" w:rsidRDefault="581AC2FF" w14:paraId="64485876" w14:textId="3AE12121">
      <w:pPr>
        <w:pStyle w:val="Header"/>
        <w:spacing w:line="480" w:lineRule="auto"/>
        <w:ind w:firstLine="720"/>
        <w:contextualSpacing/>
        <w:jc w:val="center"/>
        <w:rPr>
          <w:rFonts w:ascii="Calibri" w:hAnsi="Calibri" w:eastAsia="Calibri" w:cs="Calibri" w:asciiTheme="minorAscii" w:hAnsiTheme="minorAscii" w:eastAsiaTheme="minorAscii" w:cstheme="minorAscii"/>
          <w:b w:val="1"/>
          <w:bCs w:val="1"/>
          <w:sz w:val="24"/>
          <w:szCs w:val="24"/>
        </w:rPr>
      </w:pPr>
    </w:p>
    <w:p w:rsidRPr="0052621E" w:rsidR="00364E6A" w:rsidP="00FC1A65" w:rsidRDefault="00364E6A" w14:paraId="5CBA9523" w14:textId="77777777">
      <w:pPr>
        <w:pStyle w:val="Header"/>
        <w:jc w:val="center"/>
        <w:rPr>
          <w:rFonts w:ascii="Times New Roman" w:hAnsi="Times New Roman" w:cs="Times New Roman"/>
          <w:sz w:val="24"/>
          <w:szCs w:val="24"/>
        </w:rPr>
      </w:pPr>
    </w:p>
    <w:sectPr w:rsidRPr="0052621E" w:rsidR="00364E6A" w:rsidSect="00A3531B">
      <w:headerReference w:type="default" r:id="rId7"/>
      <w:headerReference w:type="first" r:id="rId8"/>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3531B" w:rsidRDefault="00A3531B" w14:paraId="0E39D22B" w14:textId="77777777">
      <w:pPr>
        <w:spacing w:after="0" w:line="240" w:lineRule="auto"/>
      </w:pPr>
      <w:r>
        <w:separator/>
      </w:r>
    </w:p>
  </w:endnote>
  <w:endnote w:type="continuationSeparator" w:id="0">
    <w:p w:rsidR="00A3531B" w:rsidRDefault="00A3531B" w14:paraId="52CD59E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3531B" w:rsidRDefault="00A3531B" w14:paraId="7FBC967D" w14:textId="77777777">
      <w:pPr>
        <w:spacing w:after="0" w:line="240" w:lineRule="auto"/>
      </w:pPr>
      <w:r>
        <w:separator/>
      </w:r>
    </w:p>
  </w:footnote>
  <w:footnote w:type="continuationSeparator" w:id="0">
    <w:p w:rsidR="00A3531B" w:rsidRDefault="00A3531B" w14:paraId="1ADB522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006D67" w:rsidR="00006D67" w:rsidP="00473EC1" w:rsidRDefault="001820FC" w14:paraId="69687DE9" w14:textId="0A47D2F7">
    <w:pPr>
      <w:pStyle w:val="Header"/>
      <w:tabs>
        <w:tab w:val="clear" w:pos="4680"/>
        <w:tab w:val="clear" w:pos="9360"/>
      </w:tabs>
      <w:jc w:val="right"/>
      <w:rPr>
        <w:rFonts w:ascii="Times New Roman" w:hAnsi="Times New Roman" w:cs="Times New Roman"/>
        <w:sz w:val="24"/>
        <w:szCs w:val="24"/>
      </w:rPr>
    </w:pPr>
    <w:r>
      <w:rPr>
        <w:rFonts w:ascii="Times New Roman" w:hAnsi="Times New Roman" w:cs="Times New Roman"/>
        <w:sz w:val="24"/>
        <w:szCs w:val="24"/>
      </w:rPr>
      <w:t>Policing by Consent</w:t>
    </w:r>
    <w:r w:rsidRPr="00006D67">
      <w:rPr>
        <w:rFonts w:ascii="Times New Roman" w:hAnsi="Times New Roman" w:cs="Times New Roman"/>
        <w:sz w:val="24"/>
        <w:szCs w:val="24"/>
      </w:rPr>
      <w:t xml:space="preserve">     </w:t>
    </w:r>
    <w:sdt>
      <w:sdtPr>
        <w:rPr>
          <w:rFonts w:ascii="Times New Roman" w:hAnsi="Times New Roman" w:cs="Times New Roman"/>
          <w:sz w:val="24"/>
          <w:szCs w:val="24"/>
        </w:rPr>
        <w:id w:val="918283182"/>
        <w:docPartObj>
          <w:docPartGallery w:val="Page Numbers (Top of Page)"/>
          <w:docPartUnique/>
        </w:docPartObj>
      </w:sdtPr>
      <w:sdtEndPr>
        <w:rPr>
          <w:noProof/>
        </w:rPr>
      </w:sdtEndPr>
      <w:sdtContent>
        <w:r w:rsidRPr="00006D67">
          <w:rPr>
            <w:rFonts w:ascii="Times New Roman" w:hAnsi="Times New Roman" w:cs="Times New Roman"/>
            <w:sz w:val="24"/>
            <w:szCs w:val="24"/>
          </w:rPr>
          <w:fldChar w:fldCharType="begin"/>
        </w:r>
        <w:r w:rsidRPr="00006D67">
          <w:rPr>
            <w:rFonts w:ascii="Times New Roman" w:hAnsi="Times New Roman" w:cs="Times New Roman"/>
            <w:sz w:val="24"/>
            <w:szCs w:val="24"/>
          </w:rPr>
          <w:instrText xml:space="preserve"> PAGE   \* MERGEFORMAT </w:instrText>
        </w:r>
        <w:r w:rsidRPr="00006D67">
          <w:rPr>
            <w:rFonts w:ascii="Times New Roman" w:hAnsi="Times New Roman" w:cs="Times New Roman"/>
            <w:sz w:val="24"/>
            <w:szCs w:val="24"/>
          </w:rPr>
          <w:fldChar w:fldCharType="separate"/>
        </w:r>
        <w:r w:rsidR="00AF724D">
          <w:rPr>
            <w:rFonts w:ascii="Times New Roman" w:hAnsi="Times New Roman" w:cs="Times New Roman"/>
            <w:noProof/>
            <w:sz w:val="24"/>
            <w:szCs w:val="24"/>
          </w:rPr>
          <w:t>4</w:t>
        </w:r>
        <w:r w:rsidRPr="00006D67">
          <w:rPr>
            <w:rFonts w:ascii="Times New Roman" w:hAnsi="Times New Roman" w:cs="Times New Roman"/>
            <w:noProof/>
            <w:sz w:val="24"/>
            <w:szCs w:val="24"/>
          </w:rPr>
          <w:fldChar w:fldCharType="end"/>
        </w:r>
      </w:sdtContent>
    </w:sdt>
  </w:p>
  <w:p w:rsidRPr="00006D67" w:rsidR="00AC0F77" w:rsidRDefault="00AC0F77" w14:paraId="68B33353" w14:textId="77777777">
    <w:pPr>
      <w:pStyle w:val="Head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006D67" w:rsidR="00006D67" w:rsidP="00473EC1" w:rsidRDefault="001820FC" w14:paraId="481012B4" w14:textId="41D9DA5D">
    <w:pPr>
      <w:pStyle w:val="Header"/>
      <w:tabs>
        <w:tab w:val="clear" w:pos="4680"/>
        <w:tab w:val="clear" w:pos="9360"/>
      </w:tabs>
      <w:jc w:val="right"/>
      <w:rPr>
        <w:rFonts w:ascii="Times New Roman" w:hAnsi="Times New Roman" w:cs="Times New Roman"/>
        <w:sz w:val="24"/>
        <w:szCs w:val="24"/>
      </w:rPr>
    </w:pPr>
    <w:r>
      <w:rPr>
        <w:rFonts w:ascii="Times New Roman" w:hAnsi="Times New Roman" w:cs="Times New Roman"/>
        <w:sz w:val="24"/>
        <w:szCs w:val="24"/>
      </w:rPr>
      <w:t>Policing by Consent</w:t>
    </w:r>
    <w:r w:rsidRPr="00006D67">
      <w:rPr>
        <w:rFonts w:ascii="Times New Roman" w:hAnsi="Times New Roman" w:cs="Times New Roman"/>
        <w:sz w:val="24"/>
        <w:szCs w:val="24"/>
      </w:rPr>
      <w:t xml:space="preserve">     </w:t>
    </w:r>
    <w:sdt>
      <w:sdtPr>
        <w:rPr>
          <w:rFonts w:ascii="Times New Roman" w:hAnsi="Times New Roman" w:cs="Times New Roman"/>
          <w:sz w:val="24"/>
          <w:szCs w:val="24"/>
        </w:rPr>
        <w:id w:val="1690408898"/>
        <w:docPartObj>
          <w:docPartGallery w:val="Page Numbers (Top of Page)"/>
          <w:docPartUnique/>
        </w:docPartObj>
      </w:sdtPr>
      <w:sdtEndPr>
        <w:rPr>
          <w:noProof/>
        </w:rPr>
      </w:sdtEndPr>
      <w:sdtContent>
        <w:r w:rsidRPr="00006D67">
          <w:rPr>
            <w:rFonts w:ascii="Times New Roman" w:hAnsi="Times New Roman" w:cs="Times New Roman"/>
            <w:sz w:val="24"/>
            <w:szCs w:val="24"/>
          </w:rPr>
          <w:fldChar w:fldCharType="begin"/>
        </w:r>
        <w:r w:rsidRPr="00006D67">
          <w:rPr>
            <w:rFonts w:ascii="Times New Roman" w:hAnsi="Times New Roman" w:cs="Times New Roman"/>
            <w:sz w:val="24"/>
            <w:szCs w:val="24"/>
          </w:rPr>
          <w:instrText xml:space="preserve"> PAGE   \* MERGEFORMAT </w:instrText>
        </w:r>
        <w:r w:rsidRPr="00006D67">
          <w:rPr>
            <w:rFonts w:ascii="Times New Roman" w:hAnsi="Times New Roman" w:cs="Times New Roman"/>
            <w:sz w:val="24"/>
            <w:szCs w:val="24"/>
          </w:rPr>
          <w:fldChar w:fldCharType="separate"/>
        </w:r>
        <w:r w:rsidR="00043F3D">
          <w:rPr>
            <w:rFonts w:ascii="Times New Roman" w:hAnsi="Times New Roman" w:cs="Times New Roman"/>
            <w:noProof/>
            <w:sz w:val="24"/>
            <w:szCs w:val="24"/>
          </w:rPr>
          <w:t>1</w:t>
        </w:r>
        <w:r w:rsidRPr="00006D67">
          <w:rPr>
            <w:rFonts w:ascii="Times New Roman" w:hAnsi="Times New Roman" w:cs="Times New Roman"/>
            <w:noProof/>
            <w:sz w:val="24"/>
            <w:szCs w:val="24"/>
          </w:rPr>
          <w:fldChar w:fldCharType="end"/>
        </w:r>
      </w:sdtContent>
    </w:sdt>
  </w:p>
  <w:p w:rsidRPr="00006D67" w:rsidR="00AC0F77" w:rsidRDefault="00AC0F77" w14:paraId="2BAA6ED7" w14:textId="77777777">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LQwMTExMLa0sDA0NjdV0lEKTi0uzszPAykwrQUAK69aNSwAAAA="/>
  </w:docVars>
  <w:rsids>
    <w:rsidRoot w:val="000F32B8"/>
    <w:rsid w:val="00003607"/>
    <w:rsid w:val="00006D67"/>
    <w:rsid w:val="000213D7"/>
    <w:rsid w:val="000263A0"/>
    <w:rsid w:val="000327C7"/>
    <w:rsid w:val="00043F3D"/>
    <w:rsid w:val="000A02E1"/>
    <w:rsid w:val="000A7F92"/>
    <w:rsid w:val="000D29C1"/>
    <w:rsid w:val="000D591A"/>
    <w:rsid w:val="000F1B9D"/>
    <w:rsid w:val="000F2FAD"/>
    <w:rsid w:val="000F32B8"/>
    <w:rsid w:val="00126217"/>
    <w:rsid w:val="00133527"/>
    <w:rsid w:val="001421F6"/>
    <w:rsid w:val="00152DE0"/>
    <w:rsid w:val="00172E66"/>
    <w:rsid w:val="001820FC"/>
    <w:rsid w:val="00185494"/>
    <w:rsid w:val="001936D3"/>
    <w:rsid w:val="001978B6"/>
    <w:rsid w:val="001A1DA0"/>
    <w:rsid w:val="001A3483"/>
    <w:rsid w:val="001D6046"/>
    <w:rsid w:val="00225652"/>
    <w:rsid w:val="00257A7C"/>
    <w:rsid w:val="00257D1C"/>
    <w:rsid w:val="0026667A"/>
    <w:rsid w:val="00270AA6"/>
    <w:rsid w:val="00283DFA"/>
    <w:rsid w:val="0028434A"/>
    <w:rsid w:val="0029012F"/>
    <w:rsid w:val="0029331B"/>
    <w:rsid w:val="00295936"/>
    <w:rsid w:val="002A6437"/>
    <w:rsid w:val="002B3881"/>
    <w:rsid w:val="002E485C"/>
    <w:rsid w:val="00305536"/>
    <w:rsid w:val="003109FA"/>
    <w:rsid w:val="0032192E"/>
    <w:rsid w:val="00330603"/>
    <w:rsid w:val="00333726"/>
    <w:rsid w:val="00346462"/>
    <w:rsid w:val="00361E86"/>
    <w:rsid w:val="00364E6A"/>
    <w:rsid w:val="003835A1"/>
    <w:rsid w:val="00385397"/>
    <w:rsid w:val="003A2742"/>
    <w:rsid w:val="003C1EED"/>
    <w:rsid w:val="003F67F0"/>
    <w:rsid w:val="004068CB"/>
    <w:rsid w:val="00433BD9"/>
    <w:rsid w:val="004401B5"/>
    <w:rsid w:val="004475F4"/>
    <w:rsid w:val="004671E7"/>
    <w:rsid w:val="00473EC1"/>
    <w:rsid w:val="00491787"/>
    <w:rsid w:val="004924D6"/>
    <w:rsid w:val="004C16A5"/>
    <w:rsid w:val="004D35D6"/>
    <w:rsid w:val="004E5642"/>
    <w:rsid w:val="004F7CE3"/>
    <w:rsid w:val="005101E9"/>
    <w:rsid w:val="00517D9E"/>
    <w:rsid w:val="0052500A"/>
    <w:rsid w:val="0052621E"/>
    <w:rsid w:val="0055346B"/>
    <w:rsid w:val="00563389"/>
    <w:rsid w:val="00564FCE"/>
    <w:rsid w:val="005A0A09"/>
    <w:rsid w:val="005D6363"/>
    <w:rsid w:val="005E56AF"/>
    <w:rsid w:val="006000AA"/>
    <w:rsid w:val="00601815"/>
    <w:rsid w:val="0061032C"/>
    <w:rsid w:val="00617170"/>
    <w:rsid w:val="00622DDB"/>
    <w:rsid w:val="00631A55"/>
    <w:rsid w:val="00634A51"/>
    <w:rsid w:val="00656338"/>
    <w:rsid w:val="00690B1F"/>
    <w:rsid w:val="006947EE"/>
    <w:rsid w:val="006A2DB6"/>
    <w:rsid w:val="006C063D"/>
    <w:rsid w:val="00726D39"/>
    <w:rsid w:val="00733F87"/>
    <w:rsid w:val="007579FE"/>
    <w:rsid w:val="00782E26"/>
    <w:rsid w:val="00786100"/>
    <w:rsid w:val="00793D91"/>
    <w:rsid w:val="007B24C0"/>
    <w:rsid w:val="007B7D4D"/>
    <w:rsid w:val="00825B53"/>
    <w:rsid w:val="00825CAD"/>
    <w:rsid w:val="008423BA"/>
    <w:rsid w:val="00853D2B"/>
    <w:rsid w:val="00854C92"/>
    <w:rsid w:val="00870ADC"/>
    <w:rsid w:val="0088243B"/>
    <w:rsid w:val="008B414D"/>
    <w:rsid w:val="008D0E06"/>
    <w:rsid w:val="008E1705"/>
    <w:rsid w:val="00932E24"/>
    <w:rsid w:val="00956405"/>
    <w:rsid w:val="0097086F"/>
    <w:rsid w:val="009A798D"/>
    <w:rsid w:val="009C00E2"/>
    <w:rsid w:val="009F31D0"/>
    <w:rsid w:val="00A172C7"/>
    <w:rsid w:val="00A175DB"/>
    <w:rsid w:val="00A21D75"/>
    <w:rsid w:val="00A26124"/>
    <w:rsid w:val="00A3531B"/>
    <w:rsid w:val="00A36254"/>
    <w:rsid w:val="00A36F96"/>
    <w:rsid w:val="00A4354D"/>
    <w:rsid w:val="00A4598D"/>
    <w:rsid w:val="00A55427"/>
    <w:rsid w:val="00A5624A"/>
    <w:rsid w:val="00A64C65"/>
    <w:rsid w:val="00A67764"/>
    <w:rsid w:val="00A91F2B"/>
    <w:rsid w:val="00AB44BB"/>
    <w:rsid w:val="00AC0F77"/>
    <w:rsid w:val="00AC26A5"/>
    <w:rsid w:val="00AE11CE"/>
    <w:rsid w:val="00AE30BA"/>
    <w:rsid w:val="00AE4B3C"/>
    <w:rsid w:val="00AF26A7"/>
    <w:rsid w:val="00AF3C50"/>
    <w:rsid w:val="00AF724D"/>
    <w:rsid w:val="00B07006"/>
    <w:rsid w:val="00B131A2"/>
    <w:rsid w:val="00B26293"/>
    <w:rsid w:val="00B44BE3"/>
    <w:rsid w:val="00B732F9"/>
    <w:rsid w:val="00B76F93"/>
    <w:rsid w:val="00B858DA"/>
    <w:rsid w:val="00B94F85"/>
    <w:rsid w:val="00B97287"/>
    <w:rsid w:val="00BE45FF"/>
    <w:rsid w:val="00C021D9"/>
    <w:rsid w:val="00C05BB6"/>
    <w:rsid w:val="00C07515"/>
    <w:rsid w:val="00C114E3"/>
    <w:rsid w:val="00C4417B"/>
    <w:rsid w:val="00C654B6"/>
    <w:rsid w:val="00C906AA"/>
    <w:rsid w:val="00CE70B9"/>
    <w:rsid w:val="00D1347E"/>
    <w:rsid w:val="00D335D5"/>
    <w:rsid w:val="00D37A4E"/>
    <w:rsid w:val="00D96211"/>
    <w:rsid w:val="00DB3E85"/>
    <w:rsid w:val="00DE2420"/>
    <w:rsid w:val="00DE5B3F"/>
    <w:rsid w:val="00DF011B"/>
    <w:rsid w:val="00DF4D5F"/>
    <w:rsid w:val="00DF59D1"/>
    <w:rsid w:val="00DF71A0"/>
    <w:rsid w:val="00E025C5"/>
    <w:rsid w:val="00E055C9"/>
    <w:rsid w:val="00E13D81"/>
    <w:rsid w:val="00E2774F"/>
    <w:rsid w:val="00E564A9"/>
    <w:rsid w:val="00EB6D34"/>
    <w:rsid w:val="00EC63E1"/>
    <w:rsid w:val="00ED5DBF"/>
    <w:rsid w:val="00EF232F"/>
    <w:rsid w:val="00EF2D46"/>
    <w:rsid w:val="00F0364C"/>
    <w:rsid w:val="00F138EC"/>
    <w:rsid w:val="00F15A66"/>
    <w:rsid w:val="00F2140F"/>
    <w:rsid w:val="00F269CF"/>
    <w:rsid w:val="00F52C47"/>
    <w:rsid w:val="00F53043"/>
    <w:rsid w:val="00F54788"/>
    <w:rsid w:val="00F74527"/>
    <w:rsid w:val="00FC1A65"/>
    <w:rsid w:val="00FC35FD"/>
    <w:rsid w:val="00FF16D3"/>
    <w:rsid w:val="00FF46B8"/>
    <w:rsid w:val="14F27F53"/>
    <w:rsid w:val="3B385D4E"/>
    <w:rsid w:val="581AC2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72D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C0F77"/>
    <w:pPr>
      <w:keepNext/>
      <w:keepLines/>
      <w:spacing w:before="480" w:after="0"/>
      <w:outlineLvl w:val="0"/>
    </w:pPr>
    <w:rPr>
      <w:rFonts w:asciiTheme="majorHAnsi" w:hAnsiTheme="majorHAnsi" w:eastAsiaTheme="majorEastAsia" w:cstheme="majorBidi"/>
      <w:b/>
      <w:bCs/>
      <w:color w:val="365F91" w:themeColor="accent1" w:themeShade="BF"/>
      <w:sz w:val="28"/>
      <w:szCs w:val="28"/>
      <w:lang w:bidi="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EB6D34"/>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A64C65"/>
    <w:pPr>
      <w:tabs>
        <w:tab w:val="center" w:pos="4680"/>
        <w:tab w:val="right" w:pos="9360"/>
      </w:tabs>
      <w:spacing w:after="0" w:line="240" w:lineRule="auto"/>
    </w:pPr>
  </w:style>
  <w:style w:type="character" w:styleId="HeaderChar" w:customStyle="1">
    <w:name w:val="Header Char"/>
    <w:basedOn w:val="DefaultParagraphFont"/>
    <w:link w:val="Header"/>
    <w:uiPriority w:val="99"/>
    <w:rsid w:val="00A64C65"/>
  </w:style>
  <w:style w:type="paragraph" w:styleId="Footer">
    <w:name w:val="footer"/>
    <w:basedOn w:val="Normal"/>
    <w:link w:val="FooterChar"/>
    <w:uiPriority w:val="99"/>
    <w:unhideWhenUsed/>
    <w:rsid w:val="00A64C65"/>
    <w:pPr>
      <w:tabs>
        <w:tab w:val="center" w:pos="4680"/>
        <w:tab w:val="right" w:pos="9360"/>
      </w:tabs>
      <w:spacing w:after="0" w:line="240" w:lineRule="auto"/>
    </w:pPr>
  </w:style>
  <w:style w:type="character" w:styleId="FooterChar" w:customStyle="1">
    <w:name w:val="Footer Char"/>
    <w:basedOn w:val="DefaultParagraphFont"/>
    <w:link w:val="Footer"/>
    <w:uiPriority w:val="99"/>
    <w:rsid w:val="00A64C65"/>
  </w:style>
  <w:style w:type="paragraph" w:styleId="BalloonText">
    <w:name w:val="Balloon Text"/>
    <w:basedOn w:val="Normal"/>
    <w:link w:val="BalloonTextChar"/>
    <w:uiPriority w:val="99"/>
    <w:semiHidden/>
    <w:unhideWhenUsed/>
    <w:rsid w:val="00A64C65"/>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64C65"/>
    <w:rPr>
      <w:rFonts w:ascii="Tahoma" w:hAnsi="Tahoma" w:cs="Tahoma"/>
      <w:sz w:val="16"/>
      <w:szCs w:val="16"/>
    </w:rPr>
  </w:style>
  <w:style w:type="character" w:styleId="Heading1Char" w:customStyle="1">
    <w:name w:val="Heading 1 Char"/>
    <w:basedOn w:val="DefaultParagraphFont"/>
    <w:link w:val="Heading1"/>
    <w:uiPriority w:val="9"/>
    <w:rsid w:val="00AC0F77"/>
    <w:rPr>
      <w:rFonts w:asciiTheme="majorHAnsi" w:hAnsiTheme="majorHAnsi" w:eastAsiaTheme="majorEastAsia"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AC0F77"/>
  </w:style>
  <w:style w:type="character" w:styleId="words" w:customStyle="1">
    <w:name w:val="words"/>
    <w:basedOn w:val="DefaultParagraphFont"/>
    <w:rsid w:val="00853D2B"/>
  </w:style>
  <w:style w:type="character" w:styleId="ignoredpatterns" w:customStyle="1">
    <w:name w:val="ignoredpatterns"/>
    <w:basedOn w:val="DefaultParagraphFont"/>
    <w:rsid w:val="00853D2B"/>
  </w:style>
  <w:style w:type="character" w:styleId="passivevoice" w:customStyle="1">
    <w:name w:val="passivevoice"/>
    <w:basedOn w:val="DefaultParagraphFont"/>
    <w:rsid w:val="00853D2B"/>
  </w:style>
  <w:style w:type="character" w:styleId="wordchoice" w:customStyle="1">
    <w:name w:val="wordchoice"/>
    <w:basedOn w:val="DefaultParagraphFont"/>
    <w:rsid w:val="00853D2B"/>
  </w:style>
  <w:style w:type="character" w:styleId="accidentallyconfused" w:customStyle="1">
    <w:name w:val="accidentallyconfused"/>
    <w:basedOn w:val="DefaultParagraphFont"/>
    <w:rsid w:val="00853D2B"/>
  </w:style>
  <w:style w:type="character" w:styleId="wordorder" w:customStyle="1">
    <w:name w:val="wordorder"/>
    <w:basedOn w:val="DefaultParagraphFont"/>
    <w:rsid w:val="00853D2B"/>
  </w:style>
  <w:style w:type="character" w:styleId="britishvsamerican" w:customStyle="1">
    <w:name w:val="britishvsamerican"/>
    <w:basedOn w:val="DefaultParagraphFont"/>
    <w:rsid w:val="00853D2B"/>
  </w:style>
  <w:style w:type="character" w:styleId="ignoredwords" w:customStyle="1">
    <w:name w:val="ignoredwords"/>
    <w:basedOn w:val="DefaultParagraphFont"/>
    <w:rsid w:val="00152DE0"/>
  </w:style>
  <w:style w:type="character" w:styleId="colloquial" w:customStyle="1">
    <w:name w:val="colloquial"/>
    <w:basedOn w:val="DefaultParagraphFont"/>
    <w:rsid w:val="00152D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glossary/document.xml" Id="Rdec9da5fd4694177" /><Relationship Type="http://schemas.openxmlformats.org/officeDocument/2006/relationships/image" Target="/media/image2.jpg" Id="Rff8a4d73ca4f4f1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51aafd4-c662-4b1c-a739-b08cea82762b}"/>
      </w:docPartPr>
      <w:docPartBody>
        <w:p w14:paraId="67CFE2F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Jon131</b:Tag>
    <b:SourceType>Book</b:SourceType>
    <b:Guid>{934E0623-D3D2-473B-A28F-CDD9074AF38F}</b:Guid>
    <b:Author>
      <b:Author>
        <b:NameList>
          <b:Person>
            <b:Last>Jones</b:Last>
            <b:First>O</b:First>
          </b:Person>
        </b:NameList>
      </b:Author>
    </b:Author>
    <b:Title>Operations and Supply Chain Management, Ed 6</b:Title>
    <b:Year>2013</b:Year>
    <b:City>Harlow</b:City>
    <b:Publisher> Pearson Education</b:Publisher>
    <b:RefOrder>2</b:RefOrder>
  </b:Source>
  <b:Source>
    <b:Tag>Bic00</b:Tag>
    <b:SourceType>Book</b:SourceType>
    <b:Guid>{C1AA6CE2-AD18-469B-94ED-9193C02ACC2D}</b:Guid>
    <b:Author>
      <b:Author>
        <b:NameList>
          <b:Person>
            <b:Last>Bicheno</b:Last>
            <b:First>J</b:First>
          </b:Person>
        </b:NameList>
      </b:Author>
    </b:Author>
    <b:Title>Cause and Effect Lean-Lean Operations, Six Sigma, And Supply Chain Essentials</b:Title>
    <b:Year>2000</b:Year>
    <b:City>Buckingham</b:City>
    <b:Publisher>Picsie Books</b:Publisher>
    <b:RefOrder>4</b:RefOrder>
  </b:Source>
  <b:Source>
    <b:Tag>Bar081</b:Tag>
    <b:SourceType>Book</b:SourceType>
    <b:Guid>{495A38C7-4FDD-46E5-8252-A9D8BAF4FB2A}</b:Guid>
    <b:Author>
      <b:Author>
        <b:NameList>
          <b:Person>
            <b:Last>Barnes</b:Last>
            <b:First>D</b:First>
          </b:Person>
        </b:NameList>
      </b:Author>
    </b:Author>
    <b:Title>Operations Management : An International Perspective</b:Title>
    <b:Year>2008</b:Year>
    <b:City>London</b:City>
    <b:Publisher>Thomson Learning</b:Publisher>
    <b:RefOrder>1</b:RefOrder>
  </b:Source>
  <b:Source>
    <b:Tag>Joh08</b:Tag>
    <b:SourceType>Book</b:SourceType>
    <b:Guid>{9D2CA472-B996-4855-AC2D-79C4D8B9D46E}</b:Guid>
    <b:Author>
      <b:Author>
        <b:NameList>
          <b:Person>
            <b:Last>Johnston</b:Last>
            <b:First>R</b:First>
          </b:Person>
          <b:Person>
            <b:Last>Clark</b:Last>
            <b:First>G</b:First>
          </b:Person>
        </b:NameList>
      </b:Author>
    </b:Author>
    <b:Title>Service Operations Management, Ed3</b:Title>
    <b:Year>2008</b:Year>
    <b:City>Harlow</b:City>
    <b:Publisher>Prentice Hall</b:Publisher>
    <b:RefOrder>3</b:RefOrder>
  </b:Source>
  <b:Source>
    <b:Tag>Sla13</b:Tag>
    <b:SourceType>Book</b:SourceType>
    <b:Guid>{8DE04E32-0E7E-40E5-8707-5C9650C02B34}</b:Guid>
    <b:Author>
      <b:Author>
        <b:NameList>
          <b:Person>
            <b:Last>Slack</b:Last>
            <b:First>Nigel</b:First>
          </b:Person>
        </b:NameList>
      </b:Author>
    </b:Author>
    <b:Title>Operations management, 7th Edition</b:Title>
    <b:Year>2013</b:Year>
    <b:City>London</b:City>
    <b:Publisher>Pearson FT Prentice Hall</b:Publisher>
    <b:RefOrder>6</b:RefOrder>
  </b:Source>
  <b:Source>
    <b:Tag>Lun13</b:Tag>
    <b:SourceType>Book</b:SourceType>
    <b:Guid>{E27878C6-C5B0-4E1F-9113-D121A5317E67}</b:Guid>
    <b:Author>
      <b:Author>
        <b:NameList>
          <b:Person>
            <b:Last>Lunuau</b:Last>
            <b:First>S</b:First>
          </b:Person>
        </b:NameList>
      </b:Author>
    </b:Author>
    <b:Title>Six Sigma and Lean Toolset Mindset for succesfully Implementation of improvement Projects. 2nd ed</b:Title>
    <b:Year>2013</b:Year>
    <b:City>London</b:City>
    <b:Publisher>Spinger</b:Publisher>
    <b:RefOrder>5</b:RefOrder>
  </b:Source>
</b:Sources>
</file>

<file path=customXml/itemProps1.xml><?xml version="1.0" encoding="utf-8"?>
<ds:datastoreItem xmlns:ds="http://schemas.openxmlformats.org/officeDocument/2006/customXml" ds:itemID="{32360285-0192-48D5-9BF9-00ED3F4EA23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Teo Catalin</lastModifiedBy>
  <revision>4</revision>
  <dcterms:created xsi:type="dcterms:W3CDTF">2024-04-13T23:08:00.0000000Z</dcterms:created>
  <dcterms:modified xsi:type="dcterms:W3CDTF">2024-05-03T17:36:00.2344387Z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8a156dacd317d0948a65d29c5326b75164bc46d51521d2d8aff74c95ac0cdd01</vt:lpwstr>
  </property>
</Properties>
</file>