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A52CE3" w14:textId="240113BE" w:rsidR="00803A84" w:rsidRPr="00CD33A8" w:rsidRDefault="00074402" w:rsidP="00CD33A8">
      <w:pPr>
        <w:spacing w:line="360" w:lineRule="auto"/>
        <w:rPr>
          <w:rFonts w:asciiTheme="minorBidi" w:hAnsiTheme="minorBidi"/>
          <w:sz w:val="22"/>
        </w:rPr>
      </w:pPr>
      <w:r w:rsidRPr="00CD33A8">
        <w:rPr>
          <w:rFonts w:asciiTheme="minorBidi" w:hAnsiTheme="minorBidi"/>
          <w:noProof/>
          <w:sz w:val="22"/>
          <w:lang w:eastAsia="en-GB"/>
        </w:rPr>
        <w:drawing>
          <wp:anchor distT="0" distB="0" distL="114300" distR="114300" simplePos="0" relativeHeight="251659264" behindDoc="0" locked="0" layoutInCell="1" allowOverlap="1" wp14:anchorId="47BC0542" wp14:editId="13228348">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85F3537" w14:textId="57896CF9" w:rsidR="00074402" w:rsidRPr="00CD33A8" w:rsidRDefault="00074402" w:rsidP="00CD33A8">
      <w:pPr>
        <w:spacing w:line="360" w:lineRule="auto"/>
        <w:rPr>
          <w:rFonts w:asciiTheme="minorBidi" w:hAnsiTheme="minorBidi"/>
          <w:sz w:val="22"/>
        </w:rPr>
      </w:pPr>
    </w:p>
    <w:p w14:paraId="4E267F2C" w14:textId="35E99859" w:rsidR="00074402" w:rsidRPr="00CD33A8" w:rsidRDefault="00074402" w:rsidP="00CD33A8">
      <w:pPr>
        <w:spacing w:line="360" w:lineRule="auto"/>
        <w:rPr>
          <w:rFonts w:asciiTheme="minorBidi" w:hAnsiTheme="minorBidi"/>
          <w:sz w:val="22"/>
        </w:rPr>
      </w:pPr>
    </w:p>
    <w:p w14:paraId="5D864E3F" w14:textId="04749E68" w:rsidR="00074402" w:rsidRPr="00CD33A8" w:rsidRDefault="00074402" w:rsidP="00CD33A8">
      <w:pPr>
        <w:spacing w:line="360" w:lineRule="auto"/>
        <w:rPr>
          <w:rFonts w:asciiTheme="minorBidi" w:hAnsiTheme="minorBidi"/>
          <w:sz w:val="22"/>
        </w:rPr>
      </w:pPr>
    </w:p>
    <w:p w14:paraId="22F2817A" w14:textId="77777777" w:rsidR="00074402" w:rsidRPr="00CD33A8" w:rsidRDefault="00074402" w:rsidP="00CD33A8">
      <w:pPr>
        <w:tabs>
          <w:tab w:val="left" w:pos="6540"/>
        </w:tabs>
        <w:spacing w:line="360" w:lineRule="auto"/>
        <w:rPr>
          <w:rFonts w:asciiTheme="minorBidi" w:hAnsiTheme="minorBidi"/>
          <w:sz w:val="22"/>
        </w:rPr>
      </w:pPr>
    </w:p>
    <w:p w14:paraId="7D557BA5" w14:textId="352C2CCC" w:rsidR="00CD33A8" w:rsidRPr="00A22F52" w:rsidRDefault="00CD33A8" w:rsidP="00CD33A8">
      <w:pPr>
        <w:tabs>
          <w:tab w:val="left" w:pos="6540"/>
        </w:tabs>
        <w:spacing w:line="360" w:lineRule="auto"/>
        <w:rPr>
          <w:rFonts w:ascii="Arial" w:hAnsi="Arial" w:cs="Arial"/>
          <w:sz w:val="22"/>
          <w:lang w:val="nl-NL"/>
        </w:rPr>
      </w:pPr>
      <w:r w:rsidRPr="00A22F52">
        <w:rPr>
          <w:rFonts w:ascii="Arial" w:hAnsi="Arial" w:cs="Arial"/>
          <w:b/>
          <w:bCs/>
          <w:sz w:val="22"/>
          <w:lang w:val="nl-NL"/>
        </w:rPr>
        <w:t>Module name</w:t>
      </w:r>
      <w:r w:rsidRPr="00A22F52">
        <w:rPr>
          <w:rFonts w:ascii="Arial" w:hAnsi="Arial" w:cs="Arial"/>
          <w:sz w:val="22"/>
          <w:lang w:val="nl-NL"/>
        </w:rPr>
        <w:t xml:space="preserve">: </w:t>
      </w:r>
      <w:r w:rsidR="007305BC" w:rsidRPr="007305BC">
        <w:rPr>
          <w:rFonts w:ascii="Arial" w:hAnsi="Arial" w:cs="Arial"/>
          <w:sz w:val="22"/>
        </w:rPr>
        <w:t>Introduction to Independent Research Skills</w:t>
      </w:r>
    </w:p>
    <w:p w14:paraId="537571AF" w14:textId="280E8C50" w:rsidR="00CD33A8" w:rsidRPr="007305BC" w:rsidRDefault="00CD33A8" w:rsidP="007305BC">
      <w:pPr>
        <w:tabs>
          <w:tab w:val="left" w:pos="6540"/>
        </w:tabs>
        <w:spacing w:line="360" w:lineRule="auto"/>
        <w:rPr>
          <w:rFonts w:ascii="Arial" w:hAnsi="Arial" w:cs="Arial"/>
          <w:sz w:val="22"/>
        </w:rPr>
      </w:pPr>
      <w:r w:rsidRPr="00A22F52">
        <w:rPr>
          <w:rFonts w:ascii="Arial" w:hAnsi="Arial" w:cs="Arial"/>
          <w:b/>
          <w:bCs/>
          <w:sz w:val="22"/>
        </w:rPr>
        <w:t>Module code</w:t>
      </w:r>
      <w:r w:rsidRPr="00A22F52">
        <w:rPr>
          <w:rFonts w:ascii="Arial" w:hAnsi="Arial" w:cs="Arial"/>
          <w:sz w:val="22"/>
        </w:rPr>
        <w:t>:</w:t>
      </w:r>
      <w:r w:rsidR="007305BC">
        <w:rPr>
          <w:rFonts w:ascii="Arial" w:hAnsi="Arial" w:cs="Arial"/>
          <w:sz w:val="22"/>
        </w:rPr>
        <w:t xml:space="preserve"> </w:t>
      </w:r>
      <w:r w:rsidR="007305BC" w:rsidRPr="007305BC">
        <w:rPr>
          <w:rFonts w:ascii="Arial" w:hAnsi="Arial" w:cs="Arial"/>
          <w:sz w:val="22"/>
        </w:rPr>
        <w:t>BMHP5019</w:t>
      </w:r>
    </w:p>
    <w:p w14:paraId="529D7354" w14:textId="77777777" w:rsidR="00CD33A8" w:rsidRPr="00A22F52" w:rsidRDefault="00CD33A8" w:rsidP="00CD33A8">
      <w:pPr>
        <w:tabs>
          <w:tab w:val="left" w:pos="6540"/>
        </w:tabs>
        <w:spacing w:line="360" w:lineRule="auto"/>
        <w:rPr>
          <w:rFonts w:ascii="Arial" w:hAnsi="Arial" w:cs="Arial"/>
          <w:b/>
          <w:bCs/>
          <w:sz w:val="22"/>
          <w:lang w:val="nl-NL"/>
        </w:rPr>
      </w:pPr>
    </w:p>
    <w:p w14:paraId="0A48766D" w14:textId="5AC414A6" w:rsidR="00074402" w:rsidRPr="00A22F52" w:rsidRDefault="00074402" w:rsidP="00CD33A8">
      <w:pPr>
        <w:tabs>
          <w:tab w:val="left" w:pos="6540"/>
        </w:tabs>
        <w:spacing w:line="360" w:lineRule="auto"/>
        <w:rPr>
          <w:rFonts w:ascii="Arial" w:hAnsi="Arial" w:cs="Arial"/>
          <w:sz w:val="22"/>
          <w:lang w:val="nl-NL"/>
        </w:rPr>
      </w:pPr>
      <w:r w:rsidRPr="00A22F52">
        <w:rPr>
          <w:rFonts w:ascii="Arial" w:hAnsi="Arial" w:cs="Arial"/>
          <w:b/>
          <w:bCs/>
          <w:sz w:val="22"/>
          <w:lang w:val="nl-NL"/>
        </w:rPr>
        <w:t>Student name</w:t>
      </w:r>
      <w:r w:rsidRPr="00A22F52">
        <w:rPr>
          <w:rFonts w:ascii="Arial" w:hAnsi="Arial" w:cs="Arial"/>
          <w:sz w:val="22"/>
          <w:lang w:val="nl-NL"/>
        </w:rPr>
        <w:t>:</w:t>
      </w:r>
      <w:r w:rsidR="007C66E0">
        <w:rPr>
          <w:rFonts w:ascii="Arial" w:hAnsi="Arial" w:cs="Arial"/>
          <w:sz w:val="22"/>
          <w:lang w:val="nl-NL"/>
        </w:rPr>
        <w:t xml:space="preserve"> Cynthia nelson-Yeboah</w:t>
      </w:r>
    </w:p>
    <w:p w14:paraId="39AA4413" w14:textId="2070DB55" w:rsidR="00074402" w:rsidRPr="00A22F52" w:rsidRDefault="00074402" w:rsidP="00CD33A8">
      <w:pPr>
        <w:tabs>
          <w:tab w:val="left" w:pos="6540"/>
        </w:tabs>
        <w:spacing w:line="360" w:lineRule="auto"/>
        <w:rPr>
          <w:rFonts w:ascii="Arial" w:hAnsi="Arial" w:cs="Arial"/>
          <w:sz w:val="22"/>
          <w:lang w:val="nl-NL"/>
        </w:rPr>
      </w:pPr>
      <w:r w:rsidRPr="00A22F52">
        <w:rPr>
          <w:rFonts w:ascii="Arial" w:hAnsi="Arial" w:cs="Arial"/>
          <w:b/>
          <w:bCs/>
          <w:sz w:val="22"/>
          <w:lang w:val="nl-NL"/>
        </w:rPr>
        <w:t>Student ID</w:t>
      </w:r>
      <w:r w:rsidRPr="00A22F52">
        <w:rPr>
          <w:rFonts w:ascii="Arial" w:hAnsi="Arial" w:cs="Arial"/>
          <w:sz w:val="22"/>
          <w:lang w:val="nl-NL"/>
        </w:rPr>
        <w:t>:</w:t>
      </w:r>
      <w:r w:rsidR="007C66E0">
        <w:rPr>
          <w:rFonts w:ascii="Arial" w:hAnsi="Arial" w:cs="Arial"/>
          <w:sz w:val="22"/>
          <w:lang w:val="nl-NL"/>
        </w:rPr>
        <w:t xml:space="preserve"> 2333272</w:t>
      </w:r>
    </w:p>
    <w:p w14:paraId="5E81F6AD" w14:textId="77777777" w:rsidR="00074402" w:rsidRPr="00A22F52" w:rsidRDefault="00074402" w:rsidP="00CD33A8">
      <w:pPr>
        <w:tabs>
          <w:tab w:val="left" w:pos="6540"/>
        </w:tabs>
        <w:spacing w:line="360" w:lineRule="auto"/>
        <w:rPr>
          <w:rFonts w:ascii="Arial" w:hAnsi="Arial" w:cs="Arial"/>
          <w:sz w:val="22"/>
          <w:lang w:val="nl-NL"/>
        </w:rPr>
      </w:pPr>
    </w:p>
    <w:p w14:paraId="1A0B2D2B" w14:textId="5186F34A" w:rsidR="00074402" w:rsidRPr="00A22F52" w:rsidRDefault="00CD33A8" w:rsidP="00CD33A8">
      <w:pPr>
        <w:tabs>
          <w:tab w:val="left" w:pos="6540"/>
        </w:tabs>
        <w:spacing w:line="360" w:lineRule="auto"/>
        <w:rPr>
          <w:rFonts w:ascii="Arial" w:hAnsi="Arial" w:cs="Arial"/>
          <w:sz w:val="22"/>
        </w:rPr>
      </w:pPr>
      <w:r w:rsidRPr="00A22F52">
        <w:rPr>
          <w:rFonts w:ascii="Arial" w:hAnsi="Arial" w:cs="Arial"/>
          <w:b/>
          <w:bCs/>
          <w:sz w:val="22"/>
        </w:rPr>
        <w:t>Word count</w:t>
      </w:r>
      <w:r w:rsidR="00074402" w:rsidRPr="00A22F52">
        <w:rPr>
          <w:rFonts w:ascii="Arial" w:hAnsi="Arial" w:cs="Arial"/>
          <w:sz w:val="22"/>
        </w:rPr>
        <w:t>:</w:t>
      </w:r>
      <w:r w:rsidR="00F45530">
        <w:rPr>
          <w:rFonts w:ascii="Arial" w:hAnsi="Arial" w:cs="Arial"/>
          <w:sz w:val="22"/>
        </w:rPr>
        <w:t xml:space="preserve"> 3572 Words</w:t>
      </w:r>
    </w:p>
    <w:p w14:paraId="39D08584" w14:textId="77777777" w:rsidR="00074402" w:rsidRPr="00A22F52" w:rsidRDefault="00074402" w:rsidP="00CD33A8">
      <w:pPr>
        <w:tabs>
          <w:tab w:val="left" w:pos="6540"/>
        </w:tabs>
        <w:spacing w:line="360" w:lineRule="auto"/>
        <w:rPr>
          <w:rFonts w:asciiTheme="minorBidi" w:hAnsiTheme="minorBidi"/>
          <w:sz w:val="22"/>
        </w:rPr>
      </w:pPr>
    </w:p>
    <w:p w14:paraId="5B66D125" w14:textId="77777777" w:rsidR="00074402" w:rsidRPr="00A22F52" w:rsidRDefault="00074402" w:rsidP="00CD33A8">
      <w:pPr>
        <w:tabs>
          <w:tab w:val="left" w:pos="6540"/>
        </w:tabs>
        <w:spacing w:line="360" w:lineRule="auto"/>
        <w:rPr>
          <w:rFonts w:asciiTheme="minorBidi" w:hAnsiTheme="minorBidi"/>
          <w:sz w:val="22"/>
        </w:rPr>
      </w:pPr>
    </w:p>
    <w:p w14:paraId="291524A2" w14:textId="2CBFF360" w:rsidR="00074402" w:rsidRPr="00A22F52" w:rsidRDefault="00074402" w:rsidP="00CD33A8">
      <w:pPr>
        <w:tabs>
          <w:tab w:val="left" w:pos="6540"/>
        </w:tabs>
        <w:spacing w:line="360" w:lineRule="auto"/>
        <w:rPr>
          <w:rFonts w:asciiTheme="minorBidi" w:hAnsiTheme="minorBidi"/>
          <w:sz w:val="22"/>
        </w:rPr>
      </w:pPr>
    </w:p>
    <w:p w14:paraId="5AE88297" w14:textId="24E6B718" w:rsidR="00B87E75" w:rsidRPr="00A22F52" w:rsidRDefault="00B87E75" w:rsidP="00CD33A8">
      <w:pPr>
        <w:tabs>
          <w:tab w:val="left" w:pos="6540"/>
        </w:tabs>
        <w:spacing w:line="360" w:lineRule="auto"/>
        <w:rPr>
          <w:rFonts w:asciiTheme="minorBidi" w:hAnsiTheme="minorBidi"/>
          <w:sz w:val="22"/>
        </w:rPr>
      </w:pPr>
    </w:p>
    <w:p w14:paraId="420ADE33" w14:textId="35FB1322" w:rsidR="00B87E75" w:rsidRPr="00A22F52" w:rsidRDefault="00B87E75" w:rsidP="00CD33A8">
      <w:pPr>
        <w:spacing w:line="360" w:lineRule="auto"/>
        <w:rPr>
          <w:rFonts w:asciiTheme="minorBidi" w:hAnsiTheme="minorBidi"/>
          <w:sz w:val="22"/>
        </w:rPr>
      </w:pPr>
      <w:r w:rsidRPr="00A22F52">
        <w:rPr>
          <w:rFonts w:asciiTheme="minorBidi" w:hAnsiTheme="minorBidi"/>
          <w:sz w:val="22"/>
        </w:rPr>
        <w:br w:type="page"/>
      </w:r>
    </w:p>
    <w:p w14:paraId="05AB2C84" w14:textId="4D2C1F1C" w:rsidR="00B87E75" w:rsidRPr="00CD33A8" w:rsidRDefault="00B87E75" w:rsidP="00E620E7">
      <w:pPr>
        <w:pStyle w:val="Heading1"/>
      </w:pPr>
      <w:r w:rsidRPr="00A22F52">
        <w:rPr>
          <w:sz w:val="22"/>
        </w:rPr>
        <w:lastRenderedPageBreak/>
        <w:t>Table of contents</w:t>
      </w:r>
    </w:p>
    <w:p w14:paraId="13E00080" w14:textId="5D2755A7" w:rsidR="00B87E75" w:rsidRPr="007C5A4D" w:rsidRDefault="0013507F" w:rsidP="007C5A4D">
      <w:pPr>
        <w:pStyle w:val="ListParagraph"/>
        <w:numPr>
          <w:ilvl w:val="0"/>
          <w:numId w:val="9"/>
        </w:numPr>
        <w:spacing w:line="360" w:lineRule="auto"/>
        <w:rPr>
          <w:rFonts w:asciiTheme="minorBidi" w:hAnsiTheme="minorBidi"/>
          <w:sz w:val="22"/>
        </w:rPr>
      </w:pPr>
      <w:r w:rsidRPr="007C5A4D">
        <w:rPr>
          <w:rFonts w:asciiTheme="minorBidi" w:hAnsiTheme="minorBidi"/>
          <w:sz w:val="22"/>
        </w:rPr>
        <w:t>Abstract…………</w:t>
      </w:r>
      <w:proofErr w:type="gramStart"/>
      <w:r w:rsidRPr="007C5A4D">
        <w:rPr>
          <w:rFonts w:asciiTheme="minorBidi" w:hAnsiTheme="minorBidi"/>
          <w:sz w:val="22"/>
        </w:rPr>
        <w:t>…</w:t>
      </w:r>
      <w:r w:rsidR="00587939" w:rsidRPr="007C5A4D">
        <w:rPr>
          <w:rFonts w:asciiTheme="minorBidi" w:hAnsiTheme="minorBidi"/>
          <w:sz w:val="22"/>
        </w:rPr>
        <w:t>..</w:t>
      </w:r>
      <w:proofErr w:type="gramEnd"/>
      <w:r w:rsidRPr="007C5A4D">
        <w:rPr>
          <w:rFonts w:asciiTheme="minorBidi" w:hAnsiTheme="minorBidi"/>
          <w:sz w:val="22"/>
        </w:rPr>
        <w:t>………</w:t>
      </w:r>
      <w:proofErr w:type="gramStart"/>
      <w:r w:rsidR="00AB4343" w:rsidRPr="007C5A4D">
        <w:rPr>
          <w:rFonts w:asciiTheme="minorBidi" w:hAnsiTheme="minorBidi"/>
          <w:sz w:val="22"/>
        </w:rPr>
        <w:t>…..</w:t>
      </w:r>
      <w:proofErr w:type="gramEnd"/>
      <w:r w:rsidRPr="007C5A4D">
        <w:rPr>
          <w:rFonts w:asciiTheme="minorBidi" w:hAnsiTheme="minorBidi"/>
          <w:sz w:val="22"/>
        </w:rPr>
        <w:t>…………………………………………………………….3</w:t>
      </w:r>
    </w:p>
    <w:p w14:paraId="7E171D95" w14:textId="6B96245C" w:rsidR="0013507F" w:rsidRDefault="0013507F" w:rsidP="0013507F">
      <w:pPr>
        <w:pStyle w:val="ListParagraph"/>
        <w:numPr>
          <w:ilvl w:val="0"/>
          <w:numId w:val="7"/>
        </w:numPr>
        <w:spacing w:line="360" w:lineRule="auto"/>
        <w:rPr>
          <w:rFonts w:asciiTheme="minorBidi" w:hAnsiTheme="minorBidi"/>
          <w:sz w:val="22"/>
        </w:rPr>
      </w:pPr>
      <w:r>
        <w:rPr>
          <w:rFonts w:asciiTheme="minorBidi" w:hAnsiTheme="minorBidi"/>
          <w:sz w:val="22"/>
        </w:rPr>
        <w:t>Introduction………………………………………………………………………………...…4</w:t>
      </w:r>
    </w:p>
    <w:p w14:paraId="070ABE18" w14:textId="5B3B4EB6" w:rsidR="0013507F" w:rsidRDefault="0013507F" w:rsidP="0013507F">
      <w:pPr>
        <w:pStyle w:val="ListParagraph"/>
        <w:numPr>
          <w:ilvl w:val="0"/>
          <w:numId w:val="7"/>
        </w:numPr>
        <w:spacing w:line="360" w:lineRule="auto"/>
        <w:rPr>
          <w:rFonts w:asciiTheme="minorBidi" w:hAnsiTheme="minorBidi"/>
          <w:sz w:val="22"/>
        </w:rPr>
      </w:pPr>
      <w:r>
        <w:rPr>
          <w:rFonts w:asciiTheme="minorBidi" w:hAnsiTheme="minorBidi"/>
          <w:sz w:val="22"/>
        </w:rPr>
        <w:t>Background…………………………………………………………………………………...5</w:t>
      </w:r>
    </w:p>
    <w:p w14:paraId="6F14D1A9" w14:textId="69545D95" w:rsidR="0013507F" w:rsidRDefault="0013507F" w:rsidP="0013507F">
      <w:pPr>
        <w:pStyle w:val="ListParagraph"/>
        <w:numPr>
          <w:ilvl w:val="0"/>
          <w:numId w:val="7"/>
        </w:numPr>
        <w:spacing w:line="360" w:lineRule="auto"/>
        <w:rPr>
          <w:rFonts w:asciiTheme="minorBidi" w:hAnsiTheme="minorBidi"/>
          <w:sz w:val="22"/>
        </w:rPr>
      </w:pPr>
      <w:r>
        <w:rPr>
          <w:rFonts w:asciiTheme="minorBidi" w:hAnsiTheme="minorBidi"/>
          <w:sz w:val="22"/>
        </w:rPr>
        <w:t>Methods……………………………………………………………………………………….6</w:t>
      </w:r>
    </w:p>
    <w:p w14:paraId="64971F5A" w14:textId="76A5145D" w:rsidR="0013507F" w:rsidRDefault="0013507F" w:rsidP="0013507F">
      <w:pPr>
        <w:pStyle w:val="ListParagraph"/>
        <w:numPr>
          <w:ilvl w:val="0"/>
          <w:numId w:val="7"/>
        </w:numPr>
        <w:spacing w:line="360" w:lineRule="auto"/>
        <w:rPr>
          <w:rFonts w:asciiTheme="minorBidi" w:hAnsiTheme="minorBidi"/>
          <w:sz w:val="22"/>
        </w:rPr>
      </w:pPr>
      <w:r>
        <w:rPr>
          <w:rFonts w:asciiTheme="minorBidi" w:hAnsiTheme="minorBidi"/>
          <w:sz w:val="22"/>
        </w:rPr>
        <w:t>Results……………………………………………………………………………………...…8</w:t>
      </w:r>
    </w:p>
    <w:p w14:paraId="360B2E12" w14:textId="36A85BDB" w:rsidR="0013507F" w:rsidRDefault="0013507F" w:rsidP="0013507F">
      <w:pPr>
        <w:pStyle w:val="ListParagraph"/>
        <w:numPr>
          <w:ilvl w:val="0"/>
          <w:numId w:val="7"/>
        </w:numPr>
        <w:spacing w:line="360" w:lineRule="auto"/>
        <w:rPr>
          <w:rFonts w:asciiTheme="minorBidi" w:hAnsiTheme="minorBidi"/>
          <w:sz w:val="22"/>
        </w:rPr>
      </w:pPr>
      <w:r>
        <w:rPr>
          <w:rFonts w:asciiTheme="minorBidi" w:hAnsiTheme="minorBidi"/>
          <w:sz w:val="22"/>
        </w:rPr>
        <w:t>Discussion……………………………………………………………………………….….11</w:t>
      </w:r>
    </w:p>
    <w:p w14:paraId="73D8C0EA" w14:textId="20F83F7F" w:rsidR="0013507F" w:rsidRDefault="0013507F" w:rsidP="0013507F">
      <w:pPr>
        <w:pStyle w:val="ListParagraph"/>
        <w:numPr>
          <w:ilvl w:val="0"/>
          <w:numId w:val="7"/>
        </w:numPr>
        <w:spacing w:line="360" w:lineRule="auto"/>
        <w:rPr>
          <w:rFonts w:asciiTheme="minorBidi" w:hAnsiTheme="minorBidi"/>
          <w:sz w:val="22"/>
        </w:rPr>
      </w:pPr>
      <w:r>
        <w:rPr>
          <w:rFonts w:asciiTheme="minorBidi" w:hAnsiTheme="minorBidi"/>
          <w:sz w:val="22"/>
        </w:rPr>
        <w:t>Conclusion and Recommendations………………………………………………………13</w:t>
      </w:r>
    </w:p>
    <w:p w14:paraId="6EA8B756" w14:textId="71FAEBF2" w:rsidR="0013507F" w:rsidRPr="0013507F" w:rsidRDefault="0013507F" w:rsidP="0013507F">
      <w:pPr>
        <w:pStyle w:val="ListParagraph"/>
        <w:numPr>
          <w:ilvl w:val="0"/>
          <w:numId w:val="7"/>
        </w:numPr>
        <w:spacing w:line="360" w:lineRule="auto"/>
        <w:rPr>
          <w:rFonts w:asciiTheme="minorBidi" w:hAnsiTheme="minorBidi"/>
          <w:sz w:val="22"/>
        </w:rPr>
      </w:pPr>
      <w:r>
        <w:rPr>
          <w:rFonts w:asciiTheme="minorBidi" w:hAnsiTheme="minorBidi"/>
          <w:sz w:val="22"/>
        </w:rPr>
        <w:t>References………………………………………………………………………………….15</w:t>
      </w:r>
    </w:p>
    <w:p w14:paraId="2E79F7ED" w14:textId="182913C0" w:rsidR="00B87E75" w:rsidRPr="00CD33A8" w:rsidRDefault="00B87E75" w:rsidP="00CD33A8">
      <w:pPr>
        <w:spacing w:line="360" w:lineRule="auto"/>
        <w:rPr>
          <w:rFonts w:asciiTheme="minorBidi" w:hAnsiTheme="minorBidi"/>
          <w:sz w:val="22"/>
        </w:rPr>
      </w:pPr>
    </w:p>
    <w:p w14:paraId="7AE771D5" w14:textId="1C06E45A" w:rsidR="00B87E75" w:rsidRPr="00CD33A8" w:rsidRDefault="00B87E75" w:rsidP="00CD33A8">
      <w:pPr>
        <w:spacing w:line="360" w:lineRule="auto"/>
        <w:rPr>
          <w:rFonts w:asciiTheme="minorBidi" w:hAnsiTheme="minorBidi"/>
          <w:sz w:val="22"/>
        </w:rPr>
      </w:pPr>
    </w:p>
    <w:p w14:paraId="4F7320CB" w14:textId="000D21B8" w:rsidR="00B87E75" w:rsidRPr="00CD33A8" w:rsidRDefault="00B87E75" w:rsidP="00CD33A8">
      <w:pPr>
        <w:spacing w:line="360" w:lineRule="auto"/>
        <w:rPr>
          <w:rFonts w:asciiTheme="minorBidi" w:hAnsiTheme="minorBidi"/>
          <w:sz w:val="22"/>
        </w:rPr>
      </w:pPr>
      <w:r w:rsidRPr="00CD33A8">
        <w:rPr>
          <w:rFonts w:asciiTheme="minorBidi" w:hAnsiTheme="minorBidi"/>
          <w:sz w:val="22"/>
        </w:rPr>
        <w:br w:type="page"/>
      </w:r>
    </w:p>
    <w:p w14:paraId="3914D9AE" w14:textId="5BF5A3EA" w:rsidR="00CD33A8" w:rsidRPr="001163F7" w:rsidRDefault="00CD33A8" w:rsidP="00CE322E">
      <w:pPr>
        <w:pStyle w:val="Heading1"/>
        <w:jc w:val="both"/>
        <w:rPr>
          <w:rFonts w:cs="Arial"/>
          <w:sz w:val="22"/>
        </w:rPr>
      </w:pPr>
      <w:r w:rsidRPr="001163F7">
        <w:rPr>
          <w:rFonts w:cs="Arial"/>
          <w:sz w:val="22"/>
        </w:rPr>
        <w:lastRenderedPageBreak/>
        <w:t>Abstract</w:t>
      </w:r>
    </w:p>
    <w:p w14:paraId="669D6914" w14:textId="0572F479" w:rsidR="00CE322E" w:rsidRPr="00CE322E" w:rsidRDefault="00CE322E" w:rsidP="00CE322E">
      <w:pPr>
        <w:spacing w:line="360" w:lineRule="auto"/>
        <w:jc w:val="both"/>
        <w:rPr>
          <w:rFonts w:ascii="Arial" w:hAnsi="Arial" w:cs="Arial"/>
          <w:sz w:val="22"/>
        </w:rPr>
      </w:pPr>
      <w:r w:rsidRPr="00CE322E">
        <w:rPr>
          <w:rFonts w:ascii="Arial" w:hAnsi="Arial" w:cs="Arial"/>
          <w:sz w:val="22"/>
        </w:rPr>
        <w:t>This research report presents a scoping review examining the impact of telehealth on access to primary care services in the UK. The COVID-19 pandemic led to a rapid increase in telehealth services which resulted in major changes to National Health Service</w:t>
      </w:r>
      <w:r>
        <w:rPr>
          <w:rFonts w:ascii="Arial" w:hAnsi="Arial" w:cs="Arial"/>
          <w:sz w:val="22"/>
        </w:rPr>
        <w:t xml:space="preserve"> (NHS)</w:t>
      </w:r>
      <w:r w:rsidRPr="00CE322E">
        <w:rPr>
          <w:rFonts w:ascii="Arial" w:hAnsi="Arial" w:cs="Arial"/>
          <w:sz w:val="22"/>
        </w:rPr>
        <w:t xml:space="preserve"> healthc</w:t>
      </w:r>
      <w:r>
        <w:rPr>
          <w:rFonts w:ascii="Arial" w:hAnsi="Arial" w:cs="Arial"/>
          <w:sz w:val="22"/>
        </w:rPr>
        <w:t>are delivery. The report</w:t>
      </w:r>
      <w:r w:rsidRPr="00CE322E">
        <w:rPr>
          <w:rFonts w:ascii="Arial" w:hAnsi="Arial" w:cs="Arial"/>
          <w:sz w:val="22"/>
        </w:rPr>
        <w:t xml:space="preserve"> aimed to find existing peer-reviewed studies about telehealth's effects on healthcare access while determining benefits and drawbacks of telehealth and showing research areas that need further investigation.</w:t>
      </w:r>
    </w:p>
    <w:p w14:paraId="4CD0050F" w14:textId="5E28CC44" w:rsidR="00CE322E" w:rsidRDefault="00E571D5" w:rsidP="00CE322E">
      <w:pPr>
        <w:spacing w:line="360" w:lineRule="auto"/>
        <w:jc w:val="both"/>
        <w:rPr>
          <w:rFonts w:ascii="Arial" w:hAnsi="Arial" w:cs="Arial"/>
          <w:sz w:val="22"/>
        </w:rPr>
      </w:pPr>
      <w:r>
        <w:rPr>
          <w:rFonts w:ascii="Arial" w:hAnsi="Arial" w:cs="Arial"/>
          <w:sz w:val="22"/>
        </w:rPr>
        <w:t>A scoping review methodology was used and s</w:t>
      </w:r>
      <w:r w:rsidR="00CE322E" w:rsidRPr="00CE322E">
        <w:rPr>
          <w:rFonts w:ascii="Arial" w:hAnsi="Arial" w:cs="Arial"/>
          <w:sz w:val="22"/>
        </w:rPr>
        <w:t>ystematic search</w:t>
      </w:r>
      <w:r>
        <w:rPr>
          <w:rFonts w:ascii="Arial" w:hAnsi="Arial" w:cs="Arial"/>
          <w:sz w:val="22"/>
        </w:rPr>
        <w:t xml:space="preserve"> was conducted</w:t>
      </w:r>
      <w:r w:rsidR="00CE322E" w:rsidRPr="00CE322E">
        <w:rPr>
          <w:rFonts w:ascii="Arial" w:hAnsi="Arial" w:cs="Arial"/>
          <w:sz w:val="22"/>
        </w:rPr>
        <w:t xml:space="preserve"> through academic data</w:t>
      </w:r>
      <w:r>
        <w:rPr>
          <w:rFonts w:ascii="Arial" w:hAnsi="Arial" w:cs="Arial"/>
          <w:sz w:val="22"/>
        </w:rPr>
        <w:t xml:space="preserve">bases which included PubMed, </w:t>
      </w:r>
      <w:r w:rsidR="00B56ABD">
        <w:rPr>
          <w:rFonts w:ascii="Arial" w:hAnsi="Arial" w:cs="Arial"/>
          <w:sz w:val="22"/>
        </w:rPr>
        <w:t xml:space="preserve">MEDLINE, </w:t>
      </w:r>
      <w:r w:rsidR="00CE322E" w:rsidRPr="00CE322E">
        <w:rPr>
          <w:rFonts w:ascii="Arial" w:hAnsi="Arial" w:cs="Arial"/>
          <w:sz w:val="22"/>
        </w:rPr>
        <w:t>CINAHL</w:t>
      </w:r>
      <w:r w:rsidR="00B56ABD">
        <w:rPr>
          <w:rFonts w:ascii="Arial" w:hAnsi="Arial" w:cs="Arial"/>
          <w:sz w:val="22"/>
        </w:rPr>
        <w:t xml:space="preserve"> and </w:t>
      </w:r>
      <w:r w:rsidR="00B56ABD" w:rsidRPr="001163F7">
        <w:rPr>
          <w:rFonts w:ascii="Arial" w:hAnsi="Arial" w:cs="Arial"/>
          <w:sz w:val="22"/>
        </w:rPr>
        <w:t>Google Scholar</w:t>
      </w:r>
      <w:r w:rsidR="00CE322E" w:rsidRPr="00CE322E">
        <w:rPr>
          <w:rFonts w:ascii="Arial" w:hAnsi="Arial" w:cs="Arial"/>
          <w:sz w:val="22"/>
        </w:rPr>
        <w:t xml:space="preserve"> to find suitable studies. </w:t>
      </w:r>
      <w:r>
        <w:rPr>
          <w:rFonts w:ascii="Arial" w:hAnsi="Arial" w:cs="Arial"/>
          <w:sz w:val="22"/>
        </w:rPr>
        <w:t>T</w:t>
      </w:r>
      <w:r w:rsidR="00CE322E" w:rsidRPr="00CE322E">
        <w:rPr>
          <w:rFonts w:ascii="Arial" w:hAnsi="Arial" w:cs="Arial"/>
          <w:sz w:val="22"/>
        </w:rPr>
        <w:t>hree peer-reviewed studies from the UK</w:t>
      </w:r>
      <w:r>
        <w:rPr>
          <w:rFonts w:ascii="Arial" w:hAnsi="Arial" w:cs="Arial"/>
          <w:sz w:val="22"/>
        </w:rPr>
        <w:t xml:space="preserve"> was selected</w:t>
      </w:r>
      <w:r w:rsidR="00CE322E" w:rsidRPr="00CE322E">
        <w:rPr>
          <w:rFonts w:ascii="Arial" w:hAnsi="Arial" w:cs="Arial"/>
          <w:sz w:val="22"/>
        </w:rPr>
        <w:t xml:space="preserve"> f</w:t>
      </w:r>
      <w:r>
        <w:rPr>
          <w:rFonts w:ascii="Arial" w:hAnsi="Arial" w:cs="Arial"/>
          <w:sz w:val="22"/>
        </w:rPr>
        <w:t xml:space="preserve">or </w:t>
      </w:r>
      <w:r w:rsidR="00CE322E" w:rsidRPr="00CE322E">
        <w:rPr>
          <w:rFonts w:ascii="Arial" w:hAnsi="Arial" w:cs="Arial"/>
          <w:sz w:val="22"/>
        </w:rPr>
        <w:t>analysis which included Donaghy et al. (2019), Hammersley et al. (2019), and Murphy</w:t>
      </w:r>
      <w:r>
        <w:rPr>
          <w:rFonts w:ascii="Arial" w:hAnsi="Arial" w:cs="Arial"/>
          <w:sz w:val="22"/>
        </w:rPr>
        <w:t xml:space="preserve"> et al. (2021). Data was extracted </w:t>
      </w:r>
      <w:r w:rsidR="00803A84">
        <w:rPr>
          <w:rFonts w:ascii="Arial" w:hAnsi="Arial" w:cs="Arial"/>
          <w:sz w:val="22"/>
        </w:rPr>
        <w:t>from these sources</w:t>
      </w:r>
      <w:r>
        <w:rPr>
          <w:rFonts w:ascii="Arial" w:hAnsi="Arial" w:cs="Arial"/>
          <w:sz w:val="22"/>
        </w:rPr>
        <w:t xml:space="preserve"> and thematic analysis was conducted</w:t>
      </w:r>
      <w:r w:rsidR="00803A84">
        <w:rPr>
          <w:rFonts w:ascii="Arial" w:hAnsi="Arial" w:cs="Arial"/>
          <w:sz w:val="22"/>
        </w:rPr>
        <w:t xml:space="preserve"> to</w:t>
      </w:r>
      <w:r w:rsidR="00CE322E" w:rsidRPr="00CE322E">
        <w:rPr>
          <w:rFonts w:ascii="Arial" w:hAnsi="Arial" w:cs="Arial"/>
          <w:sz w:val="22"/>
        </w:rPr>
        <w:t xml:space="preserve"> examine the data.</w:t>
      </w:r>
    </w:p>
    <w:p w14:paraId="3420BB87" w14:textId="42E16BF6" w:rsidR="00CE322E" w:rsidRPr="00CE322E" w:rsidRDefault="00CE322E" w:rsidP="00CE322E">
      <w:pPr>
        <w:spacing w:line="360" w:lineRule="auto"/>
        <w:jc w:val="both"/>
        <w:rPr>
          <w:rFonts w:ascii="Arial" w:hAnsi="Arial" w:cs="Arial"/>
          <w:sz w:val="22"/>
        </w:rPr>
      </w:pPr>
      <w:r w:rsidRPr="00CE322E">
        <w:rPr>
          <w:rFonts w:ascii="Arial" w:hAnsi="Arial" w:cs="Arial"/>
          <w:sz w:val="22"/>
        </w:rPr>
        <w:t xml:space="preserve">The results show that telehealth services enhance patient access to primary care because they provide more convenient and flexible options which allow people to receive </w:t>
      </w:r>
      <w:r w:rsidR="00803A84">
        <w:rPr>
          <w:rFonts w:ascii="Arial" w:hAnsi="Arial" w:cs="Arial"/>
          <w:sz w:val="22"/>
        </w:rPr>
        <w:t>treatment at any time. The report</w:t>
      </w:r>
      <w:r w:rsidR="00E571D5">
        <w:rPr>
          <w:rFonts w:ascii="Arial" w:hAnsi="Arial" w:cs="Arial"/>
          <w:sz w:val="22"/>
        </w:rPr>
        <w:t xml:space="preserve"> discovered key obstacles including</w:t>
      </w:r>
      <w:r w:rsidRPr="00CE322E">
        <w:rPr>
          <w:rFonts w:ascii="Arial" w:hAnsi="Arial" w:cs="Arial"/>
          <w:sz w:val="22"/>
        </w:rPr>
        <w:t xml:space="preserve"> digital connectivity problems and the unbalanced availability of services</w:t>
      </w:r>
      <w:r w:rsidR="00E571D5">
        <w:rPr>
          <w:rFonts w:ascii="Arial" w:hAnsi="Arial" w:cs="Arial"/>
          <w:sz w:val="22"/>
        </w:rPr>
        <w:t>. F</w:t>
      </w:r>
      <w:r w:rsidRPr="00CE322E">
        <w:rPr>
          <w:rFonts w:ascii="Arial" w:hAnsi="Arial" w:cs="Arial"/>
          <w:sz w:val="22"/>
        </w:rPr>
        <w:t>aults that reduced the effectiveness of virtual medical assessments</w:t>
      </w:r>
      <w:r w:rsidR="00E571D5">
        <w:rPr>
          <w:rFonts w:ascii="Arial" w:hAnsi="Arial" w:cs="Arial"/>
          <w:sz w:val="22"/>
        </w:rPr>
        <w:t xml:space="preserve"> were also discovered</w:t>
      </w:r>
      <w:r w:rsidRPr="00CE322E">
        <w:rPr>
          <w:rFonts w:ascii="Arial" w:hAnsi="Arial" w:cs="Arial"/>
          <w:sz w:val="22"/>
        </w:rPr>
        <w:t xml:space="preserve">. </w:t>
      </w:r>
    </w:p>
    <w:p w14:paraId="0EB39759" w14:textId="57FF9651" w:rsidR="00CE322E" w:rsidRPr="001163F7" w:rsidRDefault="00CE322E" w:rsidP="00CE322E">
      <w:pPr>
        <w:spacing w:line="360" w:lineRule="auto"/>
        <w:jc w:val="both"/>
        <w:rPr>
          <w:rFonts w:ascii="Arial" w:hAnsi="Arial" w:cs="Arial"/>
          <w:sz w:val="22"/>
        </w:rPr>
      </w:pPr>
      <w:r w:rsidRPr="00CE322E">
        <w:rPr>
          <w:rFonts w:ascii="Arial" w:hAnsi="Arial" w:cs="Arial"/>
          <w:sz w:val="22"/>
        </w:rPr>
        <w:t>The review shows that telehealth can improve patient access to healthcare services but its implementation needs proper management to achieve equitable service delivery and high-quality medical treatment. The recommended solution includes using a blended care model together with specific methods which will help overcome digital access barriers</w:t>
      </w:r>
      <w:r w:rsidR="00E571D5">
        <w:rPr>
          <w:rFonts w:ascii="Arial" w:hAnsi="Arial" w:cs="Arial"/>
          <w:sz w:val="22"/>
        </w:rPr>
        <w:t>.</w:t>
      </w:r>
    </w:p>
    <w:p w14:paraId="46C3E29E" w14:textId="77777777" w:rsidR="00CD33A8" w:rsidRPr="001163F7" w:rsidRDefault="00CD33A8" w:rsidP="001163F7">
      <w:pPr>
        <w:jc w:val="both"/>
        <w:rPr>
          <w:rFonts w:ascii="Arial" w:hAnsi="Arial" w:cs="Arial"/>
          <w:sz w:val="22"/>
        </w:rPr>
      </w:pPr>
    </w:p>
    <w:p w14:paraId="2E5D19CA" w14:textId="77777777" w:rsidR="00CE322E" w:rsidRDefault="00CE322E">
      <w:pPr>
        <w:rPr>
          <w:rFonts w:ascii="Arial" w:eastAsiaTheme="majorEastAsia" w:hAnsi="Arial" w:cs="Arial"/>
          <w:b/>
          <w:sz w:val="22"/>
        </w:rPr>
      </w:pPr>
      <w:r>
        <w:rPr>
          <w:rFonts w:cs="Arial"/>
          <w:sz w:val="22"/>
        </w:rPr>
        <w:br w:type="page"/>
      </w:r>
    </w:p>
    <w:p w14:paraId="12D76753" w14:textId="7D3D290F" w:rsidR="00B87E75" w:rsidRPr="001163F7" w:rsidRDefault="00B87E75" w:rsidP="001163F7">
      <w:pPr>
        <w:pStyle w:val="Heading1"/>
        <w:jc w:val="both"/>
        <w:rPr>
          <w:rFonts w:cs="Arial"/>
          <w:sz w:val="22"/>
        </w:rPr>
      </w:pPr>
      <w:r w:rsidRPr="001163F7">
        <w:rPr>
          <w:rFonts w:cs="Arial"/>
          <w:sz w:val="22"/>
        </w:rPr>
        <w:lastRenderedPageBreak/>
        <w:t>1. Introduction</w:t>
      </w:r>
    </w:p>
    <w:p w14:paraId="10609561" w14:textId="0A9FE7A1" w:rsidR="004740EB" w:rsidRPr="001163F7" w:rsidRDefault="004740EB" w:rsidP="001163F7">
      <w:pPr>
        <w:tabs>
          <w:tab w:val="left" w:pos="6540"/>
        </w:tabs>
        <w:spacing w:line="360" w:lineRule="auto"/>
        <w:jc w:val="both"/>
        <w:rPr>
          <w:rFonts w:ascii="Arial" w:hAnsi="Arial" w:cs="Arial"/>
          <w:sz w:val="22"/>
        </w:rPr>
      </w:pPr>
      <w:r w:rsidRPr="001163F7">
        <w:rPr>
          <w:rFonts w:ascii="Arial" w:hAnsi="Arial" w:cs="Arial"/>
          <w:sz w:val="22"/>
        </w:rPr>
        <w:t xml:space="preserve">Telehealth refers to the use of digital communication technologies, which </w:t>
      </w:r>
      <w:r w:rsidR="00257D68" w:rsidRPr="001163F7">
        <w:rPr>
          <w:rFonts w:ascii="Arial" w:hAnsi="Arial" w:cs="Arial"/>
          <w:sz w:val="22"/>
        </w:rPr>
        <w:t xml:space="preserve">include video consultations, </w:t>
      </w:r>
      <w:r w:rsidRPr="001163F7">
        <w:rPr>
          <w:rFonts w:ascii="Arial" w:hAnsi="Arial" w:cs="Arial"/>
          <w:sz w:val="22"/>
        </w:rPr>
        <w:t>telephone calls and online platforms, to deliver healthcare services from remote locations</w:t>
      </w:r>
      <w:r w:rsidR="00803A84">
        <w:rPr>
          <w:rFonts w:ascii="Arial" w:hAnsi="Arial" w:cs="Arial"/>
          <w:sz w:val="22"/>
        </w:rPr>
        <w:t xml:space="preserve"> (Mechanic et al., 2022)</w:t>
      </w:r>
      <w:r w:rsidRPr="001163F7">
        <w:rPr>
          <w:rFonts w:ascii="Arial" w:hAnsi="Arial" w:cs="Arial"/>
          <w:sz w:val="22"/>
        </w:rPr>
        <w:t>. Telehealth functions as a vital primary care instrument because it creates better service access by eliminating three types of access constraints</w:t>
      </w:r>
      <w:r w:rsidR="00257D68" w:rsidRPr="001163F7">
        <w:rPr>
          <w:rFonts w:ascii="Arial" w:hAnsi="Arial" w:cs="Arial"/>
          <w:sz w:val="22"/>
        </w:rPr>
        <w:t>, which include geographical.</w:t>
      </w:r>
      <w:r w:rsidRPr="001163F7">
        <w:rPr>
          <w:rFonts w:ascii="Arial" w:hAnsi="Arial" w:cs="Arial"/>
          <w:sz w:val="22"/>
        </w:rPr>
        <w:t xml:space="preserve"> financial and time-related barriers. Access to primary care means that patients can obtain proper healthcare services at their required times, which serves as a main measure to evaluate healthcare system efficiency.</w:t>
      </w:r>
    </w:p>
    <w:p w14:paraId="7BF4AD34" w14:textId="6DD8F431" w:rsidR="004740EB" w:rsidRPr="001163F7" w:rsidRDefault="004740EB" w:rsidP="001163F7">
      <w:pPr>
        <w:tabs>
          <w:tab w:val="left" w:pos="6540"/>
        </w:tabs>
        <w:spacing w:line="360" w:lineRule="auto"/>
        <w:jc w:val="both"/>
        <w:rPr>
          <w:rFonts w:ascii="Arial" w:hAnsi="Arial" w:cs="Arial"/>
          <w:sz w:val="22"/>
        </w:rPr>
      </w:pPr>
      <w:r w:rsidRPr="001163F7">
        <w:rPr>
          <w:rFonts w:ascii="Arial" w:hAnsi="Arial" w:cs="Arial"/>
          <w:sz w:val="22"/>
        </w:rPr>
        <w:t>However, the introduction of telehealth has become inevitable in the UK due to the effects of the pandemic. Indeed, teleh</w:t>
      </w:r>
      <w:r w:rsidR="00CE322E">
        <w:rPr>
          <w:rFonts w:ascii="Arial" w:hAnsi="Arial" w:cs="Arial"/>
          <w:sz w:val="22"/>
        </w:rPr>
        <w:t xml:space="preserve">ealth services have allowed the </w:t>
      </w:r>
      <w:r w:rsidRPr="001163F7">
        <w:rPr>
          <w:rFonts w:ascii="Arial" w:hAnsi="Arial" w:cs="Arial"/>
          <w:sz w:val="22"/>
        </w:rPr>
        <w:t xml:space="preserve">NHS to provide healthcare services with less contact between doctors and patients. According to </w:t>
      </w:r>
      <w:r w:rsidR="00257D68" w:rsidRPr="001163F7">
        <w:rPr>
          <w:rFonts w:ascii="Arial" w:hAnsi="Arial" w:cs="Arial"/>
          <w:sz w:val="22"/>
        </w:rPr>
        <w:t>Murphy et al. (2021)</w:t>
      </w:r>
      <w:r w:rsidRPr="001163F7">
        <w:rPr>
          <w:rFonts w:ascii="Arial" w:hAnsi="Arial" w:cs="Arial"/>
          <w:sz w:val="22"/>
        </w:rPr>
        <w:t>, telehealth allows for enhanced convenience and efficiency in</w:t>
      </w:r>
      <w:r w:rsidR="00257D68" w:rsidRPr="001163F7">
        <w:rPr>
          <w:rFonts w:ascii="Arial" w:hAnsi="Arial" w:cs="Arial"/>
          <w:sz w:val="22"/>
        </w:rPr>
        <w:t xml:space="preserve"> patient care</w:t>
      </w:r>
      <w:r w:rsidRPr="001163F7">
        <w:rPr>
          <w:rFonts w:ascii="Arial" w:hAnsi="Arial" w:cs="Arial"/>
          <w:sz w:val="22"/>
        </w:rPr>
        <w:t>. In addition, there are indications that some groups of patients may find it difficult to benefit from the telehealth interventions introduced by the NHS.</w:t>
      </w:r>
    </w:p>
    <w:p w14:paraId="52F7E370" w14:textId="43BB0221" w:rsidR="00467EB4" w:rsidRPr="001163F7" w:rsidRDefault="00467EB4" w:rsidP="001163F7">
      <w:pPr>
        <w:tabs>
          <w:tab w:val="left" w:pos="6540"/>
        </w:tabs>
        <w:spacing w:line="360" w:lineRule="auto"/>
        <w:jc w:val="both"/>
        <w:rPr>
          <w:rFonts w:ascii="Arial" w:hAnsi="Arial" w:cs="Arial"/>
          <w:sz w:val="22"/>
        </w:rPr>
      </w:pPr>
      <w:r w:rsidRPr="001163F7">
        <w:rPr>
          <w:rFonts w:ascii="Arial" w:hAnsi="Arial" w:cs="Arial"/>
          <w:sz w:val="22"/>
        </w:rPr>
        <w:t xml:space="preserve">According to the evidence, although telehealth facilities make accessing primary care easier for some patients, they may generate other barriers for individuals. According to Hammersley et al. (2019), video, telephone, and face-to-face consultations were characterized by varying levels of </w:t>
      </w:r>
      <w:r w:rsidR="00FD0D13" w:rsidRPr="001163F7">
        <w:rPr>
          <w:rFonts w:ascii="Arial" w:hAnsi="Arial" w:cs="Arial"/>
          <w:sz w:val="22"/>
        </w:rPr>
        <w:t xml:space="preserve">quality and content. </w:t>
      </w:r>
      <w:r w:rsidRPr="001163F7">
        <w:rPr>
          <w:rFonts w:ascii="Arial" w:hAnsi="Arial" w:cs="Arial"/>
          <w:sz w:val="22"/>
        </w:rPr>
        <w:t>Donaghy et al. (2019) indicated that there were certain benefits as well as barriers associated with video consultation due to convenient characteristics of the technology and issues related to communication and technology itself. According to the findings presented by Murphy et al. (2021), health organizations faced difficulties related to increasing demands due to the rapid implementation of online health facilities.</w:t>
      </w:r>
    </w:p>
    <w:p w14:paraId="119AD50F" w14:textId="11DDAF8F" w:rsidR="00467EB4" w:rsidRPr="001163F7" w:rsidRDefault="00467EB4" w:rsidP="001163F7">
      <w:pPr>
        <w:tabs>
          <w:tab w:val="left" w:pos="6540"/>
        </w:tabs>
        <w:spacing w:line="360" w:lineRule="auto"/>
        <w:jc w:val="both"/>
        <w:rPr>
          <w:rFonts w:ascii="Arial" w:hAnsi="Arial" w:cs="Arial"/>
          <w:sz w:val="22"/>
        </w:rPr>
      </w:pPr>
      <w:r w:rsidRPr="001163F7">
        <w:rPr>
          <w:rFonts w:ascii="Arial" w:hAnsi="Arial" w:cs="Arial"/>
          <w:sz w:val="22"/>
        </w:rPr>
        <w:t xml:space="preserve">Therefore, </w:t>
      </w:r>
      <w:r w:rsidR="00A57A87" w:rsidRPr="001163F7">
        <w:rPr>
          <w:rFonts w:ascii="Arial" w:hAnsi="Arial" w:cs="Arial"/>
          <w:sz w:val="22"/>
        </w:rPr>
        <w:t>given these mixed findings</w:t>
      </w:r>
      <w:r w:rsidRPr="001163F7">
        <w:rPr>
          <w:rFonts w:ascii="Arial" w:hAnsi="Arial" w:cs="Arial"/>
          <w:sz w:val="22"/>
        </w:rPr>
        <w:t>, it is crucial to evaluate the existing evidence since telehealth technologies cause barriers to patients' access to primary care facilities in the UK. It is necessary to conduct a scoping review since it will enable the investigation of multiple sources and identification of key research areas and existing body of knowledge.</w:t>
      </w:r>
    </w:p>
    <w:p w14:paraId="23DDB027" w14:textId="7A61F1D3" w:rsidR="00A57A87" w:rsidRPr="001163F7" w:rsidRDefault="00A57A87" w:rsidP="001163F7">
      <w:pPr>
        <w:tabs>
          <w:tab w:val="left" w:pos="6540"/>
        </w:tabs>
        <w:spacing w:line="360" w:lineRule="auto"/>
        <w:jc w:val="both"/>
        <w:rPr>
          <w:rFonts w:ascii="Arial" w:hAnsi="Arial" w:cs="Arial"/>
          <w:sz w:val="22"/>
        </w:rPr>
      </w:pPr>
      <w:r w:rsidRPr="001163F7">
        <w:rPr>
          <w:rFonts w:ascii="Arial" w:hAnsi="Arial" w:cs="Arial"/>
          <w:b/>
          <w:bCs/>
          <w:sz w:val="22"/>
        </w:rPr>
        <w:t>Review Question:</w:t>
      </w:r>
      <w:r w:rsidR="001163F7">
        <w:rPr>
          <w:rFonts w:ascii="Arial" w:hAnsi="Arial" w:cs="Arial"/>
          <w:b/>
          <w:bCs/>
          <w:sz w:val="22"/>
        </w:rPr>
        <w:tab/>
      </w:r>
      <w:r w:rsidRPr="001163F7">
        <w:rPr>
          <w:rFonts w:ascii="Arial" w:hAnsi="Arial" w:cs="Arial"/>
          <w:sz w:val="22"/>
        </w:rPr>
        <w:br/>
        <w:t>What is known from peer-reviewed literature about the impact of telehealth on access to primary care services in the UK?</w:t>
      </w:r>
    </w:p>
    <w:p w14:paraId="40AC1169" w14:textId="16ADF1F2" w:rsidR="00A57A87" w:rsidRPr="001163F7" w:rsidRDefault="00A57A87" w:rsidP="001163F7">
      <w:pPr>
        <w:tabs>
          <w:tab w:val="left" w:pos="6540"/>
        </w:tabs>
        <w:spacing w:line="360" w:lineRule="auto"/>
        <w:jc w:val="both"/>
        <w:rPr>
          <w:rFonts w:ascii="Arial" w:hAnsi="Arial" w:cs="Arial"/>
          <w:sz w:val="22"/>
        </w:rPr>
      </w:pPr>
      <w:r w:rsidRPr="001163F7">
        <w:rPr>
          <w:rFonts w:ascii="Arial" w:hAnsi="Arial" w:cs="Arial"/>
          <w:b/>
          <w:bCs/>
          <w:sz w:val="22"/>
        </w:rPr>
        <w:t>Objectives:</w:t>
      </w:r>
    </w:p>
    <w:p w14:paraId="141273A2" w14:textId="438E8B8D" w:rsidR="00A57A87" w:rsidRPr="001163F7" w:rsidRDefault="00A57A87" w:rsidP="001163F7">
      <w:pPr>
        <w:pStyle w:val="ListParagraph"/>
        <w:numPr>
          <w:ilvl w:val="0"/>
          <w:numId w:val="1"/>
        </w:numPr>
        <w:tabs>
          <w:tab w:val="left" w:pos="6540"/>
        </w:tabs>
        <w:spacing w:line="360" w:lineRule="auto"/>
        <w:jc w:val="both"/>
        <w:rPr>
          <w:rFonts w:ascii="Arial" w:hAnsi="Arial" w:cs="Arial"/>
          <w:sz w:val="22"/>
        </w:rPr>
      </w:pPr>
      <w:r w:rsidRPr="001163F7">
        <w:rPr>
          <w:rFonts w:ascii="Arial" w:hAnsi="Arial" w:cs="Arial"/>
          <w:sz w:val="22"/>
        </w:rPr>
        <w:t>To examine existing telehealth research which shows how telehealth functions within primary care of the UK.</w:t>
      </w:r>
    </w:p>
    <w:p w14:paraId="37784A2C" w14:textId="77777777" w:rsidR="00A57A87" w:rsidRPr="001163F7" w:rsidRDefault="00A57A87" w:rsidP="001163F7">
      <w:pPr>
        <w:pStyle w:val="ListParagraph"/>
        <w:numPr>
          <w:ilvl w:val="0"/>
          <w:numId w:val="1"/>
        </w:numPr>
        <w:tabs>
          <w:tab w:val="left" w:pos="6540"/>
        </w:tabs>
        <w:spacing w:line="360" w:lineRule="auto"/>
        <w:jc w:val="both"/>
        <w:rPr>
          <w:rFonts w:ascii="Arial" w:hAnsi="Arial" w:cs="Arial"/>
          <w:sz w:val="22"/>
        </w:rPr>
      </w:pPr>
      <w:r w:rsidRPr="001163F7">
        <w:rPr>
          <w:rFonts w:ascii="Arial" w:hAnsi="Arial" w:cs="Arial"/>
          <w:sz w:val="22"/>
        </w:rPr>
        <w:t>To identify actual advantages and difficulties which telehealth provides to enhance patient access.</w:t>
      </w:r>
    </w:p>
    <w:p w14:paraId="59CF3B74" w14:textId="4B716EA7" w:rsidR="00A57A87" w:rsidRPr="001163F7" w:rsidRDefault="00A57A87" w:rsidP="001163F7">
      <w:pPr>
        <w:pStyle w:val="ListParagraph"/>
        <w:numPr>
          <w:ilvl w:val="0"/>
          <w:numId w:val="1"/>
        </w:numPr>
        <w:tabs>
          <w:tab w:val="left" w:pos="6540"/>
        </w:tabs>
        <w:spacing w:line="360" w:lineRule="auto"/>
        <w:jc w:val="both"/>
        <w:rPr>
          <w:rFonts w:ascii="Arial" w:hAnsi="Arial" w:cs="Arial"/>
          <w:sz w:val="22"/>
        </w:rPr>
      </w:pPr>
      <w:r w:rsidRPr="001163F7">
        <w:rPr>
          <w:rFonts w:ascii="Arial" w:hAnsi="Arial" w:cs="Arial"/>
          <w:sz w:val="22"/>
        </w:rPr>
        <w:lastRenderedPageBreak/>
        <w:t>To demonstrate the different ways which telehealth impacts multiple patient groups</w:t>
      </w:r>
    </w:p>
    <w:p w14:paraId="52010A5E" w14:textId="557DAEB4" w:rsidR="0026393A" w:rsidRPr="001163F7" w:rsidRDefault="00A57A87" w:rsidP="001163F7">
      <w:pPr>
        <w:pStyle w:val="ListParagraph"/>
        <w:numPr>
          <w:ilvl w:val="0"/>
          <w:numId w:val="1"/>
        </w:numPr>
        <w:tabs>
          <w:tab w:val="left" w:pos="6540"/>
        </w:tabs>
        <w:spacing w:line="360" w:lineRule="auto"/>
        <w:jc w:val="both"/>
        <w:rPr>
          <w:rFonts w:ascii="Arial" w:hAnsi="Arial" w:cs="Arial"/>
          <w:sz w:val="22"/>
        </w:rPr>
      </w:pPr>
      <w:r w:rsidRPr="001163F7">
        <w:rPr>
          <w:rFonts w:ascii="Arial" w:hAnsi="Arial" w:cs="Arial"/>
          <w:sz w:val="22"/>
        </w:rPr>
        <w:t>To identify gaps in current research to inform future studies and practice</w:t>
      </w:r>
    </w:p>
    <w:p w14:paraId="51A425B4" w14:textId="77777777" w:rsidR="00A57A87" w:rsidRPr="001163F7" w:rsidRDefault="00A57A87" w:rsidP="001163F7">
      <w:pPr>
        <w:pStyle w:val="ListParagraph"/>
        <w:tabs>
          <w:tab w:val="left" w:pos="6540"/>
        </w:tabs>
        <w:spacing w:line="360" w:lineRule="auto"/>
        <w:jc w:val="both"/>
        <w:rPr>
          <w:rFonts w:ascii="Arial" w:hAnsi="Arial" w:cs="Arial"/>
          <w:sz w:val="22"/>
        </w:rPr>
      </w:pPr>
    </w:p>
    <w:p w14:paraId="0F7D7609" w14:textId="65079916" w:rsidR="0026393A" w:rsidRPr="001163F7" w:rsidRDefault="0026393A" w:rsidP="001163F7">
      <w:pPr>
        <w:pStyle w:val="Heading1"/>
        <w:jc w:val="both"/>
        <w:rPr>
          <w:rFonts w:cs="Arial"/>
          <w:sz w:val="22"/>
        </w:rPr>
      </w:pPr>
      <w:r w:rsidRPr="001163F7">
        <w:rPr>
          <w:rFonts w:cs="Arial"/>
          <w:sz w:val="22"/>
        </w:rPr>
        <w:t>2. Background</w:t>
      </w:r>
    </w:p>
    <w:p w14:paraId="1828351C" w14:textId="26F0D6B4" w:rsidR="007072AB" w:rsidRPr="001163F7" w:rsidRDefault="007072AB" w:rsidP="001163F7">
      <w:pPr>
        <w:tabs>
          <w:tab w:val="left" w:pos="6540"/>
        </w:tabs>
        <w:spacing w:line="360" w:lineRule="auto"/>
        <w:jc w:val="both"/>
        <w:rPr>
          <w:rFonts w:ascii="Arial" w:hAnsi="Arial" w:cs="Arial"/>
          <w:sz w:val="22"/>
        </w:rPr>
      </w:pPr>
      <w:r w:rsidRPr="001163F7">
        <w:rPr>
          <w:rFonts w:ascii="Arial" w:hAnsi="Arial" w:cs="Arial"/>
          <w:sz w:val="22"/>
        </w:rPr>
        <w:t>The healthcare system needs essential primary care services because they help people get diagnosed early and manage their health conditions while improving health results for the entire population. In the UK, primary care is primarily delivered through general practice and acts as the first point of contact within the healthcare system. Primary care services faced accessibility challenges before the COVID-19 pandemic because patient demand kept rising while the healthcare system experienced workforce shortages and limited resources (Baird et al., 2016).</w:t>
      </w:r>
    </w:p>
    <w:p w14:paraId="0537CEF5" w14:textId="6B8907DB" w:rsidR="003E4ECF" w:rsidRPr="001163F7" w:rsidRDefault="007072AB" w:rsidP="001163F7">
      <w:pPr>
        <w:tabs>
          <w:tab w:val="left" w:pos="6540"/>
        </w:tabs>
        <w:spacing w:line="360" w:lineRule="auto"/>
        <w:jc w:val="both"/>
        <w:rPr>
          <w:rFonts w:ascii="Arial" w:hAnsi="Arial" w:cs="Arial"/>
          <w:sz w:val="22"/>
        </w:rPr>
      </w:pPr>
      <w:r w:rsidRPr="001163F7">
        <w:rPr>
          <w:rFonts w:ascii="Arial" w:hAnsi="Arial" w:cs="Arial"/>
          <w:sz w:val="22"/>
        </w:rPr>
        <w:t>The COVID-19 pandemic brought about rapid telehealth expansion which changed the way primary care providers deliver their services. The NHS adopted a “remote-first” approach, where patients were encouraged to access care through telephone or video consultations where appropriate. National policy initiatives and national policies such as the NHS Long Term Plan and recovery strategies which followed it created support for this transformation by showing how digital technologies can boost service delivery efficiency and patient accessibility</w:t>
      </w:r>
      <w:r w:rsidR="002038A4" w:rsidRPr="001163F7">
        <w:rPr>
          <w:rFonts w:ascii="Arial" w:hAnsi="Arial" w:cs="Arial"/>
          <w:sz w:val="22"/>
        </w:rPr>
        <w:t xml:space="preserve"> (NHS, 2019)</w:t>
      </w:r>
      <w:r w:rsidRPr="001163F7">
        <w:rPr>
          <w:rFonts w:ascii="Arial" w:hAnsi="Arial" w:cs="Arial"/>
          <w:sz w:val="22"/>
        </w:rPr>
        <w:t>. The primary care recovery plan from NHS England (2023) shows that digital access will continue to be a main focus area, which will help increase appointment slots and enhance the patient experience.</w:t>
      </w:r>
    </w:p>
    <w:p w14:paraId="3154A3C2" w14:textId="34CA7794" w:rsidR="002267C8" w:rsidRPr="001163F7" w:rsidRDefault="002267C8" w:rsidP="001163F7">
      <w:pPr>
        <w:tabs>
          <w:tab w:val="left" w:pos="6540"/>
        </w:tabs>
        <w:spacing w:line="360" w:lineRule="auto"/>
        <w:jc w:val="both"/>
        <w:rPr>
          <w:rFonts w:ascii="Arial" w:hAnsi="Arial" w:cs="Arial"/>
          <w:sz w:val="22"/>
        </w:rPr>
      </w:pPr>
      <w:r w:rsidRPr="001163F7">
        <w:rPr>
          <w:rFonts w:ascii="Arial" w:hAnsi="Arial" w:cs="Arial"/>
          <w:sz w:val="22"/>
        </w:rPr>
        <w:t>Primary care access problems that have persisted for many years now find their solution through telehealth technology. The system allows patients to visit healthcare providers without needing to travel because it offers them direct access to medical professionals who can treat their needs. UK studies have shown that remote consultations increase both appointment capacity and patient scheduling options according to Murphy et al. (2021). The telehealth system enables medical facilities to provide better patient care through its ability to schedule follow-up appointments with patients.</w:t>
      </w:r>
    </w:p>
    <w:p w14:paraId="23FEF547" w14:textId="15CDECDB" w:rsidR="002267C8" w:rsidRPr="001163F7" w:rsidRDefault="002267C8" w:rsidP="001163F7">
      <w:pPr>
        <w:tabs>
          <w:tab w:val="left" w:pos="6540"/>
        </w:tabs>
        <w:spacing w:line="360" w:lineRule="auto"/>
        <w:jc w:val="both"/>
        <w:rPr>
          <w:rFonts w:ascii="Arial" w:hAnsi="Arial" w:cs="Arial"/>
          <w:sz w:val="22"/>
        </w:rPr>
      </w:pPr>
      <w:r w:rsidRPr="001163F7">
        <w:rPr>
          <w:rFonts w:ascii="Arial" w:hAnsi="Arial" w:cs="Arial"/>
          <w:sz w:val="22"/>
        </w:rPr>
        <w:t>Telehealth systems provide multiple advantages which are counteracted by emerging problems that affect both patient equity and healthcare delivery quality. The digital divide continues to affect UK residents who need online healthcare services but cannot access digital devices or stable internet connections or who do not know how to use digital health platforms. The situation affects older adults and disabled people as well as individuals who belong to lower socioeconomic status groups. The implementation of telehealth services leads to increased health inequalities because they do not benefit all patients equally according to Davies et al. (2021).</w:t>
      </w:r>
    </w:p>
    <w:p w14:paraId="7FB5ED96" w14:textId="710F67B2" w:rsidR="004652FE" w:rsidRPr="001163F7" w:rsidRDefault="004652FE" w:rsidP="001163F7">
      <w:pPr>
        <w:tabs>
          <w:tab w:val="left" w:pos="6540"/>
        </w:tabs>
        <w:spacing w:line="360" w:lineRule="auto"/>
        <w:jc w:val="both"/>
        <w:rPr>
          <w:rFonts w:ascii="Arial" w:hAnsi="Arial" w:cs="Arial"/>
          <w:sz w:val="22"/>
        </w:rPr>
      </w:pPr>
      <w:r w:rsidRPr="001163F7">
        <w:rPr>
          <w:rFonts w:ascii="Arial" w:hAnsi="Arial" w:cs="Arial"/>
          <w:sz w:val="22"/>
        </w:rPr>
        <w:lastRenderedPageBreak/>
        <w:t>Additionally, research found that remote consultations provide different service quality and effectiveness compared to traditional face-to-face interactions. Hammersley et al. (2019) showed that remote consultations work for some health problems but remote doctors cannot do physical tests or observe non-verbal patient signals. Donaghy et al. (2019) showed that patients preferred video consultations because of their convenience but they faced technical problems and difficulties with communication.</w:t>
      </w:r>
    </w:p>
    <w:p w14:paraId="01688071" w14:textId="267C14F6" w:rsidR="004652FE" w:rsidRPr="001163F7" w:rsidRDefault="004652FE" w:rsidP="001163F7">
      <w:pPr>
        <w:tabs>
          <w:tab w:val="left" w:pos="6540"/>
        </w:tabs>
        <w:spacing w:line="360" w:lineRule="auto"/>
        <w:jc w:val="both"/>
        <w:rPr>
          <w:rFonts w:ascii="Arial" w:hAnsi="Arial" w:cs="Arial"/>
          <w:sz w:val="22"/>
        </w:rPr>
      </w:pPr>
      <w:r w:rsidRPr="001163F7">
        <w:rPr>
          <w:rFonts w:ascii="Arial" w:hAnsi="Arial" w:cs="Arial"/>
          <w:sz w:val="22"/>
        </w:rPr>
        <w:t>There are two significant impacts that arise from telehealth technology, affecting not only health care practitioners but also the delivery of health care services. There have been modifications in terms of job duties and scheduling for appointments, given that the doctor is conducting assessments remotely through telehealth. Telehealth technology improves the e</w:t>
      </w:r>
      <w:r w:rsidR="00610CF8" w:rsidRPr="001163F7">
        <w:rPr>
          <w:rFonts w:ascii="Arial" w:hAnsi="Arial" w:cs="Arial"/>
          <w:sz w:val="22"/>
        </w:rPr>
        <w:t>fficiency of operations according to</w:t>
      </w:r>
      <w:r w:rsidRPr="001163F7">
        <w:rPr>
          <w:rFonts w:ascii="Arial" w:hAnsi="Arial" w:cs="Arial"/>
          <w:sz w:val="22"/>
        </w:rPr>
        <w:t xml:space="preserve"> Murphy et al. (2021), although it increases the number of patients due to easier access. Primary care operations depend on this situation because it affects their workforce planning and service sustainability.</w:t>
      </w:r>
    </w:p>
    <w:p w14:paraId="13F65AA3" w14:textId="23CACD61" w:rsidR="004652FE" w:rsidRPr="001163F7" w:rsidRDefault="004652FE" w:rsidP="001163F7">
      <w:pPr>
        <w:tabs>
          <w:tab w:val="left" w:pos="6540"/>
        </w:tabs>
        <w:spacing w:line="360" w:lineRule="auto"/>
        <w:jc w:val="both"/>
        <w:rPr>
          <w:rFonts w:ascii="Arial" w:hAnsi="Arial" w:cs="Arial"/>
          <w:sz w:val="22"/>
        </w:rPr>
      </w:pPr>
      <w:r w:rsidRPr="001163F7">
        <w:rPr>
          <w:rFonts w:ascii="Arial" w:hAnsi="Arial" w:cs="Arial"/>
          <w:sz w:val="22"/>
        </w:rPr>
        <w:t xml:space="preserve">UK health policy has started to demand digital healthcare systems which need both equal </w:t>
      </w:r>
      <w:r w:rsidR="00610CF8" w:rsidRPr="001163F7">
        <w:rPr>
          <w:rFonts w:ascii="Arial" w:hAnsi="Arial" w:cs="Arial"/>
          <w:sz w:val="22"/>
        </w:rPr>
        <w:t>treatments</w:t>
      </w:r>
      <w:r w:rsidRPr="001163F7">
        <w:rPr>
          <w:rFonts w:ascii="Arial" w:hAnsi="Arial" w:cs="Arial"/>
          <w:sz w:val="22"/>
        </w:rPr>
        <w:t xml:space="preserve"> for all users and complete acce</w:t>
      </w:r>
      <w:r w:rsidR="00523212" w:rsidRPr="001163F7">
        <w:rPr>
          <w:rFonts w:ascii="Arial" w:hAnsi="Arial" w:cs="Arial"/>
          <w:sz w:val="22"/>
        </w:rPr>
        <w:t>ptance of all clients. The focus is</w:t>
      </w:r>
      <w:r w:rsidRPr="001163F7">
        <w:rPr>
          <w:rFonts w:ascii="Arial" w:hAnsi="Arial" w:cs="Arial"/>
          <w:sz w:val="22"/>
        </w:rPr>
        <w:t xml:space="preserve"> to expand </w:t>
      </w:r>
      <w:r w:rsidR="00523212" w:rsidRPr="001163F7">
        <w:rPr>
          <w:rFonts w:ascii="Arial" w:hAnsi="Arial" w:cs="Arial"/>
          <w:sz w:val="22"/>
        </w:rPr>
        <w:t>t</w:t>
      </w:r>
      <w:r w:rsidRPr="001163F7">
        <w:rPr>
          <w:rFonts w:ascii="Arial" w:hAnsi="Arial" w:cs="Arial"/>
          <w:sz w:val="22"/>
        </w:rPr>
        <w:t>elehealth services while making sure all patients can use them in a secure efficient manner. The program will work on three areas which includ</w:t>
      </w:r>
      <w:r w:rsidR="00203C1B" w:rsidRPr="001163F7">
        <w:rPr>
          <w:rFonts w:ascii="Arial" w:hAnsi="Arial" w:cs="Arial"/>
          <w:sz w:val="22"/>
        </w:rPr>
        <w:t xml:space="preserve">e developing digital skills, </w:t>
      </w:r>
      <w:r w:rsidRPr="001163F7">
        <w:rPr>
          <w:rFonts w:ascii="Arial" w:hAnsi="Arial" w:cs="Arial"/>
          <w:sz w:val="22"/>
        </w:rPr>
        <w:t>building better systems and preserving access to in-person medical treatment.</w:t>
      </w:r>
    </w:p>
    <w:p w14:paraId="3635D03D" w14:textId="0A7EE8D6" w:rsidR="000216A7" w:rsidRPr="001163F7" w:rsidRDefault="000216A7" w:rsidP="001163F7">
      <w:pPr>
        <w:tabs>
          <w:tab w:val="left" w:pos="6540"/>
        </w:tabs>
        <w:spacing w:line="360" w:lineRule="auto"/>
        <w:jc w:val="both"/>
        <w:rPr>
          <w:rFonts w:ascii="Arial" w:hAnsi="Arial" w:cs="Arial"/>
          <w:sz w:val="22"/>
        </w:rPr>
      </w:pPr>
      <w:r w:rsidRPr="001163F7">
        <w:rPr>
          <w:rFonts w:ascii="Arial" w:hAnsi="Arial" w:cs="Arial"/>
          <w:sz w:val="22"/>
        </w:rPr>
        <w:t xml:space="preserve">Telehealth has transformed primary care delivery systems in the UK because it represents a major change to how these services are provided. The system provides multiple benefits through its convenient and efficient features yet the system creates complex challenges for users to access its services. Understanding this impact requires a thorough examination of all available research evidence including three key elements; equity, quality of care and service delivery methods. The scoping review uses this information as its basis to analyse how telehealth affects primary care access in the </w:t>
      </w:r>
      <w:r w:rsidR="00C46B43">
        <w:rPr>
          <w:rFonts w:ascii="Arial" w:hAnsi="Arial" w:cs="Arial"/>
          <w:sz w:val="22"/>
        </w:rPr>
        <w:t>UK</w:t>
      </w:r>
      <w:r w:rsidRPr="001163F7">
        <w:rPr>
          <w:rFonts w:ascii="Arial" w:hAnsi="Arial" w:cs="Arial"/>
          <w:sz w:val="22"/>
        </w:rPr>
        <w:t>.</w:t>
      </w:r>
    </w:p>
    <w:p w14:paraId="60B2CDC3" w14:textId="16F964EF" w:rsidR="00B87E75" w:rsidRPr="001163F7" w:rsidRDefault="0026393A" w:rsidP="001163F7">
      <w:pPr>
        <w:pStyle w:val="Heading1"/>
        <w:jc w:val="both"/>
        <w:rPr>
          <w:rFonts w:cs="Arial"/>
          <w:sz w:val="22"/>
        </w:rPr>
      </w:pPr>
      <w:r w:rsidRPr="001163F7">
        <w:rPr>
          <w:rFonts w:cs="Arial"/>
          <w:sz w:val="22"/>
        </w:rPr>
        <w:t>3</w:t>
      </w:r>
      <w:r w:rsidR="00B87E75" w:rsidRPr="001163F7">
        <w:rPr>
          <w:rFonts w:cs="Arial"/>
          <w:sz w:val="22"/>
        </w:rPr>
        <w:t>. Method</w:t>
      </w:r>
      <w:r w:rsidR="003E4ECF" w:rsidRPr="001163F7">
        <w:rPr>
          <w:rFonts w:cs="Arial"/>
          <w:sz w:val="22"/>
        </w:rPr>
        <w:t>s</w:t>
      </w:r>
    </w:p>
    <w:p w14:paraId="5DC3AF92" w14:textId="08E3CD83" w:rsidR="00B87E75" w:rsidRPr="001163F7" w:rsidRDefault="003E4ECF" w:rsidP="001163F7">
      <w:pPr>
        <w:tabs>
          <w:tab w:val="left" w:pos="6540"/>
        </w:tabs>
        <w:spacing w:line="360" w:lineRule="auto"/>
        <w:jc w:val="both"/>
        <w:rPr>
          <w:rFonts w:ascii="Arial" w:hAnsi="Arial" w:cs="Arial"/>
          <w:b/>
          <w:sz w:val="22"/>
        </w:rPr>
      </w:pPr>
      <w:r w:rsidRPr="001163F7">
        <w:rPr>
          <w:rFonts w:ascii="Arial" w:hAnsi="Arial" w:cs="Arial"/>
          <w:b/>
          <w:sz w:val="22"/>
        </w:rPr>
        <w:t xml:space="preserve">Data collection </w:t>
      </w:r>
      <w:r w:rsidR="001D7C03" w:rsidRPr="001163F7">
        <w:rPr>
          <w:rFonts w:ascii="Arial" w:hAnsi="Arial" w:cs="Arial"/>
          <w:b/>
          <w:sz w:val="22"/>
        </w:rPr>
        <w:t xml:space="preserve">/ </w:t>
      </w:r>
      <w:r w:rsidR="00B87E75" w:rsidRPr="001163F7">
        <w:rPr>
          <w:rFonts w:ascii="Arial" w:hAnsi="Arial" w:cs="Arial"/>
          <w:b/>
          <w:sz w:val="22"/>
        </w:rPr>
        <w:t>Search strategy</w:t>
      </w:r>
    </w:p>
    <w:p w14:paraId="6B6791E6" w14:textId="285D39AE" w:rsidR="00EC6EE1" w:rsidRPr="001163F7" w:rsidRDefault="00EC6EE1" w:rsidP="001163F7">
      <w:pPr>
        <w:tabs>
          <w:tab w:val="left" w:pos="6540"/>
        </w:tabs>
        <w:spacing w:line="360" w:lineRule="auto"/>
        <w:jc w:val="both"/>
        <w:rPr>
          <w:rFonts w:ascii="Arial" w:hAnsi="Arial" w:cs="Arial"/>
          <w:sz w:val="22"/>
        </w:rPr>
      </w:pPr>
      <w:r w:rsidRPr="001163F7">
        <w:rPr>
          <w:rFonts w:ascii="Arial" w:hAnsi="Arial" w:cs="Arial"/>
          <w:sz w:val="22"/>
        </w:rPr>
        <w:t xml:space="preserve">The research employs scoping review methodology to create a comprehensive overview which assesses existing peer-reviewed studies about telehealth effects on primary care access within the </w:t>
      </w:r>
      <w:r w:rsidR="00C46B43">
        <w:rPr>
          <w:rFonts w:ascii="Arial" w:hAnsi="Arial" w:cs="Arial"/>
          <w:sz w:val="22"/>
        </w:rPr>
        <w:t>UK</w:t>
      </w:r>
      <w:r w:rsidRPr="001163F7">
        <w:rPr>
          <w:rFonts w:ascii="Arial" w:hAnsi="Arial" w:cs="Arial"/>
          <w:sz w:val="22"/>
        </w:rPr>
        <w:t>. The research requires a scoping review because it enables researchers to identify examine and synthesize multiple scholarly sources while demonstrating essential research topics and existing knowledge deficiencies (Peters et al., 2022).</w:t>
      </w:r>
    </w:p>
    <w:p w14:paraId="7D901954" w14:textId="0D0C74F2" w:rsidR="00EC6EE1" w:rsidRPr="001163F7" w:rsidRDefault="00AD0A5D" w:rsidP="001163F7">
      <w:pPr>
        <w:tabs>
          <w:tab w:val="left" w:pos="6540"/>
        </w:tabs>
        <w:spacing w:line="360" w:lineRule="auto"/>
        <w:jc w:val="both"/>
        <w:rPr>
          <w:rFonts w:ascii="Arial" w:hAnsi="Arial" w:cs="Arial"/>
          <w:sz w:val="22"/>
        </w:rPr>
      </w:pPr>
      <w:r w:rsidRPr="001163F7">
        <w:rPr>
          <w:rFonts w:ascii="Arial" w:hAnsi="Arial" w:cs="Arial"/>
          <w:sz w:val="22"/>
        </w:rPr>
        <w:t>A</w:t>
      </w:r>
      <w:r w:rsidR="00EC6EE1" w:rsidRPr="001163F7">
        <w:rPr>
          <w:rFonts w:ascii="Arial" w:hAnsi="Arial" w:cs="Arial"/>
          <w:sz w:val="22"/>
        </w:rPr>
        <w:t xml:space="preserve"> complete literature search</w:t>
      </w:r>
      <w:r w:rsidRPr="001163F7">
        <w:rPr>
          <w:rFonts w:ascii="Arial" w:hAnsi="Arial" w:cs="Arial"/>
          <w:sz w:val="22"/>
        </w:rPr>
        <w:t xml:space="preserve"> was conducted</w:t>
      </w:r>
      <w:r w:rsidR="00EC6EE1" w:rsidRPr="001163F7">
        <w:rPr>
          <w:rFonts w:ascii="Arial" w:hAnsi="Arial" w:cs="Arial"/>
          <w:sz w:val="22"/>
        </w:rPr>
        <w:t xml:space="preserve"> by accessing various academic databases whi</w:t>
      </w:r>
      <w:r w:rsidR="00206121" w:rsidRPr="001163F7">
        <w:rPr>
          <w:rFonts w:ascii="Arial" w:hAnsi="Arial" w:cs="Arial"/>
          <w:sz w:val="22"/>
        </w:rPr>
        <w:t xml:space="preserve">ch included PubMed, MEDLINE, </w:t>
      </w:r>
      <w:r w:rsidR="00EC6EE1" w:rsidRPr="001163F7">
        <w:rPr>
          <w:rFonts w:ascii="Arial" w:hAnsi="Arial" w:cs="Arial"/>
          <w:sz w:val="22"/>
        </w:rPr>
        <w:t xml:space="preserve">CINAHL and Google Scholar. </w:t>
      </w:r>
      <w:r w:rsidR="00206121" w:rsidRPr="001163F7">
        <w:rPr>
          <w:rFonts w:ascii="Arial" w:hAnsi="Arial" w:cs="Arial"/>
          <w:sz w:val="22"/>
        </w:rPr>
        <w:t>T</w:t>
      </w:r>
      <w:r w:rsidR="00EC6EE1" w:rsidRPr="001163F7">
        <w:rPr>
          <w:rFonts w:ascii="Arial" w:hAnsi="Arial" w:cs="Arial"/>
          <w:sz w:val="22"/>
        </w:rPr>
        <w:t xml:space="preserve">hese databases </w:t>
      </w:r>
      <w:r w:rsidR="00206121" w:rsidRPr="001163F7">
        <w:rPr>
          <w:rFonts w:ascii="Arial" w:hAnsi="Arial" w:cs="Arial"/>
          <w:sz w:val="22"/>
        </w:rPr>
        <w:t xml:space="preserve">were chosen </w:t>
      </w:r>
      <w:r w:rsidR="00EC6EE1" w:rsidRPr="001163F7">
        <w:rPr>
          <w:rFonts w:ascii="Arial" w:hAnsi="Arial" w:cs="Arial"/>
          <w:sz w:val="22"/>
        </w:rPr>
        <w:lastRenderedPageBreak/>
        <w:t xml:space="preserve">because they provide essential resources for research </w:t>
      </w:r>
      <w:r w:rsidR="00206121" w:rsidRPr="001163F7">
        <w:rPr>
          <w:rFonts w:ascii="Arial" w:hAnsi="Arial" w:cs="Arial"/>
          <w:sz w:val="22"/>
        </w:rPr>
        <w:t xml:space="preserve">studies that involve health, </w:t>
      </w:r>
      <w:r w:rsidR="00EC6EE1" w:rsidRPr="001163F7">
        <w:rPr>
          <w:rFonts w:ascii="Arial" w:hAnsi="Arial" w:cs="Arial"/>
          <w:sz w:val="22"/>
        </w:rPr>
        <w:t xml:space="preserve">social care and digital health topics. The research </w:t>
      </w:r>
      <w:r w:rsidR="00206121" w:rsidRPr="001163F7">
        <w:rPr>
          <w:rFonts w:ascii="Arial" w:hAnsi="Arial" w:cs="Arial"/>
          <w:sz w:val="22"/>
        </w:rPr>
        <w:t>report</w:t>
      </w:r>
      <w:r w:rsidR="00EC6EE1" w:rsidRPr="001163F7">
        <w:rPr>
          <w:rFonts w:ascii="Arial" w:hAnsi="Arial" w:cs="Arial"/>
          <w:sz w:val="22"/>
        </w:rPr>
        <w:t xml:space="preserve"> examined publications from 2015 until 2025 because this period contains current evidence which documents the rapid growth of telehealth services that occurred after the COVID-19 pandemic.</w:t>
      </w:r>
    </w:p>
    <w:p w14:paraId="264FDBEE" w14:textId="466BEF26" w:rsidR="00EC6EE1" w:rsidRPr="001163F7" w:rsidRDefault="00206121" w:rsidP="001163F7">
      <w:pPr>
        <w:tabs>
          <w:tab w:val="left" w:pos="6540"/>
        </w:tabs>
        <w:spacing w:line="360" w:lineRule="auto"/>
        <w:jc w:val="both"/>
        <w:rPr>
          <w:rFonts w:ascii="Arial" w:hAnsi="Arial" w:cs="Arial"/>
          <w:sz w:val="22"/>
        </w:rPr>
      </w:pPr>
      <w:r w:rsidRPr="001163F7">
        <w:rPr>
          <w:rFonts w:ascii="Arial" w:hAnsi="Arial" w:cs="Arial"/>
          <w:sz w:val="22"/>
        </w:rPr>
        <w:t>K</w:t>
      </w:r>
      <w:r w:rsidR="00EC6EE1" w:rsidRPr="001163F7">
        <w:rPr>
          <w:rFonts w:ascii="Arial" w:hAnsi="Arial" w:cs="Arial"/>
          <w:sz w:val="22"/>
        </w:rPr>
        <w:t>eywords and search terms</w:t>
      </w:r>
      <w:r w:rsidRPr="001163F7">
        <w:rPr>
          <w:rFonts w:ascii="Arial" w:hAnsi="Arial" w:cs="Arial"/>
          <w:sz w:val="22"/>
        </w:rPr>
        <w:t xml:space="preserve"> were created,</w:t>
      </w:r>
      <w:r w:rsidR="00EC6EE1" w:rsidRPr="001163F7">
        <w:rPr>
          <w:rFonts w:ascii="Arial" w:hAnsi="Arial" w:cs="Arial"/>
          <w:sz w:val="22"/>
        </w:rPr>
        <w:t xml:space="preserve"> combined with Boolean operators to search for relevant informatio</w:t>
      </w:r>
      <w:r w:rsidRPr="001163F7">
        <w:rPr>
          <w:rFonts w:ascii="Arial" w:hAnsi="Arial" w:cs="Arial"/>
          <w:sz w:val="22"/>
        </w:rPr>
        <w:t>n that would answer the review</w:t>
      </w:r>
      <w:r w:rsidR="00EC6EE1" w:rsidRPr="001163F7">
        <w:rPr>
          <w:rFonts w:ascii="Arial" w:hAnsi="Arial" w:cs="Arial"/>
          <w:sz w:val="22"/>
        </w:rPr>
        <w:t xml:space="preserve"> question. The primary search terms for this research included the following terms: “telehealth” OR “telemedicine” OR “remote consultation” AND “primary care” OR “general practice” AND “access” OR “healthcare access</w:t>
      </w:r>
      <w:r w:rsidR="00313EBC" w:rsidRPr="001163F7">
        <w:rPr>
          <w:rFonts w:ascii="Arial" w:hAnsi="Arial" w:cs="Arial"/>
          <w:sz w:val="22"/>
        </w:rPr>
        <w:t>” AND “UK” OR “</w:t>
      </w:r>
      <w:r w:rsidR="00C46B43">
        <w:rPr>
          <w:rFonts w:ascii="Arial" w:hAnsi="Arial" w:cs="Arial"/>
          <w:sz w:val="22"/>
        </w:rPr>
        <w:t>UK</w:t>
      </w:r>
      <w:r w:rsidR="00313EBC" w:rsidRPr="001163F7">
        <w:rPr>
          <w:rFonts w:ascii="Arial" w:hAnsi="Arial" w:cs="Arial"/>
          <w:sz w:val="22"/>
        </w:rPr>
        <w:t xml:space="preserve">”. </w:t>
      </w:r>
      <w:r w:rsidR="00C209EC" w:rsidRPr="001163F7">
        <w:rPr>
          <w:rFonts w:ascii="Arial" w:hAnsi="Arial" w:cs="Arial"/>
          <w:sz w:val="22"/>
        </w:rPr>
        <w:t>R</w:t>
      </w:r>
      <w:r w:rsidR="00EC6EE1" w:rsidRPr="001163F7">
        <w:rPr>
          <w:rFonts w:ascii="Arial" w:hAnsi="Arial" w:cs="Arial"/>
          <w:sz w:val="22"/>
        </w:rPr>
        <w:t>eference lists from relevant articles</w:t>
      </w:r>
      <w:r w:rsidR="00C209EC" w:rsidRPr="001163F7">
        <w:rPr>
          <w:rFonts w:ascii="Arial" w:hAnsi="Arial" w:cs="Arial"/>
          <w:sz w:val="22"/>
        </w:rPr>
        <w:t xml:space="preserve"> were used</w:t>
      </w:r>
      <w:r w:rsidR="00EC6EE1" w:rsidRPr="001163F7">
        <w:rPr>
          <w:rFonts w:ascii="Arial" w:hAnsi="Arial" w:cs="Arial"/>
          <w:sz w:val="22"/>
        </w:rPr>
        <w:t xml:space="preserve"> to find more studies </w:t>
      </w:r>
      <w:r w:rsidR="00C209EC" w:rsidRPr="001163F7">
        <w:rPr>
          <w:rFonts w:ascii="Arial" w:hAnsi="Arial" w:cs="Arial"/>
          <w:sz w:val="22"/>
        </w:rPr>
        <w:t>that</w:t>
      </w:r>
      <w:r w:rsidR="00EC6EE1" w:rsidRPr="001163F7">
        <w:rPr>
          <w:rFonts w:ascii="Arial" w:hAnsi="Arial" w:cs="Arial"/>
          <w:sz w:val="22"/>
        </w:rPr>
        <w:t xml:space="preserve"> could</w:t>
      </w:r>
      <w:r w:rsidR="00C209EC" w:rsidRPr="001163F7">
        <w:rPr>
          <w:rFonts w:ascii="Arial" w:hAnsi="Arial" w:cs="Arial"/>
          <w:sz w:val="22"/>
        </w:rPr>
        <w:t xml:space="preserve"> be</w:t>
      </w:r>
      <w:r w:rsidR="00EC6EE1" w:rsidRPr="001163F7">
        <w:rPr>
          <w:rFonts w:ascii="Arial" w:hAnsi="Arial" w:cs="Arial"/>
          <w:sz w:val="22"/>
        </w:rPr>
        <w:t xml:space="preserve"> include</w:t>
      </w:r>
      <w:r w:rsidR="00C209EC" w:rsidRPr="001163F7">
        <w:rPr>
          <w:rFonts w:ascii="Arial" w:hAnsi="Arial" w:cs="Arial"/>
          <w:sz w:val="22"/>
        </w:rPr>
        <w:t>d in the</w:t>
      </w:r>
      <w:r w:rsidR="00EC6EE1" w:rsidRPr="001163F7">
        <w:rPr>
          <w:rFonts w:ascii="Arial" w:hAnsi="Arial" w:cs="Arial"/>
          <w:sz w:val="22"/>
        </w:rPr>
        <w:t xml:space="preserve"> research.</w:t>
      </w:r>
    </w:p>
    <w:p w14:paraId="5A285FF6" w14:textId="07295B09" w:rsidR="00CF2F8D" w:rsidRPr="001163F7" w:rsidRDefault="00CF2F8D" w:rsidP="001163F7">
      <w:pPr>
        <w:tabs>
          <w:tab w:val="left" w:pos="6540"/>
        </w:tabs>
        <w:spacing w:line="360" w:lineRule="auto"/>
        <w:jc w:val="both"/>
        <w:rPr>
          <w:rFonts w:ascii="Arial" w:hAnsi="Arial" w:cs="Arial"/>
          <w:b/>
          <w:sz w:val="22"/>
        </w:rPr>
      </w:pPr>
      <w:r w:rsidRPr="001163F7">
        <w:rPr>
          <w:rFonts w:ascii="Arial" w:hAnsi="Arial" w:cs="Arial"/>
          <w:b/>
          <w:sz w:val="22"/>
        </w:rPr>
        <w:t>Inclusion and Exclusion Criteria</w:t>
      </w:r>
    </w:p>
    <w:p w14:paraId="0936FCE1" w14:textId="4ECADA6E" w:rsidR="00CF2F8D" w:rsidRPr="001163F7" w:rsidRDefault="00CF2F8D" w:rsidP="001163F7">
      <w:pPr>
        <w:tabs>
          <w:tab w:val="left" w:pos="6540"/>
        </w:tabs>
        <w:spacing w:line="360" w:lineRule="auto"/>
        <w:jc w:val="both"/>
        <w:rPr>
          <w:rFonts w:ascii="Arial" w:hAnsi="Arial" w:cs="Arial"/>
          <w:sz w:val="22"/>
        </w:rPr>
      </w:pPr>
      <w:r w:rsidRPr="001163F7">
        <w:rPr>
          <w:rFonts w:ascii="Arial" w:hAnsi="Arial" w:cs="Arial"/>
          <w:sz w:val="22"/>
        </w:rPr>
        <w:t>Specific rules which needed to be followed were established for study inclusion and exclusion purposes to maintain relevance and research excellence.</w:t>
      </w:r>
    </w:p>
    <w:p w14:paraId="7325EBC8" w14:textId="430829E5" w:rsidR="00CF2F8D" w:rsidRPr="001163F7" w:rsidRDefault="00CF2F8D" w:rsidP="001163F7">
      <w:pPr>
        <w:tabs>
          <w:tab w:val="left" w:pos="6540"/>
        </w:tabs>
        <w:spacing w:line="360" w:lineRule="auto"/>
        <w:jc w:val="both"/>
        <w:rPr>
          <w:rFonts w:ascii="Arial" w:hAnsi="Arial" w:cs="Arial"/>
          <w:sz w:val="22"/>
        </w:rPr>
      </w:pPr>
      <w:r w:rsidRPr="001163F7">
        <w:rPr>
          <w:rFonts w:ascii="Arial" w:hAnsi="Arial" w:cs="Arial"/>
          <w:sz w:val="22"/>
        </w:rPr>
        <w:t>Inclusion criteria:</w:t>
      </w:r>
    </w:p>
    <w:p w14:paraId="078DFDFB" w14:textId="77777777" w:rsidR="00CF2F8D" w:rsidRPr="001163F7" w:rsidRDefault="00CF2F8D" w:rsidP="001163F7">
      <w:pPr>
        <w:pStyle w:val="ListParagraph"/>
        <w:numPr>
          <w:ilvl w:val="0"/>
          <w:numId w:val="2"/>
        </w:numPr>
        <w:tabs>
          <w:tab w:val="left" w:pos="6540"/>
        </w:tabs>
        <w:spacing w:line="360" w:lineRule="auto"/>
        <w:jc w:val="both"/>
        <w:rPr>
          <w:rFonts w:ascii="Arial" w:hAnsi="Arial" w:cs="Arial"/>
          <w:sz w:val="22"/>
        </w:rPr>
      </w:pPr>
      <w:r w:rsidRPr="001163F7">
        <w:rPr>
          <w:rFonts w:ascii="Arial" w:hAnsi="Arial" w:cs="Arial"/>
          <w:sz w:val="22"/>
        </w:rPr>
        <w:t>Peer-reviewed primary or secondary research studies</w:t>
      </w:r>
    </w:p>
    <w:p w14:paraId="2322DA8C" w14:textId="77777777" w:rsidR="00CF2F8D" w:rsidRPr="001163F7" w:rsidRDefault="00CF2F8D" w:rsidP="001163F7">
      <w:pPr>
        <w:pStyle w:val="ListParagraph"/>
        <w:numPr>
          <w:ilvl w:val="0"/>
          <w:numId w:val="2"/>
        </w:numPr>
        <w:tabs>
          <w:tab w:val="left" w:pos="6540"/>
        </w:tabs>
        <w:spacing w:line="360" w:lineRule="auto"/>
        <w:jc w:val="both"/>
        <w:rPr>
          <w:rFonts w:ascii="Arial" w:hAnsi="Arial" w:cs="Arial"/>
          <w:sz w:val="22"/>
        </w:rPr>
      </w:pPr>
      <w:r w:rsidRPr="001163F7">
        <w:rPr>
          <w:rFonts w:ascii="Arial" w:hAnsi="Arial" w:cs="Arial"/>
          <w:sz w:val="22"/>
        </w:rPr>
        <w:t>Studies focused on telehealth or remote consultations</w:t>
      </w:r>
    </w:p>
    <w:p w14:paraId="10EDD4F3" w14:textId="77777777" w:rsidR="00CF2F8D" w:rsidRPr="001163F7" w:rsidRDefault="00CF2F8D" w:rsidP="001163F7">
      <w:pPr>
        <w:pStyle w:val="ListParagraph"/>
        <w:numPr>
          <w:ilvl w:val="0"/>
          <w:numId w:val="2"/>
        </w:numPr>
        <w:tabs>
          <w:tab w:val="left" w:pos="6540"/>
        </w:tabs>
        <w:spacing w:line="360" w:lineRule="auto"/>
        <w:jc w:val="both"/>
        <w:rPr>
          <w:rFonts w:ascii="Arial" w:hAnsi="Arial" w:cs="Arial"/>
          <w:sz w:val="22"/>
        </w:rPr>
      </w:pPr>
      <w:r w:rsidRPr="001163F7">
        <w:rPr>
          <w:rFonts w:ascii="Arial" w:hAnsi="Arial" w:cs="Arial"/>
          <w:sz w:val="22"/>
        </w:rPr>
        <w:t>Studies which investigated how people could access primary care services</w:t>
      </w:r>
    </w:p>
    <w:p w14:paraId="0B1FD24E" w14:textId="77777777" w:rsidR="00CF2F8D" w:rsidRPr="001163F7" w:rsidRDefault="00CF2F8D" w:rsidP="001163F7">
      <w:pPr>
        <w:pStyle w:val="ListParagraph"/>
        <w:numPr>
          <w:ilvl w:val="0"/>
          <w:numId w:val="2"/>
        </w:numPr>
        <w:tabs>
          <w:tab w:val="left" w:pos="6540"/>
        </w:tabs>
        <w:spacing w:line="360" w:lineRule="auto"/>
        <w:jc w:val="both"/>
        <w:rPr>
          <w:rFonts w:ascii="Arial" w:hAnsi="Arial" w:cs="Arial"/>
          <w:sz w:val="22"/>
        </w:rPr>
      </w:pPr>
      <w:r w:rsidRPr="001163F7">
        <w:rPr>
          <w:rFonts w:ascii="Arial" w:hAnsi="Arial" w:cs="Arial"/>
          <w:sz w:val="22"/>
        </w:rPr>
        <w:t>Research conducted within the UK context</w:t>
      </w:r>
    </w:p>
    <w:p w14:paraId="780AEB07" w14:textId="53BF91AA" w:rsidR="00CF2F8D" w:rsidRPr="001163F7" w:rsidRDefault="00CF2F8D" w:rsidP="001163F7">
      <w:pPr>
        <w:pStyle w:val="ListParagraph"/>
        <w:numPr>
          <w:ilvl w:val="0"/>
          <w:numId w:val="2"/>
        </w:numPr>
        <w:tabs>
          <w:tab w:val="left" w:pos="6540"/>
        </w:tabs>
        <w:spacing w:line="360" w:lineRule="auto"/>
        <w:jc w:val="both"/>
        <w:rPr>
          <w:rFonts w:ascii="Arial" w:hAnsi="Arial" w:cs="Arial"/>
          <w:sz w:val="22"/>
        </w:rPr>
      </w:pPr>
      <w:r w:rsidRPr="001163F7">
        <w:rPr>
          <w:rFonts w:ascii="Arial" w:hAnsi="Arial" w:cs="Arial"/>
          <w:sz w:val="22"/>
        </w:rPr>
        <w:t>Articles published between 2015 and 2025</w:t>
      </w:r>
    </w:p>
    <w:p w14:paraId="3181FD5A" w14:textId="1298A375" w:rsidR="00CF2F8D" w:rsidRPr="001163F7" w:rsidRDefault="00CF2F8D" w:rsidP="001163F7">
      <w:pPr>
        <w:tabs>
          <w:tab w:val="left" w:pos="6540"/>
        </w:tabs>
        <w:spacing w:line="360" w:lineRule="auto"/>
        <w:jc w:val="both"/>
        <w:rPr>
          <w:rFonts w:ascii="Arial" w:hAnsi="Arial" w:cs="Arial"/>
          <w:sz w:val="22"/>
        </w:rPr>
      </w:pPr>
      <w:r w:rsidRPr="001163F7">
        <w:rPr>
          <w:rFonts w:ascii="Arial" w:hAnsi="Arial" w:cs="Arial"/>
          <w:sz w:val="22"/>
        </w:rPr>
        <w:t>Exclusion criteria:</w:t>
      </w:r>
    </w:p>
    <w:p w14:paraId="63FECD9C" w14:textId="77777777" w:rsidR="00CF2F8D" w:rsidRPr="001163F7" w:rsidRDefault="00CF2F8D" w:rsidP="001163F7">
      <w:pPr>
        <w:pStyle w:val="ListParagraph"/>
        <w:numPr>
          <w:ilvl w:val="0"/>
          <w:numId w:val="3"/>
        </w:numPr>
        <w:tabs>
          <w:tab w:val="left" w:pos="6540"/>
        </w:tabs>
        <w:spacing w:line="360" w:lineRule="auto"/>
        <w:jc w:val="both"/>
        <w:rPr>
          <w:rFonts w:ascii="Arial" w:hAnsi="Arial" w:cs="Arial"/>
          <w:sz w:val="22"/>
        </w:rPr>
      </w:pPr>
      <w:r w:rsidRPr="001163F7">
        <w:rPr>
          <w:rFonts w:ascii="Arial" w:hAnsi="Arial" w:cs="Arial"/>
          <w:sz w:val="22"/>
        </w:rPr>
        <w:t>Editorials, opinion pieces, commentaries and conference abstracts</w:t>
      </w:r>
    </w:p>
    <w:p w14:paraId="11783EAA" w14:textId="77777777" w:rsidR="00CF2F8D" w:rsidRPr="001163F7" w:rsidRDefault="00CF2F8D" w:rsidP="001163F7">
      <w:pPr>
        <w:pStyle w:val="ListParagraph"/>
        <w:numPr>
          <w:ilvl w:val="0"/>
          <w:numId w:val="3"/>
        </w:numPr>
        <w:tabs>
          <w:tab w:val="left" w:pos="6540"/>
        </w:tabs>
        <w:spacing w:line="360" w:lineRule="auto"/>
        <w:jc w:val="both"/>
        <w:rPr>
          <w:rFonts w:ascii="Arial" w:hAnsi="Arial" w:cs="Arial"/>
          <w:sz w:val="22"/>
        </w:rPr>
      </w:pPr>
      <w:r w:rsidRPr="001163F7">
        <w:rPr>
          <w:rFonts w:ascii="Arial" w:hAnsi="Arial" w:cs="Arial"/>
          <w:sz w:val="22"/>
        </w:rPr>
        <w:t>Policy documents and reports which were excluded from analysis but used in background</w:t>
      </w:r>
    </w:p>
    <w:p w14:paraId="43FDCAD2" w14:textId="77777777" w:rsidR="00CF2F8D" w:rsidRPr="001163F7" w:rsidRDefault="00CF2F8D" w:rsidP="001163F7">
      <w:pPr>
        <w:pStyle w:val="ListParagraph"/>
        <w:numPr>
          <w:ilvl w:val="0"/>
          <w:numId w:val="3"/>
        </w:numPr>
        <w:tabs>
          <w:tab w:val="left" w:pos="6540"/>
        </w:tabs>
        <w:spacing w:line="360" w:lineRule="auto"/>
        <w:jc w:val="both"/>
        <w:rPr>
          <w:rFonts w:ascii="Arial" w:hAnsi="Arial" w:cs="Arial"/>
          <w:sz w:val="22"/>
        </w:rPr>
      </w:pPr>
      <w:r w:rsidRPr="001163F7">
        <w:rPr>
          <w:rFonts w:ascii="Arial" w:hAnsi="Arial" w:cs="Arial"/>
          <w:sz w:val="22"/>
        </w:rPr>
        <w:t>Studies which did not examine primary care</w:t>
      </w:r>
    </w:p>
    <w:p w14:paraId="51F79024" w14:textId="7F817168" w:rsidR="00CF2F8D" w:rsidRPr="001163F7" w:rsidRDefault="00CF2F8D" w:rsidP="001163F7">
      <w:pPr>
        <w:pStyle w:val="ListParagraph"/>
        <w:numPr>
          <w:ilvl w:val="0"/>
          <w:numId w:val="3"/>
        </w:numPr>
        <w:tabs>
          <w:tab w:val="left" w:pos="6540"/>
        </w:tabs>
        <w:spacing w:line="360" w:lineRule="auto"/>
        <w:jc w:val="both"/>
        <w:rPr>
          <w:rFonts w:ascii="Arial" w:hAnsi="Arial" w:cs="Arial"/>
          <w:sz w:val="22"/>
        </w:rPr>
      </w:pPr>
      <w:r w:rsidRPr="001163F7">
        <w:rPr>
          <w:rFonts w:ascii="Arial" w:hAnsi="Arial" w:cs="Arial"/>
          <w:sz w:val="22"/>
        </w:rPr>
        <w:t xml:space="preserve">Studies which conducted research outside the </w:t>
      </w:r>
      <w:r w:rsidR="00C46B43">
        <w:rPr>
          <w:rFonts w:ascii="Arial" w:hAnsi="Arial" w:cs="Arial"/>
          <w:sz w:val="22"/>
        </w:rPr>
        <w:t>UK</w:t>
      </w:r>
    </w:p>
    <w:p w14:paraId="27557204" w14:textId="2AA026A6" w:rsidR="00313587" w:rsidRPr="001163F7" w:rsidRDefault="00CF2F8D" w:rsidP="001163F7">
      <w:pPr>
        <w:tabs>
          <w:tab w:val="left" w:pos="6540"/>
        </w:tabs>
        <w:spacing w:line="360" w:lineRule="auto"/>
        <w:jc w:val="both"/>
        <w:rPr>
          <w:rFonts w:ascii="Arial" w:hAnsi="Arial" w:cs="Arial"/>
          <w:sz w:val="22"/>
        </w:rPr>
      </w:pPr>
      <w:r w:rsidRPr="001163F7">
        <w:rPr>
          <w:rFonts w:ascii="Arial" w:hAnsi="Arial" w:cs="Arial"/>
          <w:sz w:val="22"/>
        </w:rPr>
        <w:t>Three relevant studies which met the assignment requirements were selected for the scoping review</w:t>
      </w:r>
    </w:p>
    <w:p w14:paraId="5CF77E07" w14:textId="30B57D14" w:rsidR="00313587" w:rsidRPr="001163F7" w:rsidRDefault="00313587" w:rsidP="001163F7">
      <w:pPr>
        <w:tabs>
          <w:tab w:val="left" w:pos="6540"/>
        </w:tabs>
        <w:spacing w:line="360" w:lineRule="auto"/>
        <w:jc w:val="both"/>
        <w:rPr>
          <w:rFonts w:ascii="Arial" w:hAnsi="Arial" w:cs="Arial"/>
          <w:b/>
          <w:sz w:val="22"/>
        </w:rPr>
      </w:pPr>
      <w:r w:rsidRPr="001163F7">
        <w:rPr>
          <w:rFonts w:ascii="Arial" w:hAnsi="Arial" w:cs="Arial"/>
          <w:b/>
          <w:sz w:val="22"/>
        </w:rPr>
        <w:t>Study Selection Process</w:t>
      </w:r>
    </w:p>
    <w:p w14:paraId="14695584" w14:textId="778E54ED" w:rsidR="00313587" w:rsidRPr="001163F7" w:rsidRDefault="00313587" w:rsidP="001163F7">
      <w:pPr>
        <w:tabs>
          <w:tab w:val="left" w:pos="6540"/>
        </w:tabs>
        <w:spacing w:line="360" w:lineRule="auto"/>
        <w:jc w:val="both"/>
        <w:rPr>
          <w:rFonts w:ascii="Arial" w:hAnsi="Arial" w:cs="Arial"/>
          <w:sz w:val="22"/>
        </w:rPr>
      </w:pPr>
      <w:r w:rsidRPr="001163F7">
        <w:rPr>
          <w:rFonts w:ascii="Arial" w:hAnsi="Arial" w:cs="Arial"/>
          <w:sz w:val="22"/>
        </w:rPr>
        <w:t xml:space="preserve">The study selection process followed a structured approach. The titles and abstracts of identified articles were screened to determine their relevance to the review question. A detailed examination of full-text versions of potentially eligible studies was conducted to assess their compliance with the established inclusion and exclusion criteria. The screening </w:t>
      </w:r>
      <w:r w:rsidRPr="001163F7">
        <w:rPr>
          <w:rFonts w:ascii="Arial" w:hAnsi="Arial" w:cs="Arial"/>
          <w:sz w:val="22"/>
        </w:rPr>
        <w:lastRenderedPageBreak/>
        <w:t>process resulted in the removal of duplicate articles from the research database. The selection process followed a systematic procedure that established transparent operations while decreasing selection bias despite the absence of a mandatory PRISMA diagram.</w:t>
      </w:r>
    </w:p>
    <w:p w14:paraId="01C569EA" w14:textId="763D21B6" w:rsidR="00313587" w:rsidRPr="001163F7" w:rsidRDefault="00313587" w:rsidP="001163F7">
      <w:pPr>
        <w:tabs>
          <w:tab w:val="left" w:pos="6540"/>
        </w:tabs>
        <w:spacing w:line="360" w:lineRule="auto"/>
        <w:jc w:val="both"/>
        <w:rPr>
          <w:rFonts w:ascii="Arial" w:hAnsi="Arial" w:cs="Arial"/>
          <w:b/>
          <w:sz w:val="22"/>
        </w:rPr>
      </w:pPr>
      <w:r w:rsidRPr="001163F7">
        <w:rPr>
          <w:rFonts w:ascii="Arial" w:hAnsi="Arial" w:cs="Arial"/>
          <w:b/>
          <w:sz w:val="22"/>
        </w:rPr>
        <w:t>Data Extraction</w:t>
      </w:r>
    </w:p>
    <w:p w14:paraId="36504D5D" w14:textId="64B655FB" w:rsidR="00CF2F8D" w:rsidRPr="001163F7" w:rsidRDefault="00313587" w:rsidP="001163F7">
      <w:pPr>
        <w:tabs>
          <w:tab w:val="left" w:pos="6540"/>
        </w:tabs>
        <w:spacing w:line="360" w:lineRule="auto"/>
        <w:jc w:val="both"/>
        <w:rPr>
          <w:rFonts w:ascii="Arial" w:hAnsi="Arial" w:cs="Arial"/>
          <w:sz w:val="22"/>
        </w:rPr>
      </w:pPr>
      <w:r w:rsidRPr="001163F7">
        <w:rPr>
          <w:rFonts w:ascii="Arial" w:hAnsi="Arial" w:cs="Arial"/>
          <w:sz w:val="22"/>
        </w:rPr>
        <w:t>A structured data charting form was used to extract data from the selected studies. The research collected important information which included the following details: Author(s) and year of publication, study aim and research question, research design and methodology, sample size and population characteristics, key findings related to telehealth and access, l</w:t>
      </w:r>
      <w:r w:rsidR="0059155C" w:rsidRPr="001163F7">
        <w:rPr>
          <w:rFonts w:ascii="Arial" w:hAnsi="Arial" w:cs="Arial"/>
          <w:sz w:val="22"/>
        </w:rPr>
        <w:t>imitations of the study. T</w:t>
      </w:r>
      <w:r w:rsidRPr="001163F7">
        <w:rPr>
          <w:rFonts w:ascii="Arial" w:hAnsi="Arial" w:cs="Arial"/>
          <w:sz w:val="22"/>
        </w:rPr>
        <w:t xml:space="preserve">his method </w:t>
      </w:r>
      <w:r w:rsidR="0059155C" w:rsidRPr="001163F7">
        <w:rPr>
          <w:rFonts w:ascii="Arial" w:hAnsi="Arial" w:cs="Arial"/>
          <w:sz w:val="22"/>
        </w:rPr>
        <w:t xml:space="preserve">was used </w:t>
      </w:r>
      <w:r w:rsidRPr="001163F7">
        <w:rPr>
          <w:rFonts w:ascii="Arial" w:hAnsi="Arial" w:cs="Arial"/>
          <w:sz w:val="22"/>
        </w:rPr>
        <w:t xml:space="preserve">to establish standard procedures for data gathering which enabled </w:t>
      </w:r>
      <w:r w:rsidR="0059155C" w:rsidRPr="001163F7">
        <w:rPr>
          <w:rFonts w:ascii="Arial" w:hAnsi="Arial" w:cs="Arial"/>
          <w:sz w:val="22"/>
        </w:rPr>
        <w:t>comparison of</w:t>
      </w:r>
      <w:r w:rsidR="003C6464" w:rsidRPr="001163F7">
        <w:rPr>
          <w:rFonts w:ascii="Arial" w:hAnsi="Arial" w:cs="Arial"/>
          <w:sz w:val="22"/>
        </w:rPr>
        <w:t xml:space="preserve"> different studies effectively</w:t>
      </w:r>
      <w:r w:rsidR="00CF2F8D" w:rsidRPr="001163F7">
        <w:rPr>
          <w:rFonts w:ascii="Arial" w:hAnsi="Arial" w:cs="Arial"/>
          <w:sz w:val="22"/>
        </w:rPr>
        <w:t>.</w:t>
      </w:r>
    </w:p>
    <w:p w14:paraId="6CA3846F" w14:textId="2741EC9B" w:rsidR="00B87E75" w:rsidRPr="001163F7" w:rsidRDefault="00B87E75" w:rsidP="001163F7">
      <w:pPr>
        <w:tabs>
          <w:tab w:val="left" w:pos="6540"/>
        </w:tabs>
        <w:spacing w:line="360" w:lineRule="auto"/>
        <w:jc w:val="both"/>
        <w:rPr>
          <w:rFonts w:ascii="Arial" w:hAnsi="Arial" w:cs="Arial"/>
          <w:b/>
          <w:sz w:val="22"/>
        </w:rPr>
      </w:pPr>
      <w:r w:rsidRPr="001163F7">
        <w:rPr>
          <w:rFonts w:ascii="Arial" w:hAnsi="Arial" w:cs="Arial"/>
          <w:b/>
          <w:sz w:val="22"/>
        </w:rPr>
        <w:t>Data analysis</w:t>
      </w:r>
    </w:p>
    <w:p w14:paraId="22F14253" w14:textId="53621735" w:rsidR="003C6464" w:rsidRPr="001163F7" w:rsidRDefault="003C6464" w:rsidP="001163F7">
      <w:pPr>
        <w:tabs>
          <w:tab w:val="left" w:pos="6540"/>
        </w:tabs>
        <w:spacing w:line="360" w:lineRule="auto"/>
        <w:jc w:val="both"/>
        <w:rPr>
          <w:rFonts w:ascii="Arial" w:hAnsi="Arial" w:cs="Arial"/>
          <w:sz w:val="22"/>
        </w:rPr>
      </w:pPr>
      <w:r w:rsidRPr="001163F7">
        <w:rPr>
          <w:rFonts w:ascii="Arial" w:hAnsi="Arial" w:cs="Arial"/>
          <w:sz w:val="22"/>
        </w:rPr>
        <w:t>Thematic analysis served as the analysis method for the study because it helps discover main themes and patterns which exist in qualitative and mixed-methods research. The analysis involved several stages:</w:t>
      </w:r>
    </w:p>
    <w:p w14:paraId="405873CA" w14:textId="77777777" w:rsidR="003C6464" w:rsidRPr="001163F7" w:rsidRDefault="003C6464" w:rsidP="001163F7">
      <w:pPr>
        <w:pStyle w:val="ListParagraph"/>
        <w:numPr>
          <w:ilvl w:val="0"/>
          <w:numId w:val="4"/>
        </w:numPr>
        <w:tabs>
          <w:tab w:val="left" w:pos="6540"/>
        </w:tabs>
        <w:spacing w:line="360" w:lineRule="auto"/>
        <w:jc w:val="both"/>
        <w:rPr>
          <w:rFonts w:ascii="Arial" w:hAnsi="Arial" w:cs="Arial"/>
          <w:sz w:val="22"/>
        </w:rPr>
      </w:pPr>
      <w:r w:rsidRPr="001163F7">
        <w:rPr>
          <w:rFonts w:ascii="Arial" w:hAnsi="Arial" w:cs="Arial"/>
          <w:sz w:val="22"/>
        </w:rPr>
        <w:t>Achievement of data understanding through multiple readings of the chosen studies.</w:t>
      </w:r>
    </w:p>
    <w:p w14:paraId="47321FAB" w14:textId="77777777" w:rsidR="003C6464" w:rsidRPr="001163F7" w:rsidRDefault="003C6464" w:rsidP="001163F7">
      <w:pPr>
        <w:pStyle w:val="ListParagraph"/>
        <w:numPr>
          <w:ilvl w:val="0"/>
          <w:numId w:val="4"/>
        </w:numPr>
        <w:tabs>
          <w:tab w:val="left" w:pos="6540"/>
        </w:tabs>
        <w:spacing w:line="360" w:lineRule="auto"/>
        <w:jc w:val="both"/>
        <w:rPr>
          <w:rFonts w:ascii="Arial" w:hAnsi="Arial" w:cs="Arial"/>
          <w:sz w:val="22"/>
        </w:rPr>
      </w:pPr>
      <w:r w:rsidRPr="001163F7">
        <w:rPr>
          <w:rFonts w:ascii="Arial" w:hAnsi="Arial" w:cs="Arial"/>
          <w:sz w:val="22"/>
        </w:rPr>
        <w:t>Development of initial access codes, benefit codes and challenge codes.</w:t>
      </w:r>
    </w:p>
    <w:p w14:paraId="7BD9791E" w14:textId="77777777" w:rsidR="003C6464" w:rsidRPr="001163F7" w:rsidRDefault="003C6464" w:rsidP="001163F7">
      <w:pPr>
        <w:pStyle w:val="ListParagraph"/>
        <w:numPr>
          <w:ilvl w:val="0"/>
          <w:numId w:val="4"/>
        </w:numPr>
        <w:tabs>
          <w:tab w:val="left" w:pos="6540"/>
        </w:tabs>
        <w:spacing w:line="360" w:lineRule="auto"/>
        <w:jc w:val="both"/>
        <w:rPr>
          <w:rFonts w:ascii="Arial" w:hAnsi="Arial" w:cs="Arial"/>
          <w:sz w:val="22"/>
        </w:rPr>
      </w:pPr>
      <w:r w:rsidRPr="001163F7">
        <w:rPr>
          <w:rFonts w:ascii="Arial" w:hAnsi="Arial" w:cs="Arial"/>
          <w:sz w:val="22"/>
        </w:rPr>
        <w:t>Organisation of codes into higher level themes.</w:t>
      </w:r>
    </w:p>
    <w:p w14:paraId="52CA806E" w14:textId="60EB8C1C" w:rsidR="003C6464" w:rsidRPr="001163F7" w:rsidRDefault="003C6464" w:rsidP="001163F7">
      <w:pPr>
        <w:pStyle w:val="ListParagraph"/>
        <w:numPr>
          <w:ilvl w:val="0"/>
          <w:numId w:val="4"/>
        </w:numPr>
        <w:tabs>
          <w:tab w:val="left" w:pos="6540"/>
        </w:tabs>
        <w:spacing w:line="360" w:lineRule="auto"/>
        <w:jc w:val="both"/>
        <w:rPr>
          <w:rFonts w:ascii="Arial" w:hAnsi="Arial" w:cs="Arial"/>
          <w:sz w:val="22"/>
        </w:rPr>
      </w:pPr>
      <w:r w:rsidRPr="001163F7">
        <w:rPr>
          <w:rFonts w:ascii="Arial" w:hAnsi="Arial" w:cs="Arial"/>
          <w:sz w:val="22"/>
        </w:rPr>
        <w:t>Development of themes through theme validation processes.</w:t>
      </w:r>
    </w:p>
    <w:p w14:paraId="271ECFB3" w14:textId="6534F2A0" w:rsidR="003C6464" w:rsidRPr="001163F7" w:rsidRDefault="003C6464" w:rsidP="001163F7">
      <w:pPr>
        <w:tabs>
          <w:tab w:val="left" w:pos="6540"/>
        </w:tabs>
        <w:spacing w:line="360" w:lineRule="auto"/>
        <w:jc w:val="both"/>
        <w:rPr>
          <w:rFonts w:ascii="Arial" w:hAnsi="Arial" w:cs="Arial"/>
          <w:sz w:val="22"/>
        </w:rPr>
      </w:pPr>
      <w:r w:rsidRPr="001163F7">
        <w:rPr>
          <w:rFonts w:ascii="Arial" w:hAnsi="Arial" w:cs="Arial"/>
          <w:sz w:val="22"/>
        </w:rPr>
        <w:t>The main themes were identified to cover areas which include better access through improved convenience, digital exclusion, care quality and healthcare delivery effects. Thematic analysis enabled a structured synthesis of findings across multiple studies while maintaining the depth of individual research.</w:t>
      </w:r>
    </w:p>
    <w:p w14:paraId="39F89E65" w14:textId="3FFAA49B" w:rsidR="00B87E75" w:rsidRPr="001163F7" w:rsidRDefault="00DD1411" w:rsidP="001163F7">
      <w:pPr>
        <w:tabs>
          <w:tab w:val="left" w:pos="6540"/>
        </w:tabs>
        <w:spacing w:line="360" w:lineRule="auto"/>
        <w:jc w:val="both"/>
        <w:rPr>
          <w:rFonts w:ascii="Arial" w:hAnsi="Arial" w:cs="Arial"/>
          <w:b/>
          <w:sz w:val="22"/>
        </w:rPr>
      </w:pPr>
      <w:r w:rsidRPr="001163F7">
        <w:rPr>
          <w:rFonts w:ascii="Arial" w:hAnsi="Arial" w:cs="Arial"/>
          <w:b/>
          <w:sz w:val="22"/>
        </w:rPr>
        <w:t>Ethical C</w:t>
      </w:r>
      <w:r w:rsidR="00B87E75" w:rsidRPr="001163F7">
        <w:rPr>
          <w:rFonts w:ascii="Arial" w:hAnsi="Arial" w:cs="Arial"/>
          <w:b/>
          <w:sz w:val="22"/>
        </w:rPr>
        <w:t xml:space="preserve">onsiderations </w:t>
      </w:r>
    </w:p>
    <w:p w14:paraId="32085AA3" w14:textId="64D15A12" w:rsidR="00490DE9" w:rsidRPr="001163F7" w:rsidRDefault="00385DDC" w:rsidP="001163F7">
      <w:pPr>
        <w:tabs>
          <w:tab w:val="left" w:pos="6540"/>
        </w:tabs>
        <w:spacing w:line="360" w:lineRule="auto"/>
        <w:jc w:val="both"/>
        <w:rPr>
          <w:rFonts w:ascii="Arial" w:hAnsi="Arial" w:cs="Arial"/>
          <w:sz w:val="22"/>
        </w:rPr>
      </w:pPr>
      <w:r w:rsidRPr="001163F7">
        <w:rPr>
          <w:rFonts w:ascii="Arial" w:hAnsi="Arial" w:cs="Arial"/>
          <w:sz w:val="22"/>
        </w:rPr>
        <w:t>The research</w:t>
      </w:r>
      <w:r w:rsidR="00DD1411" w:rsidRPr="001163F7">
        <w:rPr>
          <w:rFonts w:ascii="Arial" w:hAnsi="Arial" w:cs="Arial"/>
          <w:sz w:val="22"/>
        </w:rPr>
        <w:t xml:space="preserve"> used exist</w:t>
      </w:r>
      <w:r w:rsidRPr="001163F7">
        <w:rPr>
          <w:rFonts w:ascii="Arial" w:hAnsi="Arial" w:cs="Arial"/>
          <w:sz w:val="22"/>
        </w:rPr>
        <w:t>ing published research for</w:t>
      </w:r>
      <w:r w:rsidR="00DD1411" w:rsidRPr="001163F7">
        <w:rPr>
          <w:rFonts w:ascii="Arial" w:hAnsi="Arial" w:cs="Arial"/>
          <w:sz w:val="22"/>
        </w:rPr>
        <w:t xml:space="preserve"> secondary study which did not need NHS Research Ethics Committee approv</w:t>
      </w:r>
      <w:r w:rsidRPr="001163F7">
        <w:rPr>
          <w:rFonts w:ascii="Arial" w:hAnsi="Arial" w:cs="Arial"/>
          <w:sz w:val="22"/>
        </w:rPr>
        <w:t>al. E</w:t>
      </w:r>
      <w:r w:rsidR="00DD1411" w:rsidRPr="001163F7">
        <w:rPr>
          <w:rFonts w:ascii="Arial" w:hAnsi="Arial" w:cs="Arial"/>
          <w:sz w:val="22"/>
        </w:rPr>
        <w:t>thical principles</w:t>
      </w:r>
      <w:r w:rsidRPr="001163F7">
        <w:rPr>
          <w:rFonts w:ascii="Arial" w:hAnsi="Arial" w:cs="Arial"/>
          <w:sz w:val="22"/>
        </w:rPr>
        <w:t xml:space="preserve"> were followed during research activities. P</w:t>
      </w:r>
      <w:r w:rsidR="00DD1411" w:rsidRPr="001163F7">
        <w:rPr>
          <w:rFonts w:ascii="Arial" w:hAnsi="Arial" w:cs="Arial"/>
          <w:sz w:val="22"/>
        </w:rPr>
        <w:t xml:space="preserve">roper citation methods </w:t>
      </w:r>
      <w:r w:rsidRPr="001163F7">
        <w:rPr>
          <w:rFonts w:ascii="Arial" w:hAnsi="Arial" w:cs="Arial"/>
          <w:sz w:val="22"/>
        </w:rPr>
        <w:t xml:space="preserve">were used </w:t>
      </w:r>
      <w:r w:rsidR="00DD1411" w:rsidRPr="001163F7">
        <w:rPr>
          <w:rFonts w:ascii="Arial" w:hAnsi="Arial" w:cs="Arial"/>
          <w:sz w:val="22"/>
        </w:rPr>
        <w:t>to maintain academic integrity and prevent plagiarism. The selected studies were presented in their correct findings without any error</w:t>
      </w:r>
      <w:r w:rsidRPr="001163F7">
        <w:rPr>
          <w:rFonts w:ascii="Arial" w:hAnsi="Arial" w:cs="Arial"/>
          <w:sz w:val="22"/>
        </w:rPr>
        <w:t>s. B</w:t>
      </w:r>
      <w:r w:rsidR="00DD1411" w:rsidRPr="001163F7">
        <w:rPr>
          <w:rFonts w:ascii="Arial" w:hAnsi="Arial" w:cs="Arial"/>
          <w:sz w:val="22"/>
        </w:rPr>
        <w:t>ias</w:t>
      </w:r>
      <w:r w:rsidRPr="001163F7">
        <w:rPr>
          <w:rFonts w:ascii="Arial" w:hAnsi="Arial" w:cs="Arial"/>
          <w:sz w:val="22"/>
        </w:rPr>
        <w:t xml:space="preserve"> was minimized through the </w:t>
      </w:r>
      <w:r w:rsidR="00DD1411" w:rsidRPr="001163F7">
        <w:rPr>
          <w:rFonts w:ascii="Arial" w:hAnsi="Arial" w:cs="Arial"/>
          <w:sz w:val="22"/>
        </w:rPr>
        <w:t>implementation of uniform inclusion standards and open</w:t>
      </w:r>
      <w:r w:rsidRPr="001163F7">
        <w:rPr>
          <w:rFonts w:ascii="Arial" w:hAnsi="Arial" w:cs="Arial"/>
          <w:sz w:val="22"/>
        </w:rPr>
        <w:t xml:space="preserve"> accessibility to the </w:t>
      </w:r>
      <w:r w:rsidR="00DD1411" w:rsidRPr="001163F7">
        <w:rPr>
          <w:rFonts w:ascii="Arial" w:hAnsi="Arial" w:cs="Arial"/>
          <w:sz w:val="22"/>
        </w:rPr>
        <w:t>selection method.</w:t>
      </w:r>
    </w:p>
    <w:p w14:paraId="581C99BF" w14:textId="794A5B0B" w:rsidR="00B87E75" w:rsidRPr="001163F7" w:rsidRDefault="004A736E" w:rsidP="001163F7">
      <w:pPr>
        <w:pStyle w:val="Heading1"/>
        <w:jc w:val="both"/>
        <w:rPr>
          <w:rFonts w:cs="Arial"/>
          <w:sz w:val="22"/>
        </w:rPr>
      </w:pPr>
      <w:r w:rsidRPr="001163F7">
        <w:rPr>
          <w:rFonts w:cs="Arial"/>
          <w:sz w:val="22"/>
        </w:rPr>
        <w:t>4</w:t>
      </w:r>
      <w:r w:rsidR="00B87E75" w:rsidRPr="001163F7">
        <w:rPr>
          <w:rFonts w:cs="Arial"/>
          <w:sz w:val="22"/>
        </w:rPr>
        <w:t>. Results</w:t>
      </w:r>
    </w:p>
    <w:p w14:paraId="52D4D7B0" w14:textId="56577346" w:rsidR="008820DB" w:rsidRPr="001163F7" w:rsidRDefault="008820DB" w:rsidP="001163F7">
      <w:pPr>
        <w:tabs>
          <w:tab w:val="left" w:pos="6540"/>
        </w:tabs>
        <w:spacing w:line="360" w:lineRule="auto"/>
        <w:jc w:val="both"/>
        <w:rPr>
          <w:rFonts w:ascii="Arial" w:hAnsi="Arial" w:cs="Arial"/>
          <w:sz w:val="22"/>
        </w:rPr>
      </w:pPr>
      <w:r w:rsidRPr="001163F7">
        <w:rPr>
          <w:rFonts w:ascii="Arial" w:hAnsi="Arial" w:cs="Arial"/>
          <w:sz w:val="22"/>
        </w:rPr>
        <w:t xml:space="preserve">The scoping review discovered and examined three peer-reviewed studies from the UK that investigated how telehealth services affected people who needed primary care. The selected </w:t>
      </w:r>
      <w:r w:rsidRPr="001163F7">
        <w:rPr>
          <w:rFonts w:ascii="Arial" w:hAnsi="Arial" w:cs="Arial"/>
          <w:sz w:val="22"/>
        </w:rPr>
        <w:lastRenderedPageBreak/>
        <w:t>studies include qualitative, quantitative, and mixed-methods research de</w:t>
      </w:r>
      <w:r w:rsidR="00FB3889" w:rsidRPr="001163F7">
        <w:rPr>
          <w:rFonts w:ascii="Arial" w:hAnsi="Arial" w:cs="Arial"/>
          <w:sz w:val="22"/>
        </w:rPr>
        <w:t>signs, providing a thorough</w:t>
      </w:r>
      <w:r w:rsidRPr="001163F7">
        <w:rPr>
          <w:rFonts w:ascii="Arial" w:hAnsi="Arial" w:cs="Arial"/>
          <w:sz w:val="22"/>
        </w:rPr>
        <w:t xml:space="preserve"> understanding of the topic.</w:t>
      </w:r>
    </w:p>
    <w:tbl>
      <w:tblPr>
        <w:tblStyle w:val="TableGrid"/>
        <w:tblW w:w="0" w:type="auto"/>
        <w:tblLook w:val="04A0" w:firstRow="1" w:lastRow="0" w:firstColumn="1" w:lastColumn="0" w:noHBand="0" w:noVBand="1"/>
      </w:tblPr>
      <w:tblGrid>
        <w:gridCol w:w="1488"/>
        <w:gridCol w:w="1865"/>
        <w:gridCol w:w="1672"/>
        <w:gridCol w:w="1934"/>
        <w:gridCol w:w="2057"/>
      </w:tblGrid>
      <w:tr w:rsidR="00E62986" w:rsidRPr="001163F7" w14:paraId="636EE1D3" w14:textId="77777777" w:rsidTr="008820DB">
        <w:tc>
          <w:tcPr>
            <w:tcW w:w="0" w:type="auto"/>
            <w:hideMark/>
          </w:tcPr>
          <w:p w14:paraId="23FF2AD4" w14:textId="77777777" w:rsidR="008820DB" w:rsidRPr="001163F7" w:rsidRDefault="008820DB" w:rsidP="001163F7">
            <w:pPr>
              <w:tabs>
                <w:tab w:val="left" w:pos="6540"/>
              </w:tabs>
              <w:spacing w:after="160" w:line="360" w:lineRule="auto"/>
              <w:jc w:val="both"/>
              <w:rPr>
                <w:rFonts w:ascii="Arial" w:hAnsi="Arial" w:cs="Arial"/>
                <w:b/>
                <w:bCs/>
                <w:sz w:val="22"/>
              </w:rPr>
            </w:pPr>
            <w:r w:rsidRPr="001163F7">
              <w:rPr>
                <w:rFonts w:ascii="Arial" w:hAnsi="Arial" w:cs="Arial"/>
                <w:b/>
                <w:bCs/>
                <w:sz w:val="22"/>
              </w:rPr>
              <w:t>Author(s)</w:t>
            </w:r>
          </w:p>
        </w:tc>
        <w:tc>
          <w:tcPr>
            <w:tcW w:w="0" w:type="auto"/>
            <w:hideMark/>
          </w:tcPr>
          <w:p w14:paraId="0F1ADCA9" w14:textId="77777777" w:rsidR="008820DB" w:rsidRPr="001163F7" w:rsidRDefault="008820DB" w:rsidP="001163F7">
            <w:pPr>
              <w:tabs>
                <w:tab w:val="left" w:pos="6540"/>
              </w:tabs>
              <w:spacing w:after="160" w:line="360" w:lineRule="auto"/>
              <w:jc w:val="both"/>
              <w:rPr>
                <w:rFonts w:ascii="Arial" w:hAnsi="Arial" w:cs="Arial"/>
                <w:b/>
                <w:bCs/>
                <w:sz w:val="22"/>
              </w:rPr>
            </w:pPr>
            <w:r w:rsidRPr="001163F7">
              <w:rPr>
                <w:rFonts w:ascii="Arial" w:hAnsi="Arial" w:cs="Arial"/>
                <w:b/>
                <w:bCs/>
                <w:sz w:val="22"/>
              </w:rPr>
              <w:t>Aim</w:t>
            </w:r>
          </w:p>
        </w:tc>
        <w:tc>
          <w:tcPr>
            <w:tcW w:w="0" w:type="auto"/>
            <w:hideMark/>
          </w:tcPr>
          <w:p w14:paraId="14900A7A" w14:textId="77777777" w:rsidR="008820DB" w:rsidRPr="001163F7" w:rsidRDefault="008820DB" w:rsidP="001163F7">
            <w:pPr>
              <w:tabs>
                <w:tab w:val="left" w:pos="6540"/>
              </w:tabs>
              <w:spacing w:after="160" w:line="360" w:lineRule="auto"/>
              <w:jc w:val="both"/>
              <w:rPr>
                <w:rFonts w:ascii="Arial" w:hAnsi="Arial" w:cs="Arial"/>
                <w:b/>
                <w:bCs/>
                <w:sz w:val="22"/>
              </w:rPr>
            </w:pPr>
            <w:r w:rsidRPr="001163F7">
              <w:rPr>
                <w:rFonts w:ascii="Arial" w:hAnsi="Arial" w:cs="Arial"/>
                <w:b/>
                <w:bCs/>
                <w:sz w:val="22"/>
              </w:rPr>
              <w:t>Methodology</w:t>
            </w:r>
          </w:p>
        </w:tc>
        <w:tc>
          <w:tcPr>
            <w:tcW w:w="0" w:type="auto"/>
            <w:hideMark/>
          </w:tcPr>
          <w:p w14:paraId="74EE9DF1" w14:textId="77777777" w:rsidR="008820DB" w:rsidRPr="001163F7" w:rsidRDefault="008820DB" w:rsidP="001163F7">
            <w:pPr>
              <w:tabs>
                <w:tab w:val="left" w:pos="6540"/>
              </w:tabs>
              <w:spacing w:after="160" w:line="360" w:lineRule="auto"/>
              <w:jc w:val="both"/>
              <w:rPr>
                <w:rFonts w:ascii="Arial" w:hAnsi="Arial" w:cs="Arial"/>
                <w:b/>
                <w:bCs/>
                <w:sz w:val="22"/>
              </w:rPr>
            </w:pPr>
            <w:r w:rsidRPr="001163F7">
              <w:rPr>
                <w:rFonts w:ascii="Arial" w:hAnsi="Arial" w:cs="Arial"/>
                <w:b/>
                <w:bCs/>
                <w:sz w:val="22"/>
              </w:rPr>
              <w:t>Setting</w:t>
            </w:r>
          </w:p>
        </w:tc>
        <w:tc>
          <w:tcPr>
            <w:tcW w:w="0" w:type="auto"/>
            <w:hideMark/>
          </w:tcPr>
          <w:p w14:paraId="012E2C87" w14:textId="77777777" w:rsidR="008820DB" w:rsidRPr="001163F7" w:rsidRDefault="008820DB" w:rsidP="001163F7">
            <w:pPr>
              <w:tabs>
                <w:tab w:val="left" w:pos="6540"/>
              </w:tabs>
              <w:spacing w:after="160" w:line="360" w:lineRule="auto"/>
              <w:jc w:val="both"/>
              <w:rPr>
                <w:rFonts w:ascii="Arial" w:hAnsi="Arial" w:cs="Arial"/>
                <w:b/>
                <w:bCs/>
                <w:sz w:val="22"/>
              </w:rPr>
            </w:pPr>
            <w:r w:rsidRPr="001163F7">
              <w:rPr>
                <w:rFonts w:ascii="Arial" w:hAnsi="Arial" w:cs="Arial"/>
                <w:b/>
                <w:bCs/>
                <w:sz w:val="22"/>
              </w:rPr>
              <w:t>Key Findings</w:t>
            </w:r>
          </w:p>
        </w:tc>
      </w:tr>
      <w:tr w:rsidR="00E62986" w:rsidRPr="001163F7" w14:paraId="0406A4C7" w14:textId="77777777" w:rsidTr="008820DB">
        <w:tc>
          <w:tcPr>
            <w:tcW w:w="0" w:type="auto"/>
            <w:hideMark/>
          </w:tcPr>
          <w:p w14:paraId="2FDA50FE" w14:textId="77777777" w:rsidR="008820DB" w:rsidRPr="001163F7" w:rsidRDefault="008820DB" w:rsidP="001163F7">
            <w:pPr>
              <w:tabs>
                <w:tab w:val="left" w:pos="6540"/>
              </w:tabs>
              <w:spacing w:after="160" w:line="360" w:lineRule="auto"/>
              <w:jc w:val="both"/>
              <w:rPr>
                <w:rFonts w:ascii="Arial" w:hAnsi="Arial" w:cs="Arial"/>
                <w:sz w:val="22"/>
              </w:rPr>
            </w:pPr>
            <w:r w:rsidRPr="001163F7">
              <w:rPr>
                <w:rFonts w:ascii="Arial" w:hAnsi="Arial" w:cs="Arial"/>
                <w:sz w:val="22"/>
              </w:rPr>
              <w:t>Donaghy et al. (2019)</w:t>
            </w:r>
          </w:p>
        </w:tc>
        <w:tc>
          <w:tcPr>
            <w:tcW w:w="0" w:type="auto"/>
            <w:hideMark/>
          </w:tcPr>
          <w:p w14:paraId="6561F072" w14:textId="516C7427" w:rsidR="008820DB" w:rsidRPr="001163F7" w:rsidRDefault="008820DB" w:rsidP="001163F7">
            <w:pPr>
              <w:tabs>
                <w:tab w:val="left" w:pos="6540"/>
              </w:tabs>
              <w:spacing w:after="160" w:line="360" w:lineRule="auto"/>
              <w:jc w:val="both"/>
              <w:rPr>
                <w:rFonts w:ascii="Arial" w:hAnsi="Arial" w:cs="Arial"/>
                <w:sz w:val="22"/>
              </w:rPr>
            </w:pPr>
            <w:r w:rsidRPr="001163F7">
              <w:rPr>
                <w:rFonts w:ascii="Arial" w:hAnsi="Arial" w:cs="Arial"/>
                <w:sz w:val="22"/>
              </w:rPr>
              <w:t>To investigate which video consultation methods primary care physicians consider acceptable and which methods present challenges</w:t>
            </w:r>
          </w:p>
        </w:tc>
        <w:tc>
          <w:tcPr>
            <w:tcW w:w="0" w:type="auto"/>
            <w:hideMark/>
          </w:tcPr>
          <w:p w14:paraId="79522CE3" w14:textId="24B64072" w:rsidR="008820DB" w:rsidRPr="001163F7" w:rsidRDefault="00E62986" w:rsidP="001163F7">
            <w:pPr>
              <w:tabs>
                <w:tab w:val="left" w:pos="6540"/>
              </w:tabs>
              <w:spacing w:after="160" w:line="360" w:lineRule="auto"/>
              <w:jc w:val="both"/>
              <w:rPr>
                <w:rFonts w:ascii="Arial" w:hAnsi="Arial" w:cs="Arial"/>
                <w:sz w:val="22"/>
              </w:rPr>
            </w:pPr>
            <w:r w:rsidRPr="001163F7">
              <w:rPr>
                <w:rFonts w:ascii="Arial" w:hAnsi="Arial" w:cs="Arial"/>
                <w:sz w:val="22"/>
              </w:rPr>
              <w:t>Qualitative research</w:t>
            </w:r>
            <w:r w:rsidR="008820DB" w:rsidRPr="001163F7">
              <w:rPr>
                <w:rFonts w:ascii="Arial" w:hAnsi="Arial" w:cs="Arial"/>
                <w:sz w:val="22"/>
              </w:rPr>
              <w:t xml:space="preserve"> (interviews)</w:t>
            </w:r>
          </w:p>
        </w:tc>
        <w:tc>
          <w:tcPr>
            <w:tcW w:w="0" w:type="auto"/>
            <w:hideMark/>
          </w:tcPr>
          <w:p w14:paraId="6090FABF" w14:textId="77777777" w:rsidR="008820DB" w:rsidRPr="001163F7" w:rsidRDefault="008820DB" w:rsidP="001163F7">
            <w:pPr>
              <w:tabs>
                <w:tab w:val="left" w:pos="6540"/>
              </w:tabs>
              <w:spacing w:after="160" w:line="360" w:lineRule="auto"/>
              <w:jc w:val="both"/>
              <w:rPr>
                <w:rFonts w:ascii="Arial" w:hAnsi="Arial" w:cs="Arial"/>
                <w:sz w:val="22"/>
              </w:rPr>
            </w:pPr>
            <w:r w:rsidRPr="001163F7">
              <w:rPr>
                <w:rFonts w:ascii="Arial" w:hAnsi="Arial" w:cs="Arial"/>
                <w:sz w:val="22"/>
              </w:rPr>
              <w:t>UK general practice</w:t>
            </w:r>
          </w:p>
        </w:tc>
        <w:tc>
          <w:tcPr>
            <w:tcW w:w="0" w:type="auto"/>
            <w:hideMark/>
          </w:tcPr>
          <w:p w14:paraId="34F05C03" w14:textId="6EF3D813" w:rsidR="008820DB" w:rsidRPr="001163F7" w:rsidRDefault="00320657" w:rsidP="001163F7">
            <w:pPr>
              <w:tabs>
                <w:tab w:val="left" w:pos="6540"/>
              </w:tabs>
              <w:spacing w:after="160" w:line="360" w:lineRule="auto"/>
              <w:jc w:val="both"/>
              <w:rPr>
                <w:rFonts w:ascii="Arial" w:hAnsi="Arial" w:cs="Arial"/>
                <w:sz w:val="22"/>
              </w:rPr>
            </w:pPr>
            <w:r w:rsidRPr="001163F7">
              <w:rPr>
                <w:rFonts w:ascii="Arial" w:hAnsi="Arial" w:cs="Arial"/>
                <w:sz w:val="22"/>
              </w:rPr>
              <w:t>Video consultations made patient access easier yet created issues with both communication methods and technical system operations</w:t>
            </w:r>
          </w:p>
        </w:tc>
      </w:tr>
      <w:tr w:rsidR="00E62986" w:rsidRPr="001163F7" w14:paraId="6D948DF0" w14:textId="77777777" w:rsidTr="008820DB">
        <w:tc>
          <w:tcPr>
            <w:tcW w:w="0" w:type="auto"/>
            <w:hideMark/>
          </w:tcPr>
          <w:p w14:paraId="0DEC16ED" w14:textId="77777777" w:rsidR="008820DB" w:rsidRPr="001163F7" w:rsidRDefault="008820DB" w:rsidP="001163F7">
            <w:pPr>
              <w:tabs>
                <w:tab w:val="left" w:pos="6540"/>
              </w:tabs>
              <w:spacing w:after="160" w:line="360" w:lineRule="auto"/>
              <w:jc w:val="both"/>
              <w:rPr>
                <w:rFonts w:ascii="Arial" w:hAnsi="Arial" w:cs="Arial"/>
                <w:sz w:val="22"/>
              </w:rPr>
            </w:pPr>
            <w:r w:rsidRPr="001163F7">
              <w:rPr>
                <w:rFonts w:ascii="Arial" w:hAnsi="Arial" w:cs="Arial"/>
                <w:sz w:val="22"/>
              </w:rPr>
              <w:t>Hammersley et al. (2019)</w:t>
            </w:r>
          </w:p>
        </w:tc>
        <w:tc>
          <w:tcPr>
            <w:tcW w:w="0" w:type="auto"/>
            <w:hideMark/>
          </w:tcPr>
          <w:p w14:paraId="35383127" w14:textId="446E61DD" w:rsidR="008820DB" w:rsidRPr="001163F7" w:rsidRDefault="008820DB" w:rsidP="001163F7">
            <w:pPr>
              <w:tabs>
                <w:tab w:val="left" w:pos="6540"/>
              </w:tabs>
              <w:spacing w:after="160" w:line="360" w:lineRule="auto"/>
              <w:jc w:val="both"/>
              <w:rPr>
                <w:rFonts w:ascii="Arial" w:hAnsi="Arial" w:cs="Arial"/>
                <w:sz w:val="22"/>
              </w:rPr>
            </w:pPr>
            <w:r w:rsidRPr="001163F7">
              <w:rPr>
                <w:rFonts w:ascii="Arial" w:hAnsi="Arial" w:cs="Arial"/>
                <w:sz w:val="22"/>
              </w:rPr>
              <w:t xml:space="preserve">to evaluate three consultation methods which include video calls and telephone calls and </w:t>
            </w:r>
            <w:r w:rsidR="00E62986" w:rsidRPr="001163F7">
              <w:rPr>
                <w:rFonts w:ascii="Arial" w:hAnsi="Arial" w:cs="Arial"/>
                <w:sz w:val="22"/>
              </w:rPr>
              <w:t>face-to-face consultations</w:t>
            </w:r>
          </w:p>
        </w:tc>
        <w:tc>
          <w:tcPr>
            <w:tcW w:w="0" w:type="auto"/>
            <w:hideMark/>
          </w:tcPr>
          <w:p w14:paraId="47C281B4" w14:textId="3D8D28A5" w:rsidR="008820DB" w:rsidRPr="001163F7" w:rsidRDefault="00E62986" w:rsidP="001163F7">
            <w:pPr>
              <w:tabs>
                <w:tab w:val="left" w:pos="6540"/>
              </w:tabs>
              <w:spacing w:after="160" w:line="360" w:lineRule="auto"/>
              <w:jc w:val="both"/>
              <w:rPr>
                <w:rFonts w:ascii="Arial" w:hAnsi="Arial" w:cs="Arial"/>
                <w:sz w:val="22"/>
              </w:rPr>
            </w:pPr>
            <w:r w:rsidRPr="001163F7">
              <w:rPr>
                <w:rFonts w:ascii="Arial" w:hAnsi="Arial" w:cs="Arial"/>
                <w:sz w:val="22"/>
              </w:rPr>
              <w:t>Quasi-experimental research (quantitative)</w:t>
            </w:r>
          </w:p>
        </w:tc>
        <w:tc>
          <w:tcPr>
            <w:tcW w:w="0" w:type="auto"/>
            <w:hideMark/>
          </w:tcPr>
          <w:p w14:paraId="0BF6BCBF" w14:textId="77777777" w:rsidR="008820DB" w:rsidRPr="001163F7" w:rsidRDefault="008820DB" w:rsidP="001163F7">
            <w:pPr>
              <w:tabs>
                <w:tab w:val="left" w:pos="6540"/>
              </w:tabs>
              <w:spacing w:after="160" w:line="360" w:lineRule="auto"/>
              <w:jc w:val="both"/>
              <w:rPr>
                <w:rFonts w:ascii="Arial" w:hAnsi="Arial" w:cs="Arial"/>
                <w:sz w:val="22"/>
              </w:rPr>
            </w:pPr>
            <w:r w:rsidRPr="001163F7">
              <w:rPr>
                <w:rFonts w:ascii="Arial" w:hAnsi="Arial" w:cs="Arial"/>
                <w:sz w:val="22"/>
              </w:rPr>
              <w:t>UK primary care</w:t>
            </w:r>
          </w:p>
        </w:tc>
        <w:tc>
          <w:tcPr>
            <w:tcW w:w="0" w:type="auto"/>
            <w:hideMark/>
          </w:tcPr>
          <w:p w14:paraId="13B3A383" w14:textId="77477E1C" w:rsidR="008820DB" w:rsidRPr="001163F7" w:rsidRDefault="00320657" w:rsidP="001163F7">
            <w:pPr>
              <w:tabs>
                <w:tab w:val="left" w:pos="6540"/>
              </w:tabs>
              <w:spacing w:after="160" w:line="360" w:lineRule="auto"/>
              <w:jc w:val="both"/>
              <w:rPr>
                <w:rFonts w:ascii="Arial" w:hAnsi="Arial" w:cs="Arial"/>
                <w:sz w:val="22"/>
              </w:rPr>
            </w:pPr>
            <w:r w:rsidRPr="001163F7">
              <w:rPr>
                <w:rFonts w:ascii="Arial" w:hAnsi="Arial" w:cs="Arial"/>
                <w:sz w:val="22"/>
              </w:rPr>
              <w:t>The duration of remote consultations decreased their clinical assessment capacity because of restricted time limits</w:t>
            </w:r>
          </w:p>
        </w:tc>
      </w:tr>
      <w:tr w:rsidR="00E62986" w:rsidRPr="001163F7" w14:paraId="70EB7156" w14:textId="77777777" w:rsidTr="008820DB">
        <w:tc>
          <w:tcPr>
            <w:tcW w:w="0" w:type="auto"/>
            <w:hideMark/>
          </w:tcPr>
          <w:p w14:paraId="7716169D" w14:textId="77777777" w:rsidR="008820DB" w:rsidRPr="001163F7" w:rsidRDefault="008820DB" w:rsidP="001163F7">
            <w:pPr>
              <w:tabs>
                <w:tab w:val="left" w:pos="6540"/>
              </w:tabs>
              <w:spacing w:after="160" w:line="360" w:lineRule="auto"/>
              <w:jc w:val="both"/>
              <w:rPr>
                <w:rFonts w:ascii="Arial" w:hAnsi="Arial" w:cs="Arial"/>
                <w:sz w:val="22"/>
              </w:rPr>
            </w:pPr>
            <w:r w:rsidRPr="001163F7">
              <w:rPr>
                <w:rFonts w:ascii="Arial" w:hAnsi="Arial" w:cs="Arial"/>
                <w:sz w:val="22"/>
              </w:rPr>
              <w:t>Murphy et al. (2021)</w:t>
            </w:r>
          </w:p>
        </w:tc>
        <w:tc>
          <w:tcPr>
            <w:tcW w:w="0" w:type="auto"/>
            <w:hideMark/>
          </w:tcPr>
          <w:p w14:paraId="256E6A91" w14:textId="480BE89F" w:rsidR="008820DB" w:rsidRPr="001163F7" w:rsidRDefault="008820DB" w:rsidP="001163F7">
            <w:pPr>
              <w:tabs>
                <w:tab w:val="left" w:pos="6540"/>
              </w:tabs>
              <w:spacing w:after="160" w:line="360" w:lineRule="auto"/>
              <w:jc w:val="both"/>
              <w:rPr>
                <w:rFonts w:ascii="Arial" w:hAnsi="Arial" w:cs="Arial"/>
                <w:sz w:val="22"/>
              </w:rPr>
            </w:pPr>
            <w:r w:rsidRPr="001163F7">
              <w:rPr>
                <w:rFonts w:ascii="Arial" w:hAnsi="Arial" w:cs="Arial"/>
                <w:sz w:val="22"/>
              </w:rPr>
              <w:t>To assess how hospitals adopted remote consulting methods during the COVID-19 pandemic</w:t>
            </w:r>
          </w:p>
        </w:tc>
        <w:tc>
          <w:tcPr>
            <w:tcW w:w="0" w:type="auto"/>
            <w:hideMark/>
          </w:tcPr>
          <w:p w14:paraId="17FAF4F3" w14:textId="0ADE8796" w:rsidR="008820DB" w:rsidRPr="001163F7" w:rsidRDefault="008820DB" w:rsidP="001163F7">
            <w:pPr>
              <w:tabs>
                <w:tab w:val="left" w:pos="6540"/>
              </w:tabs>
              <w:spacing w:after="160" w:line="360" w:lineRule="auto"/>
              <w:jc w:val="both"/>
              <w:rPr>
                <w:rFonts w:ascii="Arial" w:hAnsi="Arial" w:cs="Arial"/>
                <w:sz w:val="22"/>
              </w:rPr>
            </w:pPr>
            <w:r w:rsidRPr="001163F7">
              <w:rPr>
                <w:rFonts w:ascii="Arial" w:hAnsi="Arial" w:cs="Arial"/>
                <w:sz w:val="22"/>
              </w:rPr>
              <w:t>Mixed-methods study</w:t>
            </w:r>
          </w:p>
        </w:tc>
        <w:tc>
          <w:tcPr>
            <w:tcW w:w="0" w:type="auto"/>
            <w:hideMark/>
          </w:tcPr>
          <w:p w14:paraId="1193D191" w14:textId="14F99CCD" w:rsidR="008820DB" w:rsidRPr="001163F7" w:rsidRDefault="001163F7" w:rsidP="001163F7">
            <w:pPr>
              <w:tabs>
                <w:tab w:val="left" w:pos="6540"/>
              </w:tabs>
              <w:spacing w:after="160" w:line="360" w:lineRule="auto"/>
              <w:jc w:val="both"/>
              <w:rPr>
                <w:rFonts w:ascii="Arial" w:hAnsi="Arial" w:cs="Arial"/>
                <w:sz w:val="22"/>
              </w:rPr>
            </w:pPr>
            <w:r w:rsidRPr="001163F7">
              <w:rPr>
                <w:rFonts w:ascii="Arial" w:hAnsi="Arial" w:cs="Arial"/>
                <w:sz w:val="22"/>
              </w:rPr>
              <w:t>21 general practices in Bristol, North Somerset and South Gloucestershire</w:t>
            </w:r>
          </w:p>
        </w:tc>
        <w:tc>
          <w:tcPr>
            <w:tcW w:w="0" w:type="auto"/>
            <w:hideMark/>
          </w:tcPr>
          <w:p w14:paraId="6EDB5F7F" w14:textId="72E7DD53" w:rsidR="008820DB" w:rsidRPr="001163F7" w:rsidRDefault="00320657" w:rsidP="001163F7">
            <w:pPr>
              <w:tabs>
                <w:tab w:val="left" w:pos="6540"/>
              </w:tabs>
              <w:spacing w:after="160" w:line="360" w:lineRule="auto"/>
              <w:jc w:val="both"/>
              <w:rPr>
                <w:rFonts w:ascii="Arial" w:hAnsi="Arial" w:cs="Arial"/>
                <w:sz w:val="22"/>
              </w:rPr>
            </w:pPr>
            <w:r w:rsidRPr="001163F7">
              <w:rPr>
                <w:rFonts w:ascii="Arial" w:hAnsi="Arial" w:cs="Arial"/>
                <w:sz w:val="22"/>
              </w:rPr>
              <w:t>Telehealth services expanded patient access to healthcare yet created extra work requirements and increased service demand.</w:t>
            </w:r>
          </w:p>
        </w:tc>
      </w:tr>
    </w:tbl>
    <w:p w14:paraId="192A9738" w14:textId="1A1D91CB" w:rsidR="008820DB" w:rsidRPr="001163F7" w:rsidRDefault="008820DB" w:rsidP="001163F7">
      <w:pPr>
        <w:tabs>
          <w:tab w:val="left" w:pos="6540"/>
        </w:tabs>
        <w:spacing w:line="360" w:lineRule="auto"/>
        <w:jc w:val="both"/>
        <w:rPr>
          <w:rFonts w:ascii="Arial" w:hAnsi="Arial" w:cs="Arial"/>
          <w:sz w:val="22"/>
        </w:rPr>
      </w:pPr>
    </w:p>
    <w:p w14:paraId="7B6ECE2B" w14:textId="625E042B" w:rsidR="00FB3889" w:rsidRPr="001163F7" w:rsidRDefault="00FB3889" w:rsidP="001163F7">
      <w:pPr>
        <w:tabs>
          <w:tab w:val="left" w:pos="6540"/>
        </w:tabs>
        <w:spacing w:line="360" w:lineRule="auto"/>
        <w:jc w:val="both"/>
        <w:rPr>
          <w:rFonts w:ascii="Arial" w:hAnsi="Arial" w:cs="Arial"/>
          <w:b/>
          <w:sz w:val="22"/>
        </w:rPr>
      </w:pPr>
      <w:r w:rsidRPr="001163F7">
        <w:rPr>
          <w:rFonts w:ascii="Arial" w:hAnsi="Arial" w:cs="Arial"/>
          <w:b/>
          <w:sz w:val="22"/>
        </w:rPr>
        <w:t>Thematic Analysis</w:t>
      </w:r>
    </w:p>
    <w:p w14:paraId="063566E7" w14:textId="3022FF76" w:rsidR="00FB3889" w:rsidRPr="001163F7" w:rsidRDefault="00FB3889" w:rsidP="001163F7">
      <w:pPr>
        <w:tabs>
          <w:tab w:val="left" w:pos="6540"/>
        </w:tabs>
        <w:spacing w:line="360" w:lineRule="auto"/>
        <w:jc w:val="both"/>
        <w:rPr>
          <w:rFonts w:ascii="Arial" w:hAnsi="Arial" w:cs="Arial"/>
          <w:sz w:val="22"/>
        </w:rPr>
      </w:pPr>
      <w:r w:rsidRPr="001163F7">
        <w:rPr>
          <w:rFonts w:ascii="Arial" w:hAnsi="Arial" w:cs="Arial"/>
          <w:sz w:val="22"/>
        </w:rPr>
        <w:t>The research findings from the selected studies established three primary themes which demonstrate how telehealth services affect primary care</w:t>
      </w:r>
      <w:r w:rsidR="001163F7" w:rsidRPr="001163F7">
        <w:rPr>
          <w:rFonts w:ascii="Arial" w:hAnsi="Arial" w:cs="Arial"/>
          <w:sz w:val="22"/>
        </w:rPr>
        <w:t xml:space="preserve"> access in the </w:t>
      </w:r>
      <w:r w:rsidR="00C46B43">
        <w:rPr>
          <w:rFonts w:ascii="Arial" w:hAnsi="Arial" w:cs="Arial"/>
          <w:sz w:val="22"/>
        </w:rPr>
        <w:t>UK</w:t>
      </w:r>
      <w:r w:rsidR="001163F7" w:rsidRPr="001163F7">
        <w:rPr>
          <w:rFonts w:ascii="Arial" w:hAnsi="Arial" w:cs="Arial"/>
          <w:sz w:val="22"/>
        </w:rPr>
        <w:t xml:space="preserve">. </w:t>
      </w:r>
    </w:p>
    <w:p w14:paraId="2F62C3DF" w14:textId="3F751608" w:rsidR="001163F7" w:rsidRDefault="00FB3889" w:rsidP="001163F7">
      <w:pPr>
        <w:pStyle w:val="ListParagraph"/>
        <w:numPr>
          <w:ilvl w:val="0"/>
          <w:numId w:val="5"/>
        </w:numPr>
        <w:tabs>
          <w:tab w:val="left" w:pos="6540"/>
        </w:tabs>
        <w:spacing w:line="360" w:lineRule="auto"/>
        <w:jc w:val="both"/>
        <w:rPr>
          <w:rFonts w:ascii="Arial" w:hAnsi="Arial" w:cs="Arial"/>
          <w:sz w:val="22"/>
        </w:rPr>
      </w:pPr>
      <w:r w:rsidRPr="001163F7">
        <w:rPr>
          <w:rFonts w:ascii="Arial" w:hAnsi="Arial" w:cs="Arial"/>
          <w:b/>
          <w:sz w:val="22"/>
        </w:rPr>
        <w:lastRenderedPageBreak/>
        <w:t>Improved Convenience and Accessibility</w:t>
      </w:r>
      <w:r w:rsidR="001163F7" w:rsidRPr="001163F7">
        <w:rPr>
          <w:rFonts w:ascii="Arial" w:hAnsi="Arial" w:cs="Arial"/>
          <w:b/>
          <w:sz w:val="22"/>
        </w:rPr>
        <w:t>:</w:t>
      </w:r>
      <w:r w:rsidR="001163F7" w:rsidRPr="001163F7">
        <w:rPr>
          <w:rFonts w:ascii="Arial" w:hAnsi="Arial" w:cs="Arial"/>
          <w:sz w:val="22"/>
        </w:rPr>
        <w:t xml:space="preserve"> </w:t>
      </w:r>
      <w:r w:rsidRPr="001163F7">
        <w:rPr>
          <w:rFonts w:ascii="Arial" w:hAnsi="Arial" w:cs="Arial"/>
          <w:sz w:val="22"/>
        </w:rPr>
        <w:t>The three studies demonstrated that telehealth enables patients to receive primary care services because it provides better access to m</w:t>
      </w:r>
      <w:r w:rsidR="001163F7" w:rsidRPr="001163F7">
        <w:rPr>
          <w:rFonts w:ascii="Arial" w:hAnsi="Arial" w:cs="Arial"/>
          <w:sz w:val="22"/>
        </w:rPr>
        <w:t>edical facilities. Donaghy et al. (2019) depicted</w:t>
      </w:r>
      <w:r w:rsidRPr="001163F7">
        <w:rPr>
          <w:rFonts w:ascii="Arial" w:hAnsi="Arial" w:cs="Arial"/>
          <w:sz w:val="22"/>
        </w:rPr>
        <w:t xml:space="preserve"> that video consultations enabled patients to receive medical treatment without </w:t>
      </w:r>
      <w:r w:rsidR="001163F7" w:rsidRPr="001163F7">
        <w:rPr>
          <w:rFonts w:ascii="Arial" w:hAnsi="Arial" w:cs="Arial"/>
          <w:sz w:val="22"/>
        </w:rPr>
        <w:t xml:space="preserve">needing to travel. </w:t>
      </w:r>
      <w:r w:rsidRPr="001163F7">
        <w:rPr>
          <w:rFonts w:ascii="Arial" w:hAnsi="Arial" w:cs="Arial"/>
          <w:sz w:val="22"/>
        </w:rPr>
        <w:t>Murphy et al. (2021) discovered that remote consulting helped patients access doctors more efficiently during the COVID-19 pandemic which restricted in-person visits.</w:t>
      </w:r>
      <w:r w:rsidR="001163F7" w:rsidRPr="001163F7">
        <w:rPr>
          <w:rFonts w:ascii="Arial" w:hAnsi="Arial" w:cs="Arial"/>
          <w:sz w:val="22"/>
        </w:rPr>
        <w:t xml:space="preserve"> </w:t>
      </w:r>
      <w:r w:rsidRPr="001163F7">
        <w:rPr>
          <w:rFonts w:ascii="Arial" w:hAnsi="Arial" w:cs="Arial"/>
          <w:sz w:val="22"/>
        </w:rPr>
        <w:t>The telehealth system especially helped patients with mobility difficulties while also serving people who lived in distant areas and needed time-sensitive medical assistance. The system enabled people to contact healthcare professionals from their homes which eliminated the obstacles that distance and transportation created and made medical care more accessible.</w:t>
      </w:r>
    </w:p>
    <w:p w14:paraId="09DB140A" w14:textId="77777777" w:rsidR="001163F7" w:rsidRPr="001163F7" w:rsidRDefault="001163F7" w:rsidP="001163F7">
      <w:pPr>
        <w:pStyle w:val="ListParagraph"/>
        <w:tabs>
          <w:tab w:val="left" w:pos="6540"/>
        </w:tabs>
        <w:spacing w:line="360" w:lineRule="auto"/>
        <w:jc w:val="both"/>
        <w:rPr>
          <w:rFonts w:ascii="Arial" w:hAnsi="Arial" w:cs="Arial"/>
          <w:sz w:val="22"/>
        </w:rPr>
      </w:pPr>
    </w:p>
    <w:p w14:paraId="45BE0A85" w14:textId="77777777" w:rsidR="0087395B" w:rsidRPr="0087395B" w:rsidRDefault="00FB3889" w:rsidP="00FB3889">
      <w:pPr>
        <w:pStyle w:val="ListParagraph"/>
        <w:numPr>
          <w:ilvl w:val="0"/>
          <w:numId w:val="5"/>
        </w:numPr>
        <w:tabs>
          <w:tab w:val="left" w:pos="6540"/>
        </w:tabs>
        <w:spacing w:line="360" w:lineRule="auto"/>
        <w:jc w:val="both"/>
        <w:rPr>
          <w:rFonts w:ascii="Arial" w:hAnsi="Arial" w:cs="Arial"/>
          <w:sz w:val="22"/>
        </w:rPr>
      </w:pPr>
      <w:r w:rsidRPr="001163F7">
        <w:rPr>
          <w:rFonts w:ascii="Arial" w:hAnsi="Arial" w:cs="Arial"/>
          <w:b/>
          <w:sz w:val="22"/>
        </w:rPr>
        <w:t>Digital Exclusion and Inequality</w:t>
      </w:r>
      <w:r w:rsidR="001163F7" w:rsidRPr="001163F7">
        <w:rPr>
          <w:rFonts w:ascii="Arial" w:hAnsi="Arial" w:cs="Arial"/>
          <w:b/>
          <w:sz w:val="22"/>
        </w:rPr>
        <w:t>:</w:t>
      </w:r>
      <w:r w:rsidR="001163F7" w:rsidRPr="001163F7">
        <w:rPr>
          <w:rFonts w:ascii="Arial" w:hAnsi="Arial" w:cs="Arial"/>
          <w:sz w:val="22"/>
        </w:rPr>
        <w:t xml:space="preserve"> </w:t>
      </w:r>
      <w:r w:rsidRPr="001163F7">
        <w:rPr>
          <w:rFonts w:ascii="Arial" w:hAnsi="Arial" w:cs="Arial"/>
          <w:sz w:val="22"/>
        </w:rPr>
        <w:t>The studies discovered multiple problems that result in digital exclusion which their research work proved to be beneficial. Donaghy et al. (2019) discovered that patients require both technology access and digital skills to participate in video consultations. The system creates access disparities which especially affect older adults and people from lower socioeconomic backgrounds.</w:t>
      </w:r>
      <w:r w:rsidR="0087395B">
        <w:rPr>
          <w:rFonts w:ascii="Arial" w:hAnsi="Arial" w:cs="Arial"/>
          <w:sz w:val="22"/>
        </w:rPr>
        <w:t xml:space="preserve"> </w:t>
      </w:r>
      <w:r w:rsidRPr="0087395B">
        <w:rPr>
          <w:rFonts w:asciiTheme="minorBidi" w:hAnsiTheme="minorBidi"/>
          <w:sz w:val="22"/>
        </w:rPr>
        <w:t>The researchers found that telehealth increased access for patients yet it failed to provide equal benefits across different patient groups. Some individuals experienced difficulties using digital platforms which limited their ability to engage with remote healthcare services. The research shows that without proper inclusive implementation telehealth systems will create wider health disparities.</w:t>
      </w:r>
    </w:p>
    <w:p w14:paraId="59352EEB" w14:textId="77777777" w:rsidR="0087395B" w:rsidRPr="0087395B" w:rsidRDefault="0087395B" w:rsidP="0087395B">
      <w:pPr>
        <w:pStyle w:val="ListParagraph"/>
        <w:rPr>
          <w:rFonts w:asciiTheme="minorBidi" w:hAnsiTheme="minorBidi"/>
          <w:sz w:val="22"/>
        </w:rPr>
      </w:pPr>
    </w:p>
    <w:p w14:paraId="0B299BAA" w14:textId="1361DA0A" w:rsidR="00B87E75" w:rsidRPr="000622F1" w:rsidRDefault="00FB3889" w:rsidP="00CD33A8">
      <w:pPr>
        <w:pStyle w:val="ListParagraph"/>
        <w:numPr>
          <w:ilvl w:val="0"/>
          <w:numId w:val="5"/>
        </w:numPr>
        <w:tabs>
          <w:tab w:val="left" w:pos="6540"/>
        </w:tabs>
        <w:spacing w:line="360" w:lineRule="auto"/>
        <w:jc w:val="both"/>
        <w:rPr>
          <w:rFonts w:ascii="Arial" w:hAnsi="Arial" w:cs="Arial"/>
          <w:sz w:val="22"/>
        </w:rPr>
      </w:pPr>
      <w:r w:rsidRPr="0087395B">
        <w:rPr>
          <w:rFonts w:asciiTheme="minorBidi" w:hAnsiTheme="minorBidi"/>
          <w:b/>
          <w:sz w:val="22"/>
        </w:rPr>
        <w:t>Effect on the Quality of Service Provision and Clinical Practice</w:t>
      </w:r>
      <w:r w:rsidR="0087395B" w:rsidRPr="0087395B">
        <w:rPr>
          <w:rFonts w:asciiTheme="minorBidi" w:hAnsiTheme="minorBidi"/>
          <w:b/>
          <w:sz w:val="22"/>
        </w:rPr>
        <w:t>:</w:t>
      </w:r>
      <w:r w:rsidR="0087395B">
        <w:rPr>
          <w:rFonts w:asciiTheme="minorBidi" w:hAnsiTheme="minorBidi"/>
          <w:sz w:val="22"/>
        </w:rPr>
        <w:t xml:space="preserve"> </w:t>
      </w:r>
      <w:r w:rsidRPr="0087395B">
        <w:rPr>
          <w:rFonts w:asciiTheme="minorBidi" w:hAnsiTheme="minorBidi"/>
          <w:sz w:val="22"/>
        </w:rPr>
        <w:t xml:space="preserve">It became clear that the study had a limit regarding assessing the quality and effectiveness of remote consultations since there was no </w:t>
      </w:r>
      <w:r w:rsidR="0087395B">
        <w:rPr>
          <w:rFonts w:asciiTheme="minorBidi" w:hAnsiTheme="minorBidi"/>
          <w:sz w:val="22"/>
        </w:rPr>
        <w:t xml:space="preserve">sufficient data. According to </w:t>
      </w:r>
      <w:r w:rsidRPr="0087395B">
        <w:rPr>
          <w:rFonts w:asciiTheme="minorBidi" w:hAnsiTheme="minorBidi"/>
          <w:sz w:val="22"/>
        </w:rPr>
        <w:t>Hammersley et al. (2019), remote consultations tended to be shorter and provided less information than face-to-face consultations. In turn, it is difficult for health profession</w:t>
      </w:r>
      <w:r w:rsidR="0087395B">
        <w:rPr>
          <w:rFonts w:asciiTheme="minorBidi" w:hAnsiTheme="minorBidi"/>
          <w:sz w:val="22"/>
        </w:rPr>
        <w:t>als to carry out a thorough</w:t>
      </w:r>
      <w:r w:rsidRPr="0087395B">
        <w:rPr>
          <w:rFonts w:asciiTheme="minorBidi" w:hAnsiTheme="minorBidi"/>
          <w:sz w:val="22"/>
        </w:rPr>
        <w:t xml:space="preserve"> assessment as they have to examine patients physically.</w:t>
      </w:r>
      <w:r w:rsidR="0087395B">
        <w:rPr>
          <w:rFonts w:asciiTheme="minorBidi" w:hAnsiTheme="minorBidi"/>
          <w:sz w:val="22"/>
        </w:rPr>
        <w:t xml:space="preserve"> </w:t>
      </w:r>
      <w:r w:rsidRPr="0087395B">
        <w:rPr>
          <w:rFonts w:asciiTheme="minorBidi" w:hAnsiTheme="minorBidi"/>
          <w:sz w:val="22"/>
        </w:rPr>
        <w:t>Donaghy et al. (2019) mentioned that communication limitations associated with telehealth appeared due to difficulties interpreting non-verbal communication cues. Furthermore, as revealed by Murphy et al. (2021), telehealth services use changed the way physicians interacted with their patients and increased the number of patient service requirements.</w:t>
      </w:r>
    </w:p>
    <w:p w14:paraId="5C43254D" w14:textId="209882EA" w:rsidR="00B87E75" w:rsidRPr="000622F1" w:rsidRDefault="004A736E" w:rsidP="000622F1">
      <w:pPr>
        <w:pStyle w:val="Heading1"/>
        <w:jc w:val="both"/>
        <w:rPr>
          <w:sz w:val="22"/>
        </w:rPr>
      </w:pPr>
      <w:r w:rsidRPr="000622F1">
        <w:rPr>
          <w:sz w:val="22"/>
        </w:rPr>
        <w:lastRenderedPageBreak/>
        <w:t>5</w:t>
      </w:r>
      <w:r w:rsidR="00B87E75" w:rsidRPr="000622F1">
        <w:rPr>
          <w:sz w:val="22"/>
        </w:rPr>
        <w:t>. Discussion</w:t>
      </w:r>
    </w:p>
    <w:p w14:paraId="4AAFEA80" w14:textId="0A6979DC" w:rsidR="00A466BA" w:rsidRPr="000622F1" w:rsidRDefault="00A466BA" w:rsidP="000622F1">
      <w:pPr>
        <w:tabs>
          <w:tab w:val="left" w:pos="6540"/>
        </w:tabs>
        <w:spacing w:line="360" w:lineRule="auto"/>
        <w:jc w:val="both"/>
        <w:rPr>
          <w:rFonts w:asciiTheme="minorBidi" w:hAnsiTheme="minorBidi"/>
          <w:sz w:val="22"/>
        </w:rPr>
      </w:pPr>
      <w:r w:rsidRPr="000622F1">
        <w:rPr>
          <w:rFonts w:asciiTheme="minorBidi" w:hAnsiTheme="minorBidi"/>
          <w:sz w:val="22"/>
        </w:rPr>
        <w:t>The scoping review evaluated how telehealth services affect primary care access in the UK through an examination of three selected peer-reviewed articles. The research results demonstrate that telehealth systems provide better patient access and service delivery to most patients yet create digital access problems, care quality issues and operational challenges. The results show how telehealth systems operate in UK primary care facilities because they exhibit both complex characteristics and ongoing development.</w:t>
      </w:r>
    </w:p>
    <w:p w14:paraId="366641BC" w14:textId="2B4AACC9" w:rsidR="00A466BA" w:rsidRPr="000622F1" w:rsidRDefault="00A466BA" w:rsidP="000622F1">
      <w:pPr>
        <w:tabs>
          <w:tab w:val="left" w:pos="6540"/>
        </w:tabs>
        <w:spacing w:line="360" w:lineRule="auto"/>
        <w:jc w:val="both"/>
        <w:rPr>
          <w:rFonts w:asciiTheme="minorBidi" w:hAnsiTheme="minorBidi"/>
          <w:sz w:val="22"/>
        </w:rPr>
      </w:pPr>
      <w:r w:rsidRPr="000622F1">
        <w:rPr>
          <w:rFonts w:asciiTheme="minorBidi" w:hAnsiTheme="minorBidi"/>
          <w:sz w:val="22"/>
        </w:rPr>
        <w:t>The reviewed studies demonstrate one main result that shows how telehealth improves service delivery to primary care facilities through its capacity to provide patients with better access through digital services. Patients can benefit from remote consultations because these services enable them to avoid travel while their waiting times decrease and their scheduling options incre</w:t>
      </w:r>
      <w:r w:rsidR="00A437EF" w:rsidRPr="000622F1">
        <w:rPr>
          <w:rFonts w:asciiTheme="minorBidi" w:hAnsiTheme="minorBidi"/>
          <w:sz w:val="22"/>
        </w:rPr>
        <w:t>ase. Murphy et al. (2021) revealed</w:t>
      </w:r>
      <w:r w:rsidRPr="000622F1">
        <w:rPr>
          <w:rFonts w:asciiTheme="minorBidi" w:hAnsiTheme="minorBidi"/>
          <w:sz w:val="22"/>
        </w:rPr>
        <w:t xml:space="preserve"> that healthcare providers could maintain patient treatment services through remote medical consultations which they implemented quickly throughout the COVID-19 pandemic when their regular services faced major interruptions. Hammersley et al. (2019) demonstrate that healthcare providers can enhance their ability to handle standard patient cases through remote access to medical services. Telehealth systems can enhance organizational performance and customer satisfactio</w:t>
      </w:r>
      <w:r w:rsidR="00E0127C" w:rsidRPr="000622F1">
        <w:rPr>
          <w:rFonts w:asciiTheme="minorBidi" w:hAnsiTheme="minorBidi"/>
          <w:sz w:val="22"/>
        </w:rPr>
        <w:t xml:space="preserve">n when implemented correctly (Kruse et al., </w:t>
      </w:r>
      <w:r w:rsidRPr="000622F1">
        <w:rPr>
          <w:rFonts w:asciiTheme="minorBidi" w:hAnsiTheme="minorBidi"/>
          <w:sz w:val="22"/>
        </w:rPr>
        <w:t>2017</w:t>
      </w:r>
      <w:r w:rsidR="00E0127C" w:rsidRPr="000622F1">
        <w:rPr>
          <w:rFonts w:asciiTheme="minorBidi" w:hAnsiTheme="minorBidi"/>
          <w:sz w:val="22"/>
        </w:rPr>
        <w:t>; Shaw et al., 2020)</w:t>
      </w:r>
      <w:r w:rsidRPr="000622F1">
        <w:rPr>
          <w:rFonts w:asciiTheme="minorBidi" w:hAnsiTheme="minorBidi"/>
          <w:sz w:val="22"/>
        </w:rPr>
        <w:t>.</w:t>
      </w:r>
    </w:p>
    <w:p w14:paraId="48242746" w14:textId="68105C20" w:rsidR="00B2533D" w:rsidRPr="000622F1" w:rsidRDefault="00B2533D" w:rsidP="000622F1">
      <w:pPr>
        <w:tabs>
          <w:tab w:val="left" w:pos="6540"/>
        </w:tabs>
        <w:spacing w:line="360" w:lineRule="auto"/>
        <w:jc w:val="both"/>
        <w:rPr>
          <w:rFonts w:asciiTheme="minorBidi" w:hAnsiTheme="minorBidi"/>
          <w:sz w:val="22"/>
        </w:rPr>
      </w:pPr>
      <w:r w:rsidRPr="000622F1">
        <w:rPr>
          <w:rFonts w:asciiTheme="minorBidi" w:hAnsiTheme="minorBidi"/>
          <w:sz w:val="22"/>
        </w:rPr>
        <w:t>The population groups receive different levels of improved access to services throughout their various circumstances. The review found digital exclusion to be a primary problem that prevents equal telehealth service access for all users. Donaghy et al. (2019) showed that patients who lack digital skills must access proper devices to participate in remote consultations. The digital divide continues to exist in UK healthcare system according to Davies et al. (20</w:t>
      </w:r>
      <w:r w:rsidR="00A70847" w:rsidRPr="000622F1">
        <w:rPr>
          <w:rFonts w:asciiTheme="minorBidi" w:hAnsiTheme="minorBidi"/>
          <w:sz w:val="22"/>
        </w:rPr>
        <w:t>21). Nuffield Trust (2022) stated</w:t>
      </w:r>
      <w:r w:rsidRPr="000622F1">
        <w:rPr>
          <w:rFonts w:asciiTheme="minorBidi" w:hAnsiTheme="minorBidi"/>
          <w:sz w:val="22"/>
        </w:rPr>
        <w:t xml:space="preserve"> that healthcare systems which prioritize digital services end up excluding both older people and people living in poverty stricken areas. The digital inverse care law shows that people who need medical treatment the most have the least access to digital healthcare solutions.</w:t>
      </w:r>
    </w:p>
    <w:p w14:paraId="6AD36AF7" w14:textId="0F7799DE" w:rsidR="00B2533D" w:rsidRPr="000622F1" w:rsidRDefault="00B2533D" w:rsidP="000622F1">
      <w:pPr>
        <w:tabs>
          <w:tab w:val="left" w:pos="6540"/>
        </w:tabs>
        <w:spacing w:line="360" w:lineRule="auto"/>
        <w:jc w:val="both"/>
        <w:rPr>
          <w:rFonts w:asciiTheme="minorBidi" w:hAnsiTheme="minorBidi"/>
          <w:sz w:val="22"/>
        </w:rPr>
      </w:pPr>
      <w:r w:rsidRPr="000622F1">
        <w:rPr>
          <w:rFonts w:asciiTheme="minorBidi" w:hAnsiTheme="minorBidi"/>
          <w:sz w:val="22"/>
        </w:rPr>
        <w:t xml:space="preserve">The review found two main problems </w:t>
      </w:r>
      <w:r w:rsidR="00C61DD4" w:rsidRPr="000622F1">
        <w:rPr>
          <w:rFonts w:asciiTheme="minorBidi" w:hAnsiTheme="minorBidi"/>
          <w:sz w:val="22"/>
        </w:rPr>
        <w:t>with</w:t>
      </w:r>
      <w:r w:rsidRPr="000622F1">
        <w:rPr>
          <w:rFonts w:asciiTheme="minorBidi" w:hAnsiTheme="minorBidi"/>
          <w:sz w:val="22"/>
        </w:rPr>
        <w:t xml:space="preserve"> remote consultations </w:t>
      </w:r>
      <w:r w:rsidR="00C61DD4" w:rsidRPr="000622F1">
        <w:rPr>
          <w:rFonts w:asciiTheme="minorBidi" w:hAnsiTheme="minorBidi"/>
          <w:sz w:val="22"/>
        </w:rPr>
        <w:t>which include</w:t>
      </w:r>
      <w:r w:rsidRPr="000622F1">
        <w:rPr>
          <w:rFonts w:asciiTheme="minorBidi" w:hAnsiTheme="minorBidi"/>
          <w:sz w:val="22"/>
        </w:rPr>
        <w:t xml:space="preserve"> both quality issues and safety risks. Hammersley et al. (2019) discovered that remote consultations last for shorter periods while lacking the detailed communication found in face-to-face meetings. The situation creates fewer chances for doctors to conduct thorough evaluations of patients. Donaghy et al. (2019) mentioned that people experience problems with communication because they cannot understand non-verbal signals and estab</w:t>
      </w:r>
      <w:r w:rsidR="00CF135A" w:rsidRPr="000622F1">
        <w:rPr>
          <w:rFonts w:asciiTheme="minorBidi" w:hAnsiTheme="minorBidi"/>
          <w:sz w:val="22"/>
        </w:rPr>
        <w:t>lish connections with others. Additional</w:t>
      </w:r>
      <w:r w:rsidRPr="000622F1">
        <w:rPr>
          <w:rFonts w:asciiTheme="minorBidi" w:hAnsiTheme="minorBidi"/>
          <w:sz w:val="22"/>
        </w:rPr>
        <w:t xml:space="preserve"> research supports these results which show that remote consultations should not be used in situations that involve complex medical conditions or</w:t>
      </w:r>
      <w:r w:rsidR="00CF135A" w:rsidRPr="000622F1">
        <w:rPr>
          <w:rFonts w:asciiTheme="minorBidi" w:hAnsiTheme="minorBidi"/>
          <w:sz w:val="22"/>
        </w:rPr>
        <w:t xml:space="preserve"> delicate medical matters </w:t>
      </w:r>
      <w:r w:rsidR="00CF135A" w:rsidRPr="000622F1">
        <w:rPr>
          <w:rFonts w:asciiTheme="minorBidi" w:hAnsiTheme="minorBidi"/>
          <w:sz w:val="22"/>
        </w:rPr>
        <w:lastRenderedPageBreak/>
        <w:t>(Rosen et al., 2022</w:t>
      </w:r>
      <w:r w:rsidRPr="000622F1">
        <w:rPr>
          <w:rFonts w:asciiTheme="minorBidi" w:hAnsiTheme="minorBidi"/>
          <w:sz w:val="22"/>
        </w:rPr>
        <w:t>). The success of video consultations relies on three factors which include the situation details plus the individual patient requirements and the expertise level of the medical professionals acco</w:t>
      </w:r>
      <w:r w:rsidR="00CF135A" w:rsidRPr="000622F1">
        <w:rPr>
          <w:rFonts w:asciiTheme="minorBidi" w:hAnsiTheme="minorBidi"/>
          <w:sz w:val="22"/>
        </w:rPr>
        <w:t>rding to Shaw et al. (2020</w:t>
      </w:r>
      <w:r w:rsidRPr="000622F1">
        <w:rPr>
          <w:rFonts w:asciiTheme="minorBidi" w:hAnsiTheme="minorBidi"/>
          <w:sz w:val="22"/>
        </w:rPr>
        <w:t>).</w:t>
      </w:r>
    </w:p>
    <w:p w14:paraId="661B96FC" w14:textId="77777777" w:rsidR="00E571D5" w:rsidRDefault="00355AC7" w:rsidP="000622F1">
      <w:pPr>
        <w:tabs>
          <w:tab w:val="left" w:pos="6540"/>
        </w:tabs>
        <w:spacing w:line="360" w:lineRule="auto"/>
        <w:jc w:val="both"/>
        <w:rPr>
          <w:rFonts w:asciiTheme="minorBidi" w:hAnsiTheme="minorBidi"/>
          <w:sz w:val="22"/>
        </w:rPr>
      </w:pPr>
      <w:r w:rsidRPr="000622F1">
        <w:rPr>
          <w:rFonts w:asciiTheme="minorBidi" w:hAnsiTheme="minorBidi"/>
          <w:sz w:val="22"/>
        </w:rPr>
        <w:t>Another highlighted theme from the review is the impact of telehealth on healthcare professionals and care delivery. According to Murphy et al. (2021), telehealth improved operational efficiency but caused an increase in the number of patient contacts since people found it more convenient to receive medical services. Salisbury et al. (2020</w:t>
      </w:r>
      <w:r w:rsidR="00612661" w:rsidRPr="000622F1">
        <w:rPr>
          <w:rFonts w:asciiTheme="minorBidi" w:hAnsiTheme="minorBidi"/>
          <w:sz w:val="22"/>
        </w:rPr>
        <w:t>), also</w:t>
      </w:r>
      <w:r w:rsidRPr="000622F1">
        <w:rPr>
          <w:rFonts w:asciiTheme="minorBidi" w:hAnsiTheme="minorBidi"/>
          <w:sz w:val="22"/>
        </w:rPr>
        <w:t xml:space="preserve"> stated that digital-first approaches involve increasing the workload of general practitioners. It was shown by Atherton et al. (2018) that using various consultation methods leads to changes in patient use of medical services rather than reduces the need for medical care. Thus, the use of telehealth does not reduce the demand of the healthcare systems due to additional work generated for medical professionals.</w:t>
      </w:r>
      <w:r w:rsidR="00C46B43">
        <w:rPr>
          <w:rFonts w:asciiTheme="minorBidi" w:hAnsiTheme="minorBidi"/>
          <w:sz w:val="22"/>
        </w:rPr>
        <w:tab/>
      </w:r>
    </w:p>
    <w:p w14:paraId="7A56980F" w14:textId="71DDD404" w:rsidR="00355AC7" w:rsidRPr="000622F1" w:rsidRDefault="00355AC7" w:rsidP="000622F1">
      <w:pPr>
        <w:tabs>
          <w:tab w:val="left" w:pos="6540"/>
        </w:tabs>
        <w:spacing w:line="360" w:lineRule="auto"/>
        <w:jc w:val="both"/>
        <w:rPr>
          <w:rFonts w:asciiTheme="minorBidi" w:hAnsiTheme="minorBidi"/>
          <w:sz w:val="22"/>
        </w:rPr>
      </w:pPr>
      <w:r w:rsidRPr="000622F1">
        <w:rPr>
          <w:rFonts w:asciiTheme="minorBidi" w:hAnsiTheme="minorBidi"/>
          <w:sz w:val="22"/>
        </w:rPr>
        <w:t>There are important implications of the results obtained for UK healthcare practice. Telehealth is a very valuable solution since it improves access to medical care among people in need, as well as provides flexible options for running operations of healthcare systems. According to Greenhalgh et al. (2016</w:t>
      </w:r>
      <w:r w:rsidR="00050E01" w:rsidRPr="000622F1">
        <w:rPr>
          <w:rFonts w:asciiTheme="minorBidi" w:hAnsiTheme="minorBidi"/>
          <w:sz w:val="22"/>
        </w:rPr>
        <w:t>) and Rosen et al. (2022</w:t>
      </w:r>
      <w:r w:rsidRPr="000622F1">
        <w:rPr>
          <w:rFonts w:asciiTheme="minorBidi" w:hAnsiTheme="minorBidi"/>
          <w:sz w:val="22"/>
        </w:rPr>
        <w:t>), the best approach is using hybrid care where telehealth services are used alongside in-person appointments. To solve the problem of digital exclusion, it is essential to develop measures aimed at increasing digital skills, improving availability of technology and services for everyone.</w:t>
      </w:r>
    </w:p>
    <w:p w14:paraId="6A28DE1D" w14:textId="55475FD4" w:rsidR="00050E01" w:rsidRPr="000622F1" w:rsidRDefault="00050E01" w:rsidP="000622F1">
      <w:pPr>
        <w:tabs>
          <w:tab w:val="left" w:pos="6540"/>
        </w:tabs>
        <w:spacing w:line="360" w:lineRule="auto"/>
        <w:jc w:val="both"/>
        <w:rPr>
          <w:rFonts w:asciiTheme="minorBidi" w:hAnsiTheme="minorBidi"/>
          <w:sz w:val="22"/>
        </w:rPr>
      </w:pPr>
      <w:r w:rsidRPr="000622F1">
        <w:rPr>
          <w:rFonts w:asciiTheme="minorBidi" w:hAnsiTheme="minorBidi"/>
          <w:sz w:val="22"/>
        </w:rPr>
        <w:t>The research findings from three studies which the review examined, establish limitations on the study's results. The field of telehealth research develops quickly so new studies will help researchers understand its long-term effects. The research study becomes more applicable to practical use through its exclusive focus on UK research, but this narrow view prevents researchers from using beneficial international data.</w:t>
      </w:r>
    </w:p>
    <w:p w14:paraId="682D1769" w14:textId="7D78B8B5" w:rsidR="003E4ECF" w:rsidRPr="00CD33A8" w:rsidRDefault="00050E01" w:rsidP="009F2427">
      <w:pPr>
        <w:tabs>
          <w:tab w:val="left" w:pos="6540"/>
        </w:tabs>
        <w:spacing w:line="360" w:lineRule="auto"/>
        <w:jc w:val="both"/>
        <w:rPr>
          <w:rFonts w:asciiTheme="minorBidi" w:hAnsiTheme="minorBidi"/>
          <w:sz w:val="22"/>
        </w:rPr>
      </w:pPr>
      <w:r w:rsidRPr="000622F1">
        <w:rPr>
          <w:rFonts w:asciiTheme="minorBidi" w:hAnsiTheme="minorBidi"/>
          <w:sz w:val="22"/>
        </w:rPr>
        <w:t>The telehealth system has changed how people in the UK access primary care services, which creates both benefits and difficulties for patients. The system has made healthcare delivery more efficient through better convenience, yet its effects on healthcare access for different patient groups and on the standard of medical treatment delivered remain unclear. The telehealth system needs solutions to address the challenges because they will help create a healthcare system which provides better access and fairness and maintains long-term viability.</w:t>
      </w:r>
    </w:p>
    <w:p w14:paraId="122596BD" w14:textId="77777777" w:rsidR="00E571D5" w:rsidRDefault="00E571D5">
      <w:pPr>
        <w:rPr>
          <w:rFonts w:ascii="Arial" w:eastAsiaTheme="majorEastAsia" w:hAnsi="Arial"/>
          <w:b/>
          <w:sz w:val="22"/>
        </w:rPr>
      </w:pPr>
      <w:r>
        <w:rPr>
          <w:sz w:val="22"/>
        </w:rPr>
        <w:br w:type="page"/>
      </w:r>
    </w:p>
    <w:p w14:paraId="16FAF0EA" w14:textId="647FB3E7" w:rsidR="00B87E75" w:rsidRPr="009F2427" w:rsidRDefault="004A736E" w:rsidP="009F2427">
      <w:pPr>
        <w:pStyle w:val="Heading1"/>
        <w:jc w:val="both"/>
        <w:rPr>
          <w:sz w:val="22"/>
        </w:rPr>
      </w:pPr>
      <w:r w:rsidRPr="009F2427">
        <w:rPr>
          <w:sz w:val="22"/>
        </w:rPr>
        <w:lastRenderedPageBreak/>
        <w:t>6</w:t>
      </w:r>
      <w:r w:rsidR="00B87E75" w:rsidRPr="009F2427">
        <w:rPr>
          <w:sz w:val="22"/>
        </w:rPr>
        <w:t>. Conclusion</w:t>
      </w:r>
      <w:r w:rsidR="00CD33A8" w:rsidRPr="009F2427">
        <w:rPr>
          <w:sz w:val="22"/>
        </w:rPr>
        <w:t xml:space="preserve"> and Recommendations</w:t>
      </w:r>
    </w:p>
    <w:p w14:paraId="5E9E46FD" w14:textId="60F8A73E" w:rsidR="00C46B43" w:rsidRPr="009F2427" w:rsidRDefault="00C46B43" w:rsidP="009F2427">
      <w:pPr>
        <w:tabs>
          <w:tab w:val="left" w:pos="6540"/>
        </w:tabs>
        <w:spacing w:line="360" w:lineRule="auto"/>
        <w:jc w:val="both"/>
        <w:rPr>
          <w:rFonts w:asciiTheme="minorBidi" w:hAnsiTheme="minorBidi"/>
          <w:sz w:val="22"/>
        </w:rPr>
      </w:pPr>
      <w:r w:rsidRPr="009F2427">
        <w:rPr>
          <w:rFonts w:asciiTheme="minorBidi" w:hAnsiTheme="minorBidi"/>
          <w:sz w:val="22"/>
        </w:rPr>
        <w:t>The scoping review evaluated three significant peer-reviewed articles to investigate telehealth and its effects on primary care accessibility throughout the UK. The research results show that telehealth has brought about major changes to primary care delivery methods which emerged after the COVID-19 pandemic. The system enables patients to access medical services through improved convenience which provides them with flexible options to receive treatment at any time.</w:t>
      </w:r>
    </w:p>
    <w:p w14:paraId="6812580D" w14:textId="3EC59CE9" w:rsidR="0090040D" w:rsidRPr="009F2427" w:rsidRDefault="00C46B43" w:rsidP="009F2427">
      <w:pPr>
        <w:tabs>
          <w:tab w:val="left" w:pos="6540"/>
        </w:tabs>
        <w:spacing w:line="360" w:lineRule="auto"/>
        <w:jc w:val="both"/>
        <w:rPr>
          <w:rFonts w:asciiTheme="minorBidi" w:hAnsiTheme="minorBidi"/>
          <w:sz w:val="22"/>
        </w:rPr>
      </w:pPr>
      <w:r w:rsidRPr="009F2427">
        <w:rPr>
          <w:rFonts w:asciiTheme="minorBidi" w:hAnsiTheme="minorBidi"/>
          <w:sz w:val="22"/>
        </w:rPr>
        <w:t>The research demonstrates that different population groups experience different advantages from telehealth services. Digital exclusion exists as a critical problem which prevents older adults, people with low digital skills and economically disadvantaged individuals from accessing services. The research shows that telehealth can provide better access for some people because its implementation requires careful management to prevent existing health disparities from becoming worse.</w:t>
      </w:r>
    </w:p>
    <w:p w14:paraId="320C1A4B" w14:textId="77777777" w:rsidR="00C46B43" w:rsidRPr="009F2427" w:rsidRDefault="00C46B43" w:rsidP="009F2427">
      <w:pPr>
        <w:tabs>
          <w:tab w:val="left" w:pos="6540"/>
        </w:tabs>
        <w:spacing w:line="360" w:lineRule="auto"/>
        <w:jc w:val="both"/>
        <w:rPr>
          <w:rFonts w:asciiTheme="minorBidi" w:hAnsiTheme="minorBidi"/>
          <w:sz w:val="22"/>
        </w:rPr>
      </w:pPr>
      <w:r w:rsidRPr="009F2427">
        <w:rPr>
          <w:rFonts w:asciiTheme="minorBidi" w:hAnsiTheme="minorBidi"/>
          <w:sz w:val="22"/>
        </w:rPr>
        <w:t>Some issues were identified by the researchers affecting the success and effectiveness of telemedicine. According to the research evidence, telemedicine solutions do not have the capacity to manage all health care engagements since some situations may call for direct examination and discussions. Telemedicine usage has brought about new challenges for health care organizations regarding staffing and patients' services.</w:t>
      </w:r>
    </w:p>
    <w:p w14:paraId="7162D149" w14:textId="4F772883" w:rsidR="00C46B43" w:rsidRPr="009F2427" w:rsidRDefault="00C46B43" w:rsidP="009F2427">
      <w:pPr>
        <w:tabs>
          <w:tab w:val="left" w:pos="6540"/>
        </w:tabs>
        <w:spacing w:line="360" w:lineRule="auto"/>
        <w:jc w:val="both"/>
        <w:rPr>
          <w:rFonts w:asciiTheme="minorBidi" w:hAnsiTheme="minorBidi"/>
          <w:sz w:val="22"/>
        </w:rPr>
      </w:pPr>
      <w:r w:rsidRPr="009F2427">
        <w:rPr>
          <w:rFonts w:asciiTheme="minorBidi" w:hAnsiTheme="minorBidi"/>
          <w:sz w:val="22"/>
        </w:rPr>
        <w:t>Telehealth services create both potential benefits and obstacles for primary care operations in the UK. The system affects access through multiple pathways which require evidence-based implementation to achieve proper balance between its various elements. Health and social care systems need to make telehealth services work for all patients while delivering safe and high-quality healthcare standards.</w:t>
      </w:r>
    </w:p>
    <w:p w14:paraId="295A0DFF" w14:textId="5ACC0893" w:rsidR="00CB224B" w:rsidRPr="009F2427" w:rsidRDefault="00CB224B" w:rsidP="009F2427">
      <w:pPr>
        <w:tabs>
          <w:tab w:val="left" w:pos="6540"/>
        </w:tabs>
        <w:spacing w:line="360" w:lineRule="auto"/>
        <w:jc w:val="both"/>
        <w:rPr>
          <w:rFonts w:asciiTheme="minorBidi" w:hAnsiTheme="minorBidi"/>
          <w:b/>
          <w:sz w:val="22"/>
        </w:rPr>
      </w:pPr>
      <w:r w:rsidRPr="009F2427">
        <w:rPr>
          <w:rFonts w:asciiTheme="minorBidi" w:hAnsiTheme="minorBidi"/>
          <w:b/>
          <w:sz w:val="22"/>
        </w:rPr>
        <w:t>Recommendations</w:t>
      </w:r>
    </w:p>
    <w:p w14:paraId="2CD06E6E" w14:textId="7198831B" w:rsidR="00CB224B" w:rsidRPr="009F2427" w:rsidRDefault="00CB224B" w:rsidP="009F2427">
      <w:pPr>
        <w:pStyle w:val="ListParagraph"/>
        <w:numPr>
          <w:ilvl w:val="0"/>
          <w:numId w:val="6"/>
        </w:numPr>
        <w:tabs>
          <w:tab w:val="left" w:pos="6540"/>
        </w:tabs>
        <w:spacing w:line="360" w:lineRule="auto"/>
        <w:jc w:val="both"/>
        <w:rPr>
          <w:rFonts w:asciiTheme="minorBidi" w:hAnsiTheme="minorBidi"/>
          <w:sz w:val="22"/>
        </w:rPr>
      </w:pPr>
      <w:r w:rsidRPr="009F2427">
        <w:rPr>
          <w:rFonts w:asciiTheme="minorBidi" w:hAnsiTheme="minorBidi"/>
          <w:b/>
          <w:sz w:val="22"/>
        </w:rPr>
        <w:t>Adoption of a blended care model:</w:t>
      </w:r>
      <w:r w:rsidRPr="009F2427">
        <w:rPr>
          <w:rFonts w:asciiTheme="minorBidi" w:hAnsiTheme="minorBidi"/>
          <w:sz w:val="22"/>
        </w:rPr>
        <w:t xml:space="preserve"> It is important for the healthcare practitioners to adopt a model of care that integrates telemedicine services with in-person healthcare services provided to patients. This can be justified by the literature review showing that hybrid models of care delivery are more effective in improving patients' well-being, their levels of satisfaction, and maintain their clinical efficacy (Greenhalgh et al., 2016; Shaw et al., 2020).</w:t>
      </w:r>
    </w:p>
    <w:p w14:paraId="02EA977A" w14:textId="77777777" w:rsidR="00CB224B" w:rsidRPr="009F2427" w:rsidRDefault="00CB224B" w:rsidP="009F2427">
      <w:pPr>
        <w:pStyle w:val="ListParagraph"/>
        <w:tabs>
          <w:tab w:val="left" w:pos="6540"/>
        </w:tabs>
        <w:spacing w:line="360" w:lineRule="auto"/>
        <w:jc w:val="both"/>
        <w:rPr>
          <w:rFonts w:asciiTheme="minorBidi" w:hAnsiTheme="minorBidi"/>
          <w:sz w:val="22"/>
        </w:rPr>
      </w:pPr>
    </w:p>
    <w:p w14:paraId="0C79D0F4" w14:textId="14EBC9A6" w:rsidR="00CB224B" w:rsidRPr="009F2427" w:rsidRDefault="00CB224B" w:rsidP="009F2427">
      <w:pPr>
        <w:pStyle w:val="ListParagraph"/>
        <w:numPr>
          <w:ilvl w:val="0"/>
          <w:numId w:val="6"/>
        </w:numPr>
        <w:tabs>
          <w:tab w:val="left" w:pos="6540"/>
        </w:tabs>
        <w:spacing w:line="360" w:lineRule="auto"/>
        <w:jc w:val="both"/>
        <w:rPr>
          <w:rFonts w:asciiTheme="minorBidi" w:hAnsiTheme="minorBidi"/>
          <w:sz w:val="22"/>
        </w:rPr>
      </w:pPr>
      <w:r w:rsidRPr="009F2427">
        <w:rPr>
          <w:rFonts w:asciiTheme="minorBidi" w:hAnsiTheme="minorBidi"/>
          <w:b/>
          <w:sz w:val="22"/>
        </w:rPr>
        <w:t>Addressing of digital exclusion:</w:t>
      </w:r>
      <w:r w:rsidRPr="009F2427">
        <w:rPr>
          <w:rFonts w:asciiTheme="minorBidi" w:hAnsiTheme="minorBidi"/>
          <w:sz w:val="22"/>
        </w:rPr>
        <w:t xml:space="preserve"> Healthcare organizations require specific strategies that target different aspects of digital access inequality which affects patient care services. According to Davies et al., (2021) digital exclusion continues to affect vulnerable populations in the UK, limiting their ability to benefit from telehealth </w:t>
      </w:r>
      <w:r w:rsidRPr="009F2427">
        <w:rPr>
          <w:rFonts w:asciiTheme="minorBidi" w:hAnsiTheme="minorBidi"/>
          <w:sz w:val="22"/>
        </w:rPr>
        <w:lastRenderedPageBreak/>
        <w:t>services. The digital literacy training, improved device access, and better internet connectivity initiatives serve as fundamental requirements for achieving fair healthcare access (Watts, 2020).</w:t>
      </w:r>
    </w:p>
    <w:p w14:paraId="447933E8" w14:textId="77777777" w:rsidR="00892E34" w:rsidRPr="009F2427" w:rsidRDefault="00892E34" w:rsidP="009F2427">
      <w:pPr>
        <w:pStyle w:val="ListParagraph"/>
        <w:jc w:val="both"/>
        <w:rPr>
          <w:rFonts w:asciiTheme="minorBidi" w:hAnsiTheme="minorBidi"/>
          <w:sz w:val="22"/>
        </w:rPr>
      </w:pPr>
    </w:p>
    <w:p w14:paraId="0A454AEE" w14:textId="77777777" w:rsidR="00892E34" w:rsidRPr="009F2427" w:rsidRDefault="00892E34" w:rsidP="009F2427">
      <w:pPr>
        <w:pStyle w:val="ListParagraph"/>
        <w:numPr>
          <w:ilvl w:val="0"/>
          <w:numId w:val="6"/>
        </w:numPr>
        <w:tabs>
          <w:tab w:val="left" w:pos="6540"/>
        </w:tabs>
        <w:spacing w:line="360" w:lineRule="auto"/>
        <w:jc w:val="both"/>
        <w:rPr>
          <w:rFonts w:asciiTheme="minorBidi" w:hAnsiTheme="minorBidi"/>
          <w:sz w:val="22"/>
        </w:rPr>
      </w:pPr>
      <w:r w:rsidRPr="009F2427">
        <w:rPr>
          <w:rFonts w:asciiTheme="minorBidi" w:hAnsiTheme="minorBidi"/>
          <w:b/>
          <w:sz w:val="22"/>
        </w:rPr>
        <w:t>Improve Training for Healthcare Professionals</w:t>
      </w:r>
      <w:r w:rsidRPr="009F2427">
        <w:rPr>
          <w:rFonts w:asciiTheme="minorBidi" w:hAnsiTheme="minorBidi"/>
          <w:sz w:val="22"/>
        </w:rPr>
        <w:t>: Healthcare professionals need to receive training which enables them to provide remote medical consultations through effective methods. The success of telehealth services depends on two factors which study results show to be crucial elements of clinician performance: their confidence level and their ability to communicate with patients (Wherton et al., 2020). The training program needs to teach three skills which include digital communication, patient engagement and clinical decision-making for remote medical environments.</w:t>
      </w:r>
    </w:p>
    <w:p w14:paraId="4255BC73" w14:textId="77777777" w:rsidR="00892E34" w:rsidRPr="009F2427" w:rsidRDefault="00892E34" w:rsidP="009F2427">
      <w:pPr>
        <w:pStyle w:val="ListParagraph"/>
        <w:jc w:val="both"/>
        <w:rPr>
          <w:rFonts w:asciiTheme="minorBidi" w:hAnsiTheme="minorBidi"/>
          <w:sz w:val="22"/>
        </w:rPr>
      </w:pPr>
    </w:p>
    <w:p w14:paraId="4371A9C5" w14:textId="632F5E8B" w:rsidR="00F66E1B" w:rsidRPr="009F2427" w:rsidRDefault="00892E34" w:rsidP="00CD33A8">
      <w:pPr>
        <w:pStyle w:val="ListParagraph"/>
        <w:numPr>
          <w:ilvl w:val="0"/>
          <w:numId w:val="6"/>
        </w:numPr>
        <w:tabs>
          <w:tab w:val="left" w:pos="6540"/>
        </w:tabs>
        <w:spacing w:line="360" w:lineRule="auto"/>
        <w:jc w:val="both"/>
        <w:rPr>
          <w:rFonts w:asciiTheme="minorBidi" w:hAnsiTheme="minorBidi"/>
          <w:sz w:val="22"/>
        </w:rPr>
      </w:pPr>
      <w:r w:rsidRPr="009F2427">
        <w:rPr>
          <w:rFonts w:asciiTheme="minorBidi" w:hAnsiTheme="minorBidi"/>
          <w:b/>
          <w:sz w:val="22"/>
        </w:rPr>
        <w:t>Strengthen Policy and Digital Infrastructure:</w:t>
      </w:r>
      <w:r w:rsidRPr="009F2427">
        <w:rPr>
          <w:rFonts w:asciiTheme="minorBidi" w:hAnsiTheme="minorBidi"/>
          <w:sz w:val="22"/>
        </w:rPr>
        <w:t xml:space="preserve"> The telehealth service requires continuous funding for its digital health infrastructure because it needs this support to establish permanent telehealth connections with primary care services. National strategies emphasise the importance of secure, reliable, and user-friendly digital systems to improve access and service delivery (NHS England, 2023). Telehealth services will benefit from infrastructure improvements which will boost their operational capacity and protection standards.</w:t>
      </w:r>
    </w:p>
    <w:p w14:paraId="364D7618" w14:textId="54B8550D" w:rsidR="00F66E1B" w:rsidRPr="00CD33A8" w:rsidRDefault="00F66E1B" w:rsidP="00CD33A8">
      <w:pPr>
        <w:tabs>
          <w:tab w:val="left" w:pos="6540"/>
        </w:tabs>
        <w:spacing w:line="360" w:lineRule="auto"/>
        <w:rPr>
          <w:rFonts w:asciiTheme="minorBidi" w:hAnsiTheme="minorBidi"/>
          <w:sz w:val="22"/>
        </w:rPr>
      </w:pPr>
    </w:p>
    <w:p w14:paraId="2E01B28F" w14:textId="77777777" w:rsidR="00814A9E" w:rsidRPr="00CD33A8" w:rsidRDefault="00814A9E" w:rsidP="00CD33A8">
      <w:pPr>
        <w:tabs>
          <w:tab w:val="left" w:pos="6540"/>
        </w:tabs>
        <w:spacing w:line="360" w:lineRule="auto"/>
        <w:rPr>
          <w:rFonts w:asciiTheme="minorBidi" w:hAnsiTheme="minorBidi"/>
          <w:sz w:val="22"/>
        </w:rPr>
      </w:pPr>
    </w:p>
    <w:p w14:paraId="38B71D46" w14:textId="77777777" w:rsidR="00814A9E" w:rsidRPr="00CD33A8" w:rsidRDefault="00814A9E" w:rsidP="00CD33A8">
      <w:pPr>
        <w:tabs>
          <w:tab w:val="left" w:pos="6540"/>
        </w:tabs>
        <w:spacing w:line="360" w:lineRule="auto"/>
        <w:rPr>
          <w:rFonts w:asciiTheme="minorBidi" w:hAnsiTheme="minorBidi"/>
          <w:sz w:val="22"/>
        </w:rPr>
      </w:pPr>
    </w:p>
    <w:p w14:paraId="444BAD02" w14:textId="77777777" w:rsidR="00814A9E" w:rsidRPr="00CD33A8" w:rsidRDefault="00814A9E" w:rsidP="00CD33A8">
      <w:pPr>
        <w:tabs>
          <w:tab w:val="left" w:pos="6540"/>
        </w:tabs>
        <w:spacing w:line="360" w:lineRule="auto"/>
        <w:rPr>
          <w:rFonts w:asciiTheme="minorBidi" w:hAnsiTheme="minorBidi"/>
          <w:sz w:val="22"/>
        </w:rPr>
      </w:pPr>
    </w:p>
    <w:p w14:paraId="71022E41" w14:textId="77777777" w:rsidR="00814A9E" w:rsidRPr="00CD33A8" w:rsidRDefault="00814A9E" w:rsidP="00CD33A8">
      <w:pPr>
        <w:tabs>
          <w:tab w:val="left" w:pos="6540"/>
        </w:tabs>
        <w:spacing w:line="360" w:lineRule="auto"/>
        <w:rPr>
          <w:rFonts w:asciiTheme="minorBidi" w:hAnsiTheme="minorBidi"/>
          <w:sz w:val="22"/>
        </w:rPr>
      </w:pPr>
    </w:p>
    <w:p w14:paraId="3EA3C7DD" w14:textId="2C373198" w:rsidR="00F66E1B" w:rsidRPr="00CD33A8" w:rsidRDefault="00F66E1B" w:rsidP="00CD33A8">
      <w:pPr>
        <w:tabs>
          <w:tab w:val="left" w:pos="6540"/>
        </w:tabs>
        <w:spacing w:line="360" w:lineRule="auto"/>
        <w:rPr>
          <w:rFonts w:asciiTheme="minorBidi" w:hAnsiTheme="minorBidi"/>
          <w:sz w:val="22"/>
        </w:rPr>
      </w:pPr>
    </w:p>
    <w:p w14:paraId="5C76528F" w14:textId="77777777" w:rsidR="00F66E1B" w:rsidRPr="00CD33A8" w:rsidRDefault="00F66E1B" w:rsidP="00CD33A8">
      <w:pPr>
        <w:tabs>
          <w:tab w:val="left" w:pos="6540"/>
        </w:tabs>
        <w:spacing w:line="360" w:lineRule="auto"/>
        <w:rPr>
          <w:rFonts w:asciiTheme="minorBidi" w:hAnsiTheme="minorBidi"/>
          <w:sz w:val="22"/>
        </w:rPr>
      </w:pPr>
    </w:p>
    <w:p w14:paraId="18999130" w14:textId="77777777" w:rsidR="00CD33A8" w:rsidRDefault="00CD33A8">
      <w:pPr>
        <w:rPr>
          <w:rFonts w:asciiTheme="minorBidi" w:eastAsiaTheme="majorEastAsia" w:hAnsiTheme="minorBidi"/>
          <w:b/>
          <w:sz w:val="28"/>
        </w:rPr>
      </w:pPr>
      <w:r>
        <w:br w:type="page"/>
      </w:r>
    </w:p>
    <w:sdt>
      <w:sdtPr>
        <w:rPr>
          <w:rFonts w:ascii="Times New Roman" w:eastAsiaTheme="minorHAnsi" w:hAnsi="Times New Roman"/>
          <w:b w:val="0"/>
          <w:sz w:val="24"/>
        </w:rPr>
        <w:id w:val="129370535"/>
        <w:docPartObj>
          <w:docPartGallery w:val="Bibliographies"/>
          <w:docPartUnique/>
        </w:docPartObj>
      </w:sdtPr>
      <w:sdtEndPr>
        <w:rPr>
          <w:rFonts w:cs="Arial"/>
          <w:sz w:val="22"/>
        </w:rPr>
      </w:sdtEndPr>
      <w:sdtContent>
        <w:p w14:paraId="2CA8B6DA" w14:textId="5E7BB106" w:rsidR="00F3580A" w:rsidRPr="00F3580A" w:rsidRDefault="00AB4343" w:rsidP="00F3580A">
          <w:pPr>
            <w:pStyle w:val="Heading1"/>
            <w:rPr>
              <w:rFonts w:cs="Arial"/>
              <w:sz w:val="22"/>
            </w:rPr>
          </w:pPr>
          <w:r w:rsidRPr="00AB4343">
            <w:rPr>
              <w:sz w:val="22"/>
            </w:rPr>
            <w:t>7.</w:t>
          </w:r>
          <w:r w:rsidR="00F3580A" w:rsidRPr="00F3580A">
            <w:rPr>
              <w:rFonts w:cs="Arial"/>
              <w:sz w:val="22"/>
            </w:rPr>
            <w:t>References</w:t>
          </w:r>
        </w:p>
        <w:sdt>
          <w:sdtPr>
            <w:rPr>
              <w:rFonts w:ascii="Arial" w:hAnsi="Arial" w:cs="Arial"/>
              <w:sz w:val="22"/>
            </w:rPr>
            <w:id w:val="-573587230"/>
            <w:bibliography/>
          </w:sdtPr>
          <w:sdtEndPr/>
          <w:sdtContent>
            <w:p w14:paraId="515B3A35" w14:textId="77777777" w:rsidR="00F141E0" w:rsidRPr="00F141E0" w:rsidRDefault="00F3580A" w:rsidP="00F141E0">
              <w:pPr>
                <w:pStyle w:val="Bibliography"/>
                <w:spacing w:line="360" w:lineRule="auto"/>
                <w:rPr>
                  <w:rFonts w:ascii="Arial" w:hAnsi="Arial" w:cs="Arial"/>
                  <w:noProof/>
                  <w:sz w:val="22"/>
                </w:rPr>
              </w:pPr>
              <w:r w:rsidRPr="00F141E0">
                <w:rPr>
                  <w:rFonts w:ascii="Arial" w:hAnsi="Arial" w:cs="Arial"/>
                  <w:sz w:val="22"/>
                </w:rPr>
                <w:fldChar w:fldCharType="begin"/>
              </w:r>
              <w:r w:rsidRPr="00F141E0">
                <w:rPr>
                  <w:rFonts w:ascii="Arial" w:hAnsi="Arial" w:cs="Arial"/>
                  <w:sz w:val="22"/>
                </w:rPr>
                <w:instrText xml:space="preserve"> BIBLIOGRAPHY </w:instrText>
              </w:r>
              <w:r w:rsidRPr="00F141E0">
                <w:rPr>
                  <w:rFonts w:ascii="Arial" w:hAnsi="Arial" w:cs="Arial"/>
                  <w:sz w:val="22"/>
                </w:rPr>
                <w:fldChar w:fldCharType="separate"/>
              </w:r>
              <w:r w:rsidR="00F141E0" w:rsidRPr="00F141E0">
                <w:rPr>
                  <w:rFonts w:ascii="Arial" w:hAnsi="Arial" w:cs="Arial"/>
                  <w:noProof/>
                  <w:sz w:val="22"/>
                </w:rPr>
                <w:t xml:space="preserve">Atherton, H., Brant, H., Ziebland, S., Bikker, A., Campbell, J. and Gibson, A. (, 2018. The potential of alternatives to face-to-face consultation in general practice, and the impact on different patient groups: a mixed-methods case study. </w:t>
              </w:r>
              <w:r w:rsidR="00F141E0" w:rsidRPr="00F141E0">
                <w:rPr>
                  <w:rFonts w:ascii="Arial" w:hAnsi="Arial" w:cs="Arial"/>
                  <w:i/>
                  <w:iCs/>
                  <w:noProof/>
                  <w:sz w:val="22"/>
                </w:rPr>
                <w:t>NIHR Journals Library.</w:t>
              </w:r>
            </w:p>
            <w:p w14:paraId="33D4E1AA" w14:textId="77777777" w:rsidR="00F141E0" w:rsidRPr="00F141E0" w:rsidRDefault="00F141E0" w:rsidP="00F141E0">
              <w:pPr>
                <w:pStyle w:val="Bibliography"/>
                <w:spacing w:line="360" w:lineRule="auto"/>
                <w:rPr>
                  <w:rFonts w:ascii="Arial" w:hAnsi="Arial" w:cs="Arial"/>
                  <w:noProof/>
                  <w:sz w:val="22"/>
                </w:rPr>
              </w:pPr>
              <w:r w:rsidRPr="00F141E0">
                <w:rPr>
                  <w:rFonts w:ascii="Arial" w:hAnsi="Arial" w:cs="Arial"/>
                  <w:noProof/>
                  <w:sz w:val="22"/>
                </w:rPr>
                <w:t xml:space="preserve">Baird, B., Charles, A., Honeyman, M., Maguire, D. and Das, P., 2016. </w:t>
              </w:r>
              <w:r w:rsidRPr="00F141E0">
                <w:rPr>
                  <w:rFonts w:ascii="Arial" w:hAnsi="Arial" w:cs="Arial"/>
                  <w:i/>
                  <w:iCs/>
                  <w:noProof/>
                  <w:sz w:val="22"/>
                </w:rPr>
                <w:t xml:space="preserve">Understanding pressures in general practice, </w:t>
              </w:r>
              <w:r w:rsidRPr="00F141E0">
                <w:rPr>
                  <w:rFonts w:ascii="Arial" w:hAnsi="Arial" w:cs="Arial"/>
                  <w:noProof/>
                  <w:sz w:val="22"/>
                </w:rPr>
                <w:t>London: The King’s Fund.</w:t>
              </w:r>
            </w:p>
            <w:p w14:paraId="08E20B81" w14:textId="77777777" w:rsidR="00F141E0" w:rsidRPr="00F141E0" w:rsidRDefault="00F141E0" w:rsidP="00F141E0">
              <w:pPr>
                <w:pStyle w:val="Bibliography"/>
                <w:spacing w:line="360" w:lineRule="auto"/>
                <w:rPr>
                  <w:rFonts w:ascii="Arial" w:hAnsi="Arial" w:cs="Arial"/>
                  <w:noProof/>
                  <w:sz w:val="22"/>
                </w:rPr>
              </w:pPr>
              <w:r w:rsidRPr="00F141E0">
                <w:rPr>
                  <w:rFonts w:ascii="Arial" w:hAnsi="Arial" w:cs="Arial"/>
                  <w:noProof/>
                  <w:sz w:val="22"/>
                </w:rPr>
                <w:t xml:space="preserve">Davies, A.R., Honeyman, M. and Gann, B., 2021. Addressing the Digital Inverse Care Law in the Time of COVID-19: Potential for Digital Technology to Exacerbate or Mitigate Health Inequalities. </w:t>
              </w:r>
              <w:r w:rsidRPr="00F141E0">
                <w:rPr>
                  <w:rFonts w:ascii="Arial" w:hAnsi="Arial" w:cs="Arial"/>
                  <w:i/>
                  <w:iCs/>
                  <w:noProof/>
                  <w:sz w:val="22"/>
                </w:rPr>
                <w:t xml:space="preserve">Journal of Medical Internet Research, </w:t>
              </w:r>
              <w:r w:rsidRPr="00F141E0">
                <w:rPr>
                  <w:rFonts w:ascii="Arial" w:hAnsi="Arial" w:cs="Arial"/>
                  <w:noProof/>
                  <w:sz w:val="22"/>
                </w:rPr>
                <w:t>23(4), p. e21726.</w:t>
              </w:r>
            </w:p>
            <w:p w14:paraId="62E0180C" w14:textId="77777777" w:rsidR="00F141E0" w:rsidRPr="00F141E0" w:rsidRDefault="00F141E0" w:rsidP="00F141E0">
              <w:pPr>
                <w:pStyle w:val="Bibliography"/>
                <w:spacing w:line="360" w:lineRule="auto"/>
                <w:rPr>
                  <w:rFonts w:ascii="Arial" w:hAnsi="Arial" w:cs="Arial"/>
                  <w:noProof/>
                  <w:sz w:val="22"/>
                </w:rPr>
              </w:pPr>
              <w:r w:rsidRPr="00F141E0">
                <w:rPr>
                  <w:rFonts w:ascii="Arial" w:hAnsi="Arial" w:cs="Arial"/>
                  <w:noProof/>
                  <w:sz w:val="22"/>
                </w:rPr>
                <w:t xml:space="preserve">Donaghy, E., Atherton, H., Hammersley, V., McNeilly, H., Bikker, A., Robbins, L., Campbell, J. and McKinstry, B., 2019. Acceptability, benefits, and challenges of video consulting: a qualitative study in primary care. </w:t>
              </w:r>
              <w:r w:rsidRPr="00F141E0">
                <w:rPr>
                  <w:rFonts w:ascii="Arial" w:hAnsi="Arial" w:cs="Arial"/>
                  <w:i/>
                  <w:iCs/>
                  <w:noProof/>
                  <w:sz w:val="22"/>
                </w:rPr>
                <w:t xml:space="preserve">British Journal of General Practice, </w:t>
              </w:r>
              <w:r w:rsidRPr="00F141E0">
                <w:rPr>
                  <w:rFonts w:ascii="Arial" w:hAnsi="Arial" w:cs="Arial"/>
                  <w:noProof/>
                  <w:sz w:val="22"/>
                </w:rPr>
                <w:t>69(686), p. e586–e594.</w:t>
              </w:r>
            </w:p>
            <w:p w14:paraId="4A076970" w14:textId="77777777" w:rsidR="00F141E0" w:rsidRPr="00F141E0" w:rsidRDefault="00F141E0" w:rsidP="00F141E0">
              <w:pPr>
                <w:pStyle w:val="Bibliography"/>
                <w:spacing w:line="360" w:lineRule="auto"/>
                <w:rPr>
                  <w:rFonts w:ascii="Arial" w:hAnsi="Arial" w:cs="Arial"/>
                  <w:noProof/>
                  <w:sz w:val="22"/>
                </w:rPr>
              </w:pPr>
              <w:r w:rsidRPr="00F141E0">
                <w:rPr>
                  <w:rFonts w:ascii="Arial" w:hAnsi="Arial" w:cs="Arial"/>
                  <w:noProof/>
                  <w:sz w:val="22"/>
                </w:rPr>
                <w:t xml:space="preserve">Greenhalgh, T., Vijayaraghavan, S., Wherton, J., Shaw, S., Byrne, E., Campbell-Richards, D., Bhattacharya, S., Hanson, P., Ramoutar, S., Gutteridge, C. and Hodkinson, I., 2016. Virtual online consultations: advantages and limitations (VOCAL) study. </w:t>
              </w:r>
              <w:r w:rsidRPr="00F141E0">
                <w:rPr>
                  <w:rFonts w:ascii="Arial" w:hAnsi="Arial" w:cs="Arial"/>
                  <w:i/>
                  <w:iCs/>
                  <w:noProof/>
                  <w:sz w:val="22"/>
                </w:rPr>
                <w:t xml:space="preserve">BMJ, </w:t>
              </w:r>
              <w:r w:rsidRPr="00F141E0">
                <w:rPr>
                  <w:rFonts w:ascii="Arial" w:hAnsi="Arial" w:cs="Arial"/>
                  <w:noProof/>
                  <w:sz w:val="22"/>
                </w:rPr>
                <w:t>6(1), p. e009388.</w:t>
              </w:r>
            </w:p>
            <w:p w14:paraId="1964C8CE" w14:textId="77777777" w:rsidR="00F141E0" w:rsidRPr="00F141E0" w:rsidRDefault="00F141E0" w:rsidP="00F141E0">
              <w:pPr>
                <w:pStyle w:val="Bibliography"/>
                <w:spacing w:line="360" w:lineRule="auto"/>
                <w:rPr>
                  <w:rFonts w:ascii="Arial" w:hAnsi="Arial" w:cs="Arial"/>
                  <w:noProof/>
                  <w:sz w:val="22"/>
                </w:rPr>
              </w:pPr>
              <w:r w:rsidRPr="00F141E0">
                <w:rPr>
                  <w:rFonts w:ascii="Arial" w:hAnsi="Arial" w:cs="Arial"/>
                  <w:noProof/>
                  <w:sz w:val="22"/>
                </w:rPr>
                <w:t xml:space="preserve">Hammersley, V., Donaghy, E., Parker, R., McNeilly, H., Atherton, H., Bikker, A., Campbell, J. and McKinstry, B., 2019. Comparing the content and quality of video, telephone, and face-to-face consultations: a non-randomised, quasi-experimental study in UK primary care. </w:t>
              </w:r>
              <w:r w:rsidRPr="00F141E0">
                <w:rPr>
                  <w:rFonts w:ascii="Arial" w:hAnsi="Arial" w:cs="Arial"/>
                  <w:i/>
                  <w:iCs/>
                  <w:noProof/>
                  <w:sz w:val="22"/>
                </w:rPr>
                <w:t xml:space="preserve">British Journal of General Practice, </w:t>
              </w:r>
              <w:r w:rsidRPr="00F141E0">
                <w:rPr>
                  <w:rFonts w:ascii="Arial" w:hAnsi="Arial" w:cs="Arial"/>
                  <w:noProof/>
                  <w:sz w:val="22"/>
                </w:rPr>
                <w:t>69(686), p. e595–e604.</w:t>
              </w:r>
            </w:p>
            <w:p w14:paraId="4A783584" w14:textId="77777777" w:rsidR="00F141E0" w:rsidRPr="00F141E0" w:rsidRDefault="00F141E0" w:rsidP="00F141E0">
              <w:pPr>
                <w:pStyle w:val="Bibliography"/>
                <w:spacing w:line="360" w:lineRule="auto"/>
                <w:rPr>
                  <w:rFonts w:ascii="Arial" w:hAnsi="Arial" w:cs="Arial"/>
                  <w:noProof/>
                  <w:sz w:val="22"/>
                </w:rPr>
              </w:pPr>
              <w:r w:rsidRPr="00F141E0">
                <w:rPr>
                  <w:rFonts w:ascii="Arial" w:hAnsi="Arial" w:cs="Arial"/>
                  <w:noProof/>
                  <w:sz w:val="22"/>
                </w:rPr>
                <w:t xml:space="preserve">Kruse, C.S., Krowski, N., Rodriguez, B., Tran, L., Vela, J. and Brooks, M., 2017. Telehealth and patient satisfaction: a systematic review and narrative analysis. </w:t>
              </w:r>
              <w:r w:rsidRPr="00F141E0">
                <w:rPr>
                  <w:rFonts w:ascii="Arial" w:hAnsi="Arial" w:cs="Arial"/>
                  <w:i/>
                  <w:iCs/>
                  <w:noProof/>
                  <w:sz w:val="22"/>
                </w:rPr>
                <w:t xml:space="preserve">BMJ Open, </w:t>
              </w:r>
              <w:r w:rsidRPr="00F141E0">
                <w:rPr>
                  <w:rFonts w:ascii="Arial" w:hAnsi="Arial" w:cs="Arial"/>
                  <w:noProof/>
                  <w:sz w:val="22"/>
                </w:rPr>
                <w:t>7(8), p. e016242.</w:t>
              </w:r>
            </w:p>
            <w:p w14:paraId="00A9E904" w14:textId="77777777" w:rsidR="00F141E0" w:rsidRPr="00F141E0" w:rsidRDefault="00F141E0" w:rsidP="00F141E0">
              <w:pPr>
                <w:pStyle w:val="Bibliography"/>
                <w:spacing w:line="360" w:lineRule="auto"/>
                <w:rPr>
                  <w:rFonts w:ascii="Arial" w:hAnsi="Arial" w:cs="Arial"/>
                  <w:noProof/>
                  <w:sz w:val="22"/>
                </w:rPr>
              </w:pPr>
              <w:r w:rsidRPr="00F141E0">
                <w:rPr>
                  <w:rFonts w:ascii="Arial" w:hAnsi="Arial" w:cs="Arial"/>
                  <w:noProof/>
                  <w:sz w:val="22"/>
                </w:rPr>
                <w:t xml:space="preserve">Mechanic, O. J., Persaud, Y., Kimball, A. B., 2022. </w:t>
              </w:r>
              <w:r w:rsidRPr="00F141E0">
                <w:rPr>
                  <w:rFonts w:ascii="Arial" w:hAnsi="Arial" w:cs="Arial"/>
                  <w:i/>
                  <w:iCs/>
                  <w:noProof/>
                  <w:sz w:val="22"/>
                </w:rPr>
                <w:t xml:space="preserve">Telehealth Systems. </w:t>
              </w:r>
              <w:r w:rsidRPr="00F141E0">
                <w:rPr>
                  <w:rFonts w:ascii="Arial" w:hAnsi="Arial" w:cs="Arial"/>
                  <w:noProof/>
                  <w:sz w:val="22"/>
                </w:rPr>
                <w:t>s.l.:National Library of Medicine.</w:t>
              </w:r>
            </w:p>
            <w:p w14:paraId="115CECB0" w14:textId="77777777" w:rsidR="00F141E0" w:rsidRPr="00F141E0" w:rsidRDefault="00F141E0" w:rsidP="00F141E0">
              <w:pPr>
                <w:pStyle w:val="Bibliography"/>
                <w:spacing w:line="360" w:lineRule="auto"/>
                <w:rPr>
                  <w:rFonts w:ascii="Arial" w:hAnsi="Arial" w:cs="Arial"/>
                  <w:noProof/>
                  <w:sz w:val="22"/>
                </w:rPr>
              </w:pPr>
              <w:r w:rsidRPr="00F141E0">
                <w:rPr>
                  <w:rFonts w:ascii="Arial" w:hAnsi="Arial" w:cs="Arial"/>
                  <w:noProof/>
                  <w:sz w:val="22"/>
                </w:rPr>
                <w:t xml:space="preserve">Murphy, M., Scott, L.J., Salisbury, C., Turner, A., Scott, A., Denholm, R. and Lewis, R. , 2021. Implementation of remote consulting in UK primary care following the COVID-19 pandemic: a mixed-methods longitudinal study. </w:t>
              </w:r>
              <w:r w:rsidRPr="00F141E0">
                <w:rPr>
                  <w:rFonts w:ascii="Arial" w:hAnsi="Arial" w:cs="Arial"/>
                  <w:i/>
                  <w:iCs/>
                  <w:noProof/>
                  <w:sz w:val="22"/>
                </w:rPr>
                <w:t xml:space="preserve">British Journal of General Practice, </w:t>
              </w:r>
              <w:r w:rsidRPr="00F141E0">
                <w:rPr>
                  <w:rFonts w:ascii="Arial" w:hAnsi="Arial" w:cs="Arial"/>
                  <w:noProof/>
                  <w:sz w:val="22"/>
                </w:rPr>
                <w:t>71(704), pp. e166-e177.</w:t>
              </w:r>
            </w:p>
            <w:p w14:paraId="34F0D230" w14:textId="77777777" w:rsidR="00F141E0" w:rsidRPr="00F141E0" w:rsidRDefault="00F141E0" w:rsidP="00F141E0">
              <w:pPr>
                <w:pStyle w:val="Bibliography"/>
                <w:spacing w:line="360" w:lineRule="auto"/>
                <w:rPr>
                  <w:rFonts w:ascii="Arial" w:hAnsi="Arial" w:cs="Arial"/>
                  <w:noProof/>
                  <w:sz w:val="22"/>
                </w:rPr>
              </w:pPr>
              <w:r w:rsidRPr="00F141E0">
                <w:rPr>
                  <w:rFonts w:ascii="Arial" w:hAnsi="Arial" w:cs="Arial"/>
                  <w:noProof/>
                  <w:sz w:val="22"/>
                </w:rPr>
                <w:t xml:space="preserve">NHS England, 2019. </w:t>
              </w:r>
              <w:r w:rsidRPr="00F141E0">
                <w:rPr>
                  <w:rFonts w:ascii="Arial" w:hAnsi="Arial" w:cs="Arial"/>
                  <w:i/>
                  <w:iCs/>
                  <w:noProof/>
                  <w:sz w:val="22"/>
                </w:rPr>
                <w:t xml:space="preserve">Online version of the NHS Long Term Plan. </w:t>
              </w:r>
              <w:r w:rsidRPr="00F141E0">
                <w:rPr>
                  <w:rFonts w:ascii="Arial" w:hAnsi="Arial" w:cs="Arial"/>
                  <w:noProof/>
                  <w:sz w:val="22"/>
                </w:rPr>
                <w:t xml:space="preserve">[Online] </w:t>
              </w:r>
              <w:r w:rsidRPr="00F141E0">
                <w:rPr>
                  <w:rFonts w:ascii="Arial" w:hAnsi="Arial" w:cs="Arial"/>
                  <w:noProof/>
                  <w:sz w:val="22"/>
                </w:rPr>
                <w:br/>
                <w:t xml:space="preserve">Available at: </w:t>
              </w:r>
              <w:r w:rsidRPr="00F141E0">
                <w:rPr>
                  <w:rFonts w:ascii="Arial" w:hAnsi="Arial" w:cs="Arial"/>
                  <w:noProof/>
                  <w:sz w:val="22"/>
                  <w:u w:val="single"/>
                </w:rPr>
                <w:t>https://www.longtermplan.nhs.uk/online-version/overview-and-summary/</w:t>
              </w:r>
              <w:r w:rsidRPr="00F141E0">
                <w:rPr>
                  <w:rFonts w:ascii="Arial" w:hAnsi="Arial" w:cs="Arial"/>
                  <w:noProof/>
                  <w:sz w:val="22"/>
                </w:rPr>
                <w:br/>
                <w:t>[Accessed 19th April 2026].</w:t>
              </w:r>
            </w:p>
            <w:p w14:paraId="15BC4DE6" w14:textId="77777777" w:rsidR="00F141E0" w:rsidRPr="00F141E0" w:rsidRDefault="00F141E0" w:rsidP="00F141E0">
              <w:pPr>
                <w:pStyle w:val="Bibliography"/>
                <w:spacing w:line="360" w:lineRule="auto"/>
                <w:rPr>
                  <w:rFonts w:ascii="Arial" w:hAnsi="Arial" w:cs="Arial"/>
                  <w:noProof/>
                  <w:sz w:val="22"/>
                </w:rPr>
              </w:pPr>
              <w:r w:rsidRPr="00F141E0">
                <w:rPr>
                  <w:rFonts w:ascii="Arial" w:hAnsi="Arial" w:cs="Arial"/>
                  <w:noProof/>
                  <w:sz w:val="22"/>
                </w:rPr>
                <w:lastRenderedPageBreak/>
                <w:t xml:space="preserve">NHS England, 2023. </w:t>
              </w:r>
              <w:r w:rsidRPr="00F141E0">
                <w:rPr>
                  <w:rFonts w:ascii="Arial" w:hAnsi="Arial" w:cs="Arial"/>
                  <w:i/>
                  <w:iCs/>
                  <w:noProof/>
                  <w:sz w:val="22"/>
                </w:rPr>
                <w:t xml:space="preserve">Delivery plan for recovering access to primary care, </w:t>
              </w:r>
              <w:r w:rsidRPr="00F141E0">
                <w:rPr>
                  <w:rFonts w:ascii="Arial" w:hAnsi="Arial" w:cs="Arial"/>
                  <w:noProof/>
                  <w:sz w:val="22"/>
                </w:rPr>
                <w:t>London: Department of Health and Social Care.</w:t>
              </w:r>
            </w:p>
            <w:p w14:paraId="74053333" w14:textId="77777777" w:rsidR="00F141E0" w:rsidRPr="00F141E0" w:rsidRDefault="00F141E0" w:rsidP="00F141E0">
              <w:pPr>
                <w:pStyle w:val="Bibliography"/>
                <w:spacing w:line="360" w:lineRule="auto"/>
                <w:rPr>
                  <w:rFonts w:ascii="Arial" w:hAnsi="Arial" w:cs="Arial"/>
                  <w:noProof/>
                  <w:sz w:val="22"/>
                </w:rPr>
              </w:pPr>
              <w:r w:rsidRPr="00F141E0">
                <w:rPr>
                  <w:rFonts w:ascii="Arial" w:hAnsi="Arial" w:cs="Arial"/>
                  <w:noProof/>
                  <w:sz w:val="22"/>
                </w:rPr>
                <w:t xml:space="preserve">Nuffield Trust, 2022. </w:t>
              </w:r>
              <w:r w:rsidRPr="00F141E0">
                <w:rPr>
                  <w:rFonts w:ascii="Arial" w:hAnsi="Arial" w:cs="Arial"/>
                  <w:i/>
                  <w:iCs/>
                  <w:noProof/>
                  <w:sz w:val="22"/>
                </w:rPr>
                <w:t xml:space="preserve">Supporting patient engagement with digital health care innovations. </w:t>
              </w:r>
              <w:r w:rsidRPr="00F141E0">
                <w:rPr>
                  <w:rFonts w:ascii="Arial" w:hAnsi="Arial" w:cs="Arial"/>
                  <w:noProof/>
                  <w:sz w:val="22"/>
                </w:rPr>
                <w:t xml:space="preserve">[Online] </w:t>
              </w:r>
              <w:r w:rsidRPr="00F141E0">
                <w:rPr>
                  <w:rFonts w:ascii="Arial" w:hAnsi="Arial" w:cs="Arial"/>
                  <w:noProof/>
                  <w:sz w:val="22"/>
                </w:rPr>
                <w:br/>
                <w:t xml:space="preserve">Available at: </w:t>
              </w:r>
              <w:r w:rsidRPr="00F141E0">
                <w:rPr>
                  <w:rFonts w:ascii="Arial" w:hAnsi="Arial" w:cs="Arial"/>
                  <w:noProof/>
                  <w:sz w:val="22"/>
                  <w:u w:val="single"/>
                </w:rPr>
                <w:t>https://www.nuffieldtrust.org.uk/sites/default/files/2022-04/1651161363_supporting-patient-engagement-web.pdf</w:t>
              </w:r>
              <w:r w:rsidRPr="00F141E0">
                <w:rPr>
                  <w:rFonts w:ascii="Arial" w:hAnsi="Arial" w:cs="Arial"/>
                  <w:noProof/>
                  <w:sz w:val="22"/>
                </w:rPr>
                <w:br/>
                <w:t>[Accessed 21st April 2026].</w:t>
              </w:r>
            </w:p>
            <w:p w14:paraId="068A2E65" w14:textId="77777777" w:rsidR="00F141E0" w:rsidRPr="00F141E0" w:rsidRDefault="00F141E0" w:rsidP="00F141E0">
              <w:pPr>
                <w:pStyle w:val="Bibliography"/>
                <w:spacing w:line="360" w:lineRule="auto"/>
                <w:rPr>
                  <w:rFonts w:ascii="Arial" w:hAnsi="Arial" w:cs="Arial"/>
                  <w:noProof/>
                  <w:sz w:val="22"/>
                </w:rPr>
              </w:pPr>
              <w:r w:rsidRPr="00F141E0">
                <w:rPr>
                  <w:rFonts w:ascii="Arial" w:hAnsi="Arial" w:cs="Arial"/>
                  <w:noProof/>
                  <w:sz w:val="22"/>
                </w:rPr>
                <w:t xml:space="preserve">Peters, M.D.J., Godfrey, C., Mcinerney, P., Munn, Z., Tricco, A.C. and Khalil, H., 2022. Chapter 11: Scoping Reviews (2020 Version). </w:t>
              </w:r>
              <w:r w:rsidRPr="00F141E0">
                <w:rPr>
                  <w:rFonts w:ascii="Arial" w:hAnsi="Arial" w:cs="Arial"/>
                  <w:i/>
                  <w:iCs/>
                  <w:noProof/>
                  <w:sz w:val="22"/>
                </w:rPr>
                <w:t xml:space="preserve">JBI Manual for Evidence Synthesis, </w:t>
              </w:r>
              <w:r w:rsidRPr="00F141E0">
                <w:rPr>
                  <w:rFonts w:ascii="Arial" w:hAnsi="Arial" w:cs="Arial"/>
                  <w:noProof/>
                  <w:sz w:val="22"/>
                </w:rPr>
                <w:t>pp. 407-452.</w:t>
              </w:r>
            </w:p>
            <w:p w14:paraId="7E228220" w14:textId="77777777" w:rsidR="00F141E0" w:rsidRPr="00F141E0" w:rsidRDefault="00F141E0" w:rsidP="00F141E0">
              <w:pPr>
                <w:pStyle w:val="Bibliography"/>
                <w:spacing w:line="360" w:lineRule="auto"/>
                <w:rPr>
                  <w:rFonts w:ascii="Arial" w:hAnsi="Arial" w:cs="Arial"/>
                  <w:noProof/>
                  <w:sz w:val="22"/>
                </w:rPr>
              </w:pPr>
              <w:r w:rsidRPr="00F141E0">
                <w:rPr>
                  <w:rFonts w:ascii="Arial" w:hAnsi="Arial" w:cs="Arial"/>
                  <w:noProof/>
                  <w:sz w:val="22"/>
                </w:rPr>
                <w:t xml:space="preserve">Rosen et al., 2022. Clinical risk in remote consultations in general practice: findings from in-COVID-19 pandemic qualitative research. </w:t>
              </w:r>
              <w:r w:rsidRPr="00F141E0">
                <w:rPr>
                  <w:rFonts w:ascii="Arial" w:hAnsi="Arial" w:cs="Arial"/>
                  <w:i/>
                  <w:iCs/>
                  <w:noProof/>
                  <w:sz w:val="22"/>
                </w:rPr>
                <w:t xml:space="preserve">BJGP Open, </w:t>
              </w:r>
              <w:r w:rsidRPr="00F141E0">
                <w:rPr>
                  <w:rFonts w:ascii="Arial" w:hAnsi="Arial" w:cs="Arial"/>
                  <w:noProof/>
                  <w:sz w:val="22"/>
                </w:rPr>
                <w:t>6(3).</w:t>
              </w:r>
            </w:p>
            <w:p w14:paraId="0CE6F0A0" w14:textId="77777777" w:rsidR="00F141E0" w:rsidRPr="00F141E0" w:rsidRDefault="00F141E0" w:rsidP="00F141E0">
              <w:pPr>
                <w:pStyle w:val="Bibliography"/>
                <w:spacing w:line="360" w:lineRule="auto"/>
                <w:rPr>
                  <w:rFonts w:ascii="Arial" w:hAnsi="Arial" w:cs="Arial"/>
                  <w:noProof/>
                  <w:sz w:val="22"/>
                </w:rPr>
              </w:pPr>
              <w:r w:rsidRPr="00F141E0">
                <w:rPr>
                  <w:rFonts w:ascii="Arial" w:hAnsi="Arial" w:cs="Arial"/>
                  <w:noProof/>
                  <w:sz w:val="22"/>
                </w:rPr>
                <w:t xml:space="preserve">Salisbury, C., Murphy, M. and Duncan, P., 2020. The impact of digital-first consultations on workload in general practice: Modeling Study. </w:t>
              </w:r>
              <w:r w:rsidRPr="00F141E0">
                <w:rPr>
                  <w:rFonts w:ascii="Arial" w:hAnsi="Arial" w:cs="Arial"/>
                  <w:i/>
                  <w:iCs/>
                  <w:noProof/>
                  <w:sz w:val="22"/>
                </w:rPr>
                <w:t xml:space="preserve">Journal of Medical Internet Research, </w:t>
              </w:r>
              <w:r w:rsidRPr="00F141E0">
                <w:rPr>
                  <w:rFonts w:ascii="Arial" w:hAnsi="Arial" w:cs="Arial"/>
                  <w:noProof/>
                  <w:sz w:val="22"/>
                </w:rPr>
                <w:t>22(6), p. e18203.</w:t>
              </w:r>
            </w:p>
            <w:p w14:paraId="12A9EC4A" w14:textId="77777777" w:rsidR="00F141E0" w:rsidRPr="00F141E0" w:rsidRDefault="00F141E0" w:rsidP="00F141E0">
              <w:pPr>
                <w:pStyle w:val="Bibliography"/>
                <w:spacing w:line="360" w:lineRule="auto"/>
                <w:rPr>
                  <w:rFonts w:ascii="Arial" w:hAnsi="Arial" w:cs="Arial"/>
                  <w:noProof/>
                  <w:sz w:val="22"/>
                </w:rPr>
              </w:pPr>
              <w:r w:rsidRPr="00F141E0">
                <w:rPr>
                  <w:rFonts w:ascii="Arial" w:hAnsi="Arial" w:cs="Arial"/>
                  <w:noProof/>
                  <w:sz w:val="22"/>
                </w:rPr>
                <w:t xml:space="preserve">Shaw, S.E., Seuren, L.M., Wherton, J., Cameron, D., A’Court, C., Vijayaraghavan, S., Morris, J., Bhattacharya, S. and Greenhalgh, T., 2020. Video Consultations Between Patients and Clinicians in Diabetes, Cancer, and Heart Failure Services: Linguistic Ethnographic Study of Video-Mediated Interaction. </w:t>
              </w:r>
              <w:r w:rsidRPr="00F141E0">
                <w:rPr>
                  <w:rFonts w:ascii="Arial" w:hAnsi="Arial" w:cs="Arial"/>
                  <w:i/>
                  <w:iCs/>
                  <w:noProof/>
                  <w:sz w:val="22"/>
                </w:rPr>
                <w:t xml:space="preserve">Journal of Medical Internet Research, </w:t>
              </w:r>
              <w:r w:rsidRPr="00F141E0">
                <w:rPr>
                  <w:rFonts w:ascii="Arial" w:hAnsi="Arial" w:cs="Arial"/>
                  <w:noProof/>
                  <w:sz w:val="22"/>
                </w:rPr>
                <w:t>22(5), p. e18378.</w:t>
              </w:r>
            </w:p>
            <w:p w14:paraId="1BDA9546" w14:textId="77777777" w:rsidR="00F141E0" w:rsidRPr="00F141E0" w:rsidRDefault="00F141E0" w:rsidP="00F141E0">
              <w:pPr>
                <w:pStyle w:val="Bibliography"/>
                <w:spacing w:line="360" w:lineRule="auto"/>
                <w:rPr>
                  <w:rFonts w:ascii="Arial" w:hAnsi="Arial" w:cs="Arial"/>
                  <w:noProof/>
                  <w:sz w:val="22"/>
                </w:rPr>
              </w:pPr>
              <w:r w:rsidRPr="00F141E0">
                <w:rPr>
                  <w:rFonts w:ascii="Arial" w:hAnsi="Arial" w:cs="Arial"/>
                  <w:noProof/>
                  <w:sz w:val="22"/>
                </w:rPr>
                <w:t xml:space="preserve">Watts, G., 2020. COVID-19 and the digital divide in the UK. </w:t>
              </w:r>
              <w:r w:rsidRPr="00F141E0">
                <w:rPr>
                  <w:rFonts w:ascii="Arial" w:hAnsi="Arial" w:cs="Arial"/>
                  <w:i/>
                  <w:iCs/>
                  <w:noProof/>
                  <w:sz w:val="22"/>
                </w:rPr>
                <w:t xml:space="preserve">Lancet Digital Health, </w:t>
              </w:r>
              <w:r w:rsidRPr="00F141E0">
                <w:rPr>
                  <w:rFonts w:ascii="Arial" w:hAnsi="Arial" w:cs="Arial"/>
                  <w:noProof/>
                  <w:sz w:val="22"/>
                </w:rPr>
                <w:t>2(8), p. e395–e396.</w:t>
              </w:r>
            </w:p>
            <w:p w14:paraId="2B9D4F5C" w14:textId="77777777" w:rsidR="00F141E0" w:rsidRPr="00F141E0" w:rsidRDefault="00F141E0" w:rsidP="00F141E0">
              <w:pPr>
                <w:pStyle w:val="Bibliography"/>
                <w:spacing w:line="360" w:lineRule="auto"/>
                <w:rPr>
                  <w:rFonts w:ascii="Arial" w:hAnsi="Arial" w:cs="Arial"/>
                  <w:noProof/>
                  <w:sz w:val="22"/>
                </w:rPr>
              </w:pPr>
              <w:r w:rsidRPr="00F141E0">
                <w:rPr>
                  <w:rFonts w:ascii="Arial" w:hAnsi="Arial" w:cs="Arial"/>
                  <w:noProof/>
                  <w:sz w:val="22"/>
                </w:rPr>
                <w:t xml:space="preserve">Wherton, J., Shaw, S., Papoutsi, C., Seuren, L., and Greenhalgh, T. , 2020. (2020) ‘Guidance on the introduction and use of video consultations: important lessons from qualitative research. </w:t>
              </w:r>
              <w:r w:rsidRPr="00F141E0">
                <w:rPr>
                  <w:rFonts w:ascii="Arial" w:hAnsi="Arial" w:cs="Arial"/>
                  <w:i/>
                  <w:iCs/>
                  <w:noProof/>
                  <w:sz w:val="22"/>
                </w:rPr>
                <w:t xml:space="preserve">BMJ Leader, </w:t>
              </w:r>
              <w:r w:rsidRPr="00F141E0">
                <w:rPr>
                  <w:rFonts w:ascii="Arial" w:hAnsi="Arial" w:cs="Arial"/>
                  <w:noProof/>
                  <w:sz w:val="22"/>
                </w:rPr>
                <w:t>4(3), pp. 120-123.</w:t>
              </w:r>
            </w:p>
            <w:p w14:paraId="5F7BA07C" w14:textId="55AD3CE0" w:rsidR="00F3580A" w:rsidRPr="00F3580A" w:rsidRDefault="00F3580A" w:rsidP="00F141E0">
              <w:pPr>
                <w:spacing w:line="360" w:lineRule="auto"/>
                <w:rPr>
                  <w:rFonts w:ascii="Arial" w:hAnsi="Arial" w:cs="Arial"/>
                  <w:sz w:val="22"/>
                </w:rPr>
              </w:pPr>
              <w:r w:rsidRPr="00F141E0">
                <w:rPr>
                  <w:rFonts w:ascii="Arial" w:hAnsi="Arial" w:cs="Arial"/>
                  <w:b/>
                  <w:bCs/>
                  <w:noProof/>
                  <w:sz w:val="22"/>
                </w:rPr>
                <w:fldChar w:fldCharType="end"/>
              </w:r>
            </w:p>
          </w:sdtContent>
        </w:sdt>
      </w:sdtContent>
    </w:sdt>
    <w:p w14:paraId="1425F4AC" w14:textId="6695D929" w:rsidR="001D7C03" w:rsidRPr="00CD33A8" w:rsidRDefault="001D7C03" w:rsidP="00CD33A8">
      <w:pPr>
        <w:tabs>
          <w:tab w:val="left" w:pos="6540"/>
        </w:tabs>
        <w:spacing w:line="360" w:lineRule="auto"/>
        <w:rPr>
          <w:rFonts w:asciiTheme="minorBidi" w:hAnsiTheme="minorBidi"/>
          <w:sz w:val="22"/>
        </w:rPr>
      </w:pPr>
    </w:p>
    <w:sectPr w:rsidR="001D7C03" w:rsidRPr="00CD33A8" w:rsidSect="00E620E7">
      <w:foot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FF1A8B" w14:textId="77777777" w:rsidR="00AB15D2" w:rsidRDefault="00AB15D2" w:rsidP="003E4ECF">
      <w:pPr>
        <w:spacing w:after="0" w:line="240" w:lineRule="auto"/>
      </w:pPr>
      <w:r>
        <w:separator/>
      </w:r>
    </w:p>
  </w:endnote>
  <w:endnote w:type="continuationSeparator" w:id="0">
    <w:p w14:paraId="70194AC1" w14:textId="77777777" w:rsidR="00AB15D2" w:rsidRDefault="00AB15D2" w:rsidP="003E4E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64316049"/>
      <w:docPartObj>
        <w:docPartGallery w:val="Page Numbers (Bottom of Page)"/>
        <w:docPartUnique/>
      </w:docPartObj>
    </w:sdtPr>
    <w:sdtEndPr>
      <w:rPr>
        <w:noProof/>
      </w:rPr>
    </w:sdtEndPr>
    <w:sdtContent>
      <w:p w14:paraId="5B08A19A" w14:textId="6A9E4B89" w:rsidR="00803A84" w:rsidRDefault="00803A84">
        <w:pPr>
          <w:pStyle w:val="Footer"/>
          <w:jc w:val="center"/>
        </w:pPr>
        <w:r>
          <w:fldChar w:fldCharType="begin"/>
        </w:r>
        <w:r>
          <w:instrText xml:space="preserve"> PAGE   \* MERGEFORMAT </w:instrText>
        </w:r>
        <w:r>
          <w:fldChar w:fldCharType="separate"/>
        </w:r>
        <w:r w:rsidR="00F141E0">
          <w:rPr>
            <w:noProof/>
          </w:rPr>
          <w:t>16</w:t>
        </w:r>
        <w:r>
          <w:rPr>
            <w:noProof/>
          </w:rPr>
          <w:fldChar w:fldCharType="end"/>
        </w:r>
      </w:p>
    </w:sdtContent>
  </w:sdt>
  <w:p w14:paraId="65BDCB89" w14:textId="77777777" w:rsidR="00803A84" w:rsidRDefault="00803A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B8C734" w14:textId="77777777" w:rsidR="00AB15D2" w:rsidRDefault="00AB15D2" w:rsidP="003E4ECF">
      <w:pPr>
        <w:spacing w:after="0" w:line="240" w:lineRule="auto"/>
      </w:pPr>
      <w:r>
        <w:separator/>
      </w:r>
    </w:p>
  </w:footnote>
  <w:footnote w:type="continuationSeparator" w:id="0">
    <w:p w14:paraId="24926F86" w14:textId="77777777" w:rsidR="00AB15D2" w:rsidRDefault="00AB15D2" w:rsidP="003E4E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6F35C2"/>
    <w:multiLevelType w:val="hybridMultilevel"/>
    <w:tmpl w:val="7DF6B8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654E21"/>
    <w:multiLevelType w:val="hybridMultilevel"/>
    <w:tmpl w:val="14100D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0476C96"/>
    <w:multiLevelType w:val="hybridMultilevel"/>
    <w:tmpl w:val="ECD0A2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61B2496"/>
    <w:multiLevelType w:val="hybridMultilevel"/>
    <w:tmpl w:val="A998CB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D3B484A"/>
    <w:multiLevelType w:val="hybridMultilevel"/>
    <w:tmpl w:val="976461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1174C5E"/>
    <w:multiLevelType w:val="hybridMultilevel"/>
    <w:tmpl w:val="415CFB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43B4739"/>
    <w:multiLevelType w:val="hybridMultilevel"/>
    <w:tmpl w:val="3E603E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8603EF6"/>
    <w:multiLevelType w:val="hybridMultilevel"/>
    <w:tmpl w:val="279251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787032B9"/>
    <w:multiLevelType w:val="hybridMultilevel"/>
    <w:tmpl w:val="2D56A4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90466249">
    <w:abstractNumId w:val="2"/>
  </w:num>
  <w:num w:numId="2" w16cid:durableId="486673691">
    <w:abstractNumId w:val="3"/>
  </w:num>
  <w:num w:numId="3" w16cid:durableId="1041825880">
    <w:abstractNumId w:val="8"/>
  </w:num>
  <w:num w:numId="4" w16cid:durableId="890847070">
    <w:abstractNumId w:val="1"/>
  </w:num>
  <w:num w:numId="5" w16cid:durableId="423110016">
    <w:abstractNumId w:val="4"/>
  </w:num>
  <w:num w:numId="6" w16cid:durableId="440757719">
    <w:abstractNumId w:val="0"/>
  </w:num>
  <w:num w:numId="7" w16cid:durableId="1291862739">
    <w:abstractNumId w:val="5"/>
  </w:num>
  <w:num w:numId="8" w16cid:durableId="751851971">
    <w:abstractNumId w:val="7"/>
  </w:num>
  <w:num w:numId="9" w16cid:durableId="159655290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4402"/>
    <w:rsid w:val="000216A7"/>
    <w:rsid w:val="00050E01"/>
    <w:rsid w:val="00056FFF"/>
    <w:rsid w:val="000572BF"/>
    <w:rsid w:val="000622F1"/>
    <w:rsid w:val="00074402"/>
    <w:rsid w:val="001163F7"/>
    <w:rsid w:val="0013507F"/>
    <w:rsid w:val="001D7C03"/>
    <w:rsid w:val="002038A4"/>
    <w:rsid w:val="00203C1B"/>
    <w:rsid w:val="00206121"/>
    <w:rsid w:val="00216C85"/>
    <w:rsid w:val="002267C8"/>
    <w:rsid w:val="00257D68"/>
    <w:rsid w:val="0026393A"/>
    <w:rsid w:val="00273EDD"/>
    <w:rsid w:val="002C3965"/>
    <w:rsid w:val="00313587"/>
    <w:rsid w:val="00313EBC"/>
    <w:rsid w:val="00320657"/>
    <w:rsid w:val="00321C4C"/>
    <w:rsid w:val="00355AC7"/>
    <w:rsid w:val="00385DDC"/>
    <w:rsid w:val="00392BBC"/>
    <w:rsid w:val="003C6464"/>
    <w:rsid w:val="003E4ECF"/>
    <w:rsid w:val="004529D8"/>
    <w:rsid w:val="004652FE"/>
    <w:rsid w:val="00467EB4"/>
    <w:rsid w:val="004740EB"/>
    <w:rsid w:val="00490DE9"/>
    <w:rsid w:val="004A736E"/>
    <w:rsid w:val="004C6D4C"/>
    <w:rsid w:val="00523212"/>
    <w:rsid w:val="00587939"/>
    <w:rsid w:val="0059155C"/>
    <w:rsid w:val="00600D1D"/>
    <w:rsid w:val="00610CF8"/>
    <w:rsid w:val="00612661"/>
    <w:rsid w:val="006925AA"/>
    <w:rsid w:val="007072AB"/>
    <w:rsid w:val="00725177"/>
    <w:rsid w:val="007305BC"/>
    <w:rsid w:val="007C5A4D"/>
    <w:rsid w:val="007C66E0"/>
    <w:rsid w:val="00803A84"/>
    <w:rsid w:val="00814A9E"/>
    <w:rsid w:val="0087395B"/>
    <w:rsid w:val="008820DB"/>
    <w:rsid w:val="0089294C"/>
    <w:rsid w:val="00892E34"/>
    <w:rsid w:val="008D4735"/>
    <w:rsid w:val="0090040D"/>
    <w:rsid w:val="009D052C"/>
    <w:rsid w:val="009D1D1E"/>
    <w:rsid w:val="009F2427"/>
    <w:rsid w:val="00A035FD"/>
    <w:rsid w:val="00A22F52"/>
    <w:rsid w:val="00A437EF"/>
    <w:rsid w:val="00A466BA"/>
    <w:rsid w:val="00A57A87"/>
    <w:rsid w:val="00A70847"/>
    <w:rsid w:val="00A74089"/>
    <w:rsid w:val="00A93EB8"/>
    <w:rsid w:val="00AB15D2"/>
    <w:rsid w:val="00AB4343"/>
    <w:rsid w:val="00AD0A5D"/>
    <w:rsid w:val="00B2533D"/>
    <w:rsid w:val="00B56ABD"/>
    <w:rsid w:val="00B87E75"/>
    <w:rsid w:val="00C209EC"/>
    <w:rsid w:val="00C46B43"/>
    <w:rsid w:val="00C55366"/>
    <w:rsid w:val="00C61DD4"/>
    <w:rsid w:val="00CB224B"/>
    <w:rsid w:val="00CD33A8"/>
    <w:rsid w:val="00CE322E"/>
    <w:rsid w:val="00CF135A"/>
    <w:rsid w:val="00CF2F8D"/>
    <w:rsid w:val="00D82322"/>
    <w:rsid w:val="00DD1411"/>
    <w:rsid w:val="00E0127C"/>
    <w:rsid w:val="00E569FD"/>
    <w:rsid w:val="00E571D5"/>
    <w:rsid w:val="00E620E7"/>
    <w:rsid w:val="00E62986"/>
    <w:rsid w:val="00EC6EE1"/>
    <w:rsid w:val="00F141E0"/>
    <w:rsid w:val="00F3580A"/>
    <w:rsid w:val="00F45530"/>
    <w:rsid w:val="00F66E1B"/>
    <w:rsid w:val="00FB3889"/>
    <w:rsid w:val="00FD0D1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B4BA38"/>
  <w15:chartTrackingRefBased/>
  <w15:docId w15:val="{DE6ADF36-84A3-4CA7-8B83-CB942D3A2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E620E7"/>
    <w:pPr>
      <w:keepNext/>
      <w:keepLines/>
      <w:spacing w:before="240" w:after="0" w:line="360" w:lineRule="auto"/>
      <w:outlineLvl w:val="0"/>
    </w:pPr>
    <w:rPr>
      <w:rFonts w:ascii="Arial" w:eastAsiaTheme="majorEastAsia" w:hAnsi="Arial"/>
      <w:b/>
      <w:sz w:val="32"/>
    </w:rPr>
  </w:style>
  <w:style w:type="paragraph" w:styleId="Heading2">
    <w:name w:val="heading 2"/>
    <w:basedOn w:val="Normal"/>
    <w:next w:val="Normal"/>
    <w:link w:val="Heading2Char"/>
    <w:autoRedefine/>
    <w:uiPriority w:val="9"/>
    <w:unhideWhenUsed/>
    <w:qFormat/>
    <w:rsid w:val="00A035FD"/>
    <w:pPr>
      <w:keepNext/>
      <w:keepLines/>
      <w:spacing w:before="40" w:after="0"/>
      <w:outlineLvl w:val="1"/>
    </w:pPr>
    <w:rPr>
      <w:rFonts w:ascii="Arial" w:eastAsiaTheme="majorEastAsia" w:hAnsi="Arial" w:cstheme="majorBidi"/>
      <w:b/>
      <w:i/>
      <w:color w:val="2F5496" w:themeColor="accent1" w:themeShade="BF"/>
      <w:sz w:val="26"/>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20E7"/>
    <w:rPr>
      <w:rFonts w:ascii="Arial" w:eastAsiaTheme="majorEastAsia" w:hAnsi="Arial"/>
      <w:b/>
      <w:sz w:val="32"/>
    </w:rPr>
  </w:style>
  <w:style w:type="character" w:customStyle="1" w:styleId="Heading2Char">
    <w:name w:val="Heading 2 Char"/>
    <w:basedOn w:val="DefaultParagraphFont"/>
    <w:link w:val="Heading2"/>
    <w:uiPriority w:val="9"/>
    <w:rsid w:val="00A035FD"/>
    <w:rPr>
      <w:rFonts w:ascii="Arial" w:eastAsiaTheme="majorEastAsia" w:hAnsi="Arial" w:cstheme="majorBidi"/>
      <w:b/>
      <w:i/>
      <w:color w:val="2F5496" w:themeColor="accent1" w:themeShade="BF"/>
      <w:sz w:val="26"/>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paragraph" w:styleId="Header">
    <w:name w:val="header"/>
    <w:basedOn w:val="Normal"/>
    <w:link w:val="HeaderChar"/>
    <w:uiPriority w:val="99"/>
    <w:unhideWhenUsed/>
    <w:rsid w:val="003E4E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4ECF"/>
  </w:style>
  <w:style w:type="paragraph" w:styleId="Footer">
    <w:name w:val="footer"/>
    <w:basedOn w:val="Normal"/>
    <w:link w:val="FooterChar"/>
    <w:uiPriority w:val="99"/>
    <w:unhideWhenUsed/>
    <w:rsid w:val="003E4E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4ECF"/>
  </w:style>
  <w:style w:type="paragraph" w:styleId="ListParagraph">
    <w:name w:val="List Paragraph"/>
    <w:basedOn w:val="Normal"/>
    <w:uiPriority w:val="34"/>
    <w:qFormat/>
    <w:rsid w:val="00A57A87"/>
    <w:pPr>
      <w:ind w:left="720"/>
      <w:contextualSpacing/>
    </w:pPr>
  </w:style>
  <w:style w:type="table" w:styleId="TableGrid">
    <w:name w:val="Table Grid"/>
    <w:basedOn w:val="TableNormal"/>
    <w:uiPriority w:val="39"/>
    <w:rsid w:val="008820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F358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2409231">
      <w:bodyDiv w:val="1"/>
      <w:marLeft w:val="0"/>
      <w:marRight w:val="0"/>
      <w:marTop w:val="0"/>
      <w:marBottom w:val="0"/>
      <w:divBdr>
        <w:top w:val="none" w:sz="0" w:space="0" w:color="auto"/>
        <w:left w:val="none" w:sz="0" w:space="0" w:color="auto"/>
        <w:bottom w:val="none" w:sz="0" w:space="0" w:color="auto"/>
        <w:right w:val="none" w:sz="0" w:space="0" w:color="auto"/>
      </w:divBdr>
    </w:div>
    <w:div w:id="586774004">
      <w:bodyDiv w:val="1"/>
      <w:marLeft w:val="0"/>
      <w:marRight w:val="0"/>
      <w:marTop w:val="0"/>
      <w:marBottom w:val="0"/>
      <w:divBdr>
        <w:top w:val="none" w:sz="0" w:space="0" w:color="auto"/>
        <w:left w:val="none" w:sz="0" w:space="0" w:color="auto"/>
        <w:bottom w:val="none" w:sz="0" w:space="0" w:color="auto"/>
        <w:right w:val="none" w:sz="0" w:space="0" w:color="auto"/>
      </w:divBdr>
    </w:div>
    <w:div w:id="615866807">
      <w:bodyDiv w:val="1"/>
      <w:marLeft w:val="0"/>
      <w:marRight w:val="0"/>
      <w:marTop w:val="0"/>
      <w:marBottom w:val="0"/>
      <w:divBdr>
        <w:top w:val="none" w:sz="0" w:space="0" w:color="auto"/>
        <w:left w:val="none" w:sz="0" w:space="0" w:color="auto"/>
        <w:bottom w:val="none" w:sz="0" w:space="0" w:color="auto"/>
        <w:right w:val="none" w:sz="0" w:space="0" w:color="auto"/>
      </w:divBdr>
    </w:div>
    <w:div w:id="617103522">
      <w:bodyDiv w:val="1"/>
      <w:marLeft w:val="0"/>
      <w:marRight w:val="0"/>
      <w:marTop w:val="0"/>
      <w:marBottom w:val="0"/>
      <w:divBdr>
        <w:top w:val="none" w:sz="0" w:space="0" w:color="auto"/>
        <w:left w:val="none" w:sz="0" w:space="0" w:color="auto"/>
        <w:bottom w:val="none" w:sz="0" w:space="0" w:color="auto"/>
        <w:right w:val="none" w:sz="0" w:space="0" w:color="auto"/>
      </w:divBdr>
    </w:div>
    <w:div w:id="1276324012">
      <w:bodyDiv w:val="1"/>
      <w:marLeft w:val="0"/>
      <w:marRight w:val="0"/>
      <w:marTop w:val="0"/>
      <w:marBottom w:val="0"/>
      <w:divBdr>
        <w:top w:val="none" w:sz="0" w:space="0" w:color="auto"/>
        <w:left w:val="none" w:sz="0" w:space="0" w:color="auto"/>
        <w:bottom w:val="none" w:sz="0" w:space="0" w:color="auto"/>
        <w:right w:val="none" w:sz="0" w:space="0" w:color="auto"/>
      </w:divBdr>
    </w:div>
    <w:div w:id="20962447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Mur21</b:Tag>
    <b:SourceType>JournalArticle</b:SourceType>
    <b:Guid>{2BB13108-4861-4E7D-8B8A-1187A795E94B}</b:Guid>
    <b:Author>
      <b:Author>
        <b:Corporate>Murphy, M., Scott, L.J., Salisbury, C., Turner, A., Scott, A., Denholm, R. and Lewis, R. </b:Corporate>
      </b:Author>
    </b:Author>
    <b:Title>Implementation of remote consulting in UK primary care following the COVID-19 pandemic: a mixed-methods longitudinal study</b:Title>
    <b:JournalName>British Journal of General Practice</b:JournalName>
    <b:Year>2021</b:Year>
    <b:Pages>e166-e177</b:Pages>
    <b:Volume>71</b:Volume>
    <b:Issue>704</b:Issue>
    <b:RefOrder>1</b:RefOrder>
  </b:Source>
  <b:Source>
    <b:Tag>Ham19</b:Tag>
    <b:SourceType>JournalArticle</b:SourceType>
    <b:Guid>{2FAB75FC-3F2B-4FAE-B34E-D63FFC567770}</b:Guid>
    <b:Author>
      <b:Author>
        <b:Corporate>Hammersley, V., Donaghy, E., Parker, R., McNeilly, H., Atherton, H., Bikker, A., Campbell, J. and McKinstry, B.</b:Corporate>
      </b:Author>
    </b:Author>
    <b:Title>Comparing the content and quality of video, telephone, and face-to-face consultations: a non-randomised, quasi-experimental study in UK primary care</b:Title>
    <b:JournalName>British Journal of General Practice</b:JournalName>
    <b:Year>2019</b:Year>
    <b:Pages>e595–e604</b:Pages>
    <b:Volume>69</b:Volume>
    <b:Issue>686</b:Issue>
    <b:RefOrder>2</b:RefOrder>
  </b:Source>
  <b:Source>
    <b:Tag>Don19</b:Tag>
    <b:SourceType>JournalArticle</b:SourceType>
    <b:Guid>{7CE49214-A1AA-4A1C-9268-956A029BC069}</b:Guid>
    <b:Author>
      <b:Author>
        <b:Corporate>Donaghy, E., Atherton, H., Hammersley, V., McNeilly, H., Bikker, A., Robbins, L., Campbell, J. and McKinstry, B.</b:Corporate>
      </b:Author>
    </b:Author>
    <b:Title>Acceptability, benefits, and challenges of video consulting: a qualitative study in primary care</b:Title>
    <b:JournalName>British Journal of General Practice</b:JournalName>
    <b:Year>2019</b:Year>
    <b:Pages>e586–e594</b:Pages>
    <b:Volume>69</b:Volume>
    <b:Issue>686</b:Issue>
    <b:RefOrder>3</b:RefOrder>
  </b:Source>
  <b:Source>
    <b:Tag>Bai16</b:Tag>
    <b:SourceType>Report</b:SourceType>
    <b:Guid>{7961C2F4-3E83-4353-9830-0B72C0A63D63}</b:Guid>
    <b:Author>
      <b:Author>
        <b:Corporate>Baird, B., Charles, A., Honeyman, M., Maguire, D. and Das, P.</b:Corporate>
      </b:Author>
    </b:Author>
    <b:Title>Understanding pressures in general practice</b:Title>
    <b:Year>2016</b:Year>
    <b:Publisher>The King’s Fund</b:Publisher>
    <b:City>London</b:City>
    <b:RefOrder>4</b:RefOrder>
  </b:Source>
  <b:Source>
    <b:Tag>NHS236</b:Tag>
    <b:SourceType>Report</b:SourceType>
    <b:Guid>{AAD2570F-63FE-4424-A01B-FCE3F6A3FD2D}</b:Guid>
    <b:Author>
      <b:Author>
        <b:Corporate>NHS England</b:Corporate>
      </b:Author>
    </b:Author>
    <b:Title>Delivery plan for recovering access to primary care</b:Title>
    <b:Year>2023</b:Year>
    <b:Publisher>Department of Health and Social Care</b:Publisher>
    <b:City>London</b:City>
    <b:RefOrder>5</b:RefOrder>
  </b:Source>
  <b:Source>
    <b:Tag>Dav21</b:Tag>
    <b:SourceType>JournalArticle</b:SourceType>
    <b:Guid>{8F211227-C545-43CC-9DD8-81A9A190FEAD}</b:Guid>
    <b:Author>
      <b:Author>
        <b:Corporate>Davies, A.R., Honeyman, M. and Gann, B.</b:Corporate>
      </b:Author>
    </b:Author>
    <b:Title>Addressing the Digital Inverse Care Law in the Time of COVID-19: Potential for Digital Technology to Exacerbate or Mitigate Health Inequalities</b:Title>
    <b:JournalName>Journal of Medical Internet Research</b:JournalName>
    <b:Year>2021</b:Year>
    <b:Pages>e21726</b:Pages>
    <b:Volume>23</b:Volume>
    <b:Issue>4</b:Issue>
    <b:RefOrder>6</b:RefOrder>
  </b:Source>
  <b:Source>
    <b:Tag>NHS19</b:Tag>
    <b:SourceType>InternetSite</b:SourceType>
    <b:Guid>{DD7C7987-618A-4B3A-8219-2268ACA479A1}</b:Guid>
    <b:Author>
      <b:Author>
        <b:Corporate>NHS England</b:Corporate>
      </b:Author>
    </b:Author>
    <b:Title>Online version of the NHS Long Term Plan</b:Title>
    <b:Year>2019</b:Year>
    <b:YearAccessed>2026</b:YearAccessed>
    <b:MonthAccessed>April</b:MonthAccessed>
    <b:DayAccessed>19th</b:DayAccessed>
    <b:URL>https://www.longtermplan.nhs.uk/online-version/overview-and-summary/</b:URL>
    <b:RefOrder>7</b:RefOrder>
  </b:Source>
  <b:Source>
    <b:Tag>Pet22</b:Tag>
    <b:SourceType>JournalArticle</b:SourceType>
    <b:Guid>{0151F401-228C-4099-B7B1-23F182892E18}</b:Guid>
    <b:Author>
      <b:Author>
        <b:Corporate>Peters, M.D.J., Godfrey, C., Mcinerney, P., Munn, Z., Tricco, A.C. and Khalil, H.</b:Corporate>
      </b:Author>
    </b:Author>
    <b:Title>Chapter 11: Scoping Reviews (2020 Version)</b:Title>
    <b:JournalName> JBI Manual for Evidence Synthesis</b:JournalName>
    <b:Year>2022</b:Year>
    <b:Pages>407-452</b:Pages>
    <b:RefOrder>8</b:RefOrder>
  </b:Source>
  <b:Source>
    <b:Tag>Kru171</b:Tag>
    <b:SourceType>JournalArticle</b:SourceType>
    <b:Guid>{DD193624-6B71-4B38-80B1-3E291DA13EDC}</b:Guid>
    <b:Author>
      <b:Author>
        <b:Corporate>Kruse, C.S., Krowski, N., Rodriguez, B., Tran, L., Vela, J. and Brooks, M.</b:Corporate>
      </b:Author>
    </b:Author>
    <b:Title>Telehealth and patient satisfaction: a systematic review and narrative analysis</b:Title>
    <b:JournalName>BMJ Open</b:JournalName>
    <b:Year>2017</b:Year>
    <b:Pages>e016242</b:Pages>
    <b:Volume>7</b:Volume>
    <b:Issue>8</b:Issue>
    <b:RefOrder>9</b:RefOrder>
  </b:Source>
  <b:Source>
    <b:Tag>Sha20</b:Tag>
    <b:SourceType>JournalArticle</b:SourceType>
    <b:Guid>{A2C775DD-3FE4-44D0-AF47-707E288141E1}</b:Guid>
    <b:Author>
      <b:Author>
        <b:Corporate>Shaw, S.E., Seuren, L.M., Wherton, J., Cameron, D., A’Court, C., Vijayaraghavan, S., Morris, J., Bhattacharya, S. and Greenhalgh, T.</b:Corporate>
      </b:Author>
    </b:Author>
    <b:Title>Video Consultations Between Patients and Clinicians in Diabetes, Cancer, and Heart Failure Services: Linguistic Ethnographic Study of Video-Mediated Interaction</b:Title>
    <b:JournalName>Journal of Medical Internet Research</b:JournalName>
    <b:Year>2020</b:Year>
    <b:Pages>e18378</b:Pages>
    <b:Volume>22</b:Volume>
    <b:Issue>5</b:Issue>
    <b:RefOrder>10</b:RefOrder>
  </b:Source>
  <b:Source>
    <b:Tag>Nuf22</b:Tag>
    <b:SourceType>InternetSite</b:SourceType>
    <b:Guid>{007C6600-7F67-4C5D-B08C-9BD6D1B09568}</b:Guid>
    <b:Title>Supporting patient engagement with digital health care innovations</b:Title>
    <b:Year>2022</b:Year>
    <b:Author>
      <b:Author>
        <b:Corporate>Nuffield Trust</b:Corporate>
      </b:Author>
    </b:Author>
    <b:YearAccessed>2026</b:YearAccessed>
    <b:MonthAccessed>April</b:MonthAccessed>
    <b:DayAccessed>21st</b:DayAccessed>
    <b:URL>https://www.nuffieldtrust.org.uk/sites/default/files/2022-04/1651161363_supporting-patient-engagement-web.pdf</b:URL>
    <b:RefOrder>11</b:RefOrder>
  </b:Source>
  <b:Source>
    <b:Tag>Jon92</b:Tag>
    <b:SourceType>JournalArticle</b:SourceType>
    <b:Guid>{1257338C-91C2-4AD0-A235-ED1A0498E23C}</b:Guid>
    <b:Author>
      <b:Author>
        <b:Corporate>Rosen et al.</b:Corporate>
      </b:Author>
    </b:Author>
    <b:Title>Clinical risk in remote consultations in general practice: findings from in-COVID-19 pandemic qualitative research</b:Title>
    <b:Year>2022</b:Year>
    <b:JournalName>BJGP Open</b:JournalName>
    <b:Volume>6</b:Volume>
    <b:Issue>3</b:Issue>
    <b:RefOrder>12</b:RefOrder>
  </b:Source>
  <b:Source>
    <b:Tag>Sal20</b:Tag>
    <b:SourceType>JournalArticle</b:SourceType>
    <b:Guid>{DC0DBA11-895B-4A71-B1F7-31B136F9F97D}</b:Guid>
    <b:Author>
      <b:Author>
        <b:Corporate>Salisbury, C., Murphy, M. and Duncan, P.</b:Corporate>
      </b:Author>
    </b:Author>
    <b:Title>The impact of digital-first consultations on workload in general practice: Modeling Study</b:Title>
    <b:JournalName>Journal of Medical Internet Research</b:JournalName>
    <b:Year>2020</b:Year>
    <b:Pages>e18203</b:Pages>
    <b:Volume>22</b:Volume>
    <b:Issue>6</b:Issue>
    <b:RefOrder>13</b:RefOrder>
  </b:Source>
  <b:Source>
    <b:Tag>Ath18</b:Tag>
    <b:SourceType>JournalArticle</b:SourceType>
    <b:Guid>{363A073D-C3E3-42DA-80D7-7643C9A609E2}</b:Guid>
    <b:Author>
      <b:Author>
        <b:Corporate>Atherton, H., Brant, H., Ziebland, S., Bikker, A., Campbell, J. and Gibson, A. (</b:Corporate>
      </b:Author>
    </b:Author>
    <b:Title>The potential of alternatives to face-to-face consultation in general practice, and the impact on different patient groups: a mixed-methods case study</b:Title>
    <b:JournalName>NIHR Journals Library</b:JournalName>
    <b:Year>2018</b:Year>
    <b:RefOrder>14</b:RefOrder>
  </b:Source>
  <b:Source>
    <b:Tag>Gre16</b:Tag>
    <b:SourceType>JournalArticle</b:SourceType>
    <b:Guid>{9675841C-518C-4382-B030-3E8FFE8DA02A}</b:Guid>
    <b:Author>
      <b:Author>
        <b:Corporate>Greenhalgh, T., Vijayaraghavan, S., Wherton, J., Shaw, S., Byrne, E., Campbell-Richards, D., Bhattacharya, S., Hanson, P., Ramoutar, S., Gutteridge, C. and Hodkinson, I.</b:Corporate>
      </b:Author>
    </b:Author>
    <b:Title>Virtual online consultations: advantages and limitations (VOCAL) study</b:Title>
    <b:JournalName>BMJ</b:JournalName>
    <b:Year>2016</b:Year>
    <b:Pages>e009388</b:Pages>
    <b:Volume>6</b:Volume>
    <b:Issue>1</b:Issue>
    <b:RefOrder>15</b:RefOrder>
  </b:Source>
  <b:Source>
    <b:Tag>Wat20</b:Tag>
    <b:SourceType>JournalArticle</b:SourceType>
    <b:Guid>{7820FDBF-6A97-4710-848D-AA81D51FC0E4}</b:Guid>
    <b:Author>
      <b:Author>
        <b:NameList>
          <b:Person>
            <b:Last>Watts</b:Last>
            <b:First>G.</b:First>
          </b:Person>
        </b:NameList>
      </b:Author>
    </b:Author>
    <b:Title>COVID-19 and the digital divide in the UK</b:Title>
    <b:JournalName>Lancet Digital Health</b:JournalName>
    <b:Year>2020</b:Year>
    <b:Pages>e395–e396</b:Pages>
    <b:Volume>2</b:Volume>
    <b:Issue>8</b:Issue>
    <b:RefOrder>16</b:RefOrder>
  </b:Source>
  <b:Source>
    <b:Tag>Whe20</b:Tag>
    <b:SourceType>JournalArticle</b:SourceType>
    <b:Guid>{BA5141BF-5020-46C2-8682-746C6A5F23A2}</b:Guid>
    <b:Author>
      <b:Author>
        <b:Corporate>Wherton, J., Shaw, S., Papoutsi, C., Seuren, L., and Greenhalgh, T. </b:Corporate>
      </b:Author>
    </b:Author>
    <b:Title>(2020) ‘Guidance on the introduction and use of video consultations: important lessons from qualitative research</b:Title>
    <b:JournalName>BMJ Leader</b:JournalName>
    <b:Year>2020</b:Year>
    <b:Pages>120-123</b:Pages>
    <b:Volume>4</b:Volume>
    <b:Issue>3</b:Issue>
    <b:RefOrder>17</b:RefOrder>
  </b:Source>
  <b:Source>
    <b:Tag>Mec22</b:Tag>
    <b:SourceType>Book</b:SourceType>
    <b:Guid>{DF45A503-DEB0-401A-95D4-3264552EBE29}</b:Guid>
    <b:Author>
      <b:Author>
        <b:Corporate>Mechanic, O. J., Persaud, Y., Kimball, A. B.</b:Corporate>
      </b:Author>
    </b:Author>
    <b:Title>Telehealth Systems</b:Title>
    <b:Year>2022</b:Year>
    <b:Publisher>National Library of Medicine</b:Publisher>
    <b:RefOrder>18</b:RefOrder>
  </b:Source>
</b:Sources>
</file>

<file path=customXml/itemProps1.xml><?xml version="1.0" encoding="utf-8"?>
<ds:datastoreItem xmlns:ds="http://schemas.openxmlformats.org/officeDocument/2006/customXml" ds:itemID="{B26F34D9-0707-4DF1-BB5F-013621847A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16</Pages>
  <Words>4771</Words>
  <Characters>27195</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cynthia nelson-yeboah</cp:lastModifiedBy>
  <cp:revision>2</cp:revision>
  <dcterms:created xsi:type="dcterms:W3CDTF">2026-04-22T11:21:00Z</dcterms:created>
  <dcterms:modified xsi:type="dcterms:W3CDTF">2026-04-22T11:21:00Z</dcterms:modified>
</cp:coreProperties>
</file>