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52115" w14:textId="77777777" w:rsidR="003B0A08" w:rsidRDefault="00303DCA" w:rsidP="005F40F8">
      <w:pPr>
        <w:spacing w:before="120" w:line="360" w:lineRule="auto"/>
        <w:jc w:val="both"/>
        <w:rPr>
          <w:rFonts w:ascii="Times New Roman" w:hAnsi="Times New Roman" w:cs="Times New Roman"/>
          <w:b/>
          <w:bCs/>
        </w:rPr>
      </w:pPr>
      <w:r>
        <w:rPr>
          <w:rFonts w:ascii="Times New Roman" w:hAnsi="Times New Roman" w:cs="Times New Roman"/>
          <w:b/>
          <w:bCs/>
        </w:rPr>
        <w:t xml:space="preserve">               </w:t>
      </w:r>
      <w:r w:rsidR="003B0A08">
        <w:rPr>
          <w:rFonts w:ascii="Times New Roman" w:hAnsi="Times New Roman" w:cs="Times New Roman"/>
          <w:b/>
          <w:bCs/>
        </w:rPr>
        <w:t xml:space="preserve">                                  </w:t>
      </w:r>
    </w:p>
    <w:p w14:paraId="1A89B3B6" w14:textId="77777777" w:rsidR="003B0A08" w:rsidRDefault="003B0A08" w:rsidP="005F40F8">
      <w:pPr>
        <w:spacing w:before="120" w:line="360" w:lineRule="auto"/>
        <w:jc w:val="both"/>
        <w:rPr>
          <w:rFonts w:ascii="Times New Roman" w:hAnsi="Times New Roman" w:cs="Times New Roman"/>
          <w:b/>
          <w:bCs/>
        </w:rPr>
      </w:pPr>
    </w:p>
    <w:p w14:paraId="0EB22DFC" w14:textId="7C036B0A" w:rsidR="00B4110A" w:rsidRPr="003B0A08" w:rsidRDefault="003B0A08" w:rsidP="005F40F8">
      <w:pPr>
        <w:spacing w:before="120" w:line="360" w:lineRule="auto"/>
        <w:jc w:val="both"/>
        <w:rPr>
          <w:rFonts w:ascii="Arial" w:hAnsi="Arial" w:cs="Arial"/>
          <w:b/>
          <w:bCs/>
          <w:sz w:val="40"/>
          <w:szCs w:val="40"/>
        </w:rPr>
      </w:pPr>
      <w:r>
        <w:rPr>
          <w:rFonts w:ascii="Times New Roman" w:hAnsi="Times New Roman" w:cs="Times New Roman"/>
          <w:b/>
          <w:bCs/>
        </w:rPr>
        <w:t xml:space="preserve">                                              </w:t>
      </w:r>
      <w:r w:rsidRPr="003B0A08">
        <w:rPr>
          <w:rFonts w:ascii="Arial" w:hAnsi="Arial" w:cs="Arial"/>
          <w:b/>
          <w:bCs/>
          <w:sz w:val="40"/>
          <w:szCs w:val="40"/>
        </w:rPr>
        <w:t>MANAGING PEOPLE</w:t>
      </w:r>
    </w:p>
    <w:p w14:paraId="04A7EF92" w14:textId="77777777" w:rsidR="00303DCA" w:rsidRDefault="00303DCA" w:rsidP="005F40F8">
      <w:pPr>
        <w:spacing w:before="120" w:line="360" w:lineRule="auto"/>
        <w:jc w:val="both"/>
        <w:rPr>
          <w:rFonts w:ascii="Times New Roman" w:hAnsi="Times New Roman" w:cs="Times New Roman"/>
          <w:b/>
          <w:bCs/>
        </w:rPr>
      </w:pPr>
    </w:p>
    <w:p w14:paraId="5CCDF791" w14:textId="77777777" w:rsidR="003B0A08" w:rsidRDefault="003B0A08" w:rsidP="005F40F8">
      <w:pPr>
        <w:spacing w:before="120" w:line="360" w:lineRule="auto"/>
        <w:jc w:val="both"/>
        <w:rPr>
          <w:rFonts w:ascii="Arial" w:hAnsi="Arial" w:cs="Arial"/>
          <w:b/>
          <w:bCs/>
          <w:sz w:val="28"/>
          <w:szCs w:val="28"/>
        </w:rPr>
      </w:pPr>
    </w:p>
    <w:p w14:paraId="4F2A6795" w14:textId="77777777" w:rsidR="003B0A08" w:rsidRDefault="003B0A08" w:rsidP="005F40F8">
      <w:pPr>
        <w:spacing w:before="120" w:line="360" w:lineRule="auto"/>
        <w:jc w:val="both"/>
        <w:rPr>
          <w:rFonts w:ascii="Arial" w:hAnsi="Arial" w:cs="Arial"/>
          <w:b/>
          <w:bCs/>
          <w:sz w:val="28"/>
          <w:szCs w:val="28"/>
        </w:rPr>
      </w:pPr>
    </w:p>
    <w:p w14:paraId="0B9194AA" w14:textId="649F526F" w:rsidR="00303DCA" w:rsidRPr="003B0A08" w:rsidRDefault="00303DCA" w:rsidP="005F40F8">
      <w:pPr>
        <w:spacing w:before="120" w:line="360" w:lineRule="auto"/>
        <w:jc w:val="both"/>
        <w:rPr>
          <w:rFonts w:ascii="Arial" w:hAnsi="Arial" w:cs="Arial"/>
          <w:b/>
          <w:bCs/>
          <w:sz w:val="28"/>
          <w:szCs w:val="28"/>
        </w:rPr>
      </w:pPr>
      <w:r w:rsidRPr="003B0A08">
        <w:rPr>
          <w:rFonts w:ascii="Arial" w:hAnsi="Arial" w:cs="Arial"/>
          <w:b/>
          <w:bCs/>
          <w:sz w:val="28"/>
          <w:szCs w:val="28"/>
        </w:rPr>
        <w:t xml:space="preserve">Name: Constantin </w:t>
      </w:r>
      <w:proofErr w:type="spellStart"/>
      <w:r w:rsidRPr="003B0A08">
        <w:rPr>
          <w:rFonts w:ascii="Arial" w:hAnsi="Arial" w:cs="Arial"/>
          <w:b/>
          <w:bCs/>
          <w:sz w:val="28"/>
          <w:szCs w:val="28"/>
        </w:rPr>
        <w:t>Somodi</w:t>
      </w:r>
      <w:proofErr w:type="spellEnd"/>
    </w:p>
    <w:p w14:paraId="2D0C2E45" w14:textId="106E8670" w:rsidR="00303DCA" w:rsidRPr="003B0A08" w:rsidRDefault="00303DCA" w:rsidP="005F40F8">
      <w:pPr>
        <w:spacing w:before="120" w:line="360" w:lineRule="auto"/>
        <w:jc w:val="both"/>
        <w:rPr>
          <w:rFonts w:ascii="Arial" w:hAnsi="Arial" w:cs="Arial"/>
          <w:b/>
          <w:bCs/>
          <w:sz w:val="28"/>
          <w:szCs w:val="28"/>
        </w:rPr>
      </w:pPr>
      <w:r w:rsidRPr="003B0A08">
        <w:rPr>
          <w:rFonts w:ascii="Arial" w:hAnsi="Arial" w:cs="Arial"/>
          <w:b/>
          <w:bCs/>
          <w:sz w:val="28"/>
          <w:szCs w:val="28"/>
        </w:rPr>
        <w:t>Student ID:</w:t>
      </w:r>
      <w:r w:rsidR="00CF6CCF">
        <w:rPr>
          <w:rFonts w:ascii="Arial" w:hAnsi="Arial" w:cs="Arial"/>
          <w:b/>
          <w:bCs/>
          <w:sz w:val="28"/>
          <w:szCs w:val="28"/>
        </w:rPr>
        <w:t xml:space="preserve"> </w:t>
      </w:r>
      <w:r w:rsidRPr="003B0A08">
        <w:rPr>
          <w:rFonts w:ascii="Arial" w:hAnsi="Arial" w:cs="Arial"/>
          <w:b/>
          <w:bCs/>
          <w:sz w:val="28"/>
          <w:szCs w:val="28"/>
        </w:rPr>
        <w:t>2123844</w:t>
      </w:r>
    </w:p>
    <w:p w14:paraId="5CD02CA8" w14:textId="0A1CDD9D" w:rsidR="00303DCA" w:rsidRPr="003B0A08" w:rsidRDefault="00303DCA" w:rsidP="005F40F8">
      <w:pPr>
        <w:spacing w:before="120" w:line="360" w:lineRule="auto"/>
        <w:jc w:val="both"/>
        <w:rPr>
          <w:rFonts w:ascii="Arial" w:hAnsi="Arial" w:cs="Arial"/>
          <w:b/>
          <w:bCs/>
          <w:sz w:val="28"/>
          <w:szCs w:val="28"/>
        </w:rPr>
      </w:pPr>
      <w:r w:rsidRPr="003B0A08">
        <w:rPr>
          <w:rFonts w:ascii="Arial" w:hAnsi="Arial" w:cs="Arial"/>
          <w:b/>
          <w:bCs/>
          <w:sz w:val="28"/>
          <w:szCs w:val="28"/>
        </w:rPr>
        <w:t>Module code:</w:t>
      </w:r>
      <w:r w:rsidR="00CF6CCF">
        <w:rPr>
          <w:rFonts w:ascii="Arial" w:hAnsi="Arial" w:cs="Arial"/>
          <w:b/>
          <w:bCs/>
          <w:sz w:val="28"/>
          <w:szCs w:val="28"/>
        </w:rPr>
        <w:t xml:space="preserve"> </w:t>
      </w:r>
      <w:r w:rsidRPr="003B0A08">
        <w:rPr>
          <w:rFonts w:ascii="Arial" w:hAnsi="Arial" w:cs="Arial"/>
          <w:b/>
          <w:bCs/>
          <w:sz w:val="28"/>
          <w:szCs w:val="28"/>
        </w:rPr>
        <w:t>LCBB 5004</w:t>
      </w:r>
    </w:p>
    <w:p w14:paraId="32B9E066" w14:textId="20F8F6B2" w:rsidR="00303DCA" w:rsidRPr="003B0A08" w:rsidRDefault="00303DCA" w:rsidP="005F40F8">
      <w:pPr>
        <w:spacing w:before="120" w:line="360" w:lineRule="auto"/>
        <w:jc w:val="both"/>
        <w:rPr>
          <w:rFonts w:ascii="Arial" w:hAnsi="Arial" w:cs="Arial"/>
          <w:b/>
          <w:bCs/>
          <w:sz w:val="28"/>
          <w:szCs w:val="28"/>
        </w:rPr>
      </w:pPr>
      <w:r w:rsidRPr="003B0A08">
        <w:rPr>
          <w:rFonts w:ascii="Arial" w:hAnsi="Arial" w:cs="Arial"/>
          <w:b/>
          <w:bCs/>
          <w:sz w:val="28"/>
          <w:szCs w:val="28"/>
        </w:rPr>
        <w:t>Lecturer:</w:t>
      </w:r>
      <w:r w:rsidR="00CF6CCF">
        <w:rPr>
          <w:rFonts w:ascii="Arial" w:hAnsi="Arial" w:cs="Arial"/>
          <w:b/>
          <w:bCs/>
          <w:sz w:val="28"/>
          <w:szCs w:val="28"/>
        </w:rPr>
        <w:t xml:space="preserve"> </w:t>
      </w:r>
      <w:r w:rsidRPr="003B0A08">
        <w:rPr>
          <w:rFonts w:ascii="Arial" w:hAnsi="Arial" w:cs="Arial"/>
          <w:b/>
          <w:bCs/>
          <w:sz w:val="28"/>
          <w:szCs w:val="28"/>
        </w:rPr>
        <w:t>Mushfiqur Rahman</w:t>
      </w:r>
    </w:p>
    <w:p w14:paraId="21FD49EC" w14:textId="3CB6643B" w:rsidR="00B4110A" w:rsidRDefault="00B4110A" w:rsidP="005F40F8">
      <w:pPr>
        <w:spacing w:before="120" w:line="360" w:lineRule="auto"/>
        <w:jc w:val="both"/>
        <w:rPr>
          <w:rFonts w:ascii="Times New Roman" w:hAnsi="Times New Roman" w:cs="Times New Roman"/>
        </w:rPr>
      </w:pPr>
    </w:p>
    <w:p w14:paraId="3C2FF264" w14:textId="1672C0B2" w:rsidR="00847085" w:rsidRDefault="00847085" w:rsidP="005F40F8">
      <w:pPr>
        <w:spacing w:before="120" w:line="360" w:lineRule="auto"/>
        <w:jc w:val="both"/>
        <w:rPr>
          <w:rFonts w:ascii="Times New Roman" w:hAnsi="Times New Roman" w:cs="Times New Roman"/>
        </w:rPr>
      </w:pPr>
    </w:p>
    <w:p w14:paraId="4B572263" w14:textId="68CF12DE" w:rsidR="00847085" w:rsidRDefault="00847085" w:rsidP="005F40F8">
      <w:pPr>
        <w:spacing w:before="120" w:line="360" w:lineRule="auto"/>
        <w:jc w:val="both"/>
        <w:rPr>
          <w:rFonts w:ascii="Times New Roman" w:hAnsi="Times New Roman" w:cs="Times New Roman"/>
        </w:rPr>
      </w:pPr>
    </w:p>
    <w:p w14:paraId="6B13C5DB" w14:textId="709A6262" w:rsidR="00847085" w:rsidRDefault="00847085" w:rsidP="005F40F8">
      <w:pPr>
        <w:spacing w:before="120" w:line="360" w:lineRule="auto"/>
        <w:jc w:val="both"/>
        <w:rPr>
          <w:rFonts w:ascii="Times New Roman" w:hAnsi="Times New Roman" w:cs="Times New Roman"/>
        </w:rPr>
      </w:pPr>
    </w:p>
    <w:p w14:paraId="6DBD454E" w14:textId="1118BD58" w:rsidR="00847085" w:rsidRDefault="00847085" w:rsidP="005F40F8">
      <w:pPr>
        <w:spacing w:before="120" w:line="360" w:lineRule="auto"/>
        <w:jc w:val="both"/>
        <w:rPr>
          <w:rFonts w:ascii="Times New Roman" w:hAnsi="Times New Roman" w:cs="Times New Roman"/>
        </w:rPr>
      </w:pPr>
    </w:p>
    <w:p w14:paraId="7D24A41E" w14:textId="01B91A39" w:rsidR="00847085" w:rsidRDefault="00847085" w:rsidP="005F40F8">
      <w:pPr>
        <w:spacing w:before="120" w:line="360" w:lineRule="auto"/>
        <w:jc w:val="both"/>
        <w:rPr>
          <w:rFonts w:ascii="Times New Roman" w:hAnsi="Times New Roman" w:cs="Times New Roman"/>
        </w:rPr>
      </w:pPr>
    </w:p>
    <w:p w14:paraId="352FB1FB" w14:textId="01CBC9A6" w:rsidR="00847085" w:rsidRDefault="00847085" w:rsidP="005F40F8">
      <w:pPr>
        <w:spacing w:before="120" w:line="360" w:lineRule="auto"/>
        <w:jc w:val="both"/>
        <w:rPr>
          <w:rFonts w:ascii="Times New Roman" w:hAnsi="Times New Roman" w:cs="Times New Roman"/>
        </w:rPr>
      </w:pPr>
    </w:p>
    <w:p w14:paraId="02039929" w14:textId="5F1761AF" w:rsidR="00847085" w:rsidRDefault="00847085" w:rsidP="005F40F8">
      <w:pPr>
        <w:spacing w:before="120" w:line="360" w:lineRule="auto"/>
        <w:jc w:val="both"/>
        <w:rPr>
          <w:rFonts w:ascii="Times New Roman" w:hAnsi="Times New Roman" w:cs="Times New Roman"/>
        </w:rPr>
      </w:pPr>
    </w:p>
    <w:p w14:paraId="1F0B525C" w14:textId="106352D0" w:rsidR="00847085" w:rsidRDefault="00847085" w:rsidP="005F40F8">
      <w:pPr>
        <w:spacing w:before="120" w:line="360" w:lineRule="auto"/>
        <w:jc w:val="both"/>
        <w:rPr>
          <w:rFonts w:ascii="Times New Roman" w:hAnsi="Times New Roman" w:cs="Times New Roman"/>
        </w:rPr>
      </w:pPr>
    </w:p>
    <w:p w14:paraId="4D6CC2AA" w14:textId="6074CA13" w:rsidR="00847085" w:rsidRDefault="00847085" w:rsidP="005F40F8">
      <w:pPr>
        <w:spacing w:before="120" w:line="360" w:lineRule="auto"/>
        <w:jc w:val="both"/>
        <w:rPr>
          <w:rFonts w:ascii="Times New Roman" w:hAnsi="Times New Roman" w:cs="Times New Roman"/>
        </w:rPr>
      </w:pPr>
    </w:p>
    <w:p w14:paraId="7B791E54" w14:textId="708D7E24" w:rsidR="00847085" w:rsidRDefault="00847085" w:rsidP="005F40F8">
      <w:pPr>
        <w:spacing w:before="120" w:line="360" w:lineRule="auto"/>
        <w:jc w:val="both"/>
        <w:rPr>
          <w:rFonts w:ascii="Times New Roman" w:hAnsi="Times New Roman" w:cs="Times New Roman"/>
        </w:rPr>
      </w:pPr>
    </w:p>
    <w:p w14:paraId="7F2D0E34" w14:textId="5B451BE3" w:rsidR="004E41D0" w:rsidRDefault="004E41D0" w:rsidP="005F40F8">
      <w:pPr>
        <w:spacing w:before="120" w:line="360" w:lineRule="auto"/>
        <w:jc w:val="both"/>
        <w:rPr>
          <w:rFonts w:ascii="Times New Roman" w:hAnsi="Times New Roman" w:cs="Times New Roman"/>
        </w:rPr>
      </w:pPr>
    </w:p>
    <w:p w14:paraId="054BB301" w14:textId="77777777" w:rsidR="004E41D0" w:rsidRDefault="004E41D0">
      <w:pPr>
        <w:rPr>
          <w:rFonts w:ascii="Times New Roman" w:hAnsi="Times New Roman" w:cs="Times New Roman"/>
        </w:rPr>
      </w:pPr>
      <w:r>
        <w:rPr>
          <w:rFonts w:ascii="Times New Roman" w:hAnsi="Times New Roman" w:cs="Times New Roman"/>
        </w:rPr>
        <w:br w:type="page"/>
      </w:r>
    </w:p>
    <w:sdt>
      <w:sdtPr>
        <w:rPr>
          <w:rFonts w:asciiTheme="minorHAnsi" w:eastAsiaTheme="minorEastAsia" w:hAnsiTheme="minorHAnsi" w:cstheme="minorBidi"/>
          <w:b w:val="0"/>
          <w:bCs w:val="0"/>
          <w:color w:val="auto"/>
          <w:kern w:val="2"/>
          <w:sz w:val="24"/>
          <w:szCs w:val="24"/>
          <w:lang w:val="en-GB" w:eastAsia="ja-JP"/>
          <w14:ligatures w14:val="standardContextual"/>
        </w:rPr>
        <w:id w:val="284017964"/>
        <w:docPartObj>
          <w:docPartGallery w:val="Table of Contents"/>
          <w:docPartUnique/>
        </w:docPartObj>
      </w:sdtPr>
      <w:sdtEndPr>
        <w:rPr>
          <w:rFonts w:eastAsiaTheme="minorHAnsi"/>
          <w:lang w:eastAsia="en-US"/>
        </w:rPr>
      </w:sdtEndPr>
      <w:sdtContent>
        <w:p w14:paraId="4A006927" w14:textId="77777777" w:rsidR="004E41D0" w:rsidRDefault="004E41D0">
          <w:pPr>
            <w:pStyle w:val="TOCHeading"/>
          </w:pPr>
          <w:r>
            <w:t>Table of Contents</w:t>
          </w:r>
        </w:p>
        <w:p w14:paraId="0CCEC9F9" w14:textId="3C1659C7" w:rsidR="004E41D0" w:rsidRPr="00091991" w:rsidRDefault="00F6365E" w:rsidP="0013095E">
          <w:pPr>
            <w:pStyle w:val="TOC1"/>
          </w:pPr>
          <w:r w:rsidRPr="00091991">
            <w:rPr>
              <w:i w:val="0"/>
              <w:iCs w:val="0"/>
            </w:rPr>
            <w:t>introduction</w:t>
          </w:r>
          <w:r w:rsidR="004E41D0" w:rsidRPr="00091991">
            <w:rPr>
              <w:i w:val="0"/>
              <w:iCs w:val="0"/>
            </w:rPr>
            <w:ptab w:relativeTo="margin" w:alignment="right" w:leader="dot"/>
          </w:r>
          <w:r w:rsidRPr="00091991">
            <w:rPr>
              <w:i w:val="0"/>
              <w:iCs w:val="0"/>
            </w:rPr>
            <w:t>3</w:t>
          </w:r>
        </w:p>
        <w:p w14:paraId="74270FE6" w14:textId="25440D49" w:rsidR="004E41D0" w:rsidRPr="00091991" w:rsidRDefault="00F6365E" w:rsidP="00F6365E">
          <w:pPr>
            <w:pStyle w:val="TOC2"/>
            <w:ind w:left="0"/>
          </w:pPr>
          <w:r w:rsidRPr="00091991">
            <w:t>Talent acquisition strategies</w:t>
          </w:r>
          <w:r w:rsidR="004E41D0" w:rsidRPr="00091991">
            <w:ptab w:relativeTo="margin" w:alignment="right" w:leader="dot"/>
          </w:r>
          <w:r w:rsidRPr="00091991">
            <w:t>4</w:t>
          </w:r>
        </w:p>
        <w:p w14:paraId="3EF87B6F" w14:textId="4E0F4B41" w:rsidR="004E41D0" w:rsidRPr="00091991" w:rsidRDefault="00F6365E" w:rsidP="0013095E">
          <w:pPr>
            <w:pStyle w:val="TOC1"/>
          </w:pPr>
          <w:r w:rsidRPr="00091991">
            <w:rPr>
              <w:i w:val="0"/>
              <w:iCs w:val="0"/>
            </w:rPr>
            <w:t xml:space="preserve">3 Short-term </w:t>
          </w:r>
          <w:r w:rsidR="00091991" w:rsidRPr="00091991">
            <w:rPr>
              <w:i w:val="0"/>
              <w:iCs w:val="0"/>
            </w:rPr>
            <w:t>acquisitions</w:t>
          </w:r>
          <w:r w:rsidRPr="00091991">
            <w:rPr>
              <w:i w:val="0"/>
              <w:iCs w:val="0"/>
            </w:rPr>
            <w:t xml:space="preserve">  </w:t>
          </w:r>
          <w:r w:rsidR="004E41D0" w:rsidRPr="00091991">
            <w:ptab w:relativeTo="margin" w:alignment="right" w:leader="dot"/>
          </w:r>
          <w:r w:rsidR="004E41D0" w:rsidRPr="00091991">
            <w:t>4</w:t>
          </w:r>
        </w:p>
        <w:p w14:paraId="5DA422FF" w14:textId="3BC6E5F7" w:rsidR="004E41D0" w:rsidRPr="00091991" w:rsidRDefault="00F6365E" w:rsidP="00F6365E">
          <w:pPr>
            <w:pStyle w:val="TOC2"/>
            <w:ind w:left="0"/>
          </w:pPr>
          <w:r w:rsidRPr="00091991">
            <w:t>Long term talent acquisition</w:t>
          </w:r>
          <w:r w:rsidR="00091991" w:rsidRPr="00091991">
            <w:t>s</w:t>
          </w:r>
          <w:r w:rsidRPr="00091991">
            <w:t xml:space="preserve"> </w:t>
          </w:r>
          <w:r w:rsidR="004E41D0" w:rsidRPr="00091991">
            <w:ptab w:relativeTo="margin" w:alignment="right" w:leader="dot"/>
          </w:r>
          <w:r w:rsidR="00091991" w:rsidRPr="00091991">
            <w:t>6</w:t>
          </w:r>
        </w:p>
        <w:p w14:paraId="5EEE1A02" w14:textId="77777777" w:rsidR="00091991" w:rsidRPr="00091991" w:rsidRDefault="00091991" w:rsidP="00091991">
          <w:pPr>
            <w:pStyle w:val="TOC3"/>
            <w:ind w:left="0"/>
            <w:rPr>
              <w:b/>
              <w:bCs/>
            </w:rPr>
          </w:pPr>
          <w:r w:rsidRPr="00091991">
            <w:rPr>
              <w:b/>
              <w:bCs/>
            </w:rPr>
            <w:t xml:space="preserve">3 long term talent acquisition </w:t>
          </w:r>
          <w:r w:rsidR="004E41D0" w:rsidRPr="00091991">
            <w:rPr>
              <w:b/>
              <w:bCs/>
            </w:rPr>
            <w:ptab w:relativeTo="margin" w:alignment="right" w:leader="dot"/>
          </w:r>
          <w:r w:rsidR="004E41D0" w:rsidRPr="00091991">
            <w:rPr>
              <w:b/>
              <w:bCs/>
            </w:rPr>
            <w:t>6</w:t>
          </w:r>
        </w:p>
        <w:p w14:paraId="1774EFF5" w14:textId="732D8BB9" w:rsidR="00091991" w:rsidRPr="00091991" w:rsidRDefault="00091991" w:rsidP="00091991">
          <w:pPr>
            <w:rPr>
              <w:b/>
              <w:bCs/>
            </w:rPr>
          </w:pPr>
          <w:r w:rsidRPr="00091991">
            <w:rPr>
              <w:b/>
              <w:bCs/>
            </w:rPr>
            <w:t>Incentive</w:t>
          </w:r>
          <w:r>
            <w:rPr>
              <w:b/>
              <w:bCs/>
            </w:rPr>
            <w:t xml:space="preserve"> </w:t>
          </w:r>
          <w:r w:rsidRPr="00091991">
            <w:rPr>
              <w:b/>
              <w:bCs/>
            </w:rPr>
            <w:t>methods/Monetary</w:t>
          </w:r>
          <w:r>
            <w:rPr>
              <w:b/>
              <w:bCs/>
            </w:rPr>
            <w:t xml:space="preserve"> </w:t>
          </w:r>
          <w:r w:rsidRPr="00091991">
            <w:rPr>
              <w:b/>
              <w:bCs/>
            </w:rPr>
            <w:t>incentives…………………………………………………………………………</w:t>
          </w:r>
          <w:r>
            <w:rPr>
              <w:b/>
              <w:bCs/>
            </w:rPr>
            <w:t>8</w:t>
          </w:r>
        </w:p>
        <w:p w14:paraId="5A2FB575" w14:textId="4609F98C" w:rsidR="00091991" w:rsidRPr="00091991" w:rsidRDefault="00091991" w:rsidP="00091991">
          <w:pPr>
            <w:rPr>
              <w:b/>
              <w:bCs/>
            </w:rPr>
          </w:pPr>
          <w:r w:rsidRPr="00091991">
            <w:rPr>
              <w:b/>
              <w:bCs/>
            </w:rPr>
            <w:t>Incentive methods/non</w:t>
          </w:r>
          <w:r>
            <w:rPr>
              <w:b/>
              <w:bCs/>
            </w:rPr>
            <w:t>-</w:t>
          </w:r>
          <w:r w:rsidRPr="00091991">
            <w:rPr>
              <w:b/>
              <w:bCs/>
            </w:rPr>
            <w:t>monetary</w:t>
          </w:r>
          <w:r>
            <w:rPr>
              <w:b/>
              <w:bCs/>
            </w:rPr>
            <w:t xml:space="preserve"> </w:t>
          </w:r>
          <w:r w:rsidRPr="00091991">
            <w:rPr>
              <w:b/>
              <w:bCs/>
            </w:rPr>
            <w:t>incentives………………………………………………………………11</w:t>
          </w:r>
        </w:p>
        <w:p w14:paraId="2CED2C78" w14:textId="2B6404D1" w:rsidR="00091991" w:rsidRPr="00091991" w:rsidRDefault="00091991" w:rsidP="00091991">
          <w:pPr>
            <w:rPr>
              <w:b/>
              <w:bCs/>
            </w:rPr>
          </w:pPr>
          <w:r w:rsidRPr="00091991">
            <w:rPr>
              <w:b/>
              <w:bCs/>
            </w:rPr>
            <w:t>Conclusion………………………………………………………………………………………………………………………</w:t>
          </w:r>
          <w:r>
            <w:rPr>
              <w:b/>
              <w:bCs/>
            </w:rPr>
            <w:t>13</w:t>
          </w:r>
        </w:p>
        <w:p w14:paraId="7CDF6A06" w14:textId="2F0F0723" w:rsidR="004E41D0" w:rsidRPr="00091991" w:rsidRDefault="00091991" w:rsidP="00091991">
          <w:r w:rsidRPr="00091991">
            <w:rPr>
              <w:b/>
              <w:bCs/>
            </w:rPr>
            <w:t>References……………………………………………………………………………………………………………………</w:t>
          </w:r>
          <w:r>
            <w:rPr>
              <w:b/>
              <w:bCs/>
            </w:rPr>
            <w:t>14</w:t>
          </w:r>
        </w:p>
      </w:sdtContent>
    </w:sdt>
    <w:p w14:paraId="02DA33FC" w14:textId="77777777" w:rsidR="00847085" w:rsidRDefault="00847085" w:rsidP="005F40F8">
      <w:pPr>
        <w:spacing w:before="120" w:line="360" w:lineRule="auto"/>
        <w:jc w:val="both"/>
        <w:rPr>
          <w:rFonts w:ascii="Times New Roman" w:hAnsi="Times New Roman" w:cs="Times New Roman"/>
        </w:rPr>
      </w:pPr>
    </w:p>
    <w:p w14:paraId="194212C7" w14:textId="2F97A714" w:rsidR="004E41D0" w:rsidRDefault="004E41D0" w:rsidP="005F40F8">
      <w:pPr>
        <w:spacing w:before="120" w:line="360" w:lineRule="auto"/>
        <w:jc w:val="both"/>
        <w:rPr>
          <w:rFonts w:ascii="Times New Roman" w:hAnsi="Times New Roman" w:cs="Times New Roman"/>
        </w:rPr>
      </w:pPr>
    </w:p>
    <w:p w14:paraId="67F167EE" w14:textId="77777777" w:rsidR="004E41D0" w:rsidRDefault="004E41D0">
      <w:pPr>
        <w:rPr>
          <w:rFonts w:ascii="Times New Roman" w:hAnsi="Times New Roman" w:cs="Times New Roman"/>
        </w:rPr>
      </w:pPr>
      <w:r>
        <w:rPr>
          <w:rFonts w:ascii="Times New Roman" w:hAnsi="Times New Roman" w:cs="Times New Roman"/>
        </w:rPr>
        <w:br w:type="page"/>
      </w:r>
    </w:p>
    <w:p w14:paraId="78E2CB21" w14:textId="77777777" w:rsidR="00847085" w:rsidRDefault="00847085" w:rsidP="005F40F8">
      <w:pPr>
        <w:spacing w:before="120" w:line="360" w:lineRule="auto"/>
        <w:jc w:val="both"/>
        <w:rPr>
          <w:rFonts w:ascii="Times New Roman" w:hAnsi="Times New Roman" w:cs="Times New Roman"/>
        </w:rPr>
      </w:pPr>
    </w:p>
    <w:p w14:paraId="536DCB46" w14:textId="361C106D" w:rsidR="00847085" w:rsidRDefault="00847085" w:rsidP="005F40F8">
      <w:pPr>
        <w:spacing w:before="120" w:line="360" w:lineRule="auto"/>
        <w:jc w:val="both"/>
        <w:rPr>
          <w:rFonts w:ascii="Times New Roman" w:hAnsi="Times New Roman" w:cs="Times New Roman"/>
        </w:rPr>
      </w:pPr>
    </w:p>
    <w:p w14:paraId="6DAEF0D3" w14:textId="6B59B693" w:rsidR="00847085" w:rsidRDefault="00847085" w:rsidP="005F40F8">
      <w:pPr>
        <w:spacing w:before="120" w:line="360" w:lineRule="auto"/>
        <w:jc w:val="both"/>
        <w:rPr>
          <w:rFonts w:ascii="Times New Roman" w:hAnsi="Times New Roman" w:cs="Times New Roman"/>
        </w:rPr>
      </w:pPr>
    </w:p>
    <w:p w14:paraId="6BBE2334" w14:textId="1595419A" w:rsidR="00847085" w:rsidRDefault="004E41D0" w:rsidP="005F40F8">
      <w:pPr>
        <w:spacing w:before="120" w:line="360" w:lineRule="auto"/>
        <w:jc w:val="both"/>
        <w:rPr>
          <w:rFonts w:ascii="Times New Roman" w:hAnsi="Times New Roman" w:cs="Times New Roman"/>
        </w:rPr>
      </w:pPr>
      <w:r w:rsidRPr="008A1CC2">
        <w:rPr>
          <w:rFonts w:ascii="Times New Roman" w:hAnsi="Times New Roman" w:cs="Times New Roman"/>
          <w:noProof/>
        </w:rPr>
        <w:drawing>
          <wp:inline distT="0" distB="0" distL="0" distR="0" wp14:anchorId="1A027642" wp14:editId="5FBAD88F">
            <wp:extent cx="5731510" cy="3176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email">
                      <a:extLst>
                        <a:ext uri="{28A0092B-C50C-407E-A947-70E740481C1C}">
                          <a14:useLocalDpi xmlns:a14="http://schemas.microsoft.com/office/drawing/2010/main"/>
                        </a:ext>
                      </a:extLst>
                    </a:blip>
                    <a:stretch>
                      <a:fillRect/>
                    </a:stretch>
                  </pic:blipFill>
                  <pic:spPr>
                    <a:xfrm>
                      <a:off x="0" y="0"/>
                      <a:ext cx="5731510" cy="3176270"/>
                    </a:xfrm>
                    <a:prstGeom prst="rect">
                      <a:avLst/>
                    </a:prstGeom>
                  </pic:spPr>
                </pic:pic>
              </a:graphicData>
            </a:graphic>
          </wp:inline>
        </w:drawing>
      </w:r>
    </w:p>
    <w:p w14:paraId="1CBE2605" w14:textId="45C552FA" w:rsidR="00847085" w:rsidRDefault="00847085" w:rsidP="005F40F8">
      <w:pPr>
        <w:spacing w:before="120" w:line="360" w:lineRule="auto"/>
        <w:jc w:val="both"/>
        <w:rPr>
          <w:rFonts w:ascii="Times New Roman" w:hAnsi="Times New Roman" w:cs="Times New Roman"/>
        </w:rPr>
      </w:pPr>
    </w:p>
    <w:p w14:paraId="3E0D0D66" w14:textId="15C7CDF6" w:rsidR="00847085" w:rsidRDefault="00847085" w:rsidP="005F40F8">
      <w:pPr>
        <w:spacing w:before="120" w:line="360" w:lineRule="auto"/>
        <w:jc w:val="both"/>
        <w:rPr>
          <w:rFonts w:ascii="Times New Roman" w:hAnsi="Times New Roman" w:cs="Times New Roman"/>
        </w:rPr>
      </w:pPr>
    </w:p>
    <w:p w14:paraId="58BB895E" w14:textId="649ACED2" w:rsidR="009B313C" w:rsidRPr="003B0A08" w:rsidRDefault="009B313C" w:rsidP="005F40F8">
      <w:pPr>
        <w:spacing w:before="120" w:line="360" w:lineRule="auto"/>
        <w:jc w:val="both"/>
        <w:rPr>
          <w:rFonts w:ascii="Arial" w:hAnsi="Arial" w:cs="Arial"/>
        </w:rPr>
      </w:pPr>
      <w:r w:rsidRPr="003B0A08">
        <w:rPr>
          <w:rFonts w:ascii="Arial" w:hAnsi="Arial" w:cs="Arial"/>
        </w:rPr>
        <w:t>Introduction</w:t>
      </w:r>
    </w:p>
    <w:p w14:paraId="2D91CB18" w14:textId="063EC8C6" w:rsidR="009B313C" w:rsidRPr="003B0A08" w:rsidRDefault="005F40F8" w:rsidP="005F40F8">
      <w:pPr>
        <w:spacing w:before="120" w:line="360" w:lineRule="auto"/>
        <w:jc w:val="both"/>
        <w:rPr>
          <w:rFonts w:ascii="Arial" w:hAnsi="Arial" w:cs="Arial"/>
        </w:rPr>
      </w:pPr>
      <w:r w:rsidRPr="003B0A08">
        <w:rPr>
          <w:rFonts w:ascii="Arial" w:hAnsi="Arial" w:cs="Arial"/>
        </w:rPr>
        <w:t xml:space="preserve">The hospitality industry has been hit hard by the ongoing </w:t>
      </w:r>
      <w:r w:rsidR="00F25E43" w:rsidRPr="003B0A08">
        <w:rPr>
          <w:rFonts w:ascii="Arial" w:hAnsi="Arial" w:cs="Arial"/>
        </w:rPr>
        <w:t>labour</w:t>
      </w:r>
      <w:r w:rsidRPr="003B0A08">
        <w:rPr>
          <w:rFonts w:ascii="Arial" w:hAnsi="Arial" w:cs="Arial"/>
        </w:rPr>
        <w:t xml:space="preserve"> shortage in the UK, with many businesses struggling to recruit and retain talent</w:t>
      </w:r>
      <w:r w:rsidR="00847085" w:rsidRPr="003B0A08">
        <w:rPr>
          <w:rFonts w:ascii="Arial" w:hAnsi="Arial" w:cs="Arial"/>
          <w:color w:val="000000" w:themeColor="text1"/>
          <w:shd w:val="clear" w:color="auto" w:fill="FFFFFF"/>
        </w:rPr>
        <w:t xml:space="preserve"> </w:t>
      </w:r>
      <w:r w:rsidR="00847085" w:rsidRPr="003B0A08">
        <w:rPr>
          <w:rFonts w:ascii="Arial" w:hAnsi="Arial" w:cs="Arial"/>
          <w:color w:val="000000" w:themeColor="text1"/>
          <w:shd w:val="clear" w:color="auto" w:fill="FFFFFF"/>
          <w:lang w:val="en-US"/>
        </w:rPr>
        <w:t>(</w:t>
      </w:r>
      <w:r w:rsidR="00847085" w:rsidRPr="003B0A08">
        <w:rPr>
          <w:rFonts w:ascii="Arial" w:hAnsi="Arial" w:cs="Arial"/>
          <w:color w:val="000000" w:themeColor="text1"/>
          <w:shd w:val="clear" w:color="auto" w:fill="FFFFFF"/>
        </w:rPr>
        <w:t>Sam Ette</w:t>
      </w:r>
      <w:r w:rsidR="00847085" w:rsidRPr="003B0A08">
        <w:rPr>
          <w:rFonts w:ascii="Arial" w:hAnsi="Arial" w:cs="Arial"/>
          <w:color w:val="000000" w:themeColor="text1"/>
          <w:shd w:val="clear" w:color="auto" w:fill="FFFFFF"/>
          <w:lang w:val="en-US"/>
        </w:rPr>
        <w:t>, 2022)</w:t>
      </w:r>
      <w:r w:rsidRPr="003B0A08">
        <w:rPr>
          <w:rFonts w:ascii="Arial" w:hAnsi="Arial" w:cs="Arial"/>
        </w:rPr>
        <w:t xml:space="preserve">. As a Talent Acquisition Manager for </w:t>
      </w:r>
      <w:r w:rsidR="00A97A19" w:rsidRPr="003B0A08">
        <w:rPr>
          <w:rFonts w:ascii="Arial" w:hAnsi="Arial" w:cs="Arial"/>
        </w:rPr>
        <w:t>The Ledbury</w:t>
      </w:r>
      <w:r w:rsidR="008A1CC2" w:rsidRPr="003B0A08">
        <w:rPr>
          <w:rFonts w:ascii="Arial" w:hAnsi="Arial" w:cs="Arial"/>
        </w:rPr>
        <w:t xml:space="preserve">, </w:t>
      </w:r>
      <w:r w:rsidRPr="003B0A08">
        <w:rPr>
          <w:rFonts w:ascii="Arial" w:hAnsi="Arial" w:cs="Arial"/>
        </w:rPr>
        <w:t xml:space="preserve">it's crucial to develop effective talent acquisition strategies and incentives to attract and retain top talent. </w:t>
      </w:r>
      <w:r w:rsidR="008A1CC2" w:rsidRPr="003B0A08">
        <w:rPr>
          <w:rFonts w:ascii="Arial" w:hAnsi="Arial" w:cs="Arial"/>
        </w:rPr>
        <w:t xml:space="preserve">According to </w:t>
      </w:r>
      <w:proofErr w:type="spellStart"/>
      <w:r w:rsidR="008A1CC2" w:rsidRPr="003B0A08">
        <w:rPr>
          <w:rFonts w:ascii="Arial" w:hAnsi="Arial" w:cs="Arial"/>
        </w:rPr>
        <w:t>UKHospitality's</w:t>
      </w:r>
      <w:proofErr w:type="spellEnd"/>
      <w:r w:rsidR="008A1CC2" w:rsidRPr="003B0A08">
        <w:rPr>
          <w:rFonts w:ascii="Arial" w:hAnsi="Arial" w:cs="Arial"/>
        </w:rPr>
        <w:t xml:space="preserve"> latest Future Shock report, in collaboration with CGA by </w:t>
      </w:r>
      <w:proofErr w:type="spellStart"/>
      <w:r w:rsidR="008A1CC2" w:rsidRPr="003B0A08">
        <w:rPr>
          <w:rFonts w:ascii="Arial" w:hAnsi="Arial" w:cs="Arial"/>
        </w:rPr>
        <w:t>NielsenIQ</w:t>
      </w:r>
      <w:proofErr w:type="spellEnd"/>
      <w:r w:rsidR="008A1CC2" w:rsidRPr="003B0A08">
        <w:rPr>
          <w:rFonts w:ascii="Arial" w:hAnsi="Arial" w:cs="Arial"/>
        </w:rPr>
        <w:t xml:space="preserve">, 60% of business leaders have lost confidence in recruitment due to the labour shortages in the industry. The report also states that 35% of businesses plan to simplify menus, 32% have reduced their opening hours, and 13% have reduced their opening days due to staffing shortages. </w:t>
      </w:r>
      <w:r w:rsidR="009B313C" w:rsidRPr="003B0A08">
        <w:rPr>
          <w:rFonts w:ascii="Arial" w:hAnsi="Arial" w:cs="Arial"/>
        </w:rPr>
        <w:t xml:space="preserve">In this presentation, will discuss six different talent acquisition strategies and four incentive methods that can help </w:t>
      </w:r>
      <w:r w:rsidR="00A97A19" w:rsidRPr="003B0A08">
        <w:rPr>
          <w:rFonts w:ascii="Arial" w:hAnsi="Arial" w:cs="Arial"/>
        </w:rPr>
        <w:t>The Ledbury to</w:t>
      </w:r>
      <w:r w:rsidR="009B313C" w:rsidRPr="003B0A08">
        <w:rPr>
          <w:rFonts w:ascii="Arial" w:hAnsi="Arial" w:cs="Arial"/>
        </w:rPr>
        <w:t xml:space="preserve"> attract potential candidates to work in the restaurant operations that consist of causal and fine dining.</w:t>
      </w:r>
      <w:r w:rsidRPr="003B0A08">
        <w:rPr>
          <w:rFonts w:ascii="Arial" w:hAnsi="Arial" w:cs="Arial"/>
        </w:rPr>
        <w:t xml:space="preserve"> </w:t>
      </w:r>
    </w:p>
    <w:p w14:paraId="25B614AE" w14:textId="059A8581" w:rsidR="00863FC5" w:rsidRPr="00F25E43" w:rsidRDefault="008A1CC2" w:rsidP="005F40F8">
      <w:pPr>
        <w:spacing w:before="120" w:line="360" w:lineRule="auto"/>
        <w:jc w:val="both"/>
        <w:rPr>
          <w:rFonts w:ascii="Times New Roman" w:hAnsi="Times New Roman" w:cs="Times New Roman"/>
        </w:rPr>
      </w:pPr>
      <w:r w:rsidRPr="008A1CC2">
        <w:rPr>
          <w:rFonts w:ascii="Times New Roman" w:hAnsi="Times New Roman" w:cs="Times New Roman"/>
          <w:noProof/>
        </w:rPr>
        <w:lastRenderedPageBreak/>
        <w:drawing>
          <wp:inline distT="0" distB="0" distL="0" distR="0" wp14:anchorId="14006688" wp14:editId="2586309E">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3CC17644" w14:textId="77777777" w:rsidR="009B313C" w:rsidRPr="003B0A08" w:rsidRDefault="009B313C" w:rsidP="005F40F8">
      <w:pPr>
        <w:spacing w:before="120" w:line="360" w:lineRule="auto"/>
        <w:jc w:val="both"/>
        <w:rPr>
          <w:rFonts w:ascii="Arial" w:hAnsi="Arial" w:cs="Arial"/>
        </w:rPr>
      </w:pPr>
      <w:r w:rsidRPr="003B0A08">
        <w:rPr>
          <w:rFonts w:ascii="Arial" w:hAnsi="Arial" w:cs="Arial"/>
        </w:rPr>
        <w:t>Part 1: Talent Acquisition Strategies</w:t>
      </w:r>
    </w:p>
    <w:p w14:paraId="7FD39D0D" w14:textId="545AB529" w:rsidR="008A1CC2" w:rsidRPr="003B0A08" w:rsidRDefault="008A1CC2" w:rsidP="005F40F8">
      <w:pPr>
        <w:spacing w:before="120" w:line="360" w:lineRule="auto"/>
        <w:jc w:val="both"/>
        <w:rPr>
          <w:rFonts w:ascii="Arial" w:hAnsi="Arial" w:cs="Arial"/>
        </w:rPr>
      </w:pPr>
      <w:r w:rsidRPr="003B0A08">
        <w:rPr>
          <w:rFonts w:ascii="Arial" w:hAnsi="Arial" w:cs="Arial"/>
        </w:rPr>
        <w:t xml:space="preserve">Recruiting and retaining top talent in the hospitality industry can be challenging, especially during a labour shortage. As the Talent Acquisition Manager for The Ledbury, a UK-based company that operates multiple brands and employs over 1000 staff members at various locations, it is crucial to implement effective talent acquisition strategies to attract potential candidates to work in the company's restaurant operations. This article will identify and explain six different talent acquisition strategies, three for short-term and three for long-term recruitment. </w:t>
      </w:r>
    </w:p>
    <w:p w14:paraId="6D930A1A" w14:textId="00BA22BF" w:rsidR="009B313C" w:rsidRPr="00CA33B3" w:rsidRDefault="009B313C" w:rsidP="005F40F8">
      <w:pPr>
        <w:spacing w:before="120" w:line="360" w:lineRule="auto"/>
        <w:jc w:val="both"/>
        <w:rPr>
          <w:rFonts w:ascii="Arial" w:hAnsi="Arial" w:cs="Arial"/>
          <w:b/>
          <w:bCs/>
        </w:rPr>
      </w:pPr>
      <w:r w:rsidRPr="00CA33B3">
        <w:rPr>
          <w:rFonts w:ascii="Arial" w:hAnsi="Arial" w:cs="Arial"/>
          <w:b/>
          <w:bCs/>
        </w:rPr>
        <w:t>Short-term Talent Acquisition Strategies:</w:t>
      </w:r>
    </w:p>
    <w:p w14:paraId="76431FEA" w14:textId="035C7B19" w:rsidR="008A1CC2" w:rsidRPr="003B0A08" w:rsidRDefault="008A1CC2" w:rsidP="008A1CC2">
      <w:pPr>
        <w:spacing w:before="120" w:line="360" w:lineRule="auto"/>
        <w:jc w:val="both"/>
        <w:rPr>
          <w:rFonts w:ascii="Arial" w:hAnsi="Arial" w:cs="Arial"/>
        </w:rPr>
      </w:pPr>
      <w:r w:rsidRPr="003B0A08">
        <w:rPr>
          <w:rFonts w:ascii="Arial" w:hAnsi="Arial" w:cs="Arial"/>
        </w:rPr>
        <w:t xml:space="preserve">1. </w:t>
      </w:r>
      <w:r w:rsidRPr="004E41D0">
        <w:rPr>
          <w:rFonts w:ascii="Arial" w:hAnsi="Arial" w:cs="Arial"/>
          <w:b/>
          <w:bCs/>
        </w:rPr>
        <w:t>Referral programs:</w:t>
      </w:r>
      <w:r w:rsidRPr="003B0A08">
        <w:rPr>
          <w:rFonts w:ascii="Arial" w:hAnsi="Arial" w:cs="Arial"/>
        </w:rPr>
        <w:t xml:space="preserve"> These is an effective way to attract potential candidates through the recommendations of current employees (</w:t>
      </w:r>
      <w:r w:rsidRPr="003B0A08">
        <w:rPr>
          <w:rFonts w:ascii="Arial" w:hAnsi="Arial" w:cs="Arial"/>
          <w:color w:val="222222"/>
          <w:shd w:val="clear" w:color="auto" w:fill="FFFFFF"/>
        </w:rPr>
        <w:t xml:space="preserve">Mazzei and </w:t>
      </w:r>
      <w:proofErr w:type="spellStart"/>
      <w:r w:rsidRPr="003B0A08">
        <w:rPr>
          <w:rFonts w:ascii="Arial" w:hAnsi="Arial" w:cs="Arial"/>
          <w:color w:val="222222"/>
          <w:shd w:val="clear" w:color="auto" w:fill="FFFFFF"/>
        </w:rPr>
        <w:t>Ravazzani</w:t>
      </w:r>
      <w:proofErr w:type="spellEnd"/>
      <w:r w:rsidRPr="003B0A08">
        <w:rPr>
          <w:rFonts w:ascii="Arial" w:hAnsi="Arial" w:cs="Arial"/>
          <w:color w:val="222222"/>
          <w:shd w:val="clear" w:color="auto" w:fill="FFFFFF"/>
        </w:rPr>
        <w:t>, 2011)</w:t>
      </w:r>
      <w:r w:rsidRPr="003B0A08">
        <w:rPr>
          <w:rFonts w:ascii="Arial" w:hAnsi="Arial" w:cs="Arial"/>
        </w:rPr>
        <w:t>. The Ledbury can establish a referral program that offers a monetary or non-monetary incentive to employees who refer successful candidates. The incentive could be a cash bonus, extra vacation days, or other benefits.</w:t>
      </w:r>
    </w:p>
    <w:p w14:paraId="392E53EF" w14:textId="3A7B93FF" w:rsidR="00863FC5" w:rsidRPr="003B0A08" w:rsidRDefault="008A1CC2" w:rsidP="005F40F8">
      <w:pPr>
        <w:spacing w:before="120" w:line="360" w:lineRule="auto"/>
        <w:jc w:val="both"/>
        <w:rPr>
          <w:rFonts w:ascii="Arial" w:hAnsi="Arial" w:cs="Arial"/>
        </w:rPr>
      </w:pPr>
      <w:r w:rsidRPr="003B0A08">
        <w:rPr>
          <w:rFonts w:ascii="Arial" w:hAnsi="Arial" w:cs="Arial"/>
        </w:rPr>
        <w:t xml:space="preserve">According to </w:t>
      </w:r>
      <w:r w:rsidRPr="003B0A08">
        <w:rPr>
          <w:rFonts w:ascii="Arial" w:hAnsi="Arial" w:cs="Arial"/>
          <w:color w:val="222222"/>
          <w:shd w:val="clear" w:color="auto" w:fill="FFFFFF"/>
        </w:rPr>
        <w:t xml:space="preserve">Sagawa and Segal (2000) </w:t>
      </w:r>
      <w:r w:rsidRPr="003B0A08">
        <w:rPr>
          <w:rFonts w:ascii="Arial" w:hAnsi="Arial" w:cs="Arial"/>
        </w:rPr>
        <w:t xml:space="preserve">referral programs can speed up the recruitment process by tapping into employees' networks and finding qualified candidates that fit the company's culture and requirements. This method can also improve employee engagement and retention, as it shows that The Ledbury values the input of its current employees. </w:t>
      </w:r>
      <w:r w:rsidR="00F25E43" w:rsidRPr="003B0A08">
        <w:rPr>
          <w:rFonts w:ascii="Arial" w:hAnsi="Arial" w:cs="Arial"/>
          <w:color w:val="000000" w:themeColor="text1"/>
          <w:shd w:val="clear" w:color="auto" w:fill="FFFFFF"/>
        </w:rPr>
        <w:t>Sam Ette</w:t>
      </w:r>
      <w:r w:rsidR="00F25E43" w:rsidRPr="003B0A08">
        <w:rPr>
          <w:rFonts w:ascii="Arial" w:hAnsi="Arial" w:cs="Arial"/>
          <w:color w:val="000000" w:themeColor="text1"/>
          <w:shd w:val="clear" w:color="auto" w:fill="FFFFFF"/>
          <w:lang w:val="en-US"/>
        </w:rPr>
        <w:t xml:space="preserve"> (2022) cited that </w:t>
      </w:r>
      <w:r w:rsidR="00F25E43" w:rsidRPr="003B0A08">
        <w:rPr>
          <w:rFonts w:ascii="Arial" w:hAnsi="Arial" w:cs="Arial"/>
        </w:rPr>
        <w:t>t</w:t>
      </w:r>
      <w:r w:rsidR="009B313C" w:rsidRPr="003B0A08">
        <w:rPr>
          <w:rFonts w:ascii="Arial" w:hAnsi="Arial" w:cs="Arial"/>
        </w:rPr>
        <w:t xml:space="preserve">he incentive offered can </w:t>
      </w:r>
      <w:r w:rsidR="009B313C" w:rsidRPr="003B0A08">
        <w:rPr>
          <w:rFonts w:ascii="Arial" w:hAnsi="Arial" w:cs="Arial"/>
        </w:rPr>
        <w:lastRenderedPageBreak/>
        <w:t>be in the form of a cash bonus or other rewards, such as gift cards, extra vacation days, or company merchandise. This approach not only helps to fill the positions quickly but also helps to ensure a good cultural fit for the organi</w:t>
      </w:r>
      <w:r w:rsidR="00F25E43" w:rsidRPr="003B0A08">
        <w:rPr>
          <w:rFonts w:ascii="Arial" w:hAnsi="Arial" w:cs="Arial"/>
        </w:rPr>
        <w:t>s</w:t>
      </w:r>
      <w:r w:rsidR="009B313C" w:rsidRPr="003B0A08">
        <w:rPr>
          <w:rFonts w:ascii="Arial" w:hAnsi="Arial" w:cs="Arial"/>
        </w:rPr>
        <w:t>ation.</w:t>
      </w:r>
    </w:p>
    <w:p w14:paraId="7A365A33" w14:textId="63AABFB4" w:rsidR="008A1CC2" w:rsidRDefault="008A1CC2" w:rsidP="005F40F8">
      <w:pPr>
        <w:spacing w:before="120" w:line="360" w:lineRule="auto"/>
        <w:jc w:val="both"/>
        <w:rPr>
          <w:rFonts w:ascii="Times New Roman" w:hAnsi="Times New Roman" w:cs="Times New Roman"/>
        </w:rPr>
      </w:pPr>
      <w:r w:rsidRPr="008A1CC2">
        <w:rPr>
          <w:rFonts w:ascii="Times New Roman" w:hAnsi="Times New Roman" w:cs="Times New Roman"/>
          <w:noProof/>
        </w:rPr>
        <w:drawing>
          <wp:inline distT="0" distB="0" distL="0" distR="0" wp14:anchorId="2889388E" wp14:editId="27856662">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737159EE" w14:textId="3D58D2B5" w:rsidR="008A1CC2" w:rsidRPr="003B0A08" w:rsidRDefault="008A1CC2" w:rsidP="008A1CC2">
      <w:pPr>
        <w:spacing w:before="120" w:line="360" w:lineRule="auto"/>
        <w:jc w:val="both"/>
        <w:rPr>
          <w:rFonts w:ascii="Arial" w:hAnsi="Arial" w:cs="Arial"/>
        </w:rPr>
      </w:pPr>
      <w:r>
        <w:rPr>
          <w:rFonts w:ascii="Times New Roman" w:hAnsi="Times New Roman" w:cs="Times New Roman"/>
        </w:rPr>
        <w:t>2</w:t>
      </w:r>
      <w:r w:rsidR="009B313C" w:rsidRPr="00F25E43">
        <w:rPr>
          <w:rFonts w:ascii="Times New Roman" w:hAnsi="Times New Roman" w:cs="Times New Roman"/>
        </w:rPr>
        <w:t xml:space="preserve">. </w:t>
      </w:r>
      <w:r w:rsidRPr="004E41D0">
        <w:rPr>
          <w:rFonts w:ascii="Arial" w:hAnsi="Arial" w:cs="Arial"/>
          <w:b/>
          <w:bCs/>
        </w:rPr>
        <w:t>Social Media Recruitment:</w:t>
      </w:r>
      <w:r w:rsidRPr="003B0A08">
        <w:rPr>
          <w:rFonts w:ascii="Arial" w:hAnsi="Arial" w:cs="Arial"/>
        </w:rPr>
        <w:t xml:space="preserve"> Social media platforms like LinkedIn, Facebook, and Instagram can be used to recruit potential candidates (</w:t>
      </w:r>
      <w:r w:rsidRPr="003B0A08">
        <w:rPr>
          <w:rFonts w:ascii="Arial" w:hAnsi="Arial" w:cs="Arial"/>
          <w:color w:val="222222"/>
          <w:shd w:val="clear" w:color="auto" w:fill="FFFFFF"/>
        </w:rPr>
        <w:t>Albert, 2019)</w:t>
      </w:r>
      <w:r w:rsidRPr="003B0A08">
        <w:rPr>
          <w:rFonts w:ascii="Arial" w:hAnsi="Arial" w:cs="Arial"/>
        </w:rPr>
        <w:t>. Posting job vacancies on social media platforms can increase visibility and attract candidates who may not have otherwise applied.</w:t>
      </w:r>
    </w:p>
    <w:p w14:paraId="6DAEEC57" w14:textId="005CDEAE" w:rsidR="009B313C" w:rsidRPr="003B0A08" w:rsidRDefault="008A1CC2" w:rsidP="005F40F8">
      <w:pPr>
        <w:spacing w:before="120" w:line="360" w:lineRule="auto"/>
        <w:jc w:val="both"/>
        <w:rPr>
          <w:rFonts w:ascii="Arial" w:hAnsi="Arial" w:cs="Arial"/>
        </w:rPr>
      </w:pPr>
      <w:r w:rsidRPr="003B0A08">
        <w:rPr>
          <w:rFonts w:ascii="Arial" w:hAnsi="Arial" w:cs="Arial"/>
        </w:rPr>
        <w:t xml:space="preserve">Using social media recruitment can also showcase The Ledbury's company culture, values, and work environment, which can attract candidates who share the same beliefs and aspirations. </w:t>
      </w:r>
      <w:r w:rsidRPr="003B0A08">
        <w:rPr>
          <w:rFonts w:ascii="Arial" w:hAnsi="Arial" w:cs="Arial"/>
          <w:color w:val="222222"/>
          <w:shd w:val="clear" w:color="auto" w:fill="FFFFFF"/>
        </w:rPr>
        <w:t xml:space="preserve">Jose (2019) cited that </w:t>
      </w:r>
      <w:r w:rsidRPr="003B0A08">
        <w:rPr>
          <w:rFonts w:ascii="Arial" w:hAnsi="Arial" w:cs="Arial"/>
        </w:rPr>
        <w:t>i</w:t>
      </w:r>
      <w:r w:rsidR="009B313C" w:rsidRPr="003B0A08">
        <w:rPr>
          <w:rFonts w:ascii="Arial" w:hAnsi="Arial" w:cs="Arial"/>
        </w:rPr>
        <w:t>t's important to make the application process easy and straightforward, and to provide clear instructions on how to apply. Use search engine optimi</w:t>
      </w:r>
      <w:r w:rsidR="007C34EB" w:rsidRPr="003B0A08">
        <w:rPr>
          <w:rFonts w:ascii="Arial" w:hAnsi="Arial" w:cs="Arial"/>
        </w:rPr>
        <w:t>s</w:t>
      </w:r>
      <w:r w:rsidR="009B313C" w:rsidRPr="003B0A08">
        <w:rPr>
          <w:rFonts w:ascii="Arial" w:hAnsi="Arial" w:cs="Arial"/>
        </w:rPr>
        <w:t xml:space="preserve">ation (SEO) techniques to make </w:t>
      </w:r>
      <w:r w:rsidR="00FC0A19" w:rsidRPr="003B0A08">
        <w:rPr>
          <w:rFonts w:ascii="Arial" w:hAnsi="Arial" w:cs="Arial"/>
        </w:rPr>
        <w:t>The Ledbury’s</w:t>
      </w:r>
      <w:r w:rsidR="009B313C" w:rsidRPr="003B0A08">
        <w:rPr>
          <w:rFonts w:ascii="Arial" w:hAnsi="Arial" w:cs="Arial"/>
        </w:rPr>
        <w:t xml:space="preserve"> job postings more visible to candidates who are searching for relevant keywords.</w:t>
      </w:r>
    </w:p>
    <w:p w14:paraId="5584D224" w14:textId="60BB3C55" w:rsidR="00863FC5" w:rsidRPr="003B0A08" w:rsidRDefault="008A1CC2" w:rsidP="005F40F8">
      <w:pPr>
        <w:spacing w:before="120" w:line="360" w:lineRule="auto"/>
        <w:jc w:val="both"/>
        <w:rPr>
          <w:rFonts w:ascii="Arial" w:hAnsi="Arial" w:cs="Arial"/>
        </w:rPr>
      </w:pPr>
      <w:r w:rsidRPr="008A1CC2">
        <w:rPr>
          <w:rFonts w:ascii="Times New Roman" w:hAnsi="Times New Roman" w:cs="Times New Roman"/>
          <w:noProof/>
        </w:rPr>
        <w:lastRenderedPageBreak/>
        <w:drawing>
          <wp:inline distT="0" distB="0" distL="0" distR="0" wp14:anchorId="0A06730E" wp14:editId="793A555B">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rPr>
        <w:t xml:space="preserve">3. </w:t>
      </w:r>
      <w:r w:rsidRPr="004E41D0">
        <w:rPr>
          <w:rFonts w:ascii="Arial" w:hAnsi="Arial" w:cs="Arial"/>
          <w:b/>
          <w:bCs/>
        </w:rPr>
        <w:t>Temporary Staffing Agencies</w:t>
      </w:r>
      <w:r w:rsidRPr="003B0A08">
        <w:rPr>
          <w:rFonts w:ascii="Arial" w:hAnsi="Arial" w:cs="Arial"/>
        </w:rPr>
        <w:t>: Temporary staffing agencies can be used to quickly fill short-term staffing needs. These agencies have a pool of qualified candidates who can fill in for temporary or seasonal roles, such as catering or event staffing (</w:t>
      </w:r>
      <w:proofErr w:type="spellStart"/>
      <w:r w:rsidRPr="003B0A08">
        <w:rPr>
          <w:rFonts w:ascii="Arial" w:hAnsi="Arial" w:cs="Arial"/>
          <w:color w:val="222222"/>
          <w:shd w:val="clear" w:color="auto" w:fill="FFFFFF"/>
        </w:rPr>
        <w:t>Rozario</w:t>
      </w:r>
      <w:proofErr w:type="spellEnd"/>
      <w:r w:rsidRPr="003B0A08">
        <w:rPr>
          <w:rFonts w:ascii="Arial" w:hAnsi="Arial" w:cs="Arial"/>
          <w:color w:val="222222"/>
          <w:shd w:val="clear" w:color="auto" w:fill="FFFFFF"/>
        </w:rPr>
        <w:t xml:space="preserve"> et al., 2020)</w:t>
      </w:r>
      <w:r w:rsidRPr="003B0A08">
        <w:rPr>
          <w:rFonts w:ascii="Arial" w:hAnsi="Arial" w:cs="Arial"/>
        </w:rPr>
        <w:t>. This method can help The Ledbury to fill in staffing gaps and maintain customer satisfaction during busy periods. It can also help identify potential candidates for permanent positions who can showcase their skills during their temporary roles.</w:t>
      </w:r>
    </w:p>
    <w:p w14:paraId="58418CDA" w14:textId="161F2AE4" w:rsidR="00936E46" w:rsidRDefault="00936E46" w:rsidP="005F40F8">
      <w:pPr>
        <w:spacing w:before="120" w:line="360" w:lineRule="auto"/>
        <w:jc w:val="both"/>
        <w:rPr>
          <w:rFonts w:ascii="Times New Roman" w:hAnsi="Times New Roman" w:cs="Times New Roman"/>
        </w:rPr>
      </w:pPr>
    </w:p>
    <w:p w14:paraId="617E788D" w14:textId="77777777" w:rsidR="00936E46" w:rsidRDefault="00936E46" w:rsidP="005F40F8">
      <w:pPr>
        <w:spacing w:before="120" w:line="360" w:lineRule="auto"/>
        <w:jc w:val="both"/>
        <w:rPr>
          <w:rFonts w:ascii="Times New Roman" w:hAnsi="Times New Roman" w:cs="Times New Roman"/>
        </w:rPr>
      </w:pPr>
    </w:p>
    <w:p w14:paraId="3C4BAA6B" w14:textId="65C569F3" w:rsidR="009B313C" w:rsidRPr="004E41D0" w:rsidRDefault="009B313C" w:rsidP="005F40F8">
      <w:pPr>
        <w:spacing w:before="120" w:line="360" w:lineRule="auto"/>
        <w:jc w:val="both"/>
        <w:rPr>
          <w:rFonts w:ascii="Arial" w:hAnsi="Arial" w:cs="Arial"/>
          <w:b/>
          <w:bCs/>
        </w:rPr>
      </w:pPr>
      <w:r w:rsidRPr="004E41D0">
        <w:rPr>
          <w:rFonts w:ascii="Arial" w:hAnsi="Arial" w:cs="Arial"/>
          <w:b/>
          <w:bCs/>
        </w:rPr>
        <w:t>Long-term Talent Acquisition Strategies:</w:t>
      </w:r>
    </w:p>
    <w:p w14:paraId="72D0A923" w14:textId="4F4FD772" w:rsidR="009B313C" w:rsidRPr="00936E46" w:rsidRDefault="008A1CC2" w:rsidP="005F40F8">
      <w:pPr>
        <w:spacing w:before="120" w:line="360" w:lineRule="auto"/>
        <w:jc w:val="both"/>
        <w:rPr>
          <w:rFonts w:ascii="Arial" w:hAnsi="Arial" w:cs="Arial"/>
        </w:rPr>
      </w:pPr>
      <w:r w:rsidRPr="00936E46">
        <w:rPr>
          <w:rFonts w:ascii="Arial" w:hAnsi="Arial" w:cs="Arial"/>
        </w:rPr>
        <w:t xml:space="preserve">1. </w:t>
      </w:r>
      <w:r w:rsidRPr="004E41D0">
        <w:rPr>
          <w:rFonts w:ascii="Arial" w:hAnsi="Arial" w:cs="Arial"/>
          <w:b/>
          <w:bCs/>
        </w:rPr>
        <w:t>Employer Branding:</w:t>
      </w:r>
      <w:r w:rsidRPr="00936E46">
        <w:rPr>
          <w:rFonts w:ascii="Arial" w:hAnsi="Arial" w:cs="Arial"/>
        </w:rPr>
        <w:t xml:space="preserve"> Employer branding is the process of promoting a company's reputation as an employer to attract potential candidates. The Ledbury can establish a strong employer brand by promoting the company's culture, values, and work environment through different channels like social media, job postings, and website content. This method can help attract candidates who align with The Ledbury's values and aspirations and are looking for a long-term career in the hospitality industry </w:t>
      </w:r>
      <w:r w:rsidR="00E87BBA" w:rsidRPr="00936E46">
        <w:rPr>
          <w:rFonts w:ascii="Arial" w:hAnsi="Arial" w:cs="Arial"/>
        </w:rPr>
        <w:t>(</w:t>
      </w:r>
      <w:r w:rsidR="00E87BBA" w:rsidRPr="00936E46">
        <w:rPr>
          <w:rFonts w:ascii="Arial" w:hAnsi="Arial" w:cs="Arial"/>
          <w:color w:val="222222"/>
          <w:shd w:val="clear" w:color="auto" w:fill="FFFFFF"/>
        </w:rPr>
        <w:t>Nayak et al., 2020)</w:t>
      </w:r>
      <w:r w:rsidR="009B313C" w:rsidRPr="00936E46">
        <w:rPr>
          <w:rFonts w:ascii="Arial" w:hAnsi="Arial" w:cs="Arial"/>
        </w:rPr>
        <w:t>.</w:t>
      </w:r>
      <w:r w:rsidRPr="00936E46">
        <w:rPr>
          <w:rFonts w:ascii="Arial" w:hAnsi="Arial" w:cs="Arial"/>
        </w:rPr>
        <w:t xml:space="preserve"> </w:t>
      </w:r>
      <w:r w:rsidR="009B313C" w:rsidRPr="00936E46">
        <w:rPr>
          <w:rFonts w:ascii="Arial" w:hAnsi="Arial" w:cs="Arial"/>
        </w:rPr>
        <w:t>Establishing a strong employer brand can attract candidates who share</w:t>
      </w:r>
      <w:r w:rsidR="00FC0A19" w:rsidRPr="00936E46">
        <w:rPr>
          <w:rFonts w:ascii="Arial" w:hAnsi="Arial" w:cs="Arial"/>
        </w:rPr>
        <w:t xml:space="preserve"> The Ledbury’s</w:t>
      </w:r>
      <w:r w:rsidR="009B313C" w:rsidRPr="00936E46">
        <w:rPr>
          <w:rFonts w:ascii="Arial" w:hAnsi="Arial" w:cs="Arial"/>
        </w:rPr>
        <w:t xml:space="preserve"> values and mission</w:t>
      </w:r>
      <w:r w:rsidR="00847085" w:rsidRPr="00936E46">
        <w:rPr>
          <w:rFonts w:ascii="Arial" w:hAnsi="Arial" w:cs="Arial"/>
        </w:rPr>
        <w:t xml:space="preserve"> (</w:t>
      </w:r>
      <w:r w:rsidR="00847085" w:rsidRPr="00936E46">
        <w:rPr>
          <w:rFonts w:ascii="Arial" w:hAnsi="Arial" w:cs="Arial"/>
          <w:color w:val="000000" w:themeColor="text1"/>
          <w:shd w:val="clear" w:color="auto" w:fill="FFFFFF"/>
          <w:lang w:val="en-US"/>
        </w:rPr>
        <w:t>Future Shock, 2022)</w:t>
      </w:r>
      <w:r w:rsidR="009B313C" w:rsidRPr="00936E46">
        <w:rPr>
          <w:rFonts w:ascii="Arial" w:hAnsi="Arial" w:cs="Arial"/>
        </w:rPr>
        <w:t xml:space="preserve">. This can be achieved by showcasing </w:t>
      </w:r>
      <w:r w:rsidR="00A97A19" w:rsidRPr="00936E46">
        <w:rPr>
          <w:rFonts w:ascii="Arial" w:hAnsi="Arial" w:cs="Arial"/>
        </w:rPr>
        <w:t>The Ledbury’s</w:t>
      </w:r>
      <w:r w:rsidR="009B313C" w:rsidRPr="00936E46">
        <w:rPr>
          <w:rFonts w:ascii="Arial" w:hAnsi="Arial" w:cs="Arial"/>
        </w:rPr>
        <w:t xml:space="preserve"> culture, values, and employee benefits. Establishing a strong employer brand involves showcasing </w:t>
      </w:r>
      <w:r w:rsidR="00FC0A19" w:rsidRPr="00936E46">
        <w:rPr>
          <w:rFonts w:ascii="Arial" w:hAnsi="Arial" w:cs="Arial"/>
        </w:rPr>
        <w:t>The Ledbury’s</w:t>
      </w:r>
      <w:r w:rsidR="009B313C" w:rsidRPr="00936E46">
        <w:rPr>
          <w:rFonts w:ascii="Arial" w:hAnsi="Arial" w:cs="Arial"/>
        </w:rPr>
        <w:t xml:space="preserve"> culture, values, and employee benefits.</w:t>
      </w:r>
      <w:r w:rsidR="005D0C11" w:rsidRPr="00936E46">
        <w:rPr>
          <w:rFonts w:ascii="Arial" w:hAnsi="Arial" w:cs="Arial"/>
        </w:rPr>
        <w:t xml:space="preserve"> U</w:t>
      </w:r>
      <w:r w:rsidR="009B313C" w:rsidRPr="00936E46">
        <w:rPr>
          <w:rFonts w:ascii="Arial" w:hAnsi="Arial" w:cs="Arial"/>
        </w:rPr>
        <w:t xml:space="preserve">se website and social media platforms to highlight </w:t>
      </w:r>
      <w:r w:rsidR="00FC0A19" w:rsidRPr="00936E46">
        <w:rPr>
          <w:rFonts w:ascii="Arial" w:hAnsi="Arial" w:cs="Arial"/>
        </w:rPr>
        <w:t>The Ledbury’s</w:t>
      </w:r>
      <w:r w:rsidR="009B313C" w:rsidRPr="00936E46">
        <w:rPr>
          <w:rFonts w:ascii="Arial" w:hAnsi="Arial" w:cs="Arial"/>
        </w:rPr>
        <w:t xml:space="preserve"> </w:t>
      </w:r>
      <w:r w:rsidR="009B313C" w:rsidRPr="00936E46">
        <w:rPr>
          <w:rFonts w:ascii="Arial" w:hAnsi="Arial" w:cs="Arial"/>
        </w:rPr>
        <w:lastRenderedPageBreak/>
        <w:t xml:space="preserve">unique selling points and create a positive image of </w:t>
      </w:r>
      <w:r w:rsidR="00A97A19" w:rsidRPr="00936E46">
        <w:rPr>
          <w:rFonts w:ascii="Arial" w:hAnsi="Arial" w:cs="Arial"/>
        </w:rPr>
        <w:t>The Ledbury restaurant</w:t>
      </w:r>
      <w:r w:rsidR="009B313C" w:rsidRPr="00936E46">
        <w:rPr>
          <w:rFonts w:ascii="Arial" w:hAnsi="Arial" w:cs="Arial"/>
        </w:rPr>
        <w:t>.</w:t>
      </w:r>
      <w:r w:rsidRPr="00936E46">
        <w:rPr>
          <w:rFonts w:ascii="Arial" w:hAnsi="Arial" w:cs="Arial"/>
        </w:rPr>
        <w:t xml:space="preserve"> </w:t>
      </w:r>
      <w:r w:rsidR="009B313C" w:rsidRPr="00936E46">
        <w:rPr>
          <w:rFonts w:ascii="Arial" w:hAnsi="Arial" w:cs="Arial"/>
        </w:rPr>
        <w:t>Employer branding is the process of establishing a positive image of the organi</w:t>
      </w:r>
      <w:r w:rsidR="00F25E43" w:rsidRPr="00936E46">
        <w:rPr>
          <w:rFonts w:ascii="Arial" w:hAnsi="Arial" w:cs="Arial"/>
        </w:rPr>
        <w:t>s</w:t>
      </w:r>
      <w:r w:rsidR="009B313C" w:rsidRPr="00936E46">
        <w:rPr>
          <w:rFonts w:ascii="Arial" w:hAnsi="Arial" w:cs="Arial"/>
        </w:rPr>
        <w:t>ation as an employer</w:t>
      </w:r>
      <w:r w:rsidR="00E87BBA" w:rsidRPr="00936E46">
        <w:rPr>
          <w:rFonts w:ascii="Arial" w:hAnsi="Arial" w:cs="Arial"/>
        </w:rPr>
        <w:t xml:space="preserve"> (</w:t>
      </w:r>
      <w:r w:rsidR="00E87BBA" w:rsidRPr="00936E46">
        <w:rPr>
          <w:rFonts w:ascii="Arial" w:hAnsi="Arial" w:cs="Arial"/>
          <w:color w:val="222222"/>
          <w:shd w:val="clear" w:color="auto" w:fill="FFFFFF"/>
        </w:rPr>
        <w:t>Bersin and Chamorro-</w:t>
      </w:r>
      <w:proofErr w:type="spellStart"/>
      <w:r w:rsidR="00E87BBA" w:rsidRPr="00936E46">
        <w:rPr>
          <w:rFonts w:ascii="Arial" w:hAnsi="Arial" w:cs="Arial"/>
          <w:color w:val="222222"/>
          <w:shd w:val="clear" w:color="auto" w:fill="FFFFFF"/>
        </w:rPr>
        <w:t>Premuzic</w:t>
      </w:r>
      <w:proofErr w:type="spellEnd"/>
      <w:r w:rsidR="00E87BBA" w:rsidRPr="00936E46">
        <w:rPr>
          <w:rFonts w:ascii="Arial" w:hAnsi="Arial" w:cs="Arial"/>
          <w:color w:val="222222"/>
          <w:shd w:val="clear" w:color="auto" w:fill="FFFFFF"/>
        </w:rPr>
        <w:t>, 2019)</w:t>
      </w:r>
      <w:r w:rsidR="009B313C" w:rsidRPr="00936E46">
        <w:rPr>
          <w:rFonts w:ascii="Arial" w:hAnsi="Arial" w:cs="Arial"/>
        </w:rPr>
        <w:t xml:space="preserve">. </w:t>
      </w:r>
    </w:p>
    <w:p w14:paraId="62E5969D" w14:textId="08E14E08" w:rsidR="009B313C" w:rsidRDefault="008A1CC2" w:rsidP="005F40F8">
      <w:pPr>
        <w:spacing w:before="120" w:line="360" w:lineRule="auto"/>
        <w:jc w:val="both"/>
        <w:rPr>
          <w:rFonts w:ascii="Times New Roman" w:hAnsi="Times New Roman" w:cs="Times New Roman"/>
        </w:rPr>
      </w:pPr>
      <w:r w:rsidRPr="00936E46">
        <w:rPr>
          <w:rFonts w:ascii="Arial" w:hAnsi="Arial" w:cs="Arial"/>
          <w:noProof/>
        </w:rPr>
        <w:drawing>
          <wp:inline distT="0" distB="0" distL="0" distR="0" wp14:anchorId="467B3E1B" wp14:editId="45EF6DB2">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rPr>
        <w:t xml:space="preserve">2. </w:t>
      </w:r>
      <w:r w:rsidRPr="004E41D0">
        <w:rPr>
          <w:rFonts w:ascii="Arial" w:hAnsi="Arial" w:cs="Arial"/>
          <w:b/>
          <w:bCs/>
        </w:rPr>
        <w:t>Career Development Programs:</w:t>
      </w:r>
      <w:r w:rsidRPr="00936E46">
        <w:rPr>
          <w:rFonts w:ascii="Arial" w:hAnsi="Arial" w:cs="Arial"/>
        </w:rPr>
        <w:t xml:space="preserve"> Career development programs can be established to promote employee growth and development. The Ledbury can provide training programs, mentorship opportunities, and career advancement opportunities to its employees to retain top talent and attract potential candidates. This method can demonstrate to potential candidates that The Ledbury values employee growth and development and is willing to invest in its employees' careers. Offering training and development opportunities can help attract candidates who are interested in growing their skills and advancing their careers. Investing in The Ledbury’s employee growth and development can help retain talent and improve employee engagement. Offering training and development opportunities can help attract candidates who are interested in growing their skills and advancing their careers. Offer training programs, mentorship opportunities, and career development plans to show potential candidates that are committed to their professional growth. </w:t>
      </w:r>
      <w:r w:rsidR="00E87BBA" w:rsidRPr="00936E46">
        <w:rPr>
          <w:rFonts w:ascii="Arial" w:hAnsi="Arial" w:cs="Arial"/>
        </w:rPr>
        <w:t xml:space="preserve">According to </w:t>
      </w:r>
      <w:proofErr w:type="spellStart"/>
      <w:r w:rsidR="00E87BBA" w:rsidRPr="00936E46">
        <w:rPr>
          <w:rFonts w:ascii="Arial" w:hAnsi="Arial" w:cs="Arial"/>
          <w:color w:val="222222"/>
          <w:shd w:val="clear" w:color="auto" w:fill="FFFFFF"/>
        </w:rPr>
        <w:t>Hongal</w:t>
      </w:r>
      <w:proofErr w:type="spellEnd"/>
      <w:r w:rsidR="00E87BBA" w:rsidRPr="00936E46">
        <w:rPr>
          <w:rFonts w:ascii="Arial" w:hAnsi="Arial" w:cs="Arial"/>
          <w:color w:val="222222"/>
          <w:shd w:val="clear" w:color="auto" w:fill="FFFFFF"/>
        </w:rPr>
        <w:t xml:space="preserve"> and </w:t>
      </w:r>
      <w:proofErr w:type="spellStart"/>
      <w:r w:rsidR="00E87BBA" w:rsidRPr="00936E46">
        <w:rPr>
          <w:rFonts w:ascii="Arial" w:hAnsi="Arial" w:cs="Arial"/>
          <w:color w:val="222222"/>
          <w:shd w:val="clear" w:color="auto" w:fill="FFFFFF"/>
        </w:rPr>
        <w:t>Kinange</w:t>
      </w:r>
      <w:proofErr w:type="spellEnd"/>
      <w:r w:rsidR="00E87BBA" w:rsidRPr="00936E46">
        <w:rPr>
          <w:rFonts w:ascii="Arial" w:hAnsi="Arial" w:cs="Arial"/>
          <w:color w:val="222222"/>
          <w:shd w:val="clear" w:color="auto" w:fill="FFFFFF"/>
        </w:rPr>
        <w:t xml:space="preserve"> (2020) </w:t>
      </w:r>
      <w:r w:rsidR="00E87BBA" w:rsidRPr="00936E46">
        <w:rPr>
          <w:rFonts w:ascii="Arial" w:hAnsi="Arial" w:cs="Arial"/>
        </w:rPr>
        <w:t>o</w:t>
      </w:r>
      <w:r w:rsidR="009B313C" w:rsidRPr="00936E46">
        <w:rPr>
          <w:rFonts w:ascii="Arial" w:hAnsi="Arial" w:cs="Arial"/>
        </w:rPr>
        <w:t xml:space="preserve">ffering training and development opportunities can help attract candidates who are interested in growing their skills and advancing their careers. By investing in </w:t>
      </w:r>
      <w:r w:rsidR="0065430E" w:rsidRPr="00936E46">
        <w:rPr>
          <w:rFonts w:ascii="Arial" w:hAnsi="Arial" w:cs="Arial"/>
        </w:rPr>
        <w:t>The Ledbury’s</w:t>
      </w:r>
      <w:r w:rsidR="009B313C" w:rsidRPr="00936E46">
        <w:rPr>
          <w:rFonts w:ascii="Arial" w:hAnsi="Arial" w:cs="Arial"/>
        </w:rPr>
        <w:t xml:space="preserve"> employees,</w:t>
      </w:r>
      <w:r w:rsidR="005F40F8" w:rsidRPr="00936E46">
        <w:rPr>
          <w:rFonts w:ascii="Arial" w:hAnsi="Arial" w:cs="Arial"/>
        </w:rPr>
        <w:t xml:space="preserve"> </w:t>
      </w:r>
      <w:r w:rsidR="009B313C" w:rsidRPr="00936E46">
        <w:rPr>
          <w:rFonts w:ascii="Arial" w:hAnsi="Arial" w:cs="Arial"/>
        </w:rPr>
        <w:t>can improve their performance and job satisfaction, which can lead to better retention rates.</w:t>
      </w:r>
    </w:p>
    <w:p w14:paraId="3598EC2E" w14:textId="52A88269" w:rsidR="008A1CC2" w:rsidRPr="00936E46" w:rsidRDefault="008A1CC2" w:rsidP="008A1CC2">
      <w:pPr>
        <w:spacing w:before="120" w:line="360" w:lineRule="auto"/>
        <w:jc w:val="both"/>
        <w:rPr>
          <w:rFonts w:ascii="Arial" w:hAnsi="Arial" w:cs="Arial"/>
        </w:rPr>
      </w:pPr>
      <w:r w:rsidRPr="00936E46">
        <w:rPr>
          <w:rFonts w:ascii="Arial" w:hAnsi="Arial" w:cs="Arial"/>
          <w:noProof/>
        </w:rPr>
        <w:lastRenderedPageBreak/>
        <w:drawing>
          <wp:inline distT="0" distB="0" distL="0" distR="0" wp14:anchorId="259FD60E" wp14:editId="5AE56410">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4E41D0">
        <w:rPr>
          <w:rFonts w:ascii="Times New Roman" w:hAnsi="Times New Roman" w:cs="Times New Roman"/>
          <w:b/>
          <w:bCs/>
        </w:rPr>
        <w:t xml:space="preserve">3. </w:t>
      </w:r>
      <w:r w:rsidRPr="004E41D0">
        <w:rPr>
          <w:rFonts w:ascii="Arial" w:hAnsi="Arial" w:cs="Arial"/>
          <w:b/>
          <w:bCs/>
        </w:rPr>
        <w:t>Diversity and Inclusion Initiatives</w:t>
      </w:r>
    </w:p>
    <w:p w14:paraId="1DF8B44B" w14:textId="38CBE393" w:rsidR="008A1CC2" w:rsidRPr="00F25E43" w:rsidRDefault="008A1CC2" w:rsidP="008A1CC2">
      <w:pPr>
        <w:spacing w:before="120" w:line="360" w:lineRule="auto"/>
        <w:jc w:val="both"/>
        <w:rPr>
          <w:rFonts w:ascii="Times New Roman" w:hAnsi="Times New Roman" w:cs="Times New Roman"/>
        </w:rPr>
      </w:pPr>
      <w:r w:rsidRPr="00936E46">
        <w:rPr>
          <w:rFonts w:ascii="Arial" w:hAnsi="Arial" w:cs="Arial"/>
        </w:rPr>
        <w:t>Diversity and inclusion initiatives can be implemented to attract a diverse pool of potential candidates. The Ledbury can establish initiatives that promote diversity and inclusivity, such as removing biased language from job postings, offering flexible work arrangements, and promoting equal opportunities. This method can attract candidates from different backgrounds and cultures and promote a positive and inclusive work environment</w:t>
      </w:r>
      <w:r w:rsidRPr="008A1CC2">
        <w:rPr>
          <w:rFonts w:ascii="Times New Roman" w:hAnsi="Times New Roman" w:cs="Times New Roman"/>
        </w:rPr>
        <w:t>.</w:t>
      </w:r>
    </w:p>
    <w:p w14:paraId="586AC751" w14:textId="49CC3A11" w:rsidR="00863FC5" w:rsidRPr="00F25E43" w:rsidRDefault="008A1CC2" w:rsidP="005F40F8">
      <w:pPr>
        <w:spacing w:before="120" w:line="360" w:lineRule="auto"/>
        <w:jc w:val="both"/>
        <w:rPr>
          <w:rFonts w:ascii="Times New Roman" w:hAnsi="Times New Roman" w:cs="Times New Roman"/>
        </w:rPr>
      </w:pPr>
      <w:r w:rsidRPr="00936E46">
        <w:rPr>
          <w:rFonts w:ascii="Arial" w:hAnsi="Arial" w:cs="Arial"/>
          <w:noProof/>
        </w:rPr>
        <w:drawing>
          <wp:inline distT="0" distB="0" distL="0" distR="0" wp14:anchorId="3ADC6A9A" wp14:editId="22A54EEA">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4D16892E" w14:textId="2006293F" w:rsidR="009B313C" w:rsidRPr="004E41D0" w:rsidRDefault="009B313C" w:rsidP="005F40F8">
      <w:pPr>
        <w:spacing w:before="120" w:line="360" w:lineRule="auto"/>
        <w:jc w:val="both"/>
        <w:rPr>
          <w:rFonts w:ascii="Arial" w:hAnsi="Arial" w:cs="Arial"/>
          <w:b/>
          <w:bCs/>
        </w:rPr>
      </w:pPr>
      <w:r w:rsidRPr="004E41D0">
        <w:rPr>
          <w:rFonts w:ascii="Arial" w:hAnsi="Arial" w:cs="Arial"/>
          <w:b/>
          <w:bCs/>
        </w:rPr>
        <w:lastRenderedPageBreak/>
        <w:t>Part 2: Incentive Methods</w:t>
      </w:r>
    </w:p>
    <w:p w14:paraId="48DAAF6E" w14:textId="19D9CF66" w:rsidR="008A1CC2" w:rsidRPr="00936E46" w:rsidRDefault="008A1CC2" w:rsidP="005F40F8">
      <w:pPr>
        <w:spacing w:before="120" w:line="360" w:lineRule="auto"/>
        <w:jc w:val="both"/>
        <w:rPr>
          <w:rFonts w:ascii="Arial" w:hAnsi="Arial" w:cs="Arial"/>
        </w:rPr>
      </w:pPr>
      <w:r w:rsidRPr="00936E46">
        <w:rPr>
          <w:rFonts w:ascii="Arial" w:hAnsi="Arial" w:cs="Arial"/>
        </w:rPr>
        <w:t>Attracting and retaining top talent in the restaurant industry can be a daunting task, especially in the current labour shortage. To remain competitive and attract potential candidates to work in the restaurant operations that consist of causal and fine dining, The Ledbury needs to offer incentives that go beyond just salary and benefits. In this article, we will identify and explain four different incentives methods, two monetary and two non-monetary, that can attract potential candidates to work in The Ledbury's restaurant operations.</w:t>
      </w:r>
    </w:p>
    <w:p w14:paraId="74997A08" w14:textId="061759BF" w:rsidR="009B313C" w:rsidRPr="004E41D0" w:rsidRDefault="009B313C" w:rsidP="005F40F8">
      <w:pPr>
        <w:spacing w:before="120" w:line="360" w:lineRule="auto"/>
        <w:jc w:val="both"/>
        <w:rPr>
          <w:rFonts w:ascii="Arial" w:hAnsi="Arial" w:cs="Arial"/>
          <w:b/>
          <w:bCs/>
        </w:rPr>
      </w:pPr>
      <w:r w:rsidRPr="004E41D0">
        <w:rPr>
          <w:rFonts w:ascii="Arial" w:hAnsi="Arial" w:cs="Arial"/>
          <w:b/>
          <w:bCs/>
        </w:rPr>
        <w:t>Monetary Incentives:</w:t>
      </w:r>
    </w:p>
    <w:p w14:paraId="6AC0678A" w14:textId="04CC2BFA" w:rsidR="009B313C" w:rsidRPr="00936E46" w:rsidRDefault="008A1CC2" w:rsidP="008A1CC2">
      <w:pPr>
        <w:spacing w:before="120" w:line="360" w:lineRule="auto"/>
        <w:jc w:val="both"/>
        <w:rPr>
          <w:rFonts w:ascii="Arial" w:hAnsi="Arial" w:cs="Arial"/>
        </w:rPr>
      </w:pPr>
      <w:r w:rsidRPr="00936E46">
        <w:rPr>
          <w:rFonts w:ascii="Arial" w:hAnsi="Arial" w:cs="Arial"/>
        </w:rPr>
        <w:t xml:space="preserve">1. </w:t>
      </w:r>
      <w:r w:rsidRPr="00CA33B3">
        <w:rPr>
          <w:rFonts w:ascii="Arial" w:hAnsi="Arial" w:cs="Arial"/>
          <w:b/>
          <w:bCs/>
        </w:rPr>
        <w:t>Sign-On Bonuses</w:t>
      </w:r>
      <w:r w:rsidRPr="00936E46">
        <w:rPr>
          <w:rFonts w:ascii="Arial" w:hAnsi="Arial" w:cs="Arial"/>
        </w:rPr>
        <w:t xml:space="preserve">: A sign-on bonus is a one-time payment given to a new employee at the time of hire. It is usually offered to attract potential candidates and encourage them to accept the job offer. Sign-on bonuses can vary in amount depending on the job position and the company's budget. Offering sign-on bonuses can attract potential candidates who are considering multiple job offers or are hesitant to leave their current job. It can also demonstrate to potential candidates that The Ledbury values their skills and experience </w:t>
      </w:r>
      <w:r w:rsidR="00F25E43" w:rsidRPr="00936E46">
        <w:rPr>
          <w:rFonts w:ascii="Arial" w:hAnsi="Arial" w:cs="Arial"/>
        </w:rPr>
        <w:t>(</w:t>
      </w:r>
      <w:r w:rsidR="00E87BBA" w:rsidRPr="00936E46">
        <w:rPr>
          <w:rFonts w:ascii="Arial" w:hAnsi="Arial" w:cs="Arial"/>
          <w:color w:val="222222"/>
          <w:shd w:val="clear" w:color="auto" w:fill="FFFFFF"/>
        </w:rPr>
        <w:t xml:space="preserve">Johnson et al., </w:t>
      </w:r>
      <w:r w:rsidR="00F25E43" w:rsidRPr="00936E46">
        <w:rPr>
          <w:rFonts w:ascii="Arial" w:hAnsi="Arial" w:cs="Arial"/>
          <w:color w:val="222222"/>
          <w:shd w:val="clear" w:color="auto" w:fill="FFFFFF"/>
        </w:rPr>
        <w:t>2020)</w:t>
      </w:r>
      <w:r w:rsidR="009B313C" w:rsidRPr="00936E46">
        <w:rPr>
          <w:rFonts w:ascii="Arial" w:hAnsi="Arial" w:cs="Arial"/>
        </w:rPr>
        <w:t xml:space="preserve">. Offering competitive wages and benefits can help </w:t>
      </w:r>
      <w:r w:rsidR="0065430E" w:rsidRPr="00936E46">
        <w:rPr>
          <w:rFonts w:ascii="Arial" w:hAnsi="Arial" w:cs="Arial"/>
        </w:rPr>
        <w:t>The Ledbury’s</w:t>
      </w:r>
      <w:r w:rsidR="009B313C" w:rsidRPr="00936E46">
        <w:rPr>
          <w:rFonts w:ascii="Arial" w:hAnsi="Arial" w:cs="Arial"/>
        </w:rPr>
        <w:t xml:space="preserve"> attract and retain top talent. Offer sign-on bonuses to new employees to incentivize them to </w:t>
      </w:r>
      <w:r w:rsidR="0065430E" w:rsidRPr="00936E46">
        <w:rPr>
          <w:rFonts w:ascii="Arial" w:hAnsi="Arial" w:cs="Arial"/>
        </w:rPr>
        <w:t xml:space="preserve">The Ledbury’s </w:t>
      </w:r>
      <w:r w:rsidR="00F25E43" w:rsidRPr="00936E46">
        <w:rPr>
          <w:rFonts w:ascii="Arial" w:hAnsi="Arial" w:cs="Arial"/>
        </w:rPr>
        <w:t>and</w:t>
      </w:r>
      <w:r w:rsidR="009B313C" w:rsidRPr="00936E46">
        <w:rPr>
          <w:rFonts w:ascii="Arial" w:hAnsi="Arial" w:cs="Arial"/>
        </w:rPr>
        <w:t xml:space="preserve"> can also offer performance-based bonuses to reward employees for their hard work and achievements.</w:t>
      </w:r>
    </w:p>
    <w:p w14:paraId="2A3201D7" w14:textId="68BB458D" w:rsidR="009B313C" w:rsidRPr="00F25E43" w:rsidRDefault="008A1CC2" w:rsidP="005F40F8">
      <w:pPr>
        <w:spacing w:before="120" w:line="360" w:lineRule="auto"/>
        <w:jc w:val="both"/>
        <w:rPr>
          <w:rFonts w:ascii="Times New Roman" w:hAnsi="Times New Roman" w:cs="Times New Roman"/>
        </w:rPr>
      </w:pPr>
      <w:r w:rsidRPr="00936E46">
        <w:rPr>
          <w:rFonts w:ascii="Arial" w:hAnsi="Arial" w:cs="Arial"/>
          <w:noProof/>
        </w:rPr>
        <w:lastRenderedPageBreak/>
        <w:drawing>
          <wp:inline distT="0" distB="0" distL="0" distR="0" wp14:anchorId="73682F6D" wp14:editId="543D6194">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936E46">
        <w:rPr>
          <w:rFonts w:ascii="Arial" w:hAnsi="Arial" w:cs="Arial"/>
        </w:rPr>
        <w:t xml:space="preserve">2. </w:t>
      </w:r>
      <w:r w:rsidRPr="004E41D0">
        <w:rPr>
          <w:rFonts w:ascii="Arial" w:hAnsi="Arial" w:cs="Arial"/>
          <w:b/>
          <w:bCs/>
        </w:rPr>
        <w:t>Performance-Based Incentives:</w:t>
      </w:r>
      <w:r w:rsidRPr="00936E46">
        <w:rPr>
          <w:rFonts w:ascii="Arial" w:hAnsi="Arial" w:cs="Arial"/>
        </w:rPr>
        <w:t xml:space="preserve"> Performance-based incentives are monetary rewards given to employees who meet or exceed specific performance goals or targets. These incentives can take many forms, such as bonuses, commissions, profit sharing, or stock options. Offering performance-based incentives can motivate employees to perform at their best, increase productivity and efficiency, and contribute to The Ledbury's success. It can also attract potential candidates who are driven by performance-based incentives and are willing to work hard to achieve them. It </w:t>
      </w:r>
      <w:r w:rsidR="009B313C" w:rsidRPr="00936E46">
        <w:rPr>
          <w:rFonts w:ascii="Arial" w:hAnsi="Arial" w:cs="Arial"/>
        </w:rPr>
        <w:t xml:space="preserve">can be linked to performance metrics or tenure, which can motivate employees to work harder and stay with </w:t>
      </w:r>
      <w:r w:rsidR="0065430E" w:rsidRPr="00936E46">
        <w:rPr>
          <w:rFonts w:ascii="Arial" w:hAnsi="Arial" w:cs="Arial"/>
        </w:rPr>
        <w:t xml:space="preserve">The Ledbury </w:t>
      </w:r>
      <w:r w:rsidR="009B313C" w:rsidRPr="00936E46">
        <w:rPr>
          <w:rFonts w:ascii="Arial" w:hAnsi="Arial" w:cs="Arial"/>
        </w:rPr>
        <w:t>company longer</w:t>
      </w:r>
      <w:r w:rsidR="009B313C" w:rsidRPr="00F25E43">
        <w:rPr>
          <w:rFonts w:ascii="Times New Roman" w:hAnsi="Times New Roman" w:cs="Times New Roman"/>
        </w:rPr>
        <w:t xml:space="preserve">. </w:t>
      </w:r>
    </w:p>
    <w:p w14:paraId="5B7D69B3" w14:textId="162C7DFF" w:rsidR="009B313C" w:rsidRPr="004E41D0" w:rsidRDefault="008A1CC2" w:rsidP="005F40F8">
      <w:pPr>
        <w:spacing w:before="120" w:line="360" w:lineRule="auto"/>
        <w:jc w:val="both"/>
        <w:rPr>
          <w:rFonts w:ascii="Arial" w:hAnsi="Arial" w:cs="Arial"/>
          <w:b/>
          <w:bCs/>
        </w:rPr>
      </w:pPr>
      <w:r w:rsidRPr="00936E46">
        <w:rPr>
          <w:rFonts w:ascii="Arial" w:hAnsi="Arial" w:cs="Arial"/>
          <w:noProof/>
        </w:rPr>
        <w:lastRenderedPageBreak/>
        <w:drawing>
          <wp:inline distT="0" distB="0" distL="0" distR="0" wp14:anchorId="43EA4C12" wp14:editId="1523BFB1">
            <wp:extent cx="5731510" cy="32238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009B313C" w:rsidRPr="004E41D0">
        <w:rPr>
          <w:rFonts w:ascii="Arial" w:hAnsi="Arial" w:cs="Arial"/>
          <w:b/>
          <w:bCs/>
        </w:rPr>
        <w:t>Non-Monetary Incentives:</w:t>
      </w:r>
    </w:p>
    <w:p w14:paraId="1F865E8A" w14:textId="30DD55CF" w:rsidR="009B313C" w:rsidRPr="00936E46" w:rsidRDefault="008A1CC2" w:rsidP="008A1CC2">
      <w:pPr>
        <w:spacing w:before="120" w:line="360" w:lineRule="auto"/>
        <w:jc w:val="both"/>
        <w:rPr>
          <w:rFonts w:ascii="Arial" w:hAnsi="Arial" w:cs="Arial"/>
        </w:rPr>
      </w:pPr>
      <w:r w:rsidRPr="00936E46">
        <w:rPr>
          <w:rFonts w:ascii="Arial" w:hAnsi="Arial" w:cs="Arial"/>
        </w:rPr>
        <w:t xml:space="preserve">1. </w:t>
      </w:r>
      <w:r w:rsidRPr="004E41D0">
        <w:rPr>
          <w:rFonts w:ascii="Arial" w:hAnsi="Arial" w:cs="Arial"/>
          <w:b/>
          <w:bCs/>
        </w:rPr>
        <w:t>Career Development Programs:</w:t>
      </w:r>
      <w:r w:rsidRPr="00936E46">
        <w:rPr>
          <w:rFonts w:ascii="Arial" w:hAnsi="Arial" w:cs="Arial"/>
        </w:rPr>
        <w:t xml:space="preserve"> Career development programs can be offered as a non-monetary incentive to attract potential candidates and retain top talent. These programs can include mentorship programs, leadership development programs, tuition reimbursement, or job rotation programs. Offering career development programs can demonstrate to potential candidates that The Ledbury values its employees' personal and professional growth and is willing to invest in their future. It can also improve employee satisfaction and retention, as it shows that The Ledbury is committed to helping employees achieve their career goals. </w:t>
      </w:r>
      <w:r w:rsidR="00F25E43" w:rsidRPr="00936E46">
        <w:rPr>
          <w:rFonts w:ascii="Arial" w:hAnsi="Arial" w:cs="Arial"/>
          <w:color w:val="222222"/>
          <w:shd w:val="clear" w:color="auto" w:fill="FFFFFF"/>
        </w:rPr>
        <w:t>Neri</w:t>
      </w:r>
      <w:r w:rsidR="00F25E43" w:rsidRPr="00936E46">
        <w:rPr>
          <w:rFonts w:ascii="Arial" w:hAnsi="Arial" w:cs="Arial"/>
          <w:color w:val="222222"/>
          <w:shd w:val="clear" w:color="auto" w:fill="FFFFFF"/>
          <w:lang w:val="en-US"/>
        </w:rPr>
        <w:t xml:space="preserve"> </w:t>
      </w:r>
      <w:r w:rsidR="00F25E43" w:rsidRPr="00936E46">
        <w:rPr>
          <w:rFonts w:ascii="Arial" w:hAnsi="Arial" w:cs="Arial"/>
          <w:color w:val="222222"/>
          <w:shd w:val="clear" w:color="auto" w:fill="FFFFFF"/>
        </w:rPr>
        <w:t>and Wilkins</w:t>
      </w:r>
      <w:r w:rsidRPr="00936E46">
        <w:rPr>
          <w:rFonts w:ascii="Arial" w:hAnsi="Arial" w:cs="Arial"/>
          <w:color w:val="222222"/>
          <w:shd w:val="clear" w:color="auto" w:fill="FFFFFF"/>
          <w:lang w:val="en-US"/>
        </w:rPr>
        <w:t xml:space="preserve"> (</w:t>
      </w:r>
      <w:r w:rsidR="00F25E43" w:rsidRPr="00936E46">
        <w:rPr>
          <w:rFonts w:ascii="Arial" w:hAnsi="Arial" w:cs="Arial"/>
          <w:color w:val="222222"/>
          <w:shd w:val="clear" w:color="auto" w:fill="FFFFFF"/>
        </w:rPr>
        <w:t>2019</w:t>
      </w:r>
      <w:r w:rsidRPr="00936E46">
        <w:rPr>
          <w:rFonts w:ascii="Arial" w:hAnsi="Arial" w:cs="Arial"/>
          <w:color w:val="222222"/>
          <w:shd w:val="clear" w:color="auto" w:fill="FFFFFF"/>
          <w:lang w:val="en-US"/>
        </w:rPr>
        <w:t xml:space="preserve">) cited that </w:t>
      </w:r>
      <w:r w:rsidRPr="00936E46">
        <w:rPr>
          <w:rFonts w:ascii="Arial" w:hAnsi="Arial" w:cs="Arial"/>
        </w:rPr>
        <w:t>p</w:t>
      </w:r>
      <w:r w:rsidR="009B313C" w:rsidRPr="00936E46">
        <w:rPr>
          <w:rFonts w:ascii="Arial" w:hAnsi="Arial" w:cs="Arial"/>
        </w:rPr>
        <w:t xml:space="preserve">roviding options such as part-time or remote work can help accommodate employees' needs. Offering flexible scheduling options can be a non-monetary incentive that attracts candidates who value work-life balance. </w:t>
      </w:r>
      <w:r w:rsidR="005F40F8" w:rsidRPr="00936E46">
        <w:rPr>
          <w:rFonts w:ascii="Arial" w:hAnsi="Arial" w:cs="Arial"/>
        </w:rPr>
        <w:t>C</w:t>
      </w:r>
      <w:r w:rsidR="009B313C" w:rsidRPr="00936E46">
        <w:rPr>
          <w:rFonts w:ascii="Arial" w:hAnsi="Arial" w:cs="Arial"/>
        </w:rPr>
        <w:t xml:space="preserve">an offer part-time, full-time, or remote work options, depending on the needs of </w:t>
      </w:r>
      <w:r w:rsidR="0065430E" w:rsidRPr="00936E46">
        <w:rPr>
          <w:rFonts w:ascii="Arial" w:hAnsi="Arial" w:cs="Arial"/>
        </w:rPr>
        <w:t>The Ledbury’s</w:t>
      </w:r>
      <w:r w:rsidR="009B313C" w:rsidRPr="00936E46">
        <w:rPr>
          <w:rFonts w:ascii="Arial" w:hAnsi="Arial" w:cs="Arial"/>
        </w:rPr>
        <w:t xml:space="preserve"> employees and the requirements of </w:t>
      </w:r>
      <w:r w:rsidR="0065430E" w:rsidRPr="00936E46">
        <w:rPr>
          <w:rFonts w:ascii="Arial" w:hAnsi="Arial" w:cs="Arial"/>
        </w:rPr>
        <w:t xml:space="preserve">The Ledbury’s </w:t>
      </w:r>
      <w:r w:rsidR="009B313C" w:rsidRPr="00936E46">
        <w:rPr>
          <w:rFonts w:ascii="Arial" w:hAnsi="Arial" w:cs="Arial"/>
        </w:rPr>
        <w:t>restaurant operations. Non-monetary incentives can also be effective in attracting and retaining talent. These incentives can include flexible work schedules, telecommuting options, and work-life balance programs. By offering these incentives, can show potential candidates that value their personal and professional lives and are committed to creating a positive work environment.</w:t>
      </w:r>
    </w:p>
    <w:p w14:paraId="00E58836" w14:textId="43707278" w:rsidR="009B313C" w:rsidRPr="00936E46" w:rsidRDefault="008A1CC2" w:rsidP="005F40F8">
      <w:pPr>
        <w:spacing w:before="120" w:line="360" w:lineRule="auto"/>
        <w:jc w:val="both"/>
        <w:rPr>
          <w:rFonts w:ascii="Arial" w:hAnsi="Arial" w:cs="Arial"/>
        </w:rPr>
      </w:pPr>
      <w:r w:rsidRPr="00936E46">
        <w:rPr>
          <w:rFonts w:ascii="Arial" w:hAnsi="Arial" w:cs="Arial"/>
          <w:noProof/>
        </w:rPr>
        <w:lastRenderedPageBreak/>
        <w:drawing>
          <wp:inline distT="0" distB="0" distL="0" distR="0" wp14:anchorId="4BE43697" wp14:editId="6A6E7BC6">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936E46">
        <w:rPr>
          <w:rFonts w:ascii="Arial" w:hAnsi="Arial" w:cs="Arial"/>
        </w:rPr>
        <w:t xml:space="preserve">2. </w:t>
      </w:r>
      <w:r w:rsidR="009B313C" w:rsidRPr="00936E46">
        <w:rPr>
          <w:rFonts w:ascii="Arial" w:hAnsi="Arial" w:cs="Arial"/>
        </w:rPr>
        <w:t xml:space="preserve"> </w:t>
      </w:r>
      <w:r w:rsidR="009B313C" w:rsidRPr="004E41D0">
        <w:rPr>
          <w:rFonts w:ascii="Arial" w:hAnsi="Arial" w:cs="Arial"/>
          <w:b/>
          <w:bCs/>
        </w:rPr>
        <w:t>Employee Perks:</w:t>
      </w:r>
      <w:r w:rsidR="009B313C" w:rsidRPr="00936E46">
        <w:rPr>
          <w:rFonts w:ascii="Arial" w:hAnsi="Arial" w:cs="Arial"/>
        </w:rPr>
        <w:t xml:space="preserve"> Offering employee perks such as free meals, health benefits, and employee discounts can improve employee satisfaction and retention. Employee perks can be tailored to meet employees' needs and interests. Offering employee perks such as free meals, health benefits, and employee discounts can improve employee satisfaction and retention. Employee perks can be tailored to meet employees' needs and interests, such as offering gym memberships, wellness programs, or paid time off for volunteer work.</w:t>
      </w:r>
      <w:r w:rsidR="005D0C11" w:rsidRPr="00936E46">
        <w:rPr>
          <w:rFonts w:ascii="Arial" w:hAnsi="Arial" w:cs="Arial"/>
        </w:rPr>
        <w:t xml:space="preserve"> Referral programs can be an effective way to attract talent. In addition to offering a cash bonus to employees who refer qualified candidates, also offer other rewards such as extra vacation days or </w:t>
      </w:r>
      <w:r w:rsidR="0065430E" w:rsidRPr="00936E46">
        <w:rPr>
          <w:rFonts w:ascii="Arial" w:hAnsi="Arial" w:cs="Arial"/>
        </w:rPr>
        <w:t>The Ledbury’s</w:t>
      </w:r>
      <w:r w:rsidR="005D0C11" w:rsidRPr="00936E46">
        <w:rPr>
          <w:rFonts w:ascii="Arial" w:hAnsi="Arial" w:cs="Arial"/>
        </w:rPr>
        <w:t xml:space="preserve"> merchandise. By incentivizing employees to refer candidates, can tap into their network and attract high-quality candidates who are a good fit for organi</w:t>
      </w:r>
      <w:r w:rsidR="00F25E43" w:rsidRPr="00936E46">
        <w:rPr>
          <w:rFonts w:ascii="Arial" w:hAnsi="Arial" w:cs="Arial"/>
        </w:rPr>
        <w:t>s</w:t>
      </w:r>
      <w:r w:rsidR="005D0C11" w:rsidRPr="00936E46">
        <w:rPr>
          <w:rFonts w:ascii="Arial" w:hAnsi="Arial" w:cs="Arial"/>
        </w:rPr>
        <w:t xml:space="preserve">ation. </w:t>
      </w:r>
    </w:p>
    <w:p w14:paraId="00A73C50" w14:textId="0BD7AD4E" w:rsidR="009B313C" w:rsidRPr="00936E46" w:rsidRDefault="005D0C11" w:rsidP="005F40F8">
      <w:pPr>
        <w:spacing w:before="120" w:line="360" w:lineRule="auto"/>
        <w:jc w:val="both"/>
        <w:rPr>
          <w:rFonts w:ascii="Arial" w:hAnsi="Arial" w:cs="Arial"/>
        </w:rPr>
      </w:pPr>
      <w:r w:rsidRPr="00936E46">
        <w:rPr>
          <w:rFonts w:ascii="Arial" w:hAnsi="Arial" w:cs="Arial"/>
        </w:rPr>
        <w:t>Offering career development opportunities can also be an effective incentive to attract and retain top talent</w:t>
      </w:r>
      <w:r w:rsidR="00F25E43" w:rsidRPr="00936E46">
        <w:rPr>
          <w:rFonts w:ascii="Arial" w:hAnsi="Arial" w:cs="Arial"/>
        </w:rPr>
        <w:t xml:space="preserve"> (</w:t>
      </w:r>
      <w:r w:rsidR="00F25E43" w:rsidRPr="00936E46">
        <w:rPr>
          <w:rFonts w:ascii="Arial" w:hAnsi="Arial" w:cs="Arial"/>
          <w:color w:val="222222"/>
          <w:shd w:val="clear" w:color="auto" w:fill="FFFFFF"/>
        </w:rPr>
        <w:t>Shet,</w:t>
      </w:r>
      <w:r w:rsidR="00F25E43" w:rsidRPr="00936E46">
        <w:rPr>
          <w:rFonts w:ascii="Arial" w:hAnsi="Arial" w:cs="Arial"/>
          <w:color w:val="222222"/>
          <w:shd w:val="clear" w:color="auto" w:fill="FFFFFF"/>
          <w:lang w:val="en-US"/>
        </w:rPr>
        <w:t xml:space="preserve"> </w:t>
      </w:r>
      <w:r w:rsidR="00F25E43" w:rsidRPr="00936E46">
        <w:rPr>
          <w:rFonts w:ascii="Arial" w:hAnsi="Arial" w:cs="Arial"/>
          <w:color w:val="222222"/>
          <w:shd w:val="clear" w:color="auto" w:fill="FFFFFF"/>
        </w:rPr>
        <w:t>2020</w:t>
      </w:r>
      <w:r w:rsidR="00F25E43" w:rsidRPr="00936E46">
        <w:rPr>
          <w:rFonts w:ascii="Arial" w:hAnsi="Arial" w:cs="Arial"/>
          <w:color w:val="222222"/>
          <w:shd w:val="clear" w:color="auto" w:fill="FFFFFF"/>
          <w:lang w:val="en-US"/>
        </w:rPr>
        <w:t>)</w:t>
      </w:r>
      <w:r w:rsidRPr="00936E46">
        <w:rPr>
          <w:rFonts w:ascii="Arial" w:hAnsi="Arial" w:cs="Arial"/>
        </w:rPr>
        <w:t>. By investing in employees' professional growth, can show that are committed to their long-term success. Can offer training programs, mentorship opportunities, and career development plans to help employees develop new skills and advance in their careers.</w:t>
      </w:r>
    </w:p>
    <w:p w14:paraId="2AC1817C" w14:textId="42F2C24E" w:rsidR="009B313C" w:rsidRPr="00936E46" w:rsidRDefault="008A1CC2" w:rsidP="005F40F8">
      <w:pPr>
        <w:spacing w:before="120" w:line="360" w:lineRule="auto"/>
        <w:jc w:val="both"/>
        <w:rPr>
          <w:rFonts w:ascii="Arial" w:hAnsi="Arial" w:cs="Arial"/>
        </w:rPr>
      </w:pPr>
      <w:r w:rsidRPr="00936E46">
        <w:rPr>
          <w:rFonts w:ascii="Arial" w:hAnsi="Arial" w:cs="Arial"/>
          <w:noProof/>
        </w:rPr>
        <w:lastRenderedPageBreak/>
        <w:drawing>
          <wp:inline distT="0" distB="0" distL="0" distR="0" wp14:anchorId="7614F27D" wp14:editId="10911B23">
            <wp:extent cx="5731510" cy="32238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009B313C" w:rsidRPr="004E41D0">
        <w:rPr>
          <w:rFonts w:ascii="Arial" w:hAnsi="Arial" w:cs="Arial"/>
          <w:b/>
          <w:bCs/>
        </w:rPr>
        <w:t>Conclusion</w:t>
      </w:r>
    </w:p>
    <w:p w14:paraId="4D8C0260" w14:textId="344237AA" w:rsidR="00863FC5" w:rsidRPr="00936E46" w:rsidRDefault="008A1CC2" w:rsidP="005F40F8">
      <w:pPr>
        <w:spacing w:before="120" w:line="360" w:lineRule="auto"/>
        <w:jc w:val="both"/>
        <w:rPr>
          <w:rFonts w:ascii="Arial" w:hAnsi="Arial" w:cs="Arial"/>
        </w:rPr>
      </w:pPr>
      <w:r w:rsidRPr="00936E46">
        <w:rPr>
          <w:rFonts w:ascii="Arial" w:hAnsi="Arial" w:cs="Arial"/>
        </w:rPr>
        <w:t>In conclusion, attracting and retaining top talent in the restaurant industry can be challenging, especially during a labour shortage. By offering a combination of monetary and non-monetary incentives, The Ledbury can attract potential candidates and retain top talent. Sign-on bonuses and performance-based incentives can motivate employees to perform at their best and demonstrate that The Ledbury values their skills and experience. Career development programs and employee recognition programs can demonstrate that The Ledbury is committed to helping employees achieve their career goals and values their contributions to the company's success. Ultimately, offering a comprehensive incentive package can help The Ledbury stand out in a competitive job market and attract the best talent in the industry.</w:t>
      </w:r>
    </w:p>
    <w:p w14:paraId="40F472C5" w14:textId="77777777" w:rsidR="00863FC5" w:rsidRDefault="00863FC5" w:rsidP="005F40F8">
      <w:pPr>
        <w:spacing w:before="120" w:line="360" w:lineRule="auto"/>
        <w:jc w:val="both"/>
        <w:rPr>
          <w:rFonts w:ascii="Times New Roman" w:hAnsi="Times New Roman" w:cs="Times New Roman"/>
        </w:rPr>
      </w:pPr>
    </w:p>
    <w:p w14:paraId="4779460F" w14:textId="77777777" w:rsidR="00863FC5" w:rsidRDefault="00863FC5" w:rsidP="005F40F8">
      <w:pPr>
        <w:spacing w:before="120" w:line="360" w:lineRule="auto"/>
        <w:jc w:val="both"/>
        <w:rPr>
          <w:rFonts w:ascii="Times New Roman" w:hAnsi="Times New Roman" w:cs="Times New Roman"/>
        </w:rPr>
      </w:pPr>
    </w:p>
    <w:p w14:paraId="0FAB627D" w14:textId="77777777" w:rsidR="00863FC5" w:rsidRDefault="00863FC5" w:rsidP="005F40F8">
      <w:pPr>
        <w:spacing w:before="120" w:line="360" w:lineRule="auto"/>
        <w:jc w:val="both"/>
        <w:rPr>
          <w:rFonts w:ascii="Times New Roman" w:hAnsi="Times New Roman" w:cs="Times New Roman"/>
        </w:rPr>
      </w:pPr>
    </w:p>
    <w:p w14:paraId="11BE0AD0" w14:textId="77777777" w:rsidR="00863FC5" w:rsidRDefault="00863FC5" w:rsidP="005F40F8">
      <w:pPr>
        <w:spacing w:before="120" w:line="360" w:lineRule="auto"/>
        <w:jc w:val="both"/>
        <w:rPr>
          <w:rFonts w:ascii="Times New Roman" w:hAnsi="Times New Roman" w:cs="Times New Roman"/>
        </w:rPr>
      </w:pPr>
    </w:p>
    <w:p w14:paraId="31A70C2A" w14:textId="77777777" w:rsidR="00863FC5" w:rsidRDefault="00863FC5" w:rsidP="005F40F8">
      <w:pPr>
        <w:spacing w:before="120" w:line="360" w:lineRule="auto"/>
        <w:jc w:val="both"/>
        <w:rPr>
          <w:rFonts w:ascii="Times New Roman" w:hAnsi="Times New Roman" w:cs="Times New Roman"/>
        </w:rPr>
      </w:pPr>
    </w:p>
    <w:p w14:paraId="0A654654" w14:textId="77777777" w:rsidR="00863FC5" w:rsidRDefault="00863FC5" w:rsidP="005F40F8">
      <w:pPr>
        <w:spacing w:before="120" w:line="360" w:lineRule="auto"/>
        <w:jc w:val="both"/>
        <w:rPr>
          <w:rFonts w:ascii="Times New Roman" w:hAnsi="Times New Roman" w:cs="Times New Roman"/>
        </w:rPr>
      </w:pPr>
    </w:p>
    <w:p w14:paraId="5EB4C290" w14:textId="77777777" w:rsidR="00863FC5" w:rsidRDefault="00863FC5" w:rsidP="005F40F8">
      <w:pPr>
        <w:spacing w:before="120" w:line="360" w:lineRule="auto"/>
        <w:jc w:val="both"/>
        <w:rPr>
          <w:rFonts w:ascii="Times New Roman" w:hAnsi="Times New Roman" w:cs="Times New Roman"/>
        </w:rPr>
      </w:pPr>
    </w:p>
    <w:p w14:paraId="207C2CED" w14:textId="77777777" w:rsidR="00863FC5" w:rsidRDefault="00863FC5" w:rsidP="005F40F8">
      <w:pPr>
        <w:spacing w:before="120" w:line="360" w:lineRule="auto"/>
        <w:jc w:val="both"/>
        <w:rPr>
          <w:rFonts w:ascii="Times New Roman" w:hAnsi="Times New Roman" w:cs="Times New Roman"/>
        </w:rPr>
      </w:pPr>
    </w:p>
    <w:p w14:paraId="427CC280" w14:textId="02DC2AD3" w:rsidR="009B313C" w:rsidRPr="00936E46" w:rsidRDefault="00847085" w:rsidP="005F40F8">
      <w:pPr>
        <w:spacing w:before="120" w:line="360" w:lineRule="auto"/>
        <w:jc w:val="both"/>
        <w:rPr>
          <w:rFonts w:ascii="Arial" w:hAnsi="Arial" w:cs="Arial"/>
          <w:b/>
          <w:bCs/>
        </w:rPr>
      </w:pPr>
      <w:r w:rsidRPr="00936E46">
        <w:rPr>
          <w:rFonts w:ascii="Arial" w:hAnsi="Arial" w:cs="Arial"/>
          <w:b/>
          <w:bCs/>
        </w:rPr>
        <w:t xml:space="preserve">References </w:t>
      </w:r>
    </w:p>
    <w:p w14:paraId="6CE4EE9C"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Albert, E.T., 2019. AI in talent acquisition: a review of AI-applications used in recruitment and selection. </w:t>
      </w:r>
      <w:r w:rsidRPr="00936E46">
        <w:rPr>
          <w:rFonts w:ascii="Arial" w:hAnsi="Arial" w:cs="Arial"/>
          <w:i/>
          <w:iCs/>
          <w:color w:val="000000" w:themeColor="text1"/>
          <w:shd w:val="clear" w:color="auto" w:fill="FFFFFF"/>
        </w:rPr>
        <w:t>Strategic HR Review</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18</w:t>
      </w:r>
      <w:r w:rsidRPr="00936E46">
        <w:rPr>
          <w:rFonts w:ascii="Arial" w:hAnsi="Arial" w:cs="Arial"/>
          <w:color w:val="000000" w:themeColor="text1"/>
          <w:shd w:val="clear" w:color="auto" w:fill="FFFFFF"/>
        </w:rPr>
        <w:t>(5), pp.215-221.</w:t>
      </w:r>
    </w:p>
    <w:p w14:paraId="06D50ED5"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Bartik, A.W., Bertrand, M., Lin, F., Rothstein, J. and Unrath, M., 2020. </w:t>
      </w:r>
      <w:r w:rsidRPr="00936E46">
        <w:rPr>
          <w:rFonts w:ascii="Arial" w:hAnsi="Arial" w:cs="Arial"/>
          <w:i/>
          <w:iCs/>
          <w:color w:val="000000" w:themeColor="text1"/>
          <w:shd w:val="clear" w:color="auto" w:fill="FFFFFF"/>
        </w:rPr>
        <w:t>Measuring the labor market at the onset of the COVID-19 crisis</w:t>
      </w:r>
      <w:r w:rsidRPr="00936E46">
        <w:rPr>
          <w:rFonts w:ascii="Arial" w:hAnsi="Arial" w:cs="Arial"/>
          <w:color w:val="000000" w:themeColor="text1"/>
          <w:shd w:val="clear" w:color="auto" w:fill="FFFFFF"/>
        </w:rPr>
        <w:t> (No. w27613). National Bureau of Economic Research.</w:t>
      </w:r>
    </w:p>
    <w:p w14:paraId="33DCAE16"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Bersin, J. and Chamorro-Premuzic, T., 2019. New ways to gauge talent and potential. </w:t>
      </w:r>
      <w:r w:rsidRPr="00936E46">
        <w:rPr>
          <w:rFonts w:ascii="Arial" w:hAnsi="Arial" w:cs="Arial"/>
          <w:i/>
          <w:iCs/>
          <w:color w:val="000000" w:themeColor="text1"/>
          <w:shd w:val="clear" w:color="auto" w:fill="FFFFFF"/>
        </w:rPr>
        <w:t>MIT Sloan management review</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60</w:t>
      </w:r>
      <w:r w:rsidRPr="00936E46">
        <w:rPr>
          <w:rFonts w:ascii="Arial" w:hAnsi="Arial" w:cs="Arial"/>
          <w:color w:val="000000" w:themeColor="text1"/>
          <w:shd w:val="clear" w:color="auto" w:fill="FFFFFF"/>
        </w:rPr>
        <w:t>(2), p.1.</w:t>
      </w:r>
    </w:p>
    <w:p w14:paraId="4A0BB9B1" w14:textId="77777777" w:rsidR="00847085" w:rsidRPr="00936E46" w:rsidRDefault="00847085" w:rsidP="00847085">
      <w:pPr>
        <w:spacing w:before="120" w:line="360" w:lineRule="auto"/>
        <w:jc w:val="both"/>
        <w:rPr>
          <w:rFonts w:ascii="Arial" w:hAnsi="Arial" w:cs="Arial"/>
          <w:color w:val="000000" w:themeColor="text1"/>
          <w:shd w:val="clear" w:color="auto" w:fill="FFFFFF"/>
          <w:lang w:val="en-US"/>
        </w:rPr>
      </w:pPr>
      <w:r w:rsidRPr="00936E46">
        <w:rPr>
          <w:rFonts w:ascii="Arial" w:hAnsi="Arial" w:cs="Arial"/>
          <w:color w:val="000000" w:themeColor="text1"/>
          <w:shd w:val="clear" w:color="auto" w:fill="FFFFFF"/>
          <w:lang w:val="en-US"/>
        </w:rPr>
        <w:t>Future Shock, 2022. Future Shock - Issue 12. Available at:  https://www.ukhospitality.org.uk/page/FutureShock-IssueTwelve (Accessed on: 06/03/2022).</w:t>
      </w:r>
    </w:p>
    <w:p w14:paraId="02C57BF0"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Hongal, P. and Kinange, U., 2020. A study on talent management and its impact on organization performance-an empirical review. </w:t>
      </w:r>
      <w:r w:rsidRPr="00936E46">
        <w:rPr>
          <w:rFonts w:ascii="Arial" w:hAnsi="Arial" w:cs="Arial"/>
          <w:i/>
          <w:iCs/>
          <w:color w:val="000000" w:themeColor="text1"/>
          <w:shd w:val="clear" w:color="auto" w:fill="FFFFFF"/>
        </w:rPr>
        <w:t>International Journal of Engineering and Management Research</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10</w:t>
      </w:r>
      <w:r w:rsidRPr="00936E46">
        <w:rPr>
          <w:rFonts w:ascii="Arial" w:hAnsi="Arial" w:cs="Arial"/>
          <w:color w:val="000000" w:themeColor="text1"/>
          <w:shd w:val="clear" w:color="auto" w:fill="FFFFFF"/>
        </w:rPr>
        <w:t>.</w:t>
      </w:r>
    </w:p>
    <w:p w14:paraId="6D305DB5"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Johnson, R.D., Stone, D.L. and Lukaszewski, K.M., 2020. The benefits of eHRM and AI for talent acquisition. </w:t>
      </w:r>
      <w:r w:rsidRPr="00936E46">
        <w:rPr>
          <w:rFonts w:ascii="Arial" w:hAnsi="Arial" w:cs="Arial"/>
          <w:i/>
          <w:iCs/>
          <w:color w:val="000000" w:themeColor="text1"/>
          <w:shd w:val="clear" w:color="auto" w:fill="FFFFFF"/>
        </w:rPr>
        <w:t>Journal of Tourism Futures</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7</w:t>
      </w:r>
      <w:r w:rsidRPr="00936E46">
        <w:rPr>
          <w:rFonts w:ascii="Arial" w:hAnsi="Arial" w:cs="Arial"/>
          <w:color w:val="000000" w:themeColor="text1"/>
          <w:shd w:val="clear" w:color="auto" w:fill="FFFFFF"/>
        </w:rPr>
        <w:t>(1), pp.40-52.</w:t>
      </w:r>
    </w:p>
    <w:p w14:paraId="69F47EDD"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Jose, S., 2019. Innovation in recruitment and talent acquisition: A study on technologies and strategies adopted for talent management in IT sector. </w:t>
      </w:r>
      <w:r w:rsidRPr="00936E46">
        <w:rPr>
          <w:rFonts w:ascii="Arial" w:hAnsi="Arial" w:cs="Arial"/>
          <w:i/>
          <w:iCs/>
          <w:color w:val="000000" w:themeColor="text1"/>
          <w:shd w:val="clear" w:color="auto" w:fill="FFFFFF"/>
        </w:rPr>
        <w:t>International journal of marketing and human resource management</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10</w:t>
      </w:r>
      <w:r w:rsidRPr="00936E46">
        <w:rPr>
          <w:rFonts w:ascii="Arial" w:hAnsi="Arial" w:cs="Arial"/>
          <w:color w:val="000000" w:themeColor="text1"/>
          <w:shd w:val="clear" w:color="auto" w:fill="FFFFFF"/>
        </w:rPr>
        <w:t>(2), pp.1-8.</w:t>
      </w:r>
    </w:p>
    <w:p w14:paraId="2D2D5C8D"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Mazzei, A. and Ravazzani, S., 2011. Manager</w:t>
      </w:r>
      <w:r w:rsidRPr="00936E46">
        <w:rPr>
          <w:rFonts w:ascii="Cambria Math" w:hAnsi="Cambria Math" w:cs="Cambria Math"/>
          <w:color w:val="000000" w:themeColor="text1"/>
          <w:shd w:val="clear" w:color="auto" w:fill="FFFFFF"/>
        </w:rPr>
        <w:t>‐</w:t>
      </w:r>
      <w:r w:rsidRPr="00936E46">
        <w:rPr>
          <w:rFonts w:ascii="Arial" w:hAnsi="Arial" w:cs="Arial"/>
          <w:color w:val="000000" w:themeColor="text1"/>
          <w:shd w:val="clear" w:color="auto" w:fill="FFFFFF"/>
        </w:rPr>
        <w:t>employee communication during a crisis: the missing link. </w:t>
      </w:r>
      <w:r w:rsidRPr="00936E46">
        <w:rPr>
          <w:rFonts w:ascii="Arial" w:hAnsi="Arial" w:cs="Arial"/>
          <w:i/>
          <w:iCs/>
          <w:color w:val="000000" w:themeColor="text1"/>
          <w:shd w:val="clear" w:color="auto" w:fill="FFFFFF"/>
        </w:rPr>
        <w:t>Corporate Communications: An International Journal</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16</w:t>
      </w:r>
      <w:r w:rsidRPr="00936E46">
        <w:rPr>
          <w:rFonts w:ascii="Arial" w:hAnsi="Arial" w:cs="Arial"/>
          <w:color w:val="000000" w:themeColor="text1"/>
          <w:shd w:val="clear" w:color="auto" w:fill="FFFFFF"/>
        </w:rPr>
        <w:t>(3), pp.243-254.</w:t>
      </w:r>
    </w:p>
    <w:p w14:paraId="282A83E7"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Mujtaba, M. and Mubarik, M.S., 2022. Talent management and organizational sustainability: role of sustainable behaviour. </w:t>
      </w:r>
      <w:r w:rsidRPr="00936E46">
        <w:rPr>
          <w:rFonts w:ascii="Arial" w:hAnsi="Arial" w:cs="Arial"/>
          <w:i/>
          <w:iCs/>
          <w:color w:val="000000" w:themeColor="text1"/>
          <w:shd w:val="clear" w:color="auto" w:fill="FFFFFF"/>
        </w:rPr>
        <w:t>International Journal of Organizational Analysis</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30</w:t>
      </w:r>
      <w:r w:rsidRPr="00936E46">
        <w:rPr>
          <w:rFonts w:ascii="Arial" w:hAnsi="Arial" w:cs="Arial"/>
          <w:color w:val="000000" w:themeColor="text1"/>
          <w:shd w:val="clear" w:color="auto" w:fill="FFFFFF"/>
        </w:rPr>
        <w:t>(2), pp.389-407.</w:t>
      </w:r>
    </w:p>
    <w:p w14:paraId="3F85B25D"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t>Nayak, B.C., Nayak, G.K. and Jena, D., 2020. Social recognition and employee engagement: The effect of social media in organizations. </w:t>
      </w:r>
      <w:r w:rsidRPr="00936E46">
        <w:rPr>
          <w:rFonts w:ascii="Arial" w:hAnsi="Arial" w:cs="Arial"/>
          <w:i/>
          <w:iCs/>
          <w:color w:val="000000" w:themeColor="text1"/>
          <w:shd w:val="clear" w:color="auto" w:fill="FFFFFF"/>
        </w:rPr>
        <w:t>International Journal of Engineering Business Management</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12</w:t>
      </w:r>
      <w:r w:rsidRPr="00936E46">
        <w:rPr>
          <w:rFonts w:ascii="Arial" w:hAnsi="Arial" w:cs="Arial"/>
          <w:color w:val="000000" w:themeColor="text1"/>
          <w:shd w:val="clear" w:color="auto" w:fill="FFFFFF"/>
        </w:rPr>
        <w:t>, p.1847979020975109.</w:t>
      </w:r>
    </w:p>
    <w:p w14:paraId="52D80F1D" w14:textId="77777777" w:rsidR="00847085" w:rsidRPr="00936E46" w:rsidRDefault="00847085" w:rsidP="00847085">
      <w:pPr>
        <w:spacing w:before="120" w:line="360" w:lineRule="auto"/>
        <w:jc w:val="both"/>
        <w:rPr>
          <w:rFonts w:ascii="Arial" w:hAnsi="Arial" w:cs="Arial"/>
          <w:color w:val="000000" w:themeColor="text1"/>
          <w:shd w:val="clear" w:color="auto" w:fill="FFFFFF"/>
        </w:rPr>
      </w:pPr>
      <w:r w:rsidRPr="00936E46">
        <w:rPr>
          <w:rFonts w:ascii="Arial" w:hAnsi="Arial" w:cs="Arial"/>
          <w:color w:val="000000" w:themeColor="text1"/>
          <w:shd w:val="clear" w:color="auto" w:fill="FFFFFF"/>
        </w:rPr>
        <w:lastRenderedPageBreak/>
        <w:t>Neri, S. and Wilkins, S., 2019. Talent management in transnational higher education: strategies for managing academic staff at international branch campuses. </w:t>
      </w:r>
      <w:r w:rsidRPr="00936E46">
        <w:rPr>
          <w:rFonts w:ascii="Arial" w:hAnsi="Arial" w:cs="Arial"/>
          <w:i/>
          <w:iCs/>
          <w:color w:val="000000" w:themeColor="text1"/>
          <w:shd w:val="clear" w:color="auto" w:fill="FFFFFF"/>
        </w:rPr>
        <w:t>Journal of Higher Education Policy and Management</w:t>
      </w:r>
      <w:r w:rsidRPr="00936E46">
        <w:rPr>
          <w:rFonts w:ascii="Arial" w:hAnsi="Arial" w:cs="Arial"/>
          <w:color w:val="000000" w:themeColor="text1"/>
          <w:shd w:val="clear" w:color="auto" w:fill="FFFFFF"/>
        </w:rPr>
        <w:t>, </w:t>
      </w:r>
      <w:r w:rsidRPr="00936E46">
        <w:rPr>
          <w:rFonts w:ascii="Arial" w:hAnsi="Arial" w:cs="Arial"/>
          <w:i/>
          <w:iCs/>
          <w:color w:val="000000" w:themeColor="text1"/>
          <w:shd w:val="clear" w:color="auto" w:fill="FFFFFF"/>
        </w:rPr>
        <w:t>41</w:t>
      </w:r>
      <w:r w:rsidRPr="00936E46">
        <w:rPr>
          <w:rFonts w:ascii="Arial" w:hAnsi="Arial" w:cs="Arial"/>
          <w:color w:val="000000" w:themeColor="text1"/>
          <w:shd w:val="clear" w:color="auto" w:fill="FFFFFF"/>
        </w:rPr>
        <w:t>(1), pp.52-69.</w:t>
      </w:r>
    </w:p>
    <w:p w14:paraId="4EA6DA0E" w14:textId="77777777" w:rsidR="00847085" w:rsidRPr="00A076F1" w:rsidRDefault="00847085" w:rsidP="00847085">
      <w:pPr>
        <w:spacing w:before="120" w:line="360" w:lineRule="auto"/>
        <w:jc w:val="both"/>
        <w:rPr>
          <w:rFonts w:ascii="Times New Roman" w:hAnsi="Times New Roman" w:cs="Times New Roman"/>
          <w:color w:val="000000" w:themeColor="text1"/>
          <w:shd w:val="clear" w:color="auto" w:fill="FFFFFF"/>
        </w:rPr>
      </w:pPr>
      <w:r w:rsidRPr="00A076F1">
        <w:rPr>
          <w:rFonts w:ascii="Times New Roman" w:hAnsi="Times New Roman" w:cs="Times New Roman"/>
          <w:color w:val="000000" w:themeColor="text1"/>
          <w:shd w:val="clear" w:color="auto" w:fill="FFFFFF"/>
        </w:rPr>
        <w:t>Rozario, S.D., Venkatraman, S., Chu, M.T. and Abbas, A., 2020. Enabling corporate sustainability from a talent acquisition perspective. </w:t>
      </w:r>
      <w:r w:rsidRPr="00A076F1">
        <w:rPr>
          <w:rFonts w:ascii="Times New Roman" w:hAnsi="Times New Roman" w:cs="Times New Roman"/>
          <w:i/>
          <w:iCs/>
          <w:color w:val="000000" w:themeColor="text1"/>
          <w:shd w:val="clear" w:color="auto" w:fill="FFFFFF"/>
        </w:rPr>
        <w:t>Journal of Sustainability Research</w:t>
      </w:r>
      <w:r w:rsidRPr="00A076F1">
        <w:rPr>
          <w:rFonts w:ascii="Times New Roman" w:hAnsi="Times New Roman" w:cs="Times New Roman"/>
          <w:color w:val="000000" w:themeColor="text1"/>
          <w:shd w:val="clear" w:color="auto" w:fill="FFFFFF"/>
        </w:rPr>
        <w:t>, </w:t>
      </w:r>
      <w:r w:rsidRPr="00A076F1">
        <w:rPr>
          <w:rFonts w:ascii="Times New Roman" w:hAnsi="Times New Roman" w:cs="Times New Roman"/>
          <w:i/>
          <w:iCs/>
          <w:color w:val="000000" w:themeColor="text1"/>
          <w:shd w:val="clear" w:color="auto" w:fill="FFFFFF"/>
        </w:rPr>
        <w:t>2</w:t>
      </w:r>
      <w:r w:rsidRPr="00A076F1">
        <w:rPr>
          <w:rFonts w:ascii="Times New Roman" w:hAnsi="Times New Roman" w:cs="Times New Roman"/>
          <w:color w:val="000000" w:themeColor="text1"/>
          <w:shd w:val="clear" w:color="auto" w:fill="FFFFFF"/>
        </w:rPr>
        <w:t>(2).</w:t>
      </w:r>
    </w:p>
    <w:p w14:paraId="15E28DEE" w14:textId="77777777" w:rsidR="00847085" w:rsidRPr="00A076F1" w:rsidRDefault="00847085" w:rsidP="00847085">
      <w:pPr>
        <w:spacing w:before="120" w:line="360" w:lineRule="auto"/>
        <w:jc w:val="both"/>
        <w:rPr>
          <w:rFonts w:ascii="Times New Roman" w:hAnsi="Times New Roman" w:cs="Times New Roman"/>
          <w:color w:val="000000" w:themeColor="text1"/>
          <w:shd w:val="clear" w:color="auto" w:fill="FFFFFF"/>
        </w:rPr>
      </w:pPr>
      <w:r w:rsidRPr="00A076F1">
        <w:rPr>
          <w:rFonts w:ascii="Times New Roman" w:hAnsi="Times New Roman" w:cs="Times New Roman"/>
          <w:color w:val="000000" w:themeColor="text1"/>
          <w:shd w:val="clear" w:color="auto" w:fill="FFFFFF"/>
        </w:rPr>
        <w:t>Sagawa, S. and Segal, E., 2000. Common interest, common good: Creating value through business and social sector partnerships. </w:t>
      </w:r>
      <w:r w:rsidRPr="00A076F1">
        <w:rPr>
          <w:rFonts w:ascii="Times New Roman" w:hAnsi="Times New Roman" w:cs="Times New Roman"/>
          <w:i/>
          <w:iCs/>
          <w:color w:val="000000" w:themeColor="text1"/>
          <w:shd w:val="clear" w:color="auto" w:fill="FFFFFF"/>
        </w:rPr>
        <w:t>California management review</w:t>
      </w:r>
      <w:r w:rsidRPr="00A076F1">
        <w:rPr>
          <w:rFonts w:ascii="Times New Roman" w:hAnsi="Times New Roman" w:cs="Times New Roman"/>
          <w:color w:val="000000" w:themeColor="text1"/>
          <w:shd w:val="clear" w:color="auto" w:fill="FFFFFF"/>
        </w:rPr>
        <w:t>, </w:t>
      </w:r>
      <w:r w:rsidRPr="00A076F1">
        <w:rPr>
          <w:rFonts w:ascii="Times New Roman" w:hAnsi="Times New Roman" w:cs="Times New Roman"/>
          <w:i/>
          <w:iCs/>
          <w:color w:val="000000" w:themeColor="text1"/>
          <w:shd w:val="clear" w:color="auto" w:fill="FFFFFF"/>
        </w:rPr>
        <w:t>42</w:t>
      </w:r>
      <w:r w:rsidRPr="00A076F1">
        <w:rPr>
          <w:rFonts w:ascii="Times New Roman" w:hAnsi="Times New Roman" w:cs="Times New Roman"/>
          <w:color w:val="000000" w:themeColor="text1"/>
          <w:shd w:val="clear" w:color="auto" w:fill="FFFFFF"/>
        </w:rPr>
        <w:t>(2), pp.105-122.</w:t>
      </w:r>
    </w:p>
    <w:p w14:paraId="1EE7E00B" w14:textId="77777777" w:rsidR="00847085" w:rsidRPr="00A076F1" w:rsidRDefault="00847085" w:rsidP="00847085">
      <w:pPr>
        <w:spacing w:before="120" w:line="360" w:lineRule="auto"/>
        <w:jc w:val="both"/>
        <w:rPr>
          <w:rFonts w:ascii="Times New Roman" w:hAnsi="Times New Roman" w:cs="Times New Roman"/>
          <w:color w:val="000000" w:themeColor="text1"/>
          <w:shd w:val="clear" w:color="auto" w:fill="FFFFFF"/>
          <w:lang w:val="en-US"/>
        </w:rPr>
      </w:pPr>
      <w:r w:rsidRPr="00A076F1">
        <w:rPr>
          <w:rFonts w:ascii="Times New Roman" w:hAnsi="Times New Roman" w:cs="Times New Roman"/>
          <w:color w:val="000000" w:themeColor="text1"/>
          <w:shd w:val="clear" w:color="auto" w:fill="FFFFFF"/>
        </w:rPr>
        <w:t>Sam Ette</w:t>
      </w:r>
      <w:r w:rsidRPr="00A076F1">
        <w:rPr>
          <w:rFonts w:ascii="Times New Roman" w:hAnsi="Times New Roman" w:cs="Times New Roman"/>
          <w:color w:val="000000" w:themeColor="text1"/>
          <w:shd w:val="clear" w:color="auto" w:fill="FFFFFF"/>
          <w:lang w:val="en-US"/>
        </w:rPr>
        <w:t>, 2022. Third Of Businesses to Reduce Opening Hours Over Christmas Due to Staff Shortages. Available at: https://www.ukhospitality.org.uk/news/625938/THIRD-OF-BUSINESSES-TO-REDUCE-OPENING-HOURS-OVER-CHRISTMAS-DUE-TO-STAFF-SHORTAGES.htm (Accessed on: 06/03/2022).</w:t>
      </w:r>
    </w:p>
    <w:p w14:paraId="45C89C9C" w14:textId="77777777" w:rsidR="00847085" w:rsidRPr="00A076F1" w:rsidRDefault="00847085" w:rsidP="00847085">
      <w:pPr>
        <w:spacing w:before="120" w:line="360" w:lineRule="auto"/>
        <w:jc w:val="both"/>
        <w:rPr>
          <w:rFonts w:ascii="Times New Roman" w:hAnsi="Times New Roman" w:cs="Times New Roman"/>
          <w:color w:val="000000" w:themeColor="text1"/>
          <w:shd w:val="clear" w:color="auto" w:fill="FFFFFF"/>
        </w:rPr>
      </w:pPr>
      <w:r w:rsidRPr="00A076F1">
        <w:rPr>
          <w:rFonts w:ascii="Times New Roman" w:hAnsi="Times New Roman" w:cs="Times New Roman"/>
          <w:color w:val="000000" w:themeColor="text1"/>
          <w:shd w:val="clear" w:color="auto" w:fill="FFFFFF"/>
        </w:rPr>
        <w:t>Shet, S.V., 2020. Strategic talent management–contemporary issues in international context. </w:t>
      </w:r>
      <w:r w:rsidRPr="00A076F1">
        <w:rPr>
          <w:rFonts w:ascii="Times New Roman" w:hAnsi="Times New Roman" w:cs="Times New Roman"/>
          <w:i/>
          <w:iCs/>
          <w:color w:val="000000" w:themeColor="text1"/>
          <w:shd w:val="clear" w:color="auto" w:fill="FFFFFF"/>
        </w:rPr>
        <w:t>Human Resource Development International</w:t>
      </w:r>
      <w:r w:rsidRPr="00A076F1">
        <w:rPr>
          <w:rFonts w:ascii="Times New Roman" w:hAnsi="Times New Roman" w:cs="Times New Roman"/>
          <w:color w:val="000000" w:themeColor="text1"/>
          <w:shd w:val="clear" w:color="auto" w:fill="FFFFFF"/>
        </w:rPr>
        <w:t>, </w:t>
      </w:r>
      <w:r w:rsidRPr="00A076F1">
        <w:rPr>
          <w:rFonts w:ascii="Times New Roman" w:hAnsi="Times New Roman" w:cs="Times New Roman"/>
          <w:i/>
          <w:iCs/>
          <w:color w:val="000000" w:themeColor="text1"/>
          <w:shd w:val="clear" w:color="auto" w:fill="FFFFFF"/>
        </w:rPr>
        <w:t>23</w:t>
      </w:r>
      <w:r w:rsidRPr="00A076F1">
        <w:rPr>
          <w:rFonts w:ascii="Times New Roman" w:hAnsi="Times New Roman" w:cs="Times New Roman"/>
          <w:color w:val="000000" w:themeColor="text1"/>
          <w:shd w:val="clear" w:color="auto" w:fill="FFFFFF"/>
        </w:rPr>
        <w:t>(1), pp.98-102.</w:t>
      </w:r>
    </w:p>
    <w:p w14:paraId="28B97D7F" w14:textId="77777777" w:rsidR="00847085" w:rsidRPr="00F25E43" w:rsidRDefault="00847085" w:rsidP="005F40F8">
      <w:pPr>
        <w:spacing w:before="120" w:line="360" w:lineRule="auto"/>
        <w:jc w:val="both"/>
        <w:rPr>
          <w:rFonts w:ascii="Times New Roman" w:hAnsi="Times New Roman" w:cs="Times New Roman"/>
        </w:rPr>
      </w:pPr>
    </w:p>
    <w:sectPr w:rsidR="00847085" w:rsidRPr="00F25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3C"/>
    <w:rsid w:val="00091991"/>
    <w:rsid w:val="000F1A5A"/>
    <w:rsid w:val="002A1F89"/>
    <w:rsid w:val="00303DCA"/>
    <w:rsid w:val="003B0A08"/>
    <w:rsid w:val="004E41D0"/>
    <w:rsid w:val="005D0C11"/>
    <w:rsid w:val="005F40F8"/>
    <w:rsid w:val="00644394"/>
    <w:rsid w:val="0065430E"/>
    <w:rsid w:val="00692C47"/>
    <w:rsid w:val="007C34EB"/>
    <w:rsid w:val="00847085"/>
    <w:rsid w:val="00863FC5"/>
    <w:rsid w:val="008A1CC2"/>
    <w:rsid w:val="008E1A08"/>
    <w:rsid w:val="00936E46"/>
    <w:rsid w:val="009B313C"/>
    <w:rsid w:val="00A97A19"/>
    <w:rsid w:val="00B4110A"/>
    <w:rsid w:val="00CA33B3"/>
    <w:rsid w:val="00CF6CCF"/>
    <w:rsid w:val="00DA2183"/>
    <w:rsid w:val="00DD08B0"/>
    <w:rsid w:val="00DD7907"/>
    <w:rsid w:val="00E87BBA"/>
    <w:rsid w:val="00F25E43"/>
    <w:rsid w:val="00F6365E"/>
    <w:rsid w:val="00FC0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7A879"/>
  <w15:chartTrackingRefBased/>
  <w15:docId w15:val="{D0BDBF51-DBF7-914B-9D10-AEFEB1CD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1D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1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41D0"/>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E41D0"/>
    <w:pPr>
      <w:spacing w:before="120"/>
    </w:pPr>
    <w:rPr>
      <w:rFonts w:cstheme="minorHAnsi"/>
      <w:b/>
      <w:bCs/>
      <w:i/>
      <w:iCs/>
    </w:rPr>
  </w:style>
  <w:style w:type="paragraph" w:styleId="TOC2">
    <w:name w:val="toc 2"/>
    <w:basedOn w:val="Normal"/>
    <w:next w:val="Normal"/>
    <w:autoRedefine/>
    <w:uiPriority w:val="39"/>
    <w:unhideWhenUsed/>
    <w:rsid w:val="004E41D0"/>
    <w:pPr>
      <w:spacing w:before="120"/>
      <w:ind w:left="240"/>
    </w:pPr>
    <w:rPr>
      <w:rFonts w:cstheme="minorHAnsi"/>
      <w:b/>
      <w:bCs/>
      <w:sz w:val="22"/>
      <w:szCs w:val="22"/>
    </w:rPr>
  </w:style>
  <w:style w:type="paragraph" w:styleId="TOC3">
    <w:name w:val="toc 3"/>
    <w:basedOn w:val="Normal"/>
    <w:next w:val="Normal"/>
    <w:autoRedefine/>
    <w:uiPriority w:val="39"/>
    <w:unhideWhenUsed/>
    <w:rsid w:val="004E41D0"/>
    <w:pPr>
      <w:ind w:left="480"/>
    </w:pPr>
    <w:rPr>
      <w:rFonts w:cstheme="minorHAnsi"/>
      <w:sz w:val="20"/>
      <w:szCs w:val="20"/>
    </w:rPr>
  </w:style>
  <w:style w:type="paragraph" w:styleId="TOC4">
    <w:name w:val="toc 4"/>
    <w:basedOn w:val="Normal"/>
    <w:next w:val="Normal"/>
    <w:autoRedefine/>
    <w:uiPriority w:val="39"/>
    <w:semiHidden/>
    <w:unhideWhenUsed/>
    <w:rsid w:val="004E41D0"/>
    <w:pPr>
      <w:ind w:left="720"/>
    </w:pPr>
    <w:rPr>
      <w:rFonts w:cstheme="minorHAnsi"/>
      <w:sz w:val="20"/>
      <w:szCs w:val="20"/>
    </w:rPr>
  </w:style>
  <w:style w:type="paragraph" w:styleId="TOC5">
    <w:name w:val="toc 5"/>
    <w:basedOn w:val="Normal"/>
    <w:next w:val="Normal"/>
    <w:autoRedefine/>
    <w:uiPriority w:val="39"/>
    <w:semiHidden/>
    <w:unhideWhenUsed/>
    <w:rsid w:val="004E41D0"/>
    <w:pPr>
      <w:ind w:left="960"/>
    </w:pPr>
    <w:rPr>
      <w:rFonts w:cstheme="minorHAnsi"/>
      <w:sz w:val="20"/>
      <w:szCs w:val="20"/>
    </w:rPr>
  </w:style>
  <w:style w:type="paragraph" w:styleId="TOC6">
    <w:name w:val="toc 6"/>
    <w:basedOn w:val="Normal"/>
    <w:next w:val="Normal"/>
    <w:autoRedefine/>
    <w:uiPriority w:val="39"/>
    <w:semiHidden/>
    <w:unhideWhenUsed/>
    <w:rsid w:val="004E41D0"/>
    <w:pPr>
      <w:ind w:left="1200"/>
    </w:pPr>
    <w:rPr>
      <w:rFonts w:cstheme="minorHAnsi"/>
      <w:sz w:val="20"/>
      <w:szCs w:val="20"/>
    </w:rPr>
  </w:style>
  <w:style w:type="paragraph" w:styleId="TOC7">
    <w:name w:val="toc 7"/>
    <w:basedOn w:val="Normal"/>
    <w:next w:val="Normal"/>
    <w:autoRedefine/>
    <w:uiPriority w:val="39"/>
    <w:semiHidden/>
    <w:unhideWhenUsed/>
    <w:rsid w:val="004E41D0"/>
    <w:pPr>
      <w:ind w:left="1440"/>
    </w:pPr>
    <w:rPr>
      <w:rFonts w:cstheme="minorHAnsi"/>
      <w:sz w:val="20"/>
      <w:szCs w:val="20"/>
    </w:rPr>
  </w:style>
  <w:style w:type="paragraph" w:styleId="TOC8">
    <w:name w:val="toc 8"/>
    <w:basedOn w:val="Normal"/>
    <w:next w:val="Normal"/>
    <w:autoRedefine/>
    <w:uiPriority w:val="39"/>
    <w:semiHidden/>
    <w:unhideWhenUsed/>
    <w:rsid w:val="004E41D0"/>
    <w:pPr>
      <w:ind w:left="1680"/>
    </w:pPr>
    <w:rPr>
      <w:rFonts w:cstheme="minorHAnsi"/>
      <w:sz w:val="20"/>
      <w:szCs w:val="20"/>
    </w:rPr>
  </w:style>
  <w:style w:type="paragraph" w:styleId="TOC9">
    <w:name w:val="toc 9"/>
    <w:basedOn w:val="Normal"/>
    <w:next w:val="Normal"/>
    <w:autoRedefine/>
    <w:uiPriority w:val="39"/>
    <w:semiHidden/>
    <w:unhideWhenUsed/>
    <w:rsid w:val="004E41D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A0217-C241-9842-B2F3-B8F711B98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15</Pages>
  <Words>2222</Words>
  <Characters>13604</Characters>
  <Application>Microsoft Office Word</Application>
  <DocSecurity>0</DocSecurity>
  <Lines>268</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C.SOMODI</dc:creator>
  <cp:keywords/>
  <dc:description/>
  <cp:lastModifiedBy>Constantin Somodi</cp:lastModifiedBy>
  <cp:revision>19</cp:revision>
  <dcterms:created xsi:type="dcterms:W3CDTF">2023-03-05T19:51:00Z</dcterms:created>
  <dcterms:modified xsi:type="dcterms:W3CDTF">2023-04-01T00:02:00Z</dcterms:modified>
  <cp:category/>
</cp:coreProperties>
</file>